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522FC4">
      <w:pPr>
        <w:tabs>
          <w:tab w:val="left" w:pos="420"/>
        </w:tabs>
        <w:spacing w:line="1700" w:lineRule="exact"/>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lang w:eastAsia="zh-CN"/>
        </w:rPr>
        <w:t>服务</w:t>
      </w:r>
      <w:r>
        <w:rPr>
          <w:rFonts w:hint="eastAsia" w:ascii="宋体" w:hAnsi="宋体" w:eastAsia="宋体" w:cs="宋体"/>
          <w:b/>
          <w:bCs/>
          <w:color w:val="auto"/>
          <w:sz w:val="52"/>
          <w:szCs w:val="52"/>
          <w:highlight w:val="none"/>
        </w:rPr>
        <w:t>类竞争性磋商文件</w:t>
      </w:r>
    </w:p>
    <w:p w14:paraId="7E3499FC">
      <w:pPr>
        <w:tabs>
          <w:tab w:val="left" w:pos="315"/>
          <w:tab w:val="left" w:pos="8820"/>
        </w:tabs>
        <w:spacing w:line="500" w:lineRule="exact"/>
        <w:jc w:val="right"/>
        <w:rPr>
          <w:rFonts w:hint="eastAsia" w:ascii="宋体" w:hAnsi="宋体" w:eastAsia="宋体" w:cs="宋体"/>
          <w:bCs/>
          <w:color w:val="auto"/>
          <w:sz w:val="24"/>
          <w:szCs w:val="24"/>
          <w:highlight w:val="none"/>
        </w:rPr>
      </w:pPr>
    </w:p>
    <w:p w14:paraId="44B1F841">
      <w:pPr>
        <w:tabs>
          <w:tab w:val="left" w:pos="315"/>
          <w:tab w:val="left" w:pos="8820"/>
        </w:tabs>
        <w:spacing w:line="500" w:lineRule="exact"/>
        <w:jc w:val="right"/>
        <w:rPr>
          <w:rFonts w:hint="eastAsia" w:ascii="宋体" w:hAnsi="宋体" w:eastAsia="宋体" w:cs="宋体"/>
          <w:bCs/>
          <w:color w:val="auto"/>
          <w:sz w:val="24"/>
          <w:szCs w:val="24"/>
          <w:highlight w:val="none"/>
        </w:rPr>
      </w:pPr>
    </w:p>
    <w:p w14:paraId="3983C2D2">
      <w:pPr>
        <w:tabs>
          <w:tab w:val="left" w:pos="315"/>
          <w:tab w:val="left" w:pos="8820"/>
        </w:tabs>
        <w:spacing w:line="500" w:lineRule="exact"/>
        <w:jc w:val="right"/>
        <w:rPr>
          <w:rFonts w:hint="eastAsia" w:ascii="宋体" w:hAnsi="宋体" w:eastAsia="宋体" w:cs="宋体"/>
          <w:bCs/>
          <w:color w:val="auto"/>
          <w:sz w:val="24"/>
          <w:szCs w:val="24"/>
          <w:highlight w:val="none"/>
        </w:rPr>
      </w:pPr>
    </w:p>
    <w:p w14:paraId="0B8FC4E5">
      <w:pPr>
        <w:tabs>
          <w:tab w:val="left" w:pos="315"/>
          <w:tab w:val="left" w:pos="8820"/>
        </w:tabs>
        <w:spacing w:line="500" w:lineRule="exact"/>
        <w:jc w:val="right"/>
        <w:rPr>
          <w:rFonts w:hint="eastAsia" w:ascii="宋体" w:hAnsi="宋体" w:eastAsia="宋体" w:cs="宋体"/>
          <w:bCs/>
          <w:color w:val="auto"/>
          <w:sz w:val="24"/>
          <w:szCs w:val="24"/>
          <w:highlight w:val="none"/>
        </w:rPr>
      </w:pPr>
    </w:p>
    <w:p w14:paraId="598DC842">
      <w:pPr>
        <w:tabs>
          <w:tab w:val="left" w:pos="315"/>
          <w:tab w:val="left" w:pos="8820"/>
        </w:tabs>
        <w:spacing w:line="500" w:lineRule="exact"/>
        <w:jc w:val="right"/>
        <w:rPr>
          <w:rFonts w:hint="eastAsia" w:ascii="宋体" w:hAnsi="宋体" w:eastAsia="宋体" w:cs="宋体"/>
          <w:bCs/>
          <w:color w:val="auto"/>
          <w:sz w:val="24"/>
          <w:szCs w:val="24"/>
          <w:highlight w:val="none"/>
        </w:rPr>
      </w:pPr>
    </w:p>
    <w:p w14:paraId="4F643DC1">
      <w:pPr>
        <w:spacing w:line="360" w:lineRule="auto"/>
        <w:jc w:val="left"/>
        <w:rPr>
          <w:rFonts w:hint="eastAsia" w:ascii="宋体" w:hAnsi="宋体" w:eastAsia="宋体" w:cs="宋体"/>
          <w:color w:val="auto"/>
          <w:sz w:val="24"/>
          <w:szCs w:val="24"/>
          <w:highlight w:val="none"/>
        </w:rPr>
      </w:pPr>
    </w:p>
    <w:p w14:paraId="20BC154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INCLUDEPICTURE "C:\\Users\\018\\Documents\\Tencent Files\\936259992\\Image\\Group\\YMG9IE5S~HAW0XO_}UZVNQG.jpg" \* MERGEFORMAT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drawing>
          <wp:inline distT="0" distB="0" distL="114300" distR="114300">
            <wp:extent cx="1662430" cy="1614170"/>
            <wp:effectExtent l="0" t="0" r="1397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1662430" cy="1614170"/>
                    </a:xfrm>
                    <a:prstGeom prst="rect">
                      <a:avLst/>
                    </a:prstGeom>
                    <a:noFill/>
                    <a:ln>
                      <a:noFill/>
                    </a:ln>
                  </pic:spPr>
                </pic:pic>
              </a:graphicData>
            </a:graphic>
          </wp:inline>
        </w:drawing>
      </w:r>
      <w:r>
        <w:rPr>
          <w:rFonts w:hint="eastAsia" w:ascii="宋体" w:hAnsi="宋体" w:eastAsia="宋体" w:cs="宋体"/>
          <w:color w:val="auto"/>
          <w:highlight w:val="none"/>
        </w:rPr>
        <w:fldChar w:fldCharType="end"/>
      </w:r>
    </w:p>
    <w:p w14:paraId="6E292B10">
      <w:pPr>
        <w:tabs>
          <w:tab w:val="left" w:pos="315"/>
          <w:tab w:val="left" w:pos="8820"/>
        </w:tabs>
        <w:spacing w:before="240" w:beforeLines="100" w:after="120" w:afterLines="50" w:line="500" w:lineRule="exact"/>
        <w:ind w:right="25" w:rightChars="12"/>
        <w:jc w:val="center"/>
        <w:rPr>
          <w:rFonts w:hint="eastAsia" w:ascii="宋体" w:hAnsi="宋体" w:eastAsia="宋体" w:cs="宋体"/>
          <w:color w:val="auto"/>
          <w:sz w:val="24"/>
          <w:szCs w:val="24"/>
          <w:highlight w:val="none"/>
        </w:rPr>
      </w:pPr>
    </w:p>
    <w:p w14:paraId="3B01CA9C">
      <w:pPr>
        <w:tabs>
          <w:tab w:val="left" w:pos="2410"/>
        </w:tabs>
        <w:autoSpaceDE w:val="0"/>
        <w:autoSpaceDN w:val="0"/>
        <w:adjustRightInd w:val="0"/>
        <w:snapToGrid w:val="0"/>
        <w:spacing w:line="360" w:lineRule="auto"/>
        <w:rPr>
          <w:rFonts w:hint="eastAsia" w:ascii="宋体" w:hAnsi="宋体" w:eastAsia="宋体" w:cs="宋体"/>
          <w:b/>
          <w:color w:val="auto"/>
          <w:spacing w:val="20"/>
          <w:kern w:val="0"/>
          <w:sz w:val="24"/>
          <w:szCs w:val="24"/>
          <w:highlight w:val="none"/>
        </w:rPr>
      </w:pPr>
    </w:p>
    <w:p w14:paraId="5BDB7377">
      <w:pPr>
        <w:tabs>
          <w:tab w:val="left" w:pos="2410"/>
        </w:tabs>
        <w:autoSpaceDE w:val="0"/>
        <w:autoSpaceDN w:val="0"/>
        <w:adjustRightInd w:val="0"/>
        <w:snapToGrid w:val="0"/>
        <w:spacing w:line="360" w:lineRule="auto"/>
        <w:rPr>
          <w:rFonts w:hint="eastAsia" w:ascii="宋体" w:hAnsi="宋体" w:eastAsia="宋体" w:cs="宋体"/>
          <w:b/>
          <w:color w:val="auto"/>
          <w:spacing w:val="20"/>
          <w:kern w:val="0"/>
          <w:sz w:val="24"/>
          <w:szCs w:val="24"/>
          <w:highlight w:val="none"/>
        </w:rPr>
      </w:pPr>
    </w:p>
    <w:p w14:paraId="1D46320D">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643" w:firstLineChars="200"/>
        <w:textAlignment w:val="auto"/>
        <w:rPr>
          <w:rFonts w:hint="eastAsia" w:ascii="宋体" w:hAnsi="宋体" w:eastAsia="宋体" w:cs="宋体"/>
          <w:b/>
          <w:color w:val="auto"/>
          <w:spacing w:val="0"/>
          <w:kern w:val="28"/>
          <w:sz w:val="32"/>
          <w:szCs w:val="32"/>
          <w:highlight w:val="none"/>
          <w:lang w:eastAsia="zh-CN"/>
        </w:rPr>
      </w:pPr>
      <w:r>
        <w:rPr>
          <w:rFonts w:hint="eastAsia" w:ascii="宋体" w:hAnsi="宋体" w:eastAsia="宋体" w:cs="宋体"/>
          <w:b/>
          <w:color w:val="auto"/>
          <w:spacing w:val="0"/>
          <w:kern w:val="28"/>
          <w:sz w:val="32"/>
          <w:szCs w:val="32"/>
          <w:highlight w:val="none"/>
        </w:rPr>
        <w:t>项目名称：</w:t>
      </w:r>
      <w:r>
        <w:rPr>
          <w:rFonts w:hint="eastAsia" w:ascii="宋体" w:hAnsi="宋体" w:cs="宋体"/>
          <w:b/>
          <w:color w:val="auto"/>
          <w:spacing w:val="0"/>
          <w:kern w:val="28"/>
          <w:sz w:val="32"/>
          <w:szCs w:val="32"/>
          <w:highlight w:val="none"/>
          <w:lang w:eastAsia="zh-CN"/>
        </w:rPr>
        <w:t>肥西县中医院消防维保（2026-2027）</w:t>
      </w:r>
    </w:p>
    <w:p w14:paraId="4853D309">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643" w:firstLineChars="200"/>
        <w:textAlignment w:val="auto"/>
        <w:rPr>
          <w:rFonts w:hint="eastAsia" w:ascii="宋体" w:hAnsi="宋体" w:eastAsia="宋体" w:cs="宋体"/>
          <w:b/>
          <w:color w:val="auto"/>
          <w:spacing w:val="0"/>
          <w:kern w:val="28"/>
          <w:sz w:val="32"/>
          <w:szCs w:val="32"/>
          <w:highlight w:val="none"/>
          <w:lang w:eastAsia="zh-CN"/>
        </w:rPr>
      </w:pPr>
      <w:r>
        <w:rPr>
          <w:rFonts w:hint="eastAsia" w:ascii="宋体" w:hAnsi="宋体" w:eastAsia="宋体" w:cs="宋体"/>
          <w:b/>
          <w:color w:val="auto"/>
          <w:spacing w:val="0"/>
          <w:kern w:val="28"/>
          <w:sz w:val="32"/>
          <w:szCs w:val="32"/>
          <w:highlight w:val="none"/>
        </w:rPr>
        <w:t>项目编号:</w:t>
      </w:r>
      <w:r>
        <w:rPr>
          <w:rFonts w:hint="eastAsia" w:ascii="宋体" w:hAnsi="宋体" w:cs="宋体"/>
          <w:b/>
          <w:color w:val="auto"/>
          <w:spacing w:val="0"/>
          <w:kern w:val="28"/>
          <w:sz w:val="32"/>
          <w:szCs w:val="32"/>
          <w:highlight w:val="none"/>
          <w:lang w:eastAsia="zh-CN"/>
        </w:rPr>
        <w:t>2026GSBN0011</w:t>
      </w:r>
    </w:p>
    <w:p w14:paraId="36A305DC">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643" w:firstLineChars="200"/>
        <w:textAlignment w:val="auto"/>
        <w:rPr>
          <w:rFonts w:hint="eastAsia" w:ascii="宋体" w:hAnsi="宋体" w:eastAsia="宋体" w:cs="宋体"/>
          <w:b/>
          <w:color w:val="auto"/>
          <w:spacing w:val="0"/>
          <w:kern w:val="28"/>
          <w:sz w:val="32"/>
          <w:szCs w:val="32"/>
          <w:highlight w:val="none"/>
          <w:lang w:eastAsia="zh-CN"/>
        </w:rPr>
      </w:pPr>
      <w:r>
        <w:rPr>
          <w:rFonts w:hint="eastAsia" w:ascii="宋体" w:hAnsi="宋体" w:eastAsia="宋体" w:cs="宋体"/>
          <w:b/>
          <w:color w:val="auto"/>
          <w:spacing w:val="0"/>
          <w:kern w:val="28"/>
          <w:sz w:val="32"/>
          <w:szCs w:val="32"/>
          <w:highlight w:val="none"/>
        </w:rPr>
        <w:t>招 标 人：</w:t>
      </w:r>
      <w:r>
        <w:rPr>
          <w:rFonts w:hint="eastAsia" w:ascii="宋体" w:hAnsi="宋体" w:cs="宋体"/>
          <w:b/>
          <w:color w:val="auto"/>
          <w:spacing w:val="0"/>
          <w:kern w:val="28"/>
          <w:sz w:val="32"/>
          <w:szCs w:val="32"/>
          <w:highlight w:val="none"/>
          <w:lang w:eastAsia="zh-CN"/>
        </w:rPr>
        <w:t>肥西县中医院</w:t>
      </w:r>
    </w:p>
    <w:p w14:paraId="2A15DB0B">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643" w:firstLineChars="200"/>
        <w:textAlignment w:val="auto"/>
        <w:rPr>
          <w:rFonts w:hint="eastAsia" w:ascii="宋体" w:hAnsi="宋体" w:eastAsia="宋体" w:cs="宋体"/>
          <w:b/>
          <w:color w:val="auto"/>
          <w:spacing w:val="0"/>
          <w:kern w:val="28"/>
          <w:sz w:val="32"/>
          <w:szCs w:val="32"/>
          <w:highlight w:val="none"/>
          <w:lang w:eastAsia="zh-CN"/>
        </w:rPr>
      </w:pPr>
      <w:r>
        <w:rPr>
          <w:rFonts w:hint="eastAsia" w:ascii="宋体" w:hAnsi="宋体" w:eastAsia="宋体" w:cs="宋体"/>
          <w:b/>
          <w:color w:val="auto"/>
          <w:spacing w:val="0"/>
          <w:kern w:val="28"/>
          <w:sz w:val="32"/>
          <w:szCs w:val="32"/>
          <w:highlight w:val="none"/>
        </w:rPr>
        <w:t>招标代理机构：</w:t>
      </w:r>
      <w:r>
        <w:rPr>
          <w:rFonts w:hint="eastAsia" w:ascii="宋体" w:hAnsi="宋体" w:eastAsia="宋体" w:cs="宋体"/>
          <w:b/>
          <w:color w:val="auto"/>
          <w:spacing w:val="0"/>
          <w:kern w:val="28"/>
          <w:sz w:val="32"/>
          <w:szCs w:val="32"/>
          <w:highlight w:val="none"/>
          <w:lang w:eastAsia="zh-CN"/>
        </w:rPr>
        <w:t>肥西县公共资源交易有限责任公司</w:t>
      </w:r>
    </w:p>
    <w:p w14:paraId="0B28EE34">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643" w:firstLineChars="200"/>
        <w:textAlignment w:val="auto"/>
        <w:rPr>
          <w:rFonts w:hint="eastAsia" w:ascii="宋体" w:hAnsi="宋体" w:eastAsia="宋体" w:cs="宋体"/>
          <w:b/>
          <w:color w:val="auto"/>
          <w:spacing w:val="0"/>
          <w:kern w:val="28"/>
          <w:sz w:val="32"/>
          <w:szCs w:val="32"/>
          <w:highlight w:val="none"/>
        </w:rPr>
      </w:pPr>
      <w:r>
        <w:rPr>
          <w:rFonts w:hint="eastAsia" w:ascii="宋体" w:hAnsi="宋体" w:eastAsia="宋体" w:cs="宋体"/>
          <w:b/>
          <w:color w:val="auto"/>
          <w:spacing w:val="0"/>
          <w:kern w:val="28"/>
          <w:sz w:val="32"/>
          <w:szCs w:val="32"/>
          <w:highlight w:val="none"/>
        </w:rPr>
        <w:t>招标时间：</w:t>
      </w:r>
      <w:r>
        <w:rPr>
          <w:rFonts w:hint="eastAsia" w:ascii="宋体" w:hAnsi="宋体" w:cs="宋体"/>
          <w:b/>
          <w:color w:val="auto"/>
          <w:spacing w:val="0"/>
          <w:kern w:val="28"/>
          <w:sz w:val="32"/>
          <w:szCs w:val="32"/>
          <w:highlight w:val="none"/>
          <w:lang w:val="en-US" w:eastAsia="zh-CN"/>
        </w:rPr>
        <w:t>2026</w:t>
      </w:r>
      <w:r>
        <w:rPr>
          <w:rFonts w:hint="eastAsia" w:ascii="宋体" w:hAnsi="宋体" w:eastAsia="宋体" w:cs="宋体"/>
          <w:b/>
          <w:color w:val="auto"/>
          <w:spacing w:val="0"/>
          <w:kern w:val="28"/>
          <w:sz w:val="32"/>
          <w:szCs w:val="32"/>
          <w:highlight w:val="none"/>
        </w:rPr>
        <w:t>年</w:t>
      </w:r>
      <w:r>
        <w:rPr>
          <w:rFonts w:hint="eastAsia" w:ascii="宋体" w:hAnsi="宋体" w:cs="宋体"/>
          <w:b/>
          <w:color w:val="auto"/>
          <w:spacing w:val="0"/>
          <w:kern w:val="28"/>
          <w:sz w:val="32"/>
          <w:szCs w:val="32"/>
          <w:highlight w:val="none"/>
          <w:lang w:val="en-US" w:eastAsia="zh-CN"/>
        </w:rPr>
        <w:t>9</w:t>
      </w:r>
      <w:r>
        <w:rPr>
          <w:rFonts w:hint="eastAsia" w:ascii="宋体" w:hAnsi="宋体" w:eastAsia="宋体" w:cs="宋体"/>
          <w:b/>
          <w:color w:val="auto"/>
          <w:spacing w:val="0"/>
          <w:kern w:val="28"/>
          <w:sz w:val="32"/>
          <w:szCs w:val="32"/>
          <w:highlight w:val="none"/>
        </w:rPr>
        <w:t>月</w:t>
      </w:r>
    </w:p>
    <w:p w14:paraId="56D3E7D9">
      <w:pPr>
        <w:spacing w:line="500" w:lineRule="exact"/>
        <w:jc w:val="center"/>
        <w:rPr>
          <w:rFonts w:hint="eastAsia" w:ascii="宋体" w:hAnsi="宋体" w:eastAsia="宋体" w:cs="宋体"/>
          <w:b/>
          <w:color w:val="auto"/>
          <w:sz w:val="32"/>
          <w:szCs w:val="22"/>
          <w:highlight w:val="none"/>
        </w:rPr>
      </w:pPr>
    </w:p>
    <w:p w14:paraId="2881898E">
      <w:pPr>
        <w:pStyle w:val="19"/>
        <w:rPr>
          <w:rFonts w:hint="eastAsia" w:ascii="宋体" w:hAnsi="宋体" w:eastAsia="宋体" w:cs="宋体"/>
          <w:color w:val="auto"/>
          <w:highlight w:val="none"/>
        </w:rPr>
        <w:sectPr>
          <w:headerReference r:id="rId4" w:type="default"/>
          <w:footerReference r:id="rId5" w:type="even"/>
          <w:pgSz w:w="11907" w:h="16840"/>
          <w:pgMar w:top="1440" w:right="1247" w:bottom="1440" w:left="1247" w:header="851" w:footer="992" w:gutter="0"/>
          <w:pgBorders>
            <w:top w:val="none" w:sz="0" w:space="0"/>
            <w:left w:val="none" w:sz="0" w:space="0"/>
            <w:bottom w:val="none" w:sz="0" w:space="0"/>
            <w:right w:val="none" w:sz="0" w:space="0"/>
          </w:pgBorders>
          <w:cols w:space="720" w:num="1"/>
          <w:docGrid w:linePitch="303" w:charSpace="0"/>
        </w:sectPr>
      </w:pPr>
    </w:p>
    <w:p w14:paraId="58331A0A">
      <w:pPr>
        <w:spacing w:line="5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32"/>
          <w:szCs w:val="22"/>
          <w:highlight w:val="none"/>
        </w:rPr>
        <w:t>目  录</w:t>
      </w:r>
    </w:p>
    <w:p w14:paraId="42FB3F1D">
      <w:pPr>
        <w:pStyle w:val="17"/>
        <w:keepNext w:val="0"/>
        <w:keepLines w:val="0"/>
        <w:pageBreakBefore w:val="0"/>
        <w:widowControl w:val="0"/>
        <w:tabs>
          <w:tab w:val="right" w:leader="dot" w:pos="9413"/>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4"/>
          <w:szCs w:val="24"/>
          <w:highlight w:val="none"/>
        </w:rPr>
      </w:pPr>
      <w:bookmarkStart w:id="0" w:name="_Hlt526418134"/>
      <w:bookmarkEnd w:id="0"/>
      <w:bookmarkStart w:id="1" w:name="_Hlt519045295"/>
      <w:bookmarkEnd w:id="1"/>
      <w:bookmarkStart w:id="2" w:name="_Hlt533241375"/>
      <w:bookmarkEnd w:id="2"/>
      <w:r>
        <w:rPr>
          <w:rFonts w:hint="eastAsia" w:ascii="宋体" w:hAnsi="宋体" w:eastAsia="宋体" w:cs="宋体"/>
          <w:i w:val="0"/>
          <w:iCs w:val="0"/>
          <w:color w:val="auto"/>
          <w:sz w:val="24"/>
          <w:szCs w:val="24"/>
          <w:highlight w:val="none"/>
        </w:rPr>
        <w:fldChar w:fldCharType="begin"/>
      </w:r>
      <w:r>
        <w:rPr>
          <w:rFonts w:hint="eastAsia" w:ascii="宋体" w:hAnsi="宋体" w:eastAsia="宋体" w:cs="宋体"/>
          <w:i w:val="0"/>
          <w:iCs w:val="0"/>
          <w:color w:val="auto"/>
          <w:sz w:val="24"/>
          <w:szCs w:val="24"/>
          <w:highlight w:val="none"/>
        </w:rPr>
        <w:instrText xml:space="preserve"> TOC \o "1-3" \h \z </w:instrText>
      </w:r>
      <w:r>
        <w:rPr>
          <w:rFonts w:hint="eastAsia" w:ascii="宋体" w:hAnsi="宋体" w:eastAsia="宋体" w:cs="宋体"/>
          <w:i w:val="0"/>
          <w:iCs w:val="0"/>
          <w:color w:val="auto"/>
          <w:sz w:val="24"/>
          <w:szCs w:val="24"/>
          <w:highlight w:val="none"/>
        </w:rPr>
        <w:fldChar w:fldCharType="separate"/>
      </w:r>
      <w:r>
        <w:rPr>
          <w:rFonts w:hint="eastAsia" w:ascii="宋体" w:hAnsi="宋体" w:eastAsia="宋体" w:cs="宋体"/>
          <w:i w:val="0"/>
          <w:iCs w:val="0"/>
          <w:color w:val="auto"/>
          <w:sz w:val="24"/>
          <w:szCs w:val="24"/>
          <w:highlight w:val="none"/>
        </w:rPr>
        <w:fldChar w:fldCharType="begin"/>
      </w:r>
      <w:r>
        <w:rPr>
          <w:rFonts w:hint="eastAsia" w:ascii="宋体" w:hAnsi="宋体" w:eastAsia="宋体" w:cs="宋体"/>
          <w:i w:val="0"/>
          <w:iCs w:val="0"/>
          <w:color w:val="auto"/>
          <w:sz w:val="24"/>
          <w:szCs w:val="24"/>
          <w:highlight w:val="none"/>
        </w:rPr>
        <w:instrText xml:space="preserve"> HYPERLINK \l _Toc20114 </w:instrText>
      </w:r>
      <w:r>
        <w:rPr>
          <w:rFonts w:hint="eastAsia" w:ascii="宋体" w:hAnsi="宋体" w:eastAsia="宋体" w:cs="宋体"/>
          <w:i w:val="0"/>
          <w:iCs w:val="0"/>
          <w:color w:val="auto"/>
          <w:sz w:val="24"/>
          <w:szCs w:val="24"/>
          <w:highlight w:val="none"/>
        </w:rPr>
        <w:fldChar w:fldCharType="separate"/>
      </w:r>
      <w:r>
        <w:rPr>
          <w:rFonts w:hint="eastAsia" w:ascii="宋体" w:hAnsi="宋体" w:eastAsia="宋体" w:cs="宋体"/>
          <w:i w:val="0"/>
          <w:iCs w:val="0"/>
          <w:color w:val="auto"/>
          <w:sz w:val="24"/>
          <w:szCs w:val="24"/>
          <w:highlight w:val="none"/>
        </w:rPr>
        <w:t>第一章 磋商邀请（磋商公告）</w:t>
      </w:r>
      <w:r>
        <w:rPr>
          <w:rFonts w:hint="eastAsia" w:ascii="宋体" w:hAnsi="宋体" w:eastAsia="宋体" w:cs="宋体"/>
          <w:i w:val="0"/>
          <w:iCs w:val="0"/>
          <w:color w:val="auto"/>
          <w:sz w:val="24"/>
          <w:szCs w:val="24"/>
          <w:highlight w:val="none"/>
        </w:rPr>
        <w:tab/>
      </w:r>
      <w:r>
        <w:rPr>
          <w:rFonts w:hint="eastAsia" w:ascii="宋体" w:hAnsi="宋体" w:eastAsia="宋体" w:cs="宋体"/>
          <w:i w:val="0"/>
          <w:iCs w:val="0"/>
          <w:color w:val="auto"/>
          <w:sz w:val="24"/>
          <w:szCs w:val="24"/>
          <w:highlight w:val="none"/>
        </w:rPr>
        <w:fldChar w:fldCharType="begin"/>
      </w:r>
      <w:r>
        <w:rPr>
          <w:rFonts w:hint="eastAsia" w:ascii="宋体" w:hAnsi="宋体" w:eastAsia="宋体" w:cs="宋体"/>
          <w:i w:val="0"/>
          <w:iCs w:val="0"/>
          <w:color w:val="auto"/>
          <w:sz w:val="24"/>
          <w:szCs w:val="24"/>
          <w:highlight w:val="none"/>
        </w:rPr>
        <w:instrText xml:space="preserve"> PAGEREF _Toc20114 \h </w:instrText>
      </w:r>
      <w:r>
        <w:rPr>
          <w:rFonts w:hint="eastAsia" w:ascii="宋体" w:hAnsi="宋体" w:eastAsia="宋体" w:cs="宋体"/>
          <w:i w:val="0"/>
          <w:iCs w:val="0"/>
          <w:color w:val="auto"/>
          <w:sz w:val="24"/>
          <w:szCs w:val="24"/>
          <w:highlight w:val="none"/>
        </w:rPr>
        <w:fldChar w:fldCharType="separate"/>
      </w:r>
      <w:r>
        <w:rPr>
          <w:rFonts w:hint="eastAsia" w:ascii="宋体" w:hAnsi="宋体" w:eastAsia="宋体" w:cs="宋体"/>
          <w:i w:val="0"/>
          <w:iCs w:val="0"/>
          <w:color w:val="auto"/>
          <w:sz w:val="24"/>
          <w:szCs w:val="24"/>
          <w:highlight w:val="none"/>
        </w:rPr>
        <w:t>3</w:t>
      </w:r>
      <w:r>
        <w:rPr>
          <w:rFonts w:hint="eastAsia" w:ascii="宋体" w:hAnsi="宋体" w:eastAsia="宋体" w:cs="宋体"/>
          <w:i w:val="0"/>
          <w:iCs w:val="0"/>
          <w:color w:val="auto"/>
          <w:sz w:val="24"/>
          <w:szCs w:val="24"/>
          <w:highlight w:val="none"/>
        </w:rPr>
        <w:fldChar w:fldCharType="end"/>
      </w:r>
      <w:r>
        <w:rPr>
          <w:rFonts w:hint="eastAsia" w:ascii="宋体" w:hAnsi="宋体" w:eastAsia="宋体" w:cs="宋体"/>
          <w:i w:val="0"/>
          <w:iCs w:val="0"/>
          <w:color w:val="auto"/>
          <w:sz w:val="24"/>
          <w:szCs w:val="24"/>
          <w:highlight w:val="none"/>
        </w:rPr>
        <w:fldChar w:fldCharType="end"/>
      </w:r>
    </w:p>
    <w:p w14:paraId="3FC58A35">
      <w:pPr>
        <w:pStyle w:val="17"/>
        <w:keepNext w:val="0"/>
        <w:keepLines w:val="0"/>
        <w:pageBreakBefore w:val="0"/>
        <w:widowControl w:val="0"/>
        <w:tabs>
          <w:tab w:val="right" w:leader="dot" w:pos="9413"/>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fldChar w:fldCharType="begin"/>
      </w:r>
      <w:r>
        <w:rPr>
          <w:rFonts w:hint="eastAsia" w:ascii="宋体" w:hAnsi="宋体" w:eastAsia="宋体" w:cs="宋体"/>
          <w:i w:val="0"/>
          <w:iCs w:val="0"/>
          <w:color w:val="auto"/>
          <w:sz w:val="24"/>
          <w:szCs w:val="24"/>
          <w:highlight w:val="none"/>
        </w:rPr>
        <w:instrText xml:space="preserve"> HYPERLINK \l _Toc17653 </w:instrText>
      </w:r>
      <w:r>
        <w:rPr>
          <w:rFonts w:hint="eastAsia" w:ascii="宋体" w:hAnsi="宋体" w:eastAsia="宋体" w:cs="宋体"/>
          <w:i w:val="0"/>
          <w:iCs w:val="0"/>
          <w:color w:val="auto"/>
          <w:sz w:val="24"/>
          <w:szCs w:val="24"/>
          <w:highlight w:val="none"/>
        </w:rPr>
        <w:fldChar w:fldCharType="separate"/>
      </w:r>
      <w:r>
        <w:rPr>
          <w:rFonts w:hint="eastAsia" w:ascii="宋体" w:hAnsi="宋体" w:eastAsia="宋体" w:cs="宋体"/>
          <w:i w:val="0"/>
          <w:iCs w:val="0"/>
          <w:color w:val="auto"/>
          <w:sz w:val="24"/>
          <w:szCs w:val="24"/>
          <w:highlight w:val="none"/>
        </w:rPr>
        <w:t>第二章 投标人须知前附表</w:t>
      </w:r>
      <w:r>
        <w:rPr>
          <w:rFonts w:hint="eastAsia" w:ascii="宋体" w:hAnsi="宋体" w:eastAsia="宋体" w:cs="宋体"/>
          <w:i w:val="0"/>
          <w:iCs w:val="0"/>
          <w:color w:val="auto"/>
          <w:sz w:val="24"/>
          <w:szCs w:val="24"/>
          <w:highlight w:val="none"/>
        </w:rPr>
        <w:tab/>
      </w:r>
      <w:r>
        <w:rPr>
          <w:rFonts w:hint="eastAsia" w:ascii="宋体" w:hAnsi="宋体" w:eastAsia="宋体" w:cs="宋体"/>
          <w:i w:val="0"/>
          <w:iCs w:val="0"/>
          <w:color w:val="auto"/>
          <w:sz w:val="24"/>
          <w:szCs w:val="24"/>
          <w:highlight w:val="none"/>
        </w:rPr>
        <w:fldChar w:fldCharType="begin"/>
      </w:r>
      <w:r>
        <w:rPr>
          <w:rFonts w:hint="eastAsia" w:ascii="宋体" w:hAnsi="宋体" w:eastAsia="宋体" w:cs="宋体"/>
          <w:i w:val="0"/>
          <w:iCs w:val="0"/>
          <w:color w:val="auto"/>
          <w:sz w:val="24"/>
          <w:szCs w:val="24"/>
          <w:highlight w:val="none"/>
        </w:rPr>
        <w:instrText xml:space="preserve"> PAGEREF _Toc17653 \h </w:instrText>
      </w:r>
      <w:r>
        <w:rPr>
          <w:rFonts w:hint="eastAsia" w:ascii="宋体" w:hAnsi="宋体" w:eastAsia="宋体" w:cs="宋体"/>
          <w:i w:val="0"/>
          <w:iCs w:val="0"/>
          <w:color w:val="auto"/>
          <w:sz w:val="24"/>
          <w:szCs w:val="24"/>
          <w:highlight w:val="none"/>
        </w:rPr>
        <w:fldChar w:fldCharType="separate"/>
      </w:r>
      <w:r>
        <w:rPr>
          <w:rFonts w:hint="eastAsia" w:ascii="宋体" w:hAnsi="宋体" w:eastAsia="宋体" w:cs="宋体"/>
          <w:i w:val="0"/>
          <w:iCs w:val="0"/>
          <w:color w:val="auto"/>
          <w:sz w:val="24"/>
          <w:szCs w:val="24"/>
          <w:highlight w:val="none"/>
        </w:rPr>
        <w:t>7</w:t>
      </w:r>
      <w:r>
        <w:rPr>
          <w:rFonts w:hint="eastAsia" w:ascii="宋体" w:hAnsi="宋体" w:eastAsia="宋体" w:cs="宋体"/>
          <w:i w:val="0"/>
          <w:iCs w:val="0"/>
          <w:color w:val="auto"/>
          <w:sz w:val="24"/>
          <w:szCs w:val="24"/>
          <w:highlight w:val="none"/>
        </w:rPr>
        <w:fldChar w:fldCharType="end"/>
      </w:r>
      <w:r>
        <w:rPr>
          <w:rFonts w:hint="eastAsia" w:ascii="宋体" w:hAnsi="宋体" w:eastAsia="宋体" w:cs="宋体"/>
          <w:i w:val="0"/>
          <w:iCs w:val="0"/>
          <w:color w:val="auto"/>
          <w:sz w:val="24"/>
          <w:szCs w:val="24"/>
          <w:highlight w:val="none"/>
        </w:rPr>
        <w:fldChar w:fldCharType="end"/>
      </w:r>
    </w:p>
    <w:p w14:paraId="3DAB49F4">
      <w:pPr>
        <w:pStyle w:val="17"/>
        <w:keepNext w:val="0"/>
        <w:keepLines w:val="0"/>
        <w:pageBreakBefore w:val="0"/>
        <w:widowControl w:val="0"/>
        <w:tabs>
          <w:tab w:val="right" w:leader="dot" w:pos="9413"/>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fldChar w:fldCharType="begin"/>
      </w:r>
      <w:r>
        <w:rPr>
          <w:rFonts w:hint="eastAsia" w:ascii="宋体" w:hAnsi="宋体" w:eastAsia="宋体" w:cs="宋体"/>
          <w:i w:val="0"/>
          <w:iCs w:val="0"/>
          <w:color w:val="auto"/>
          <w:sz w:val="24"/>
          <w:szCs w:val="24"/>
          <w:highlight w:val="none"/>
        </w:rPr>
        <w:instrText xml:space="preserve"> HYPERLINK \l _Toc14697 </w:instrText>
      </w:r>
      <w:r>
        <w:rPr>
          <w:rFonts w:hint="eastAsia" w:ascii="宋体" w:hAnsi="宋体" w:eastAsia="宋体" w:cs="宋体"/>
          <w:i w:val="0"/>
          <w:iCs w:val="0"/>
          <w:color w:val="auto"/>
          <w:sz w:val="24"/>
          <w:szCs w:val="24"/>
          <w:highlight w:val="none"/>
        </w:rPr>
        <w:fldChar w:fldCharType="separate"/>
      </w:r>
      <w:r>
        <w:rPr>
          <w:rFonts w:hint="eastAsia" w:ascii="宋体" w:hAnsi="宋体" w:eastAsia="宋体" w:cs="宋体"/>
          <w:i w:val="0"/>
          <w:iCs w:val="0"/>
          <w:color w:val="auto"/>
          <w:sz w:val="24"/>
          <w:szCs w:val="24"/>
          <w:highlight w:val="none"/>
        </w:rPr>
        <w:t>第三章 投标人须知</w:t>
      </w:r>
      <w:r>
        <w:rPr>
          <w:rFonts w:hint="eastAsia" w:ascii="宋体" w:hAnsi="宋体" w:eastAsia="宋体" w:cs="宋体"/>
          <w:i w:val="0"/>
          <w:iCs w:val="0"/>
          <w:color w:val="auto"/>
          <w:sz w:val="24"/>
          <w:szCs w:val="24"/>
          <w:highlight w:val="none"/>
        </w:rPr>
        <w:tab/>
      </w:r>
      <w:r>
        <w:rPr>
          <w:rFonts w:hint="eastAsia" w:ascii="宋体" w:hAnsi="宋体" w:eastAsia="宋体" w:cs="宋体"/>
          <w:i w:val="0"/>
          <w:iCs w:val="0"/>
          <w:color w:val="auto"/>
          <w:sz w:val="24"/>
          <w:szCs w:val="24"/>
          <w:highlight w:val="none"/>
        </w:rPr>
        <w:fldChar w:fldCharType="begin"/>
      </w:r>
      <w:r>
        <w:rPr>
          <w:rFonts w:hint="eastAsia" w:ascii="宋体" w:hAnsi="宋体" w:eastAsia="宋体" w:cs="宋体"/>
          <w:i w:val="0"/>
          <w:iCs w:val="0"/>
          <w:color w:val="auto"/>
          <w:sz w:val="24"/>
          <w:szCs w:val="24"/>
          <w:highlight w:val="none"/>
        </w:rPr>
        <w:instrText xml:space="preserve"> PAGEREF _Toc14697 \h </w:instrText>
      </w:r>
      <w:r>
        <w:rPr>
          <w:rFonts w:hint="eastAsia" w:ascii="宋体" w:hAnsi="宋体" w:eastAsia="宋体" w:cs="宋体"/>
          <w:i w:val="0"/>
          <w:iCs w:val="0"/>
          <w:color w:val="auto"/>
          <w:sz w:val="24"/>
          <w:szCs w:val="24"/>
          <w:highlight w:val="none"/>
        </w:rPr>
        <w:fldChar w:fldCharType="separate"/>
      </w:r>
      <w:r>
        <w:rPr>
          <w:rFonts w:hint="eastAsia" w:ascii="宋体" w:hAnsi="宋体" w:eastAsia="宋体" w:cs="宋体"/>
          <w:i w:val="0"/>
          <w:iCs w:val="0"/>
          <w:color w:val="auto"/>
          <w:sz w:val="24"/>
          <w:szCs w:val="24"/>
          <w:highlight w:val="none"/>
        </w:rPr>
        <w:t>14</w:t>
      </w:r>
      <w:r>
        <w:rPr>
          <w:rFonts w:hint="eastAsia" w:ascii="宋体" w:hAnsi="宋体" w:eastAsia="宋体" w:cs="宋体"/>
          <w:i w:val="0"/>
          <w:iCs w:val="0"/>
          <w:color w:val="auto"/>
          <w:sz w:val="24"/>
          <w:szCs w:val="24"/>
          <w:highlight w:val="none"/>
        </w:rPr>
        <w:fldChar w:fldCharType="end"/>
      </w:r>
      <w:r>
        <w:rPr>
          <w:rFonts w:hint="eastAsia" w:ascii="宋体" w:hAnsi="宋体" w:eastAsia="宋体" w:cs="宋体"/>
          <w:i w:val="0"/>
          <w:iCs w:val="0"/>
          <w:color w:val="auto"/>
          <w:sz w:val="24"/>
          <w:szCs w:val="24"/>
          <w:highlight w:val="none"/>
        </w:rPr>
        <w:fldChar w:fldCharType="end"/>
      </w:r>
    </w:p>
    <w:p w14:paraId="23B7C0AA">
      <w:pPr>
        <w:pStyle w:val="17"/>
        <w:keepNext w:val="0"/>
        <w:keepLines w:val="0"/>
        <w:pageBreakBefore w:val="0"/>
        <w:widowControl w:val="0"/>
        <w:tabs>
          <w:tab w:val="right" w:leader="dot" w:pos="9413"/>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fldChar w:fldCharType="begin"/>
      </w:r>
      <w:r>
        <w:rPr>
          <w:rFonts w:hint="eastAsia" w:ascii="宋体" w:hAnsi="宋体" w:eastAsia="宋体" w:cs="宋体"/>
          <w:i w:val="0"/>
          <w:iCs w:val="0"/>
          <w:color w:val="auto"/>
          <w:sz w:val="24"/>
          <w:szCs w:val="24"/>
          <w:highlight w:val="none"/>
        </w:rPr>
        <w:instrText xml:space="preserve"> HYPERLINK \l _Toc10800 </w:instrText>
      </w:r>
      <w:r>
        <w:rPr>
          <w:rFonts w:hint="eastAsia" w:ascii="宋体" w:hAnsi="宋体" w:eastAsia="宋体" w:cs="宋体"/>
          <w:i w:val="0"/>
          <w:iCs w:val="0"/>
          <w:color w:val="auto"/>
          <w:sz w:val="24"/>
          <w:szCs w:val="24"/>
          <w:highlight w:val="none"/>
        </w:rPr>
        <w:fldChar w:fldCharType="separate"/>
      </w:r>
      <w:r>
        <w:rPr>
          <w:rFonts w:hint="eastAsia" w:ascii="宋体" w:hAnsi="宋体" w:eastAsia="宋体" w:cs="宋体"/>
          <w:i w:val="0"/>
          <w:iCs w:val="0"/>
          <w:color w:val="auto"/>
          <w:sz w:val="24"/>
          <w:szCs w:val="24"/>
          <w:highlight w:val="none"/>
        </w:rPr>
        <w:t>第四章 磋商需求</w:t>
      </w:r>
      <w:r>
        <w:rPr>
          <w:rFonts w:hint="eastAsia" w:ascii="宋体" w:hAnsi="宋体" w:eastAsia="宋体" w:cs="宋体"/>
          <w:i w:val="0"/>
          <w:iCs w:val="0"/>
          <w:color w:val="auto"/>
          <w:sz w:val="24"/>
          <w:szCs w:val="24"/>
          <w:highlight w:val="none"/>
        </w:rPr>
        <w:tab/>
      </w:r>
      <w:r>
        <w:rPr>
          <w:rFonts w:hint="eastAsia" w:ascii="宋体" w:hAnsi="宋体" w:eastAsia="宋体" w:cs="宋体"/>
          <w:i w:val="0"/>
          <w:iCs w:val="0"/>
          <w:color w:val="auto"/>
          <w:sz w:val="24"/>
          <w:szCs w:val="24"/>
          <w:highlight w:val="none"/>
        </w:rPr>
        <w:fldChar w:fldCharType="begin"/>
      </w:r>
      <w:r>
        <w:rPr>
          <w:rFonts w:hint="eastAsia" w:ascii="宋体" w:hAnsi="宋体" w:eastAsia="宋体" w:cs="宋体"/>
          <w:i w:val="0"/>
          <w:iCs w:val="0"/>
          <w:color w:val="auto"/>
          <w:sz w:val="24"/>
          <w:szCs w:val="24"/>
          <w:highlight w:val="none"/>
        </w:rPr>
        <w:instrText xml:space="preserve"> PAGEREF _Toc10800 \h </w:instrText>
      </w:r>
      <w:r>
        <w:rPr>
          <w:rFonts w:hint="eastAsia" w:ascii="宋体" w:hAnsi="宋体" w:eastAsia="宋体" w:cs="宋体"/>
          <w:i w:val="0"/>
          <w:iCs w:val="0"/>
          <w:color w:val="auto"/>
          <w:sz w:val="24"/>
          <w:szCs w:val="24"/>
          <w:highlight w:val="none"/>
        </w:rPr>
        <w:fldChar w:fldCharType="separate"/>
      </w:r>
      <w:r>
        <w:rPr>
          <w:rFonts w:hint="eastAsia" w:ascii="宋体" w:hAnsi="宋体" w:eastAsia="宋体" w:cs="宋体"/>
          <w:i w:val="0"/>
          <w:iCs w:val="0"/>
          <w:color w:val="auto"/>
          <w:sz w:val="24"/>
          <w:szCs w:val="24"/>
          <w:highlight w:val="none"/>
        </w:rPr>
        <w:t>28</w:t>
      </w:r>
      <w:r>
        <w:rPr>
          <w:rFonts w:hint="eastAsia" w:ascii="宋体" w:hAnsi="宋体" w:eastAsia="宋体" w:cs="宋体"/>
          <w:i w:val="0"/>
          <w:iCs w:val="0"/>
          <w:color w:val="auto"/>
          <w:sz w:val="24"/>
          <w:szCs w:val="24"/>
          <w:highlight w:val="none"/>
        </w:rPr>
        <w:fldChar w:fldCharType="end"/>
      </w:r>
      <w:r>
        <w:rPr>
          <w:rFonts w:hint="eastAsia" w:ascii="宋体" w:hAnsi="宋体" w:eastAsia="宋体" w:cs="宋体"/>
          <w:i w:val="0"/>
          <w:iCs w:val="0"/>
          <w:color w:val="auto"/>
          <w:sz w:val="24"/>
          <w:szCs w:val="24"/>
          <w:highlight w:val="none"/>
        </w:rPr>
        <w:fldChar w:fldCharType="end"/>
      </w:r>
    </w:p>
    <w:p w14:paraId="38043A0C">
      <w:pPr>
        <w:pStyle w:val="17"/>
        <w:keepNext w:val="0"/>
        <w:keepLines w:val="0"/>
        <w:pageBreakBefore w:val="0"/>
        <w:widowControl w:val="0"/>
        <w:tabs>
          <w:tab w:val="right" w:leader="dot" w:pos="9413"/>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fldChar w:fldCharType="begin"/>
      </w:r>
      <w:r>
        <w:rPr>
          <w:rFonts w:hint="eastAsia" w:ascii="宋体" w:hAnsi="宋体" w:eastAsia="宋体" w:cs="宋体"/>
          <w:i w:val="0"/>
          <w:iCs w:val="0"/>
          <w:color w:val="auto"/>
          <w:sz w:val="24"/>
          <w:szCs w:val="24"/>
          <w:highlight w:val="none"/>
        </w:rPr>
        <w:instrText xml:space="preserve"> HYPERLINK \l _Toc4179 </w:instrText>
      </w:r>
      <w:r>
        <w:rPr>
          <w:rFonts w:hint="eastAsia" w:ascii="宋体" w:hAnsi="宋体" w:eastAsia="宋体" w:cs="宋体"/>
          <w:i w:val="0"/>
          <w:iCs w:val="0"/>
          <w:color w:val="auto"/>
          <w:sz w:val="24"/>
          <w:szCs w:val="24"/>
          <w:highlight w:val="none"/>
        </w:rPr>
        <w:fldChar w:fldCharType="separate"/>
      </w:r>
      <w:r>
        <w:rPr>
          <w:rFonts w:hint="eastAsia" w:ascii="宋体" w:hAnsi="宋体" w:eastAsia="宋体" w:cs="宋体"/>
          <w:i w:val="0"/>
          <w:iCs w:val="0"/>
          <w:color w:val="auto"/>
          <w:sz w:val="24"/>
          <w:szCs w:val="24"/>
          <w:highlight w:val="none"/>
        </w:rPr>
        <w:t>第五章 磋商与评审办法</w:t>
      </w:r>
      <w:r>
        <w:rPr>
          <w:rFonts w:hint="eastAsia" w:ascii="宋体" w:hAnsi="宋体" w:eastAsia="宋体" w:cs="宋体"/>
          <w:i w:val="0"/>
          <w:iCs w:val="0"/>
          <w:color w:val="auto"/>
          <w:sz w:val="24"/>
          <w:szCs w:val="24"/>
          <w:highlight w:val="none"/>
        </w:rPr>
        <w:tab/>
      </w:r>
      <w:r>
        <w:rPr>
          <w:rFonts w:hint="eastAsia" w:ascii="宋体" w:hAnsi="宋体" w:eastAsia="宋体" w:cs="宋体"/>
          <w:i w:val="0"/>
          <w:iCs w:val="0"/>
          <w:color w:val="auto"/>
          <w:sz w:val="24"/>
          <w:szCs w:val="24"/>
          <w:highlight w:val="none"/>
        </w:rPr>
        <w:fldChar w:fldCharType="begin"/>
      </w:r>
      <w:r>
        <w:rPr>
          <w:rFonts w:hint="eastAsia" w:ascii="宋体" w:hAnsi="宋体" w:eastAsia="宋体" w:cs="宋体"/>
          <w:i w:val="0"/>
          <w:iCs w:val="0"/>
          <w:color w:val="auto"/>
          <w:sz w:val="24"/>
          <w:szCs w:val="24"/>
          <w:highlight w:val="none"/>
        </w:rPr>
        <w:instrText xml:space="preserve"> PAGEREF _Toc4179 \h </w:instrText>
      </w:r>
      <w:r>
        <w:rPr>
          <w:rFonts w:hint="eastAsia" w:ascii="宋体" w:hAnsi="宋体" w:eastAsia="宋体" w:cs="宋体"/>
          <w:i w:val="0"/>
          <w:iCs w:val="0"/>
          <w:color w:val="auto"/>
          <w:sz w:val="24"/>
          <w:szCs w:val="24"/>
          <w:highlight w:val="none"/>
        </w:rPr>
        <w:fldChar w:fldCharType="separate"/>
      </w:r>
      <w:r>
        <w:rPr>
          <w:rFonts w:hint="eastAsia" w:ascii="宋体" w:hAnsi="宋体" w:eastAsia="宋体" w:cs="宋体"/>
          <w:i w:val="0"/>
          <w:iCs w:val="0"/>
          <w:color w:val="auto"/>
          <w:sz w:val="24"/>
          <w:szCs w:val="24"/>
          <w:highlight w:val="none"/>
        </w:rPr>
        <w:t>41</w:t>
      </w:r>
      <w:r>
        <w:rPr>
          <w:rFonts w:hint="eastAsia" w:ascii="宋体" w:hAnsi="宋体" w:eastAsia="宋体" w:cs="宋体"/>
          <w:i w:val="0"/>
          <w:iCs w:val="0"/>
          <w:color w:val="auto"/>
          <w:sz w:val="24"/>
          <w:szCs w:val="24"/>
          <w:highlight w:val="none"/>
        </w:rPr>
        <w:fldChar w:fldCharType="end"/>
      </w:r>
      <w:r>
        <w:rPr>
          <w:rFonts w:hint="eastAsia" w:ascii="宋体" w:hAnsi="宋体" w:eastAsia="宋体" w:cs="宋体"/>
          <w:i w:val="0"/>
          <w:iCs w:val="0"/>
          <w:color w:val="auto"/>
          <w:sz w:val="24"/>
          <w:szCs w:val="24"/>
          <w:highlight w:val="none"/>
        </w:rPr>
        <w:fldChar w:fldCharType="end"/>
      </w:r>
    </w:p>
    <w:p w14:paraId="4353F48B">
      <w:pPr>
        <w:pStyle w:val="17"/>
        <w:keepNext w:val="0"/>
        <w:keepLines w:val="0"/>
        <w:pageBreakBefore w:val="0"/>
        <w:widowControl w:val="0"/>
        <w:tabs>
          <w:tab w:val="right" w:leader="dot" w:pos="9413"/>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rPr>
        <w:fldChar w:fldCharType="begin"/>
      </w:r>
      <w:r>
        <w:rPr>
          <w:rFonts w:hint="eastAsia" w:ascii="宋体" w:hAnsi="宋体" w:eastAsia="宋体" w:cs="宋体"/>
          <w:i w:val="0"/>
          <w:iCs w:val="0"/>
          <w:color w:val="auto"/>
          <w:sz w:val="24"/>
          <w:szCs w:val="24"/>
          <w:highlight w:val="none"/>
        </w:rPr>
        <w:instrText xml:space="preserve"> HYPERLINK \l _Toc11349 </w:instrText>
      </w:r>
      <w:r>
        <w:rPr>
          <w:rFonts w:hint="eastAsia" w:ascii="宋体" w:hAnsi="宋体" w:eastAsia="宋体" w:cs="宋体"/>
          <w:i w:val="0"/>
          <w:iCs w:val="0"/>
          <w:color w:val="auto"/>
          <w:sz w:val="24"/>
          <w:szCs w:val="24"/>
          <w:highlight w:val="none"/>
        </w:rPr>
        <w:fldChar w:fldCharType="separate"/>
      </w:r>
      <w:r>
        <w:rPr>
          <w:rFonts w:hint="eastAsia" w:ascii="宋体" w:hAnsi="宋体" w:eastAsia="宋体" w:cs="宋体"/>
          <w:i w:val="0"/>
          <w:iCs w:val="0"/>
          <w:color w:val="auto"/>
          <w:sz w:val="24"/>
          <w:szCs w:val="24"/>
          <w:highlight w:val="none"/>
        </w:rPr>
        <w:t>第六章 合同参考范本</w:t>
      </w:r>
      <w:r>
        <w:rPr>
          <w:rFonts w:hint="eastAsia" w:ascii="宋体" w:hAnsi="宋体" w:eastAsia="宋体" w:cs="宋体"/>
          <w:i w:val="0"/>
          <w:iCs w:val="0"/>
          <w:color w:val="auto"/>
          <w:sz w:val="24"/>
          <w:szCs w:val="24"/>
          <w:highlight w:val="none"/>
        </w:rPr>
        <w:tab/>
      </w:r>
      <w:r>
        <w:rPr>
          <w:rFonts w:hint="eastAsia" w:ascii="宋体" w:hAnsi="宋体" w:eastAsia="宋体" w:cs="宋体"/>
          <w:i w:val="0"/>
          <w:iCs w:val="0"/>
          <w:color w:val="auto"/>
          <w:sz w:val="24"/>
          <w:szCs w:val="24"/>
          <w:highlight w:val="none"/>
          <w:lang w:val="en-US" w:eastAsia="zh-CN"/>
        </w:rPr>
        <w:t>3</w:t>
      </w:r>
      <w:r>
        <w:rPr>
          <w:rFonts w:hint="eastAsia" w:ascii="宋体" w:hAnsi="宋体" w:eastAsia="宋体" w:cs="宋体"/>
          <w:i w:val="0"/>
          <w:iCs w:val="0"/>
          <w:color w:val="auto"/>
          <w:sz w:val="24"/>
          <w:szCs w:val="24"/>
          <w:highlight w:val="none"/>
        </w:rPr>
        <w:fldChar w:fldCharType="end"/>
      </w:r>
      <w:r>
        <w:rPr>
          <w:rFonts w:hint="eastAsia" w:ascii="宋体" w:hAnsi="宋体" w:eastAsia="宋体" w:cs="宋体"/>
          <w:i w:val="0"/>
          <w:iCs w:val="0"/>
          <w:color w:val="auto"/>
          <w:sz w:val="24"/>
          <w:szCs w:val="24"/>
          <w:highlight w:val="none"/>
          <w:lang w:val="en-US" w:eastAsia="zh-CN"/>
        </w:rPr>
        <w:t>5</w:t>
      </w:r>
    </w:p>
    <w:p w14:paraId="47998D94">
      <w:pPr>
        <w:pStyle w:val="17"/>
        <w:keepNext w:val="0"/>
        <w:keepLines w:val="0"/>
        <w:pageBreakBefore w:val="0"/>
        <w:widowControl w:val="0"/>
        <w:tabs>
          <w:tab w:val="right" w:leader="dot" w:pos="9413"/>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rPr>
        <w:fldChar w:fldCharType="begin"/>
      </w:r>
      <w:r>
        <w:rPr>
          <w:rFonts w:hint="eastAsia" w:ascii="宋体" w:hAnsi="宋体" w:eastAsia="宋体" w:cs="宋体"/>
          <w:i w:val="0"/>
          <w:iCs w:val="0"/>
          <w:color w:val="auto"/>
          <w:sz w:val="24"/>
          <w:szCs w:val="24"/>
          <w:highlight w:val="none"/>
        </w:rPr>
        <w:instrText xml:space="preserve"> HYPERLINK \l _Toc27513 </w:instrText>
      </w:r>
      <w:r>
        <w:rPr>
          <w:rFonts w:hint="eastAsia" w:ascii="宋体" w:hAnsi="宋体" w:eastAsia="宋体" w:cs="宋体"/>
          <w:i w:val="0"/>
          <w:iCs w:val="0"/>
          <w:color w:val="auto"/>
          <w:sz w:val="24"/>
          <w:szCs w:val="24"/>
          <w:highlight w:val="none"/>
        </w:rPr>
        <w:fldChar w:fldCharType="separate"/>
      </w:r>
      <w:r>
        <w:rPr>
          <w:rFonts w:hint="eastAsia" w:ascii="宋体" w:hAnsi="宋体" w:eastAsia="宋体" w:cs="宋体"/>
          <w:i w:val="0"/>
          <w:iCs w:val="0"/>
          <w:color w:val="auto"/>
          <w:sz w:val="24"/>
          <w:szCs w:val="24"/>
          <w:highlight w:val="none"/>
        </w:rPr>
        <w:t>第七章 响应文件格式</w:t>
      </w:r>
      <w:r>
        <w:rPr>
          <w:rFonts w:hint="eastAsia" w:ascii="宋体" w:hAnsi="宋体" w:eastAsia="宋体" w:cs="宋体"/>
          <w:i w:val="0"/>
          <w:iCs w:val="0"/>
          <w:color w:val="auto"/>
          <w:sz w:val="24"/>
          <w:szCs w:val="24"/>
          <w:highlight w:val="none"/>
        </w:rPr>
        <w:tab/>
      </w:r>
      <w:r>
        <w:rPr>
          <w:rFonts w:hint="eastAsia" w:ascii="宋体" w:hAnsi="宋体" w:eastAsia="宋体" w:cs="宋体"/>
          <w:i w:val="0"/>
          <w:iCs w:val="0"/>
          <w:color w:val="auto"/>
          <w:sz w:val="24"/>
          <w:szCs w:val="24"/>
          <w:highlight w:val="none"/>
          <w:lang w:val="en-US" w:eastAsia="zh-CN"/>
        </w:rPr>
        <w:t>45</w:t>
      </w:r>
      <w:r>
        <w:rPr>
          <w:rFonts w:hint="eastAsia" w:ascii="宋体" w:hAnsi="宋体" w:eastAsia="宋体" w:cs="宋体"/>
          <w:i w:val="0"/>
          <w:iCs w:val="0"/>
          <w:color w:val="auto"/>
          <w:sz w:val="24"/>
          <w:szCs w:val="24"/>
          <w:highlight w:val="none"/>
        </w:rPr>
        <w:fldChar w:fldCharType="end"/>
      </w:r>
      <w:r>
        <w:rPr>
          <w:rFonts w:hint="eastAsia" w:ascii="宋体" w:hAnsi="宋体" w:eastAsia="宋体" w:cs="宋体"/>
          <w:i w:val="0"/>
          <w:iCs w:val="0"/>
          <w:color w:val="auto"/>
          <w:sz w:val="24"/>
          <w:szCs w:val="24"/>
          <w:highlight w:val="none"/>
        </w:rPr>
        <w:fldChar w:fldCharType="end"/>
      </w:r>
    </w:p>
    <w:p w14:paraId="758EE4ED">
      <w:pPr>
        <w:pStyle w:val="17"/>
        <w:tabs>
          <w:tab w:val="right" w:leader="dot" w:pos="9403"/>
        </w:tabs>
        <w:spacing w:line="240" w:lineRule="exact"/>
        <w:jc w:val="center"/>
        <w:rPr>
          <w:rFonts w:hint="eastAsia" w:ascii="宋体" w:hAnsi="宋体" w:eastAsia="宋体" w:cs="宋体"/>
          <w:color w:val="auto"/>
          <w:sz w:val="24"/>
          <w:highlight w:val="none"/>
        </w:rPr>
      </w:pPr>
      <w:r>
        <w:rPr>
          <w:rFonts w:hint="eastAsia" w:ascii="宋体" w:hAnsi="宋体" w:eastAsia="宋体" w:cs="宋体"/>
          <w:b/>
          <w:bCs/>
          <w:caps/>
          <w:color w:val="auto"/>
          <w:sz w:val="24"/>
          <w:highlight w:val="none"/>
        </w:rPr>
        <w:br w:type="page"/>
      </w:r>
    </w:p>
    <w:p w14:paraId="7423A4E8">
      <w:pPr>
        <w:pStyle w:val="27"/>
        <w:widowControl w:val="0"/>
        <w:autoSpaceDE w:val="0"/>
        <w:autoSpaceDN w:val="0"/>
        <w:adjustRightInd w:val="0"/>
        <w:spacing w:before="0" w:after="0" w:line="360" w:lineRule="auto"/>
        <w:ind w:left="0" w:leftChars="0" w:firstLine="0" w:firstLineChars="0"/>
        <w:jc w:val="center"/>
        <w:rPr>
          <w:rFonts w:hint="eastAsia" w:ascii="宋体" w:hAnsi="宋体" w:eastAsia="宋体" w:cs="宋体"/>
          <w:b/>
          <w:bCs/>
          <w:color w:val="auto"/>
          <w:sz w:val="28"/>
          <w:szCs w:val="28"/>
          <w:highlight w:val="none"/>
        </w:rPr>
      </w:pPr>
      <w:bookmarkStart w:id="3" w:name="_Toc20114"/>
      <w:r>
        <w:rPr>
          <w:rFonts w:hint="eastAsia" w:ascii="宋体" w:hAnsi="宋体" w:eastAsia="宋体" w:cs="宋体"/>
          <w:b/>
          <w:bCs/>
          <w:color w:val="auto"/>
          <w:sz w:val="28"/>
          <w:szCs w:val="28"/>
          <w:highlight w:val="none"/>
        </w:rPr>
        <w:t>第一章</w:t>
      </w:r>
      <w:bookmarkStart w:id="4" w:name="_Toc462215727"/>
      <w:r>
        <w:rPr>
          <w:rFonts w:hint="eastAsia" w:ascii="宋体" w:hAnsi="宋体" w:eastAsia="宋体" w:cs="宋体"/>
          <w:b/>
          <w:bCs/>
          <w:color w:val="auto"/>
          <w:sz w:val="28"/>
          <w:szCs w:val="28"/>
          <w:highlight w:val="none"/>
        </w:rPr>
        <w:t xml:space="preserve"> 磋商邀请（磋商公告）</w:t>
      </w:r>
      <w:bookmarkEnd w:id="3"/>
      <w:bookmarkEnd w:id="4"/>
    </w:p>
    <w:p w14:paraId="155A9669">
      <w:pPr>
        <w:pStyle w:val="27"/>
        <w:widowControl w:val="0"/>
        <w:autoSpaceDE w:val="0"/>
        <w:autoSpaceDN w:val="0"/>
        <w:adjustRightInd w:val="0"/>
        <w:spacing w:before="0" w:after="0" w:line="360" w:lineRule="auto"/>
        <w:rPr>
          <w:rFonts w:hint="eastAsia" w:ascii="宋体" w:hAnsi="宋体" w:eastAsia="宋体" w:cs="宋体"/>
          <w:color w:val="auto"/>
          <w:sz w:val="24"/>
          <w:szCs w:val="24"/>
          <w:highlight w:val="none"/>
          <w:lang w:eastAsia="zh-CN"/>
        </w:rPr>
      </w:pPr>
      <w:bookmarkStart w:id="5" w:name="_Hlk91864390"/>
      <w:bookmarkStart w:id="219" w:name="_GoBack"/>
      <w:r>
        <w:rPr>
          <w:rFonts w:hint="eastAsia" w:ascii="宋体" w:hAnsi="宋体" w:eastAsia="宋体" w:cs="宋体"/>
          <w:color w:val="auto"/>
          <w:sz w:val="24"/>
          <w:szCs w:val="24"/>
          <w:highlight w:val="none"/>
          <w:lang w:eastAsia="zh-CN"/>
        </w:rPr>
        <w:t>肥西县公共资源交易有限责任公司受肥西县中医院委托，现对“肥西县中医院新区及派河路门诊部消防维保服务项目”进行竞争性磋商，欢迎具备条件的国内投标人参加磋商。</w:t>
      </w:r>
    </w:p>
    <w:bookmarkEnd w:id="219"/>
    <w:p w14:paraId="0B2D4A44">
      <w:pPr>
        <w:autoSpaceDE w:val="0"/>
        <w:autoSpaceDN w:val="0"/>
        <w:adjustRightInd w:val="0"/>
        <w:spacing w:line="360" w:lineRule="auto"/>
        <w:ind w:firstLine="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一、项目名称及内容</w:t>
      </w:r>
    </w:p>
    <w:p w14:paraId="1D33664B">
      <w:pPr>
        <w:pStyle w:val="27"/>
        <w:widowControl w:val="0"/>
        <w:autoSpaceDE w:val="0"/>
        <w:autoSpaceDN w:val="0"/>
        <w:adjustRightInd w:val="0"/>
        <w:spacing w:before="0" w:after="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1.项目编号：2026GSBN0011</w:t>
      </w:r>
    </w:p>
    <w:p w14:paraId="302D8225">
      <w:pPr>
        <w:pStyle w:val="27"/>
        <w:widowControl w:val="0"/>
        <w:autoSpaceDE w:val="0"/>
        <w:autoSpaceDN w:val="0"/>
        <w:adjustRightInd w:val="0"/>
        <w:spacing w:before="0" w:after="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2.项目名称：肥西县中医院消防维保（2026-2027）</w:t>
      </w:r>
    </w:p>
    <w:p w14:paraId="4ADF0FDE">
      <w:pPr>
        <w:pStyle w:val="27"/>
        <w:widowControl w:val="0"/>
        <w:autoSpaceDE w:val="0"/>
        <w:autoSpaceDN w:val="0"/>
        <w:adjustRightInd w:val="0"/>
        <w:spacing w:before="0" w:after="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3.项目地点：肥西县</w:t>
      </w:r>
    </w:p>
    <w:p w14:paraId="64B5CC97">
      <w:pPr>
        <w:pStyle w:val="27"/>
        <w:widowControl w:val="0"/>
        <w:autoSpaceDE w:val="0"/>
        <w:autoSpaceDN w:val="0"/>
        <w:adjustRightInd w:val="0"/>
        <w:spacing w:before="0" w:after="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4.项目单位：肥西县中医院</w:t>
      </w:r>
    </w:p>
    <w:p w14:paraId="140F508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5.项目概况</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合肥市肥西县中医院新区位于青龙潭大道与站下路交口，占地面积112亩，建筑面积</w:t>
      </w:r>
      <w:r>
        <w:rPr>
          <w:rFonts w:hint="eastAsia" w:ascii="宋体" w:hAnsi="宋体" w:eastAsia="宋体" w:cs="宋体"/>
          <w:color w:val="auto"/>
          <w:sz w:val="24"/>
          <w:szCs w:val="24"/>
          <w:highlight w:val="none"/>
          <w:lang w:val="en-US" w:eastAsia="zh-CN"/>
        </w:rPr>
        <w:t>约</w:t>
      </w:r>
      <w:r>
        <w:rPr>
          <w:rFonts w:hint="eastAsia" w:ascii="宋体" w:hAnsi="宋体" w:eastAsia="宋体" w:cs="宋体"/>
          <w:color w:val="auto"/>
          <w:sz w:val="24"/>
          <w:szCs w:val="24"/>
          <w:highlight w:val="none"/>
        </w:rPr>
        <w:t>12万平方米，由门诊医技楼、住院楼、行政楼后勤楼、食堂、高压氧治疗中心以及高低压配电房、人防地下室及泵房等建筑组成，共有1个消防控制室。</w:t>
      </w:r>
    </w:p>
    <w:p w14:paraId="4E56C8C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派河</w:t>
      </w:r>
      <w:r>
        <w:rPr>
          <w:rFonts w:hint="eastAsia" w:ascii="宋体" w:hAnsi="宋体" w:eastAsia="宋体" w:cs="宋体"/>
          <w:color w:val="auto"/>
          <w:sz w:val="24"/>
          <w:szCs w:val="24"/>
          <w:highlight w:val="none"/>
        </w:rPr>
        <w:t>路老门诊部位于</w:t>
      </w:r>
      <w:r>
        <w:rPr>
          <w:rFonts w:hint="eastAsia" w:ascii="宋体" w:hAnsi="宋体" w:eastAsia="宋体" w:cs="宋体"/>
          <w:color w:val="auto"/>
          <w:sz w:val="24"/>
          <w:szCs w:val="24"/>
          <w:highlight w:val="none"/>
          <w:lang w:val="en-US" w:eastAsia="zh-CN"/>
        </w:rPr>
        <w:t>三河</w:t>
      </w:r>
      <w:r>
        <w:rPr>
          <w:rFonts w:hint="eastAsia" w:ascii="宋体" w:hAnsi="宋体" w:eastAsia="宋体" w:cs="宋体"/>
          <w:color w:val="auto"/>
          <w:sz w:val="24"/>
          <w:szCs w:val="24"/>
          <w:highlight w:val="none"/>
        </w:rPr>
        <w:t>路和派河路交口，占地约3亩，建筑面积约47</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0平</w:t>
      </w:r>
      <w:r>
        <w:rPr>
          <w:rFonts w:hint="eastAsia" w:ascii="宋体" w:hAnsi="宋体" w:cs="宋体"/>
          <w:color w:val="auto"/>
          <w:sz w:val="24"/>
          <w:szCs w:val="24"/>
          <w:highlight w:val="none"/>
          <w:lang w:val="en-US" w:eastAsia="zh-CN"/>
        </w:rPr>
        <w:t>方</w:t>
      </w:r>
      <w:r>
        <w:rPr>
          <w:rFonts w:hint="eastAsia" w:ascii="宋体" w:hAnsi="宋体" w:eastAsia="宋体" w:cs="宋体"/>
          <w:color w:val="auto"/>
          <w:sz w:val="24"/>
          <w:szCs w:val="24"/>
          <w:highlight w:val="none"/>
        </w:rPr>
        <w:t>米，有1个消防控制室。</w:t>
      </w:r>
    </w:p>
    <w:p w14:paraId="20191575">
      <w:pPr>
        <w:pStyle w:val="27"/>
        <w:widowControl w:val="0"/>
        <w:autoSpaceDE w:val="0"/>
        <w:autoSpaceDN w:val="0"/>
        <w:adjustRightInd w:val="0"/>
        <w:spacing w:before="0" w:after="0"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本次招标主要涉及消防设备设施及火灾联动监控系统维保服务，服务期限一年，详见磋商文件。</w:t>
      </w:r>
    </w:p>
    <w:p w14:paraId="35DBB28D">
      <w:pPr>
        <w:pStyle w:val="27"/>
        <w:widowControl w:val="0"/>
        <w:autoSpaceDE w:val="0"/>
        <w:autoSpaceDN w:val="0"/>
        <w:adjustRightInd w:val="0"/>
        <w:spacing w:before="0" w:after="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6.资金来源：</w:t>
      </w:r>
      <w:r>
        <w:rPr>
          <w:rFonts w:hint="eastAsia" w:ascii="宋体" w:hAnsi="宋体" w:eastAsia="宋体" w:cs="宋体"/>
          <w:color w:val="auto"/>
          <w:sz w:val="24"/>
          <w:szCs w:val="24"/>
          <w:highlight w:val="none"/>
          <w:lang w:val="en-US" w:eastAsia="zh-CN"/>
        </w:rPr>
        <w:t>自筹</w:t>
      </w:r>
    </w:p>
    <w:p w14:paraId="28A64916">
      <w:pPr>
        <w:pStyle w:val="27"/>
        <w:widowControl w:val="0"/>
        <w:autoSpaceDE w:val="0"/>
        <w:autoSpaceDN w:val="0"/>
        <w:adjustRightInd w:val="0"/>
        <w:spacing w:before="0" w:after="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7.项目概算：</w:t>
      </w:r>
      <w:r>
        <w:rPr>
          <w:rFonts w:hint="eastAsia" w:ascii="宋体" w:hAnsi="宋体" w:eastAsia="宋体" w:cs="宋体"/>
          <w:color w:val="auto"/>
          <w:sz w:val="24"/>
          <w:szCs w:val="24"/>
          <w:highlight w:val="none"/>
          <w:lang w:val="en-US" w:eastAsia="zh-CN"/>
        </w:rPr>
        <w:t>20万元</w:t>
      </w:r>
    </w:p>
    <w:p w14:paraId="305DCA26">
      <w:pPr>
        <w:pStyle w:val="27"/>
        <w:widowControl w:val="0"/>
        <w:autoSpaceDE w:val="0"/>
        <w:autoSpaceDN w:val="0"/>
        <w:adjustRightInd w:val="0"/>
        <w:spacing w:before="0" w:after="0" w:line="360" w:lineRule="auto"/>
        <w:rPr>
          <w:rFonts w:hint="eastAsia" w:ascii="宋体" w:hAnsi="宋体" w:eastAsia="宋体" w:cs="宋体"/>
          <w:color w:val="auto"/>
          <w:sz w:val="24"/>
          <w:szCs w:val="28"/>
          <w:highlight w:val="none"/>
          <w:lang w:val="en-US" w:eastAsia="zh-CN"/>
        </w:rPr>
      </w:pPr>
      <w:r>
        <w:rPr>
          <w:rFonts w:hint="eastAsia" w:ascii="宋体" w:hAnsi="宋体" w:eastAsia="宋体" w:cs="宋体"/>
          <w:color w:val="auto"/>
          <w:sz w:val="24"/>
          <w:szCs w:val="24"/>
          <w:highlight w:val="none"/>
          <w:lang w:val="en-US" w:eastAsia="zh-CN"/>
        </w:rPr>
        <w:t>8.最高限价：</w:t>
      </w:r>
      <w:r>
        <w:rPr>
          <w:rFonts w:hint="eastAsia" w:ascii="宋体" w:hAnsi="宋体" w:eastAsia="宋体" w:cs="宋体"/>
          <w:color w:val="auto"/>
          <w:sz w:val="24"/>
          <w:szCs w:val="24"/>
          <w:highlight w:val="none"/>
          <w:lang w:val="en-US" w:eastAsia="zh-CN"/>
        </w:rPr>
        <w:t>20万元</w:t>
      </w:r>
    </w:p>
    <w:p w14:paraId="7C57C1E3">
      <w:pPr>
        <w:pStyle w:val="27"/>
        <w:widowControl w:val="0"/>
        <w:autoSpaceDE w:val="0"/>
        <w:autoSpaceDN w:val="0"/>
        <w:adjustRightInd w:val="0"/>
        <w:spacing w:before="0" w:after="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.项目类别：</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lang w:eastAsia="zh-CN"/>
        </w:rPr>
        <w:t>类</w:t>
      </w:r>
    </w:p>
    <w:p w14:paraId="5449C53B">
      <w:pPr>
        <w:pStyle w:val="27"/>
        <w:widowControl w:val="0"/>
        <w:autoSpaceDE w:val="0"/>
        <w:autoSpaceDN w:val="0"/>
        <w:adjustRightInd w:val="0"/>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.标段（包别）划分：本项目共一个标段</w:t>
      </w:r>
    </w:p>
    <w:p w14:paraId="7141E851">
      <w:pPr>
        <w:autoSpaceDE w:val="0"/>
        <w:autoSpaceDN w:val="0"/>
        <w:adjustRightInd w:val="0"/>
        <w:spacing w:line="360" w:lineRule="auto"/>
        <w:ind w:firstLine="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二、投标人资格</w:t>
      </w:r>
    </w:p>
    <w:p w14:paraId="3B226D79">
      <w:pPr>
        <w:pStyle w:val="27"/>
        <w:widowControl w:val="0"/>
        <w:autoSpaceDE w:val="0"/>
        <w:autoSpaceDN w:val="0"/>
        <w:adjustRightInd w:val="0"/>
        <w:spacing w:before="0" w:after="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1.参审单位须符合下列资格要求；</w:t>
      </w:r>
    </w:p>
    <w:p w14:paraId="3C779667">
      <w:pPr>
        <w:pStyle w:val="7"/>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（1）投标人须为在中华人民共和国境内注册的独立企业法人，具有有效的营业执照，经营范围须包含"消防技术服务"或"消防设施维护保养检测"。</w:t>
      </w:r>
    </w:p>
    <w:p w14:paraId="07F2ED0C">
      <w:pPr>
        <w:pStyle w:val="7"/>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（2）投标人须在社会消防技术服务信息系统（shhxf.119.gov.cn）完成机构备案，服务类别为"消防设施维护保养检测"，投标时须提供系统备案信息截图并加盖投标人公章。</w:t>
      </w:r>
    </w:p>
    <w:p w14:paraId="4C2CA1B1">
      <w:pPr>
        <w:pStyle w:val="7"/>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（3）投标人未被列入"信用中国"网站失信被执行人、重大税收违法失信主体、政府采购严重违法失信行为记录名单；未被国家企业信用信息公示系统列入严重违法失信企业名单。</w:t>
      </w:r>
    </w:p>
    <w:p w14:paraId="2881D11B">
      <w:pPr>
        <w:pStyle w:val="7"/>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（4）本项目不接受联合体投标，严禁转包、违法分包。</w:t>
      </w:r>
    </w:p>
    <w:p w14:paraId="2E879A8B">
      <w:pPr>
        <w:pStyle w:val="27"/>
        <w:widowControl w:val="0"/>
        <w:autoSpaceDE w:val="0"/>
        <w:autoSpaceDN w:val="0"/>
        <w:adjustRightInd w:val="0"/>
        <w:spacing w:before="0" w:after="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2.本项目不接受联合体磋商；</w:t>
      </w:r>
    </w:p>
    <w:p w14:paraId="056D6E68">
      <w:pPr>
        <w:pStyle w:val="27"/>
        <w:widowControl w:val="0"/>
        <w:autoSpaceDE w:val="0"/>
        <w:autoSpaceDN w:val="0"/>
        <w:adjustRightInd w:val="0"/>
        <w:spacing w:before="0" w:after="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3.投标人存在以下不良信用记录情形之一的，不得推荐为中标候选人，不得确定为中标人：</w:t>
      </w:r>
    </w:p>
    <w:p w14:paraId="0FB304EE">
      <w:pPr>
        <w:pStyle w:val="27"/>
        <w:widowControl w:val="0"/>
        <w:autoSpaceDE w:val="0"/>
        <w:autoSpaceDN w:val="0"/>
        <w:adjustRightInd w:val="0"/>
        <w:spacing w:before="0" w:after="0" w:line="360" w:lineRule="auto"/>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1）在最近三年内（自投标截止之日向前追溯3年，下同）有骗取中标或串通投标或严重违约或重大问题的（以相关行业主管部门的行政处罚决定或司法机关出具的有关法律文书为准），但前述行政处罚已完成信用修复的，自行政处罚作出机关或信用修复主管部门同意修复之日起满一年的，不受三年期限限制；</w:t>
      </w:r>
    </w:p>
    <w:p w14:paraId="4A8076A9">
      <w:pPr>
        <w:pStyle w:val="27"/>
        <w:widowControl w:val="0"/>
        <w:autoSpaceDE w:val="0"/>
        <w:autoSpaceDN w:val="0"/>
        <w:adjustRightInd w:val="0"/>
        <w:spacing w:before="0" w:after="0" w:line="360" w:lineRule="auto"/>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（2）被责令停业，暂扣或吊销执照，或吊销资质证书；</w:t>
      </w:r>
    </w:p>
    <w:p w14:paraId="3C54C46F">
      <w:pPr>
        <w:pStyle w:val="27"/>
        <w:widowControl w:val="0"/>
        <w:autoSpaceDE w:val="0"/>
        <w:autoSpaceDN w:val="0"/>
        <w:adjustRightInd w:val="0"/>
        <w:spacing w:before="0" w:after="0" w:line="360" w:lineRule="auto"/>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（3）进入清算程序，或被宣告破产，或其他丧失履约能力的情形；</w:t>
      </w:r>
    </w:p>
    <w:p w14:paraId="04B85F08">
      <w:pPr>
        <w:pStyle w:val="27"/>
        <w:widowControl w:val="0"/>
        <w:autoSpaceDE w:val="0"/>
        <w:autoSpaceDN w:val="0"/>
        <w:adjustRightInd w:val="0"/>
        <w:spacing w:before="0" w:after="0" w:line="360" w:lineRule="auto"/>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（4）在“信用中国”网站（http://www.creditchina.gov.cn/）中被列入失信被执行人名单；</w:t>
      </w:r>
    </w:p>
    <w:p w14:paraId="45997AE8">
      <w:pPr>
        <w:pStyle w:val="27"/>
        <w:widowControl w:val="0"/>
        <w:autoSpaceDE w:val="0"/>
        <w:autoSpaceDN w:val="0"/>
        <w:adjustRightInd w:val="0"/>
        <w:spacing w:before="0" w:after="0" w:line="360" w:lineRule="auto"/>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（5）在“信用中国”网站（http://www.creditchina.gov.cn/）中被列入重大税收违法案件当事人名单的；</w:t>
      </w:r>
    </w:p>
    <w:p w14:paraId="78C4DF36">
      <w:pPr>
        <w:pStyle w:val="27"/>
        <w:widowControl w:val="0"/>
        <w:autoSpaceDE w:val="0"/>
        <w:autoSpaceDN w:val="0"/>
        <w:adjustRightInd w:val="0"/>
        <w:spacing w:before="0" w:after="0" w:line="360" w:lineRule="auto"/>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（6）投标人或其法定代表人、拟委任的项目负责人在近三年内有行贿犯罪行为的。</w:t>
      </w:r>
    </w:p>
    <w:p w14:paraId="59A935F5">
      <w:pPr>
        <w:autoSpaceDE w:val="0"/>
        <w:autoSpaceDN w:val="0"/>
        <w:adjustRightInd w:val="0"/>
        <w:spacing w:line="360" w:lineRule="auto"/>
        <w:ind w:firstLine="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三、磋商文件的获取</w:t>
      </w:r>
    </w:p>
    <w:p w14:paraId="07A13231">
      <w:pPr>
        <w:pStyle w:val="27"/>
        <w:widowControl w:val="0"/>
        <w:autoSpaceDE w:val="0"/>
        <w:autoSpaceDN w:val="0"/>
        <w:adjustRightInd w:val="0"/>
        <w:spacing w:before="0" w:after="0" w:line="360" w:lineRule="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时间：</w:t>
      </w:r>
      <w:r>
        <w:rPr>
          <w:rFonts w:hint="eastAsia" w:cs="宋体"/>
          <w:color w:val="auto"/>
          <w:sz w:val="24"/>
          <w:szCs w:val="18"/>
          <w:highlight w:val="none"/>
          <w:lang w:eastAsia="zh-CN"/>
        </w:rPr>
        <w:t>202</w:t>
      </w:r>
      <w:r>
        <w:rPr>
          <w:rFonts w:hint="eastAsia" w:cs="宋体"/>
          <w:color w:val="auto"/>
          <w:sz w:val="24"/>
          <w:szCs w:val="18"/>
          <w:highlight w:val="none"/>
          <w:lang w:val="en-US" w:eastAsia="zh-CN"/>
        </w:rPr>
        <w:t>6</w:t>
      </w:r>
      <w:r>
        <w:rPr>
          <w:rFonts w:hint="eastAsia" w:cs="宋体"/>
          <w:color w:val="auto"/>
          <w:sz w:val="24"/>
          <w:szCs w:val="18"/>
          <w:highlight w:val="none"/>
        </w:rPr>
        <w:t>年</w:t>
      </w:r>
      <w:r>
        <w:rPr>
          <w:rFonts w:hint="eastAsia" w:cs="宋体"/>
          <w:color w:val="auto"/>
          <w:sz w:val="24"/>
          <w:szCs w:val="18"/>
          <w:highlight w:val="none"/>
          <w:lang w:val="en-US" w:eastAsia="zh-CN"/>
        </w:rPr>
        <w:t>9</w:t>
      </w:r>
      <w:r>
        <w:rPr>
          <w:rFonts w:hint="eastAsia" w:cs="宋体"/>
          <w:color w:val="auto"/>
          <w:sz w:val="24"/>
          <w:szCs w:val="18"/>
          <w:highlight w:val="none"/>
        </w:rPr>
        <w:t>月</w:t>
      </w:r>
      <w:r>
        <w:rPr>
          <w:rFonts w:hint="eastAsia" w:cs="宋体"/>
          <w:color w:val="auto"/>
          <w:sz w:val="24"/>
          <w:szCs w:val="18"/>
          <w:highlight w:val="none"/>
          <w:lang w:val="en-US" w:eastAsia="zh-CN"/>
        </w:rPr>
        <w:t>15</w:t>
      </w:r>
      <w:r>
        <w:rPr>
          <w:rFonts w:hint="eastAsia" w:cs="宋体"/>
          <w:color w:val="auto"/>
          <w:sz w:val="24"/>
          <w:szCs w:val="18"/>
          <w:highlight w:val="none"/>
        </w:rPr>
        <w:t>日至</w:t>
      </w:r>
      <w:r>
        <w:rPr>
          <w:rFonts w:hint="eastAsia" w:cs="宋体"/>
          <w:color w:val="auto"/>
          <w:sz w:val="24"/>
          <w:szCs w:val="18"/>
          <w:highlight w:val="none"/>
          <w:lang w:val="en-US" w:eastAsia="zh-CN"/>
        </w:rPr>
        <w:t>磋商时间</w:t>
      </w:r>
    </w:p>
    <w:p w14:paraId="1B42C678">
      <w:pPr>
        <w:pStyle w:val="27"/>
        <w:widowControl w:val="0"/>
        <w:autoSpaceDE w:val="0"/>
        <w:autoSpaceDN w:val="0"/>
        <w:adjustRightInd w:val="0"/>
        <w:spacing w:before="0" w:after="0" w:line="360" w:lineRule="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地点：“优质采云采购平台”（http://www.youzhicai.com/）</w:t>
      </w:r>
    </w:p>
    <w:p w14:paraId="5EBAF3F2">
      <w:pPr>
        <w:pStyle w:val="27"/>
        <w:widowControl w:val="0"/>
        <w:autoSpaceDE w:val="0"/>
        <w:autoSpaceDN w:val="0"/>
        <w:adjustRightInd w:val="0"/>
        <w:spacing w:before="0" w:after="0" w:line="360" w:lineRule="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方式：在线下载</w:t>
      </w:r>
    </w:p>
    <w:p w14:paraId="036B13E5">
      <w:pPr>
        <w:tabs>
          <w:tab w:val="left" w:pos="5960"/>
        </w:tabs>
        <w:autoSpaceDE w:val="0"/>
        <w:autoSpaceDN w:val="0"/>
        <w:adjustRightInd w:val="0"/>
        <w:spacing w:line="360" w:lineRule="auto"/>
        <w:ind w:firstLine="241" w:firstLineChars="100"/>
        <w:jc w:val="left"/>
        <w:rPr>
          <w:rFonts w:hint="eastAsia" w:ascii="宋体" w:hAnsi="宋体" w:eastAsia="宋体" w:cs="宋体"/>
          <w:b/>
          <w:bCs/>
          <w:color w:val="auto"/>
          <w:sz w:val="24"/>
          <w:szCs w:val="18"/>
          <w:highlight w:val="none"/>
          <w:lang w:eastAsia="zh-CN"/>
        </w:rPr>
      </w:pPr>
      <w:r>
        <w:rPr>
          <w:rFonts w:hint="eastAsia" w:ascii="宋体" w:hAnsi="宋体" w:eastAsia="宋体" w:cs="宋体"/>
          <w:b/>
          <w:bCs/>
          <w:color w:val="auto"/>
          <w:sz w:val="24"/>
          <w:szCs w:val="18"/>
          <w:highlight w:val="none"/>
        </w:rPr>
        <w:t>四、磋商时间及地点</w:t>
      </w:r>
      <w:r>
        <w:rPr>
          <w:rFonts w:hint="eastAsia" w:ascii="宋体" w:hAnsi="宋体" w:eastAsia="宋体" w:cs="宋体"/>
          <w:b/>
          <w:bCs/>
          <w:color w:val="auto"/>
          <w:sz w:val="24"/>
          <w:szCs w:val="18"/>
          <w:highlight w:val="none"/>
          <w:lang w:eastAsia="zh-CN"/>
        </w:rPr>
        <w:tab/>
      </w:r>
    </w:p>
    <w:p w14:paraId="2ECC5B98">
      <w:pPr>
        <w:pStyle w:val="27"/>
        <w:widowControl w:val="0"/>
        <w:autoSpaceDE w:val="0"/>
        <w:autoSpaceDN w:val="0"/>
        <w:adjustRightInd w:val="0"/>
        <w:spacing w:before="0" w:after="0" w:line="360" w:lineRule="auto"/>
        <w:rPr>
          <w:rFonts w:hint="eastAsia" w:ascii="宋体" w:hAnsi="宋体" w:eastAsia="宋体" w:cs="宋体"/>
          <w:b/>
          <w:bCs/>
          <w:color w:val="auto"/>
          <w:sz w:val="24"/>
          <w:szCs w:val="18"/>
          <w:highlight w:val="none"/>
        </w:rPr>
      </w:pPr>
      <w:r>
        <w:rPr>
          <w:rFonts w:hint="eastAsia" w:ascii="宋体" w:hAnsi="宋体" w:eastAsia="宋体" w:cs="宋体"/>
          <w:color w:val="auto"/>
          <w:sz w:val="24"/>
          <w:szCs w:val="18"/>
          <w:highlight w:val="none"/>
        </w:rPr>
        <w:t>1.磋商时间：</w:t>
      </w:r>
      <w:r>
        <w:rPr>
          <w:rFonts w:hint="eastAsia" w:cs="宋体"/>
          <w:color w:val="auto"/>
          <w:sz w:val="24"/>
          <w:szCs w:val="18"/>
          <w:highlight w:val="none"/>
        </w:rPr>
        <w:t>202</w:t>
      </w:r>
      <w:r>
        <w:rPr>
          <w:rFonts w:hint="eastAsia" w:cs="宋体"/>
          <w:color w:val="auto"/>
          <w:sz w:val="24"/>
          <w:szCs w:val="18"/>
          <w:highlight w:val="none"/>
          <w:lang w:val="en-US" w:eastAsia="zh-CN"/>
        </w:rPr>
        <w:t>6</w:t>
      </w:r>
      <w:r>
        <w:rPr>
          <w:rFonts w:hint="eastAsia" w:cs="宋体"/>
          <w:color w:val="auto"/>
          <w:sz w:val="24"/>
          <w:szCs w:val="18"/>
          <w:highlight w:val="none"/>
        </w:rPr>
        <w:t>年</w:t>
      </w:r>
      <w:r>
        <w:rPr>
          <w:rFonts w:hint="eastAsia" w:cs="宋体"/>
          <w:color w:val="auto"/>
          <w:sz w:val="24"/>
          <w:szCs w:val="18"/>
          <w:highlight w:val="none"/>
          <w:lang w:val="en-US" w:eastAsia="zh-CN"/>
        </w:rPr>
        <w:t>9</w:t>
      </w:r>
      <w:r>
        <w:rPr>
          <w:rFonts w:hint="eastAsia" w:cs="宋体"/>
          <w:color w:val="auto"/>
          <w:sz w:val="24"/>
          <w:szCs w:val="18"/>
          <w:highlight w:val="none"/>
        </w:rPr>
        <w:t>月</w:t>
      </w:r>
      <w:r>
        <w:rPr>
          <w:rFonts w:hint="eastAsia" w:cs="宋体"/>
          <w:color w:val="auto"/>
          <w:sz w:val="24"/>
          <w:szCs w:val="18"/>
          <w:highlight w:val="none"/>
          <w:lang w:val="en-US" w:eastAsia="zh-CN"/>
        </w:rPr>
        <w:t>23</w:t>
      </w:r>
      <w:r>
        <w:rPr>
          <w:rFonts w:hint="eastAsia" w:cs="宋体"/>
          <w:color w:val="auto"/>
          <w:sz w:val="24"/>
          <w:szCs w:val="18"/>
          <w:highlight w:val="none"/>
        </w:rPr>
        <w:t>日</w:t>
      </w:r>
      <w:r>
        <w:rPr>
          <w:rFonts w:hint="eastAsia" w:cs="宋体"/>
          <w:color w:val="auto"/>
          <w:sz w:val="24"/>
          <w:szCs w:val="18"/>
          <w:highlight w:val="none"/>
          <w:lang w:val="en-US" w:eastAsia="zh-CN"/>
        </w:rPr>
        <w:t>9</w:t>
      </w:r>
      <w:r>
        <w:rPr>
          <w:rFonts w:hint="eastAsia" w:cs="宋体"/>
          <w:color w:val="auto"/>
          <w:sz w:val="24"/>
          <w:szCs w:val="18"/>
          <w:highlight w:val="none"/>
        </w:rPr>
        <w:t>时00分</w:t>
      </w:r>
    </w:p>
    <w:p w14:paraId="2F7BF5CA">
      <w:pPr>
        <w:pStyle w:val="27"/>
        <w:widowControl w:val="0"/>
        <w:autoSpaceDE w:val="0"/>
        <w:autoSpaceDN w:val="0"/>
        <w:adjustRightInd w:val="0"/>
        <w:spacing w:before="0" w:after="0" w:line="360" w:lineRule="auto"/>
        <w:rPr>
          <w:rFonts w:hint="eastAsia" w:ascii="宋体" w:hAnsi="宋体" w:eastAsia="宋体" w:cs="宋体"/>
          <w:bCs/>
          <w:color w:val="auto"/>
          <w:sz w:val="24"/>
          <w:szCs w:val="18"/>
          <w:highlight w:val="none"/>
          <w:lang w:val="en-US" w:eastAsia="zh-CN"/>
        </w:rPr>
      </w:pPr>
      <w:r>
        <w:rPr>
          <w:rFonts w:hint="eastAsia" w:ascii="宋体" w:hAnsi="宋体" w:eastAsia="宋体" w:cs="宋体"/>
          <w:color w:val="auto"/>
          <w:sz w:val="24"/>
          <w:szCs w:val="18"/>
          <w:highlight w:val="none"/>
        </w:rPr>
        <w:t>2.磋商地点：</w:t>
      </w:r>
      <w:r>
        <w:rPr>
          <w:rFonts w:hint="eastAsia" w:ascii="宋体" w:hAnsi="宋体" w:eastAsia="宋体" w:cs="宋体"/>
          <w:color w:val="auto"/>
          <w:sz w:val="24"/>
          <w:szCs w:val="18"/>
          <w:highlight w:val="none"/>
          <w:u w:val="none"/>
        </w:rPr>
        <w:t>优质采云采购平台（http://www.youzhicai.com/）；</w:t>
      </w:r>
    </w:p>
    <w:p w14:paraId="5647C11C">
      <w:pPr>
        <w:autoSpaceDE w:val="0"/>
        <w:autoSpaceDN w:val="0"/>
        <w:adjustRightInd w:val="0"/>
        <w:spacing w:line="360" w:lineRule="auto"/>
        <w:ind w:firstLine="200"/>
        <w:jc w:val="left"/>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五、响应文件提交截止时间</w:t>
      </w:r>
    </w:p>
    <w:p w14:paraId="2A2402B9">
      <w:pPr>
        <w:pStyle w:val="27"/>
        <w:widowControl w:val="0"/>
        <w:autoSpaceDE w:val="0"/>
        <w:autoSpaceDN w:val="0"/>
        <w:adjustRightInd w:val="0"/>
        <w:spacing w:before="0" w:after="0"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szCs w:val="18"/>
          <w:highlight w:val="none"/>
        </w:rPr>
        <w:t>同磋商时间</w:t>
      </w:r>
    </w:p>
    <w:p w14:paraId="2D3E13DC">
      <w:pPr>
        <w:autoSpaceDE w:val="0"/>
        <w:autoSpaceDN w:val="0"/>
        <w:adjustRightInd w:val="0"/>
        <w:spacing w:line="360" w:lineRule="auto"/>
        <w:ind w:firstLine="200"/>
        <w:jc w:val="left"/>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六、联系方法</w:t>
      </w:r>
    </w:p>
    <w:p w14:paraId="079B5D3F">
      <w:pPr>
        <w:pStyle w:val="27"/>
        <w:keepNext w:val="0"/>
        <w:keepLines w:val="0"/>
        <w:pageBreakBefore w:val="0"/>
        <w:widowControl w:val="0"/>
        <w:kinsoku/>
        <w:wordWrap/>
        <w:overflowPunct/>
        <w:topLinePunct w:val="0"/>
        <w:autoSpaceDE w:val="0"/>
        <w:autoSpaceDN w:val="0"/>
        <w:bidi w:val="0"/>
        <w:adjustRightInd w:val="0"/>
        <w:snapToGrid/>
        <w:spacing w:before="0" w:after="0" w:line="360" w:lineRule="auto"/>
        <w:ind w:firstLine="480" w:firstLineChars="200"/>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（一）委托单位：肥西县中医院</w:t>
      </w:r>
    </w:p>
    <w:p w14:paraId="69E57001">
      <w:pPr>
        <w:pStyle w:val="27"/>
        <w:keepNext w:val="0"/>
        <w:keepLines w:val="0"/>
        <w:pageBreakBefore w:val="0"/>
        <w:widowControl w:val="0"/>
        <w:kinsoku/>
        <w:wordWrap/>
        <w:overflowPunct/>
        <w:topLinePunct w:val="0"/>
        <w:autoSpaceDE w:val="0"/>
        <w:autoSpaceDN w:val="0"/>
        <w:bidi w:val="0"/>
        <w:adjustRightInd w:val="0"/>
        <w:snapToGrid/>
        <w:spacing w:before="0" w:after="0" w:line="360" w:lineRule="auto"/>
        <w:ind w:firstLine="480" w:firstLineChars="200"/>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地址：肥西县上派镇</w:t>
      </w:r>
    </w:p>
    <w:p w14:paraId="4E0C2F97">
      <w:pPr>
        <w:pStyle w:val="27"/>
        <w:keepNext w:val="0"/>
        <w:keepLines w:val="0"/>
        <w:pageBreakBefore w:val="0"/>
        <w:widowControl w:val="0"/>
        <w:kinsoku/>
        <w:wordWrap/>
        <w:overflowPunct/>
        <w:topLinePunct w:val="0"/>
        <w:autoSpaceDE w:val="0"/>
        <w:autoSpaceDN w:val="0"/>
        <w:bidi w:val="0"/>
        <w:adjustRightInd w:val="0"/>
        <w:snapToGrid/>
        <w:spacing w:before="0" w:after="0" w:line="360" w:lineRule="auto"/>
        <w:ind w:firstLine="480" w:firstLineChars="200"/>
        <w:textAlignment w:val="auto"/>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联系人：祁家胜</w:t>
      </w:r>
    </w:p>
    <w:p w14:paraId="3975DA86">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default" w:ascii="宋体" w:hAnsi="宋体" w:eastAsia="宋体" w:cs="宋体"/>
          <w:bCs/>
          <w:color w:val="auto"/>
          <w:kern w:val="0"/>
          <w:sz w:val="24"/>
          <w:szCs w:val="18"/>
          <w:highlight w:val="none"/>
          <w:lang w:val="en-US" w:eastAsia="zh-CN" w:bidi="ar-SA"/>
        </w:rPr>
      </w:pPr>
      <w:r>
        <w:rPr>
          <w:rFonts w:hint="eastAsia" w:ascii="宋体" w:hAnsi="宋体" w:eastAsia="宋体" w:cs="宋体"/>
          <w:bCs/>
          <w:color w:val="auto"/>
          <w:kern w:val="0"/>
          <w:sz w:val="24"/>
          <w:szCs w:val="18"/>
          <w:highlight w:val="none"/>
          <w:lang w:val="en-US" w:eastAsia="zh-CN" w:bidi="ar-SA"/>
        </w:rPr>
        <w:t>电话：：0551-68836927</w:t>
      </w:r>
    </w:p>
    <w:p w14:paraId="0B90617D">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rPr>
        <w:t>（二）招标代理机构：</w:t>
      </w:r>
      <w:r>
        <w:rPr>
          <w:rFonts w:hint="eastAsia" w:ascii="宋体" w:hAnsi="宋体" w:eastAsia="宋体" w:cs="宋体"/>
          <w:bCs/>
          <w:color w:val="auto"/>
          <w:sz w:val="24"/>
          <w:szCs w:val="18"/>
          <w:highlight w:val="none"/>
          <w:lang w:eastAsia="zh-CN"/>
        </w:rPr>
        <w:t>肥西县公共资源交易有限责任公司</w:t>
      </w:r>
    </w:p>
    <w:p w14:paraId="6CCF7685">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rPr>
        <w:t>地址：</w:t>
      </w:r>
      <w:r>
        <w:rPr>
          <w:rFonts w:hint="eastAsia" w:ascii="宋体" w:hAnsi="宋体" w:eastAsia="宋体" w:cs="宋体"/>
          <w:bCs/>
          <w:color w:val="auto"/>
          <w:sz w:val="24"/>
          <w:szCs w:val="18"/>
          <w:highlight w:val="none"/>
          <w:lang w:eastAsia="zh-CN"/>
        </w:rPr>
        <w:t>肥西县上派镇紫石路与佛光路交叉口肥光办公区3号楼2楼</w:t>
      </w:r>
    </w:p>
    <w:p w14:paraId="2DD393A8">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rPr>
        <w:t>联系人：</w:t>
      </w:r>
      <w:r>
        <w:rPr>
          <w:rFonts w:hint="eastAsia" w:ascii="宋体" w:hAnsi="宋体" w:cs="宋体"/>
          <w:bCs/>
          <w:color w:val="auto"/>
          <w:sz w:val="24"/>
          <w:szCs w:val="18"/>
          <w:highlight w:val="none"/>
          <w:lang w:val="en-US" w:eastAsia="zh-CN"/>
        </w:rPr>
        <w:t>朱文斌</w:t>
      </w:r>
    </w:p>
    <w:p w14:paraId="7F38F8A4">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rPr>
        <w:t>电话：0551-</w:t>
      </w:r>
      <w:r>
        <w:rPr>
          <w:rFonts w:hint="eastAsia" w:ascii="宋体" w:hAnsi="宋体" w:eastAsia="宋体" w:cs="宋体"/>
          <w:bCs/>
          <w:color w:val="auto"/>
          <w:sz w:val="24"/>
          <w:szCs w:val="18"/>
          <w:highlight w:val="none"/>
          <w:lang w:val="en-US" w:eastAsia="zh-CN"/>
        </w:rPr>
        <w:t>688</w:t>
      </w:r>
      <w:r>
        <w:rPr>
          <w:rFonts w:hint="eastAsia" w:ascii="宋体" w:hAnsi="宋体" w:cs="宋体"/>
          <w:bCs/>
          <w:color w:val="auto"/>
          <w:sz w:val="24"/>
          <w:szCs w:val="18"/>
          <w:highlight w:val="none"/>
          <w:lang w:val="en-US" w:eastAsia="zh-CN"/>
        </w:rPr>
        <w:t>52527</w:t>
      </w:r>
    </w:p>
    <w:p w14:paraId="4667B8F3">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default" w:ascii="宋体" w:hAnsi="宋体" w:eastAsia="宋体" w:cs="宋体"/>
          <w:bCs/>
          <w:color w:val="auto"/>
          <w:kern w:val="0"/>
          <w:sz w:val="24"/>
          <w:szCs w:val="18"/>
          <w:highlight w:val="none"/>
          <w:lang w:val="en-US" w:eastAsia="zh-CN" w:bidi="ar-SA"/>
        </w:rPr>
      </w:pPr>
      <w:r>
        <w:rPr>
          <w:rFonts w:hint="eastAsia" w:ascii="宋体" w:hAnsi="宋体" w:eastAsia="宋体" w:cs="宋体"/>
          <w:bCs/>
          <w:color w:val="auto"/>
          <w:kern w:val="0"/>
          <w:sz w:val="24"/>
          <w:szCs w:val="18"/>
          <w:highlight w:val="none"/>
          <w:lang w:val="en-US" w:eastAsia="zh-CN" w:bidi="ar-SA"/>
        </w:rPr>
        <w:t>（三）监督管理部门：</w:t>
      </w:r>
      <w:r>
        <w:rPr>
          <w:rFonts w:hint="eastAsia" w:ascii="宋体" w:hAnsi="宋体" w:cs="宋体"/>
          <w:bCs/>
          <w:color w:val="auto"/>
          <w:kern w:val="0"/>
          <w:sz w:val="24"/>
          <w:szCs w:val="18"/>
          <w:highlight w:val="none"/>
          <w:lang w:val="en-US" w:eastAsia="zh-CN" w:bidi="ar-SA"/>
        </w:rPr>
        <w:t>肥西县中医院</w:t>
      </w:r>
      <w:r>
        <w:rPr>
          <w:rFonts w:ascii="宋体" w:hAnsi="宋体" w:eastAsia="宋体" w:cs="宋体"/>
          <w:color w:val="auto"/>
          <w:sz w:val="24"/>
          <w:szCs w:val="24"/>
          <w:highlight w:val="none"/>
        </w:rPr>
        <w:t>监察室</w:t>
      </w:r>
    </w:p>
    <w:p w14:paraId="67398619">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default" w:ascii="宋体" w:hAnsi="宋体" w:eastAsia="宋体" w:cs="宋体"/>
          <w:bCs/>
          <w:color w:val="auto"/>
          <w:kern w:val="0"/>
          <w:sz w:val="24"/>
          <w:szCs w:val="18"/>
          <w:highlight w:val="none"/>
          <w:lang w:val="en-US" w:eastAsia="zh-CN" w:bidi="ar-SA"/>
        </w:rPr>
      </w:pPr>
      <w:r>
        <w:rPr>
          <w:rFonts w:hint="eastAsia" w:ascii="宋体" w:hAnsi="宋体" w:eastAsia="宋体" w:cs="宋体"/>
          <w:bCs/>
          <w:color w:val="auto"/>
          <w:kern w:val="0"/>
          <w:sz w:val="24"/>
          <w:szCs w:val="18"/>
          <w:highlight w:val="none"/>
          <w:lang w:val="en-US" w:eastAsia="zh-CN" w:bidi="ar-SA"/>
        </w:rPr>
        <w:t>地  址：</w:t>
      </w:r>
      <w:r>
        <w:rPr>
          <w:rFonts w:hint="eastAsia" w:ascii="宋体" w:hAnsi="宋体" w:cs="宋体"/>
          <w:bCs/>
          <w:color w:val="auto"/>
          <w:kern w:val="0"/>
          <w:sz w:val="24"/>
          <w:szCs w:val="18"/>
          <w:highlight w:val="none"/>
          <w:lang w:val="en-US" w:eastAsia="zh-CN" w:bidi="ar-SA"/>
        </w:rPr>
        <w:t>肥西县上派镇</w:t>
      </w:r>
    </w:p>
    <w:p w14:paraId="0CC2BC0C">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bCs/>
          <w:color w:val="auto"/>
          <w:kern w:val="0"/>
          <w:sz w:val="24"/>
          <w:szCs w:val="18"/>
          <w:highlight w:val="none"/>
          <w:lang w:val="en-US" w:eastAsia="zh-CN" w:bidi="ar-SA"/>
        </w:rPr>
      </w:pPr>
      <w:r>
        <w:rPr>
          <w:rFonts w:hint="eastAsia" w:ascii="宋体" w:hAnsi="宋体" w:eastAsia="宋体" w:cs="宋体"/>
          <w:bCs/>
          <w:color w:val="auto"/>
          <w:kern w:val="0"/>
          <w:sz w:val="24"/>
          <w:szCs w:val="18"/>
          <w:highlight w:val="none"/>
          <w:lang w:val="en-US" w:eastAsia="zh-CN" w:bidi="ar-SA"/>
        </w:rPr>
        <w:t>电  话：0551-68830096</w:t>
      </w:r>
    </w:p>
    <w:p w14:paraId="20C9043A">
      <w:pPr>
        <w:autoSpaceDE w:val="0"/>
        <w:autoSpaceDN w:val="0"/>
        <w:adjustRightInd w:val="0"/>
        <w:spacing w:line="360" w:lineRule="auto"/>
        <w:ind w:firstLine="200"/>
        <w:jc w:val="left"/>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七、其他事项说明</w:t>
      </w:r>
    </w:p>
    <w:p w14:paraId="1492AD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lang w:val="en-US" w:eastAsia="zh-CN"/>
        </w:rPr>
        <w:t>1.本项目相关信息同时在肥西县公共资源交易有限责任公司、</w:t>
      </w:r>
      <w:r>
        <w:rPr>
          <w:rFonts w:hint="eastAsia" w:ascii="宋体" w:hAnsi="宋体" w:eastAsia="宋体" w:cs="宋体"/>
          <w:color w:val="auto"/>
          <w:sz w:val="24"/>
          <w:szCs w:val="18"/>
          <w:highlight w:val="none"/>
        </w:rPr>
        <w:t>优质采云采购平台、安徽省招标投标信息网、中国采购与招标</w:t>
      </w:r>
      <w:r>
        <w:rPr>
          <w:rFonts w:hint="eastAsia" w:ascii="宋体" w:hAnsi="宋体" w:eastAsia="宋体" w:cs="宋体"/>
          <w:color w:val="auto"/>
          <w:sz w:val="24"/>
          <w:szCs w:val="18"/>
          <w:highlight w:val="none"/>
          <w:lang w:val="en-US" w:eastAsia="zh-CN"/>
        </w:rPr>
        <w:t>网上发布；</w:t>
      </w:r>
    </w:p>
    <w:p w14:paraId="1281B1D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lang w:val="en-US" w:eastAsia="zh-CN"/>
        </w:rPr>
        <w:t>2.政府采购电子化交易要求：</w:t>
      </w:r>
    </w:p>
    <w:p w14:paraId="656DCCC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lang w:val="en-US" w:eastAsia="zh-CN"/>
        </w:rPr>
        <w:t>（1）潜在投标人/供应商须登录“优质采云采购平台”（网址：www.youzhicai.com，以下称“优质采平台”）参与本项目招标采购活动。首次登录须办理注册手续，请务必选择注册为“投标人角色”类型。注册流程见优质采平台“用户注册”栏目，咨询电话：400-0099-555。因未及时办理注册手续影响参加招标采购活动的，责任自负。</w:t>
      </w:r>
    </w:p>
    <w:p w14:paraId="5E7E74A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lang w:val="en-US" w:eastAsia="zh-CN"/>
        </w:rPr>
        <w:t>（2）已注册的潜在投标人/供应商可登录优质采平台获取招标采购文件，本项目的招标采购文件及其他资料（含澄清、答疑及相关补充文件）通过优质采平台发布，招标人/代理机构不再另行书面通知，潜在投标人/供应商应及时关注、查阅优质采平台。因未及时查看导致不利后果的，责任自负。</w:t>
      </w:r>
    </w:p>
    <w:p w14:paraId="3E0F94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lang w:val="en-US" w:eastAsia="zh-CN"/>
        </w:rPr>
        <w:t>（3）已注册的潜在投标人/供应商若注册信息发生变更（如：与初始注册信息不一致），应及时网上提交变更申请。因未及时变更导致不利后果的，责任自负。</w:t>
      </w:r>
    </w:p>
    <w:p w14:paraId="38998CB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lang w:val="en-US" w:eastAsia="zh-CN"/>
        </w:rPr>
        <w:t>（4）本项目采用全流程电子化招标采购方式，潜在投标人/供应商须办理CA数字证书（以下简称CA），CA用于电子投标/响应文件的签章及上传（上传投标/响应文件需使用CA进行加密）；CA办理详见《关于优质采平台数字证书办理的须知》（http://www.youzhicai.com/nd/a_8f80a7ec-911f-4c4d-a123-f8849880f045.html）；咨询热线：400-0099-555。CA锁线上办理地址：https://portal.youzhicai.com/ui/portal-sup/#/signature/list</w:t>
      </w:r>
    </w:p>
    <w:p w14:paraId="46F1430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（5）电子投标/响应文件必须使用“优质采投标文件制作工具”制作生成并上传。下载地址：http://toolcdn.youzhicai.com/tools/BidderTools.zip，使用说明书及视频教程下载地址:http://file.youzhicai.com/files/BidderHelp.rar。</w:t>
      </w:r>
    </w:p>
    <w:p w14:paraId="2D2D5A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3.投标人应合理安排磋商文件获取时间，特别是网络速度慢的地区防止在系统关闭前网络拥堵无法操作。如果因计算机及网络故障造成无法完成磋商文件获取，责任自负。</w:t>
      </w:r>
    </w:p>
    <w:p w14:paraId="33EAF1C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4.响应文件实施网上解密，投标人原则上不到现场参加开标活动。</w:t>
      </w:r>
    </w:p>
    <w:p w14:paraId="40B8DF82">
      <w:pPr>
        <w:pStyle w:val="19"/>
        <w:rPr>
          <w:rFonts w:hint="eastAsia" w:ascii="宋体" w:hAnsi="宋体" w:eastAsia="宋体" w:cs="宋体"/>
          <w:color w:val="auto"/>
          <w:highlight w:val="none"/>
          <w:lang w:val="en-US" w:eastAsia="zh-CN"/>
        </w:rPr>
      </w:pPr>
    </w:p>
    <w:bookmarkEnd w:id="5"/>
    <w:p w14:paraId="627DDDCB">
      <w:pPr>
        <w:pStyle w:val="3"/>
        <w:spacing w:line="500" w:lineRule="exact"/>
        <w:ind w:left="0" w:leftChars="0" w:firstLine="0" w:firstLineChars="0"/>
        <w:jc w:val="both"/>
        <w:rPr>
          <w:rFonts w:hint="eastAsia" w:ascii="宋体" w:hAnsi="宋体" w:eastAsia="宋体" w:cs="宋体"/>
          <w:color w:val="auto"/>
          <w:highlight w:val="none"/>
        </w:rPr>
        <w:sectPr>
          <w:footerReference r:id="rId6" w:type="default"/>
          <w:pgSz w:w="11907" w:h="16840"/>
          <w:pgMar w:top="1440" w:right="1247" w:bottom="1440" w:left="1247" w:header="851" w:footer="992" w:gutter="0"/>
          <w:pgBorders>
            <w:top w:val="none" w:sz="0" w:space="0"/>
            <w:left w:val="none" w:sz="0" w:space="0"/>
            <w:bottom w:val="none" w:sz="0" w:space="0"/>
            <w:right w:val="none" w:sz="0" w:space="0"/>
          </w:pgBorders>
          <w:pgNumType w:start="2"/>
          <w:cols w:space="720" w:num="1"/>
          <w:docGrid w:linePitch="303" w:charSpace="0"/>
        </w:sectPr>
      </w:pPr>
      <w:bookmarkStart w:id="6" w:name="_Hlt510343011"/>
      <w:bookmarkStart w:id="7" w:name="_Hlt510342998"/>
    </w:p>
    <w:p w14:paraId="4AD9C8CE">
      <w:pPr>
        <w:pStyle w:val="27"/>
        <w:widowControl w:val="0"/>
        <w:autoSpaceDE w:val="0"/>
        <w:autoSpaceDN w:val="0"/>
        <w:adjustRightInd w:val="0"/>
        <w:spacing w:before="0" w:after="0" w:line="360" w:lineRule="auto"/>
        <w:jc w:val="center"/>
        <w:rPr>
          <w:rFonts w:hint="eastAsia" w:ascii="宋体" w:hAnsi="宋体" w:eastAsia="宋体" w:cs="宋体"/>
          <w:color w:val="auto"/>
          <w:highlight w:val="none"/>
        </w:rPr>
      </w:pPr>
      <w:bookmarkStart w:id="8" w:name="_Toc17653"/>
      <w:r>
        <w:rPr>
          <w:rFonts w:hint="eastAsia" w:ascii="宋体" w:hAnsi="宋体" w:eastAsia="宋体" w:cs="宋体"/>
          <w:b/>
          <w:bCs/>
          <w:color w:val="auto"/>
          <w:sz w:val="28"/>
          <w:szCs w:val="28"/>
          <w:highlight w:val="none"/>
        </w:rPr>
        <w:t>第二章 投标人须</w:t>
      </w:r>
      <w:bookmarkEnd w:id="6"/>
      <w:r>
        <w:rPr>
          <w:rFonts w:hint="eastAsia" w:ascii="宋体" w:hAnsi="宋体" w:eastAsia="宋体" w:cs="宋体"/>
          <w:b/>
          <w:bCs/>
          <w:color w:val="auto"/>
          <w:sz w:val="28"/>
          <w:szCs w:val="28"/>
          <w:highlight w:val="none"/>
        </w:rPr>
        <w:t>知前</w:t>
      </w:r>
      <w:bookmarkEnd w:id="7"/>
      <w:r>
        <w:rPr>
          <w:rFonts w:hint="eastAsia" w:ascii="宋体" w:hAnsi="宋体" w:eastAsia="宋体" w:cs="宋体"/>
          <w:b/>
          <w:bCs/>
          <w:color w:val="auto"/>
          <w:sz w:val="28"/>
          <w:szCs w:val="28"/>
          <w:highlight w:val="none"/>
        </w:rPr>
        <w:t>附表</w:t>
      </w:r>
      <w:bookmarkEnd w:id="8"/>
    </w:p>
    <w:tbl>
      <w:tblPr>
        <w:tblStyle w:val="20"/>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515"/>
        <w:gridCol w:w="7174"/>
      </w:tblGrid>
      <w:tr w14:paraId="5CFF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75" w:type="dxa"/>
            <w:noWrap w:val="0"/>
            <w:vAlign w:val="center"/>
          </w:tcPr>
          <w:p w14:paraId="4945942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515" w:type="dxa"/>
            <w:noWrap w:val="0"/>
            <w:vAlign w:val="center"/>
          </w:tcPr>
          <w:p w14:paraId="2D877F0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内容</w:t>
            </w:r>
          </w:p>
        </w:tc>
        <w:tc>
          <w:tcPr>
            <w:tcW w:w="7174" w:type="dxa"/>
            <w:noWrap w:val="0"/>
            <w:vAlign w:val="center"/>
          </w:tcPr>
          <w:p w14:paraId="2DF5C54F">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说明与要求</w:t>
            </w:r>
          </w:p>
        </w:tc>
      </w:tr>
      <w:tr w14:paraId="45CE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75" w:type="dxa"/>
            <w:noWrap w:val="0"/>
            <w:vAlign w:val="center"/>
          </w:tcPr>
          <w:p w14:paraId="4B828DA0">
            <w:pPr>
              <w:pStyle w:val="29"/>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1</w:t>
            </w:r>
          </w:p>
        </w:tc>
        <w:tc>
          <w:tcPr>
            <w:tcW w:w="1515" w:type="dxa"/>
            <w:noWrap w:val="0"/>
            <w:vAlign w:val="center"/>
          </w:tcPr>
          <w:p w14:paraId="003A585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招标人</w:t>
            </w:r>
          </w:p>
        </w:tc>
        <w:tc>
          <w:tcPr>
            <w:tcW w:w="7174" w:type="dxa"/>
            <w:noWrap w:val="0"/>
            <w:vAlign w:val="center"/>
          </w:tcPr>
          <w:p w14:paraId="0B5E7B11">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b w:val="0"/>
                <w:color w:val="auto"/>
                <w:kern w:val="2"/>
                <w:sz w:val="24"/>
                <w:szCs w:val="24"/>
                <w:highlight w:val="none"/>
                <w:lang w:eastAsia="zh-CN"/>
              </w:rPr>
            </w:pPr>
            <w:r>
              <w:rPr>
                <w:rFonts w:hint="eastAsia" w:cs="宋体"/>
                <w:b w:val="0"/>
                <w:color w:val="auto"/>
                <w:kern w:val="2"/>
                <w:sz w:val="24"/>
                <w:szCs w:val="24"/>
                <w:highlight w:val="none"/>
                <w:lang w:eastAsia="zh-CN"/>
              </w:rPr>
              <w:t>肥西县中医院</w:t>
            </w:r>
          </w:p>
        </w:tc>
      </w:tr>
      <w:tr w14:paraId="7C10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75" w:type="dxa"/>
            <w:noWrap w:val="0"/>
            <w:vAlign w:val="center"/>
          </w:tcPr>
          <w:p w14:paraId="0EED858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p>
        </w:tc>
        <w:tc>
          <w:tcPr>
            <w:tcW w:w="1515" w:type="dxa"/>
            <w:noWrap w:val="0"/>
            <w:vAlign w:val="center"/>
          </w:tcPr>
          <w:p w14:paraId="3088F45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委托人</w:t>
            </w:r>
          </w:p>
        </w:tc>
        <w:tc>
          <w:tcPr>
            <w:tcW w:w="7174" w:type="dxa"/>
            <w:noWrap w:val="0"/>
            <w:vAlign w:val="center"/>
          </w:tcPr>
          <w:p w14:paraId="2A3B1C97">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b w:val="0"/>
                <w:bCs w:val="0"/>
                <w:color w:val="auto"/>
                <w:sz w:val="24"/>
                <w:szCs w:val="24"/>
                <w:highlight w:val="none"/>
                <w:lang w:eastAsia="zh-CN"/>
              </w:rPr>
            </w:pPr>
            <w:r>
              <w:rPr>
                <w:rFonts w:hint="eastAsia" w:cs="宋体"/>
                <w:b w:val="0"/>
                <w:bCs w:val="0"/>
                <w:color w:val="auto"/>
                <w:sz w:val="24"/>
                <w:szCs w:val="24"/>
                <w:highlight w:val="none"/>
                <w:lang w:eastAsia="zh-CN"/>
              </w:rPr>
              <w:t>肥西县中医院</w:t>
            </w:r>
          </w:p>
        </w:tc>
      </w:tr>
      <w:tr w14:paraId="4FBAB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75" w:type="dxa"/>
            <w:noWrap w:val="0"/>
            <w:vAlign w:val="center"/>
          </w:tcPr>
          <w:p w14:paraId="0304375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w:t>
            </w:r>
          </w:p>
        </w:tc>
        <w:tc>
          <w:tcPr>
            <w:tcW w:w="1515" w:type="dxa"/>
            <w:noWrap w:val="0"/>
            <w:vAlign w:val="center"/>
          </w:tcPr>
          <w:p w14:paraId="6AF37B7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招标代理机构</w:t>
            </w:r>
          </w:p>
        </w:tc>
        <w:tc>
          <w:tcPr>
            <w:tcW w:w="7174" w:type="dxa"/>
            <w:noWrap w:val="0"/>
            <w:vAlign w:val="center"/>
          </w:tcPr>
          <w:p w14:paraId="14AE0FD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名  称：肥西县公共资源交易有限责任公司</w:t>
            </w:r>
          </w:p>
          <w:p w14:paraId="6E175BE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lang w:val="zh-CN"/>
              </w:rPr>
              <w:t>地  址：</w:t>
            </w:r>
            <w:r>
              <w:rPr>
                <w:rFonts w:hint="eastAsia" w:ascii="宋体" w:hAnsi="宋体" w:eastAsia="宋体" w:cs="宋体"/>
                <w:color w:val="auto"/>
                <w:sz w:val="24"/>
                <w:szCs w:val="18"/>
                <w:highlight w:val="none"/>
                <w:u w:val="none"/>
                <w:lang w:eastAsia="zh-CN"/>
              </w:rPr>
              <w:t>肥西县上派镇紫石路与佛光路交叉口肥光办公区3号楼2楼</w:t>
            </w:r>
          </w:p>
        </w:tc>
      </w:tr>
      <w:tr w14:paraId="230C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75" w:type="dxa"/>
            <w:noWrap w:val="0"/>
            <w:vAlign w:val="center"/>
          </w:tcPr>
          <w:p w14:paraId="06AFD11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w:t>
            </w:r>
          </w:p>
        </w:tc>
        <w:tc>
          <w:tcPr>
            <w:tcW w:w="1515" w:type="dxa"/>
            <w:noWrap w:val="0"/>
            <w:vAlign w:val="center"/>
          </w:tcPr>
          <w:p w14:paraId="7E62FA2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7174" w:type="dxa"/>
            <w:noWrap w:val="0"/>
            <w:vAlign w:val="center"/>
          </w:tcPr>
          <w:p w14:paraId="18E999FB">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default" w:ascii="宋体" w:hAnsi="宋体" w:eastAsia="宋体"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详见公告</w:t>
            </w:r>
          </w:p>
        </w:tc>
      </w:tr>
      <w:tr w14:paraId="0214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75" w:type="dxa"/>
            <w:noWrap w:val="0"/>
            <w:vAlign w:val="center"/>
          </w:tcPr>
          <w:p w14:paraId="26EA954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w:t>
            </w:r>
          </w:p>
        </w:tc>
        <w:tc>
          <w:tcPr>
            <w:tcW w:w="1515" w:type="dxa"/>
            <w:noWrap w:val="0"/>
            <w:vAlign w:val="center"/>
          </w:tcPr>
          <w:p w14:paraId="7138C98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w:t>
            </w:r>
          </w:p>
        </w:tc>
        <w:tc>
          <w:tcPr>
            <w:tcW w:w="7174" w:type="dxa"/>
            <w:noWrap w:val="0"/>
            <w:vAlign w:val="center"/>
          </w:tcPr>
          <w:p w14:paraId="75E2B665">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b w:val="0"/>
                <w:bCs w:val="0"/>
                <w:color w:val="auto"/>
                <w:sz w:val="24"/>
                <w:szCs w:val="24"/>
                <w:highlight w:val="none"/>
                <w:lang w:eastAsia="zh-CN"/>
              </w:rPr>
            </w:pPr>
            <w:r>
              <w:rPr>
                <w:rFonts w:hint="eastAsia" w:cs="宋体"/>
                <w:b w:val="0"/>
                <w:bCs w:val="0"/>
                <w:color w:val="auto"/>
                <w:sz w:val="24"/>
                <w:szCs w:val="24"/>
                <w:highlight w:val="none"/>
                <w:lang w:val="en-US" w:eastAsia="zh-CN"/>
              </w:rPr>
              <w:t>详见公告</w:t>
            </w:r>
          </w:p>
        </w:tc>
      </w:tr>
      <w:tr w14:paraId="5FA5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75" w:type="dxa"/>
            <w:noWrap w:val="0"/>
            <w:vAlign w:val="center"/>
          </w:tcPr>
          <w:p w14:paraId="0EDA5E9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w:t>
            </w:r>
          </w:p>
        </w:tc>
        <w:tc>
          <w:tcPr>
            <w:tcW w:w="1515" w:type="dxa"/>
            <w:noWrap w:val="0"/>
            <w:vAlign w:val="center"/>
          </w:tcPr>
          <w:p w14:paraId="22F2A93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项目性质</w:t>
            </w:r>
          </w:p>
        </w:tc>
        <w:tc>
          <w:tcPr>
            <w:tcW w:w="7174" w:type="dxa"/>
            <w:noWrap w:val="0"/>
            <w:vAlign w:val="center"/>
          </w:tcPr>
          <w:p w14:paraId="475A5215">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b w:val="0"/>
                <w:bCs w:val="0"/>
                <w:color w:val="auto"/>
                <w:sz w:val="24"/>
                <w:szCs w:val="24"/>
                <w:highlight w:val="none"/>
              </w:rPr>
            </w:pPr>
          </w:p>
        </w:tc>
      </w:tr>
      <w:tr w14:paraId="2F77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75" w:type="dxa"/>
            <w:noWrap w:val="0"/>
            <w:vAlign w:val="center"/>
          </w:tcPr>
          <w:p w14:paraId="1281928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7</w:t>
            </w:r>
          </w:p>
        </w:tc>
        <w:tc>
          <w:tcPr>
            <w:tcW w:w="1515" w:type="dxa"/>
            <w:noWrap w:val="0"/>
            <w:vAlign w:val="center"/>
          </w:tcPr>
          <w:p w14:paraId="4556586F">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资金来源</w:t>
            </w:r>
          </w:p>
        </w:tc>
        <w:tc>
          <w:tcPr>
            <w:tcW w:w="7174" w:type="dxa"/>
            <w:noWrap w:val="0"/>
            <w:vAlign w:val="center"/>
          </w:tcPr>
          <w:p w14:paraId="3ABAFCCE">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b w:val="0"/>
                <w:bCs w:val="0"/>
                <w:color w:val="auto"/>
                <w:sz w:val="24"/>
                <w:szCs w:val="24"/>
                <w:highlight w:val="none"/>
              </w:rPr>
            </w:pPr>
            <w:r>
              <w:rPr>
                <w:rFonts w:hint="eastAsia"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 xml:space="preserve">财政投资   </w:t>
            </w:r>
            <w:r>
              <w:rPr>
                <w:rFonts w:hint="eastAsia" w:ascii="宋体" w:hAnsi="宋体" w:eastAsia="宋体" w:cs="宋体"/>
                <w:b w:val="0"/>
                <w:bCs w:val="0"/>
                <w:color w:val="auto"/>
                <w:sz w:val="24"/>
                <w:szCs w:val="24"/>
                <w:highlight w:val="none"/>
              </w:rPr>
              <w:sym w:font="Wingdings" w:char="00FE"/>
            </w:r>
            <w:r>
              <w:rPr>
                <w:rFonts w:hint="eastAsia" w:ascii="宋体" w:hAnsi="宋体" w:eastAsia="宋体" w:cs="宋体"/>
                <w:b w:val="0"/>
                <w:bCs w:val="0"/>
                <w:color w:val="auto"/>
                <w:sz w:val="24"/>
                <w:szCs w:val="24"/>
                <w:highlight w:val="none"/>
              </w:rPr>
              <w:t>招标人自筹  □其他</w:t>
            </w:r>
          </w:p>
        </w:tc>
      </w:tr>
      <w:tr w14:paraId="2AA1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75" w:type="dxa"/>
            <w:noWrap w:val="0"/>
            <w:vAlign w:val="center"/>
          </w:tcPr>
          <w:p w14:paraId="304D09B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515" w:type="dxa"/>
            <w:noWrap w:val="0"/>
            <w:vAlign w:val="top"/>
          </w:tcPr>
          <w:p w14:paraId="741BA27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标段划分</w:t>
            </w:r>
          </w:p>
        </w:tc>
        <w:tc>
          <w:tcPr>
            <w:tcW w:w="7174" w:type="dxa"/>
            <w:noWrap w:val="0"/>
            <w:vAlign w:val="center"/>
          </w:tcPr>
          <w:p w14:paraId="31D983A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sym w:font="Wingdings" w:char="F0FE"/>
            </w:r>
            <w:r>
              <w:rPr>
                <w:rFonts w:hint="eastAsia" w:ascii="宋体" w:hAnsi="宋体" w:eastAsia="宋体" w:cs="宋体"/>
                <w:b w:val="0"/>
                <w:bCs w:val="0"/>
                <w:color w:val="auto"/>
                <w:sz w:val="24"/>
                <w:szCs w:val="24"/>
                <w:highlight w:val="none"/>
              </w:rPr>
              <w:t>不分标段    □分为  个标段</w:t>
            </w:r>
          </w:p>
        </w:tc>
      </w:tr>
      <w:tr w14:paraId="7CC4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75" w:type="dxa"/>
            <w:noWrap w:val="0"/>
            <w:vAlign w:val="center"/>
          </w:tcPr>
          <w:p w14:paraId="7DD0711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9</w:t>
            </w:r>
          </w:p>
        </w:tc>
        <w:tc>
          <w:tcPr>
            <w:tcW w:w="1515" w:type="dxa"/>
            <w:noWrap w:val="0"/>
            <w:vAlign w:val="center"/>
          </w:tcPr>
          <w:p w14:paraId="4AFB8DC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联合体磋商</w:t>
            </w:r>
          </w:p>
        </w:tc>
        <w:tc>
          <w:tcPr>
            <w:tcW w:w="7174" w:type="dxa"/>
            <w:noWrap w:val="0"/>
            <w:vAlign w:val="center"/>
          </w:tcPr>
          <w:p w14:paraId="3421E95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zh-CN"/>
              </w:rPr>
              <w:t xml:space="preserve">接受  </w:t>
            </w:r>
            <w:r>
              <w:rPr>
                <w:rFonts w:hint="eastAsia" w:ascii="宋体" w:hAnsi="宋体" w:eastAsia="宋体" w:cs="宋体"/>
                <w:b w:val="0"/>
                <w:bCs w:val="0"/>
                <w:color w:val="auto"/>
                <w:sz w:val="24"/>
                <w:szCs w:val="24"/>
                <w:highlight w:val="none"/>
              </w:rPr>
              <w:sym w:font="Wingdings" w:char="00FE"/>
            </w:r>
            <w:r>
              <w:rPr>
                <w:rFonts w:hint="eastAsia" w:ascii="宋体" w:hAnsi="宋体" w:eastAsia="宋体" w:cs="宋体"/>
                <w:b w:val="0"/>
                <w:bCs w:val="0"/>
                <w:color w:val="auto"/>
                <w:sz w:val="24"/>
                <w:szCs w:val="24"/>
                <w:highlight w:val="none"/>
              </w:rPr>
              <w:t>不</w:t>
            </w:r>
            <w:r>
              <w:rPr>
                <w:rFonts w:hint="eastAsia" w:ascii="宋体" w:hAnsi="宋体" w:eastAsia="宋体" w:cs="宋体"/>
                <w:b w:val="0"/>
                <w:bCs w:val="0"/>
                <w:color w:val="auto"/>
                <w:sz w:val="24"/>
                <w:szCs w:val="24"/>
                <w:highlight w:val="none"/>
                <w:lang w:val="zh-CN"/>
              </w:rPr>
              <w:t>接受</w:t>
            </w:r>
          </w:p>
        </w:tc>
      </w:tr>
      <w:tr w14:paraId="5F82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75" w:type="dxa"/>
            <w:noWrap w:val="0"/>
            <w:vAlign w:val="center"/>
          </w:tcPr>
          <w:p w14:paraId="3A963C9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515" w:type="dxa"/>
            <w:noWrap w:val="0"/>
            <w:vAlign w:val="center"/>
          </w:tcPr>
          <w:p w14:paraId="40A5600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投标有效期</w:t>
            </w:r>
          </w:p>
        </w:tc>
        <w:tc>
          <w:tcPr>
            <w:tcW w:w="7174" w:type="dxa"/>
            <w:noWrap w:val="0"/>
            <w:vAlign w:val="center"/>
          </w:tcPr>
          <w:p w14:paraId="032328D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120天</w:t>
            </w:r>
          </w:p>
        </w:tc>
      </w:tr>
      <w:tr w14:paraId="42D4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75" w:type="dxa"/>
            <w:noWrap w:val="0"/>
            <w:vAlign w:val="center"/>
          </w:tcPr>
          <w:p w14:paraId="06759C6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p>
        </w:tc>
        <w:tc>
          <w:tcPr>
            <w:tcW w:w="1515" w:type="dxa"/>
            <w:noWrap w:val="0"/>
            <w:vAlign w:val="center"/>
          </w:tcPr>
          <w:p w14:paraId="2BDEE31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磋商保证金</w:t>
            </w:r>
          </w:p>
        </w:tc>
        <w:tc>
          <w:tcPr>
            <w:tcW w:w="7174" w:type="dxa"/>
            <w:noWrap w:val="0"/>
            <w:vAlign w:val="center"/>
          </w:tcPr>
          <w:p w14:paraId="1ACA84B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是否要求投标人递交磋商保证金：</w:t>
            </w:r>
          </w:p>
          <w:p w14:paraId="28E1ED4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
                <w:bCs/>
                <w:color w:val="auto"/>
                <w:sz w:val="24"/>
                <w:szCs w:val="24"/>
                <w:highlight w:val="none"/>
              </w:rPr>
            </w:pPr>
            <w:r>
              <w:rPr>
                <w:rFonts w:hint="eastAsia" w:ascii="宋体" w:hAnsi="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不要求</w:t>
            </w:r>
          </w:p>
          <w:p w14:paraId="44A1311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sym w:font="Wingdings" w:char="00A8"/>
            </w:r>
            <w:r>
              <w:rPr>
                <w:rFonts w:hint="eastAsia" w:ascii="宋体" w:hAnsi="宋体" w:eastAsia="宋体" w:cs="宋体"/>
                <w:b/>
                <w:bCs/>
                <w:color w:val="auto"/>
                <w:sz w:val="24"/>
                <w:szCs w:val="24"/>
                <w:highlight w:val="none"/>
              </w:rPr>
              <w:t>要求</w:t>
            </w:r>
          </w:p>
          <w:p w14:paraId="46959FE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磋商保证金的形式：第一类：</w:t>
            </w:r>
            <w:r>
              <w:rPr>
                <w:rFonts w:hint="eastAsia" w:ascii="宋体" w:hAnsi="宋体" w:eastAsia="宋体" w:cs="宋体"/>
                <w:b/>
                <w:bCs/>
                <w:color w:val="auto"/>
                <w:sz w:val="24"/>
                <w:szCs w:val="24"/>
                <w:highlight w:val="none"/>
              </w:rPr>
              <w:sym w:font="Wingdings" w:char="00A8"/>
            </w:r>
            <w:r>
              <w:rPr>
                <w:rFonts w:hint="eastAsia" w:ascii="宋体" w:hAnsi="宋体" w:eastAsia="宋体" w:cs="宋体"/>
                <w:color w:val="auto"/>
                <w:sz w:val="24"/>
                <w:szCs w:val="24"/>
                <w:highlight w:val="none"/>
              </w:rPr>
              <w:t xml:space="preserve">银行转账  </w:t>
            </w:r>
            <w:r>
              <w:rPr>
                <w:rFonts w:hint="eastAsia" w:ascii="宋体" w:hAnsi="宋体" w:eastAsia="宋体" w:cs="宋体"/>
                <w:b/>
                <w:bCs/>
                <w:color w:val="auto"/>
                <w:sz w:val="24"/>
                <w:szCs w:val="24"/>
                <w:highlight w:val="none"/>
              </w:rPr>
              <w:sym w:font="Wingdings" w:char="00A8"/>
            </w:r>
            <w:r>
              <w:rPr>
                <w:rFonts w:hint="eastAsia" w:ascii="宋体" w:hAnsi="宋体" w:eastAsia="宋体" w:cs="宋体"/>
                <w:color w:val="auto"/>
                <w:sz w:val="24"/>
                <w:szCs w:val="24"/>
                <w:highlight w:val="none"/>
              </w:rPr>
              <w:t xml:space="preserve">银行电汇 </w:t>
            </w:r>
          </w:p>
          <w:p w14:paraId="34C47F5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第二类：</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eq \o\ac(□)</w:instrTex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 xml:space="preserve">银行保函  </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eq \o\ac(□)</w:instrTex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 xml:space="preserve">担保机构担保  </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eq \o\ac(□)</w:instrTex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 xml:space="preserve">保证保险 </w:t>
            </w:r>
          </w:p>
          <w:p w14:paraId="3E0437A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磋商保证金的金额：人民币</w:t>
            </w:r>
            <w:r>
              <w:rPr>
                <w:rFonts w:hint="eastAsia" w:ascii="宋体" w:hAnsi="宋体" w:cs="宋体"/>
                <w:b/>
                <w:bCs/>
                <w:color w:val="auto"/>
                <w:sz w:val="24"/>
                <w:szCs w:val="24"/>
                <w:highlight w:val="none"/>
                <w:u w:val="single"/>
                <w:lang w:val="en-US" w:eastAsia="zh-CN"/>
              </w:rPr>
              <w:t>/</w:t>
            </w:r>
            <w:r>
              <w:rPr>
                <w:rFonts w:hint="eastAsia" w:ascii="宋体" w:hAnsi="宋体" w:eastAsia="宋体" w:cs="宋体"/>
                <w:b/>
                <w:bCs/>
                <w:color w:val="auto"/>
                <w:sz w:val="24"/>
                <w:szCs w:val="24"/>
                <w:highlight w:val="none"/>
                <w:lang w:val="en-US" w:eastAsia="zh-CN"/>
              </w:rPr>
              <w:t>元，</w:t>
            </w:r>
          </w:p>
          <w:p w14:paraId="3D66ACE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递交要求：</w:t>
            </w:r>
          </w:p>
          <w:p w14:paraId="0D6237B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（1）如采用第一类形式：</w:t>
            </w:r>
          </w:p>
          <w:p w14:paraId="63A73A8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①磋商保证金的到账截止时间：</w:t>
            </w:r>
            <w:r>
              <w:rPr>
                <w:rFonts w:hint="eastAsia" w:ascii="宋体" w:hAnsi="宋体" w:cs="宋体"/>
                <w:color w:val="auto"/>
                <w:sz w:val="24"/>
                <w:szCs w:val="24"/>
                <w:highlight w:val="none"/>
                <w:lang w:val="en-US" w:eastAsia="zh-CN"/>
              </w:rPr>
              <w:t>磋商</w:t>
            </w:r>
            <w:r>
              <w:rPr>
                <w:rFonts w:hint="eastAsia" w:ascii="宋体" w:hAnsi="宋体" w:eastAsia="宋体" w:cs="宋体"/>
                <w:color w:val="auto"/>
                <w:sz w:val="24"/>
                <w:szCs w:val="24"/>
                <w:highlight w:val="none"/>
              </w:rPr>
              <w:t>截止时间。</w:t>
            </w:r>
          </w:p>
          <w:p w14:paraId="25075CB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②磋商保证金应当从投标人账户转出。</w:t>
            </w:r>
          </w:p>
          <w:p w14:paraId="1F1A62F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③转入的开户银行及账号</w:t>
            </w:r>
            <w:r>
              <w:rPr>
                <w:rFonts w:hint="eastAsia" w:ascii="宋体" w:hAnsi="宋体" w:eastAsia="宋体" w:cs="宋体"/>
                <w:b/>
                <w:bCs/>
                <w:color w:val="auto"/>
                <w:sz w:val="24"/>
                <w:szCs w:val="24"/>
                <w:highlight w:val="none"/>
                <w:lang w:eastAsia="zh-CN"/>
              </w:rPr>
              <w:t>：</w:t>
            </w:r>
          </w:p>
          <w:p w14:paraId="596B936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开户银行：广发银行合肥肥西支行</w:t>
            </w:r>
          </w:p>
          <w:p w14:paraId="7A80FAE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开户名：肥西县公共资源交易有限责任公司</w:t>
            </w:r>
          </w:p>
          <w:p w14:paraId="6C160F4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银行账户：</w:t>
            </w:r>
            <w:r>
              <w:rPr>
                <w:rFonts w:hint="eastAsia" w:ascii="宋体" w:hAnsi="宋体" w:cs="宋体"/>
                <w:b/>
                <w:bCs/>
                <w:color w:val="auto"/>
                <w:sz w:val="24"/>
                <w:szCs w:val="24"/>
                <w:highlight w:val="none"/>
                <w:lang w:val="en-US" w:eastAsia="zh-CN"/>
              </w:rPr>
              <w:t>/</w:t>
            </w:r>
          </w:p>
          <w:p w14:paraId="6E5C7BA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（2）如采用第二类形式：</w:t>
            </w:r>
          </w:p>
          <w:p w14:paraId="77CC5E3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采用银行保函，应为投标人基本账户开户行出具的见索即付无条件银行保函；采用担保机构出具的保函（担保机构担保），应为经安徽省地方金融监督管理局审查批准，依法取得融资担保业务经营许可证的融资担保机构出具的无条件保函。</w:t>
            </w:r>
          </w:p>
          <w:p w14:paraId="23DABFD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②投标人必须提供明确有效的查询途径（二维码；或网址链接及查询方式），否则该银行保函（或担保机构担保或保证保险）无效。评标时评标委员会保留现场核查权利。</w:t>
            </w:r>
          </w:p>
          <w:p w14:paraId="02001AF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中标候选人须在中标结果公示发布前将其开具至本项目的银行保函（或担保机构担保或保证保险）原件提交招标人（或招标代理机构），且原件须与响应文件中提供的扫描件一致，如存在未按规定提交或提交内容不一致，或发现弄虚作假的，招标人应当报监管部门依法处理。</w:t>
            </w:r>
          </w:p>
          <w:p w14:paraId="269C537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注意事项：</w:t>
            </w:r>
          </w:p>
          <w:p w14:paraId="35DFBE8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（1）磋商保证金交纳账号采用动态虚拟账号，项目招标失败后，磋商保证金交纳账号将会发生变化，请投标人参与后续招标时，注意勿将磋商保证金错交至其他项目虚拟账号或前次公告账号。</w:t>
            </w:r>
          </w:p>
          <w:p w14:paraId="54A32AE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（2）如本项目前次招标失败，招标人退还投标人的磋商保证金。投标人参与本次招标，须向本项目本次公告公布的磋商保证金账号重新交纳磋商保证金。</w:t>
            </w:r>
          </w:p>
          <w:p w14:paraId="302804F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（3）凡转账到其他项目账户或本项目前次公告账户的，磋商保证金无效。</w:t>
            </w:r>
          </w:p>
          <w:p w14:paraId="6C83D28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（4）投标人参与本项目多个标段（包别）投标的（如分多标段/包别的），应该按标段（包别）分别递交磋商保证金。未递交磋商保证金的标段（包别），其投标无效。</w:t>
            </w:r>
          </w:p>
          <w:p w14:paraId="2628D0C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（5）以上各类机构出具的以担保函、保证保险承担责任的方式均须满足无条件见索即付条件。</w:t>
            </w:r>
          </w:p>
        </w:tc>
      </w:tr>
      <w:tr w14:paraId="09364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75" w:type="dxa"/>
            <w:noWrap w:val="0"/>
            <w:vAlign w:val="center"/>
          </w:tcPr>
          <w:p w14:paraId="3398928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p>
        </w:tc>
        <w:tc>
          <w:tcPr>
            <w:tcW w:w="1515" w:type="dxa"/>
            <w:noWrap w:val="0"/>
            <w:vAlign w:val="center"/>
          </w:tcPr>
          <w:p w14:paraId="67504E51">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 w:val="0"/>
                <w:color w:val="auto"/>
                <w:sz w:val="24"/>
                <w:highlight w:val="none"/>
              </w:rPr>
              <w:t>网上询问截止时间</w:t>
            </w:r>
          </w:p>
        </w:tc>
        <w:tc>
          <w:tcPr>
            <w:tcW w:w="7174" w:type="dxa"/>
            <w:noWrap w:val="0"/>
            <w:vAlign w:val="center"/>
          </w:tcPr>
          <w:p w14:paraId="13EE0165">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bCs/>
                <w:color w:val="auto"/>
                <w:sz w:val="24"/>
                <w:szCs w:val="24"/>
                <w:highlight w:val="none"/>
              </w:rPr>
            </w:pPr>
            <w:r>
              <w:rPr>
                <w:rFonts w:hint="eastAsia" w:ascii="宋体" w:hAnsi="宋体" w:eastAsia="宋体" w:cs="宋体"/>
                <w:b w:val="0"/>
                <w:color w:val="auto"/>
                <w:sz w:val="24"/>
                <w:highlight w:val="none"/>
                <w:u w:val="single"/>
                <w:lang w:val="en-US" w:eastAsia="zh-CN"/>
              </w:rPr>
              <w:t>202</w:t>
            </w:r>
            <w:r>
              <w:rPr>
                <w:rFonts w:hint="eastAsia" w:cs="宋体"/>
                <w:b w:val="0"/>
                <w:color w:val="auto"/>
                <w:sz w:val="24"/>
                <w:highlight w:val="none"/>
                <w:u w:val="single"/>
                <w:lang w:val="en-US" w:eastAsia="zh-CN"/>
              </w:rPr>
              <w:t>6</w:t>
            </w:r>
            <w:r>
              <w:rPr>
                <w:rFonts w:hint="eastAsia" w:ascii="宋体" w:hAnsi="宋体" w:eastAsia="宋体" w:cs="宋体"/>
                <w:b w:val="0"/>
                <w:color w:val="auto"/>
                <w:sz w:val="24"/>
                <w:highlight w:val="none"/>
              </w:rPr>
              <w:t>年</w:t>
            </w:r>
            <w:r>
              <w:rPr>
                <w:rFonts w:hint="eastAsia" w:cs="宋体"/>
                <w:b w:val="0"/>
                <w:color w:val="auto"/>
                <w:sz w:val="24"/>
                <w:highlight w:val="none"/>
                <w:u w:val="single"/>
                <w:lang w:val="en-US" w:eastAsia="zh-CN"/>
              </w:rPr>
              <w:t>09</w:t>
            </w:r>
            <w:r>
              <w:rPr>
                <w:rFonts w:hint="eastAsia" w:ascii="宋体" w:hAnsi="宋体" w:eastAsia="宋体" w:cs="宋体"/>
                <w:b w:val="0"/>
                <w:color w:val="auto"/>
                <w:sz w:val="24"/>
                <w:highlight w:val="none"/>
              </w:rPr>
              <w:t>月</w:t>
            </w:r>
            <w:r>
              <w:rPr>
                <w:rFonts w:hint="eastAsia" w:cs="宋体"/>
                <w:b w:val="0"/>
                <w:color w:val="auto"/>
                <w:sz w:val="24"/>
                <w:highlight w:val="none"/>
                <w:u w:val="single"/>
                <w:lang w:val="en-US" w:eastAsia="zh-CN"/>
              </w:rPr>
              <w:t>20</w:t>
            </w:r>
            <w:r>
              <w:rPr>
                <w:rFonts w:hint="eastAsia" w:ascii="宋体" w:hAnsi="宋体" w:eastAsia="宋体" w:cs="宋体"/>
                <w:b w:val="0"/>
                <w:color w:val="auto"/>
                <w:sz w:val="24"/>
                <w:highlight w:val="none"/>
              </w:rPr>
              <w:t>日</w:t>
            </w:r>
            <w:r>
              <w:rPr>
                <w:rFonts w:hint="eastAsia" w:ascii="宋体" w:hAnsi="宋体" w:eastAsia="宋体" w:cs="宋体"/>
                <w:b w:val="0"/>
                <w:color w:val="auto"/>
                <w:sz w:val="24"/>
                <w:highlight w:val="none"/>
                <w:u w:val="single"/>
                <w:lang w:val="en-US" w:eastAsia="zh-CN"/>
              </w:rPr>
              <w:t>17</w:t>
            </w:r>
            <w:r>
              <w:rPr>
                <w:rFonts w:hint="eastAsia" w:ascii="宋体" w:hAnsi="宋体" w:eastAsia="宋体" w:cs="宋体"/>
                <w:b w:val="0"/>
                <w:color w:val="auto"/>
                <w:sz w:val="24"/>
                <w:highlight w:val="none"/>
              </w:rPr>
              <w:t>时</w:t>
            </w:r>
            <w:r>
              <w:rPr>
                <w:rFonts w:hint="eastAsia" w:ascii="宋体" w:hAnsi="宋体" w:eastAsia="宋体" w:cs="宋体"/>
                <w:b w:val="0"/>
                <w:color w:val="auto"/>
                <w:sz w:val="24"/>
                <w:highlight w:val="none"/>
                <w:u w:val="single"/>
                <w:lang w:val="en-US" w:eastAsia="zh-CN"/>
              </w:rPr>
              <w:t>30</w:t>
            </w:r>
            <w:r>
              <w:rPr>
                <w:rFonts w:hint="eastAsia" w:ascii="宋体" w:hAnsi="宋体" w:eastAsia="宋体" w:cs="宋体"/>
                <w:b w:val="0"/>
                <w:color w:val="auto"/>
                <w:sz w:val="24"/>
                <w:highlight w:val="none"/>
              </w:rPr>
              <w:t>分</w:t>
            </w:r>
          </w:p>
        </w:tc>
      </w:tr>
      <w:tr w14:paraId="320D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75" w:type="dxa"/>
            <w:noWrap w:val="0"/>
            <w:vAlign w:val="center"/>
          </w:tcPr>
          <w:p w14:paraId="394193E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p>
        </w:tc>
        <w:tc>
          <w:tcPr>
            <w:tcW w:w="1515" w:type="dxa"/>
            <w:noWrap w:val="0"/>
            <w:vAlign w:val="center"/>
          </w:tcPr>
          <w:p w14:paraId="6C0E414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踏勘现场</w:t>
            </w:r>
          </w:p>
        </w:tc>
        <w:tc>
          <w:tcPr>
            <w:tcW w:w="7174" w:type="dxa"/>
            <w:noWrap w:val="0"/>
            <w:vAlign w:val="center"/>
          </w:tcPr>
          <w:p w14:paraId="1512D32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lang w:val="zh-CN"/>
              </w:rPr>
            </w:pPr>
            <w:r>
              <w:rPr>
                <w:rFonts w:hint="eastAsia" w:ascii="宋体" w:hAnsi="宋体" w:eastAsia="宋体" w:cs="宋体"/>
                <w:b/>
                <w:bCs/>
                <w:color w:val="auto"/>
                <w:sz w:val="24"/>
                <w:szCs w:val="24"/>
                <w:highlight w:val="none"/>
              </w:rPr>
              <w:sym w:font="Wingdings" w:char="F0FE"/>
            </w:r>
            <w:r>
              <w:rPr>
                <w:rFonts w:hint="eastAsia" w:ascii="宋体" w:hAnsi="宋体" w:eastAsia="宋体" w:cs="宋体"/>
                <w:bCs/>
                <w:color w:val="auto"/>
                <w:sz w:val="24"/>
                <w:szCs w:val="24"/>
                <w:highlight w:val="none"/>
              </w:rPr>
              <w:t xml:space="preserve">自行踏勘  </w:t>
            </w:r>
            <w:r>
              <w:rPr>
                <w:rFonts w:hint="eastAsia" w:ascii="宋体" w:hAnsi="宋体" w:eastAsia="宋体" w:cs="宋体"/>
                <w:color w:val="auto"/>
                <w:sz w:val="24"/>
                <w:szCs w:val="24"/>
                <w:highlight w:val="none"/>
              </w:rPr>
              <w:t>□招标人</w:t>
            </w:r>
            <w:r>
              <w:rPr>
                <w:rFonts w:hint="eastAsia" w:ascii="宋体" w:hAnsi="宋体" w:eastAsia="宋体" w:cs="宋体"/>
                <w:color w:val="auto"/>
                <w:sz w:val="24"/>
                <w:szCs w:val="24"/>
                <w:highlight w:val="none"/>
                <w:lang w:val="zh-CN"/>
              </w:rPr>
              <w:t>统一组织</w:t>
            </w:r>
          </w:p>
        </w:tc>
      </w:tr>
      <w:tr w14:paraId="02464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75" w:type="dxa"/>
            <w:noWrap w:val="0"/>
            <w:vAlign w:val="center"/>
          </w:tcPr>
          <w:p w14:paraId="791C230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p>
        </w:tc>
        <w:tc>
          <w:tcPr>
            <w:tcW w:w="1515" w:type="dxa"/>
            <w:noWrap w:val="0"/>
            <w:vAlign w:val="center"/>
          </w:tcPr>
          <w:p w14:paraId="663017E5">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b w:val="0"/>
                <w:color w:val="auto"/>
                <w:sz w:val="24"/>
                <w:highlight w:val="none"/>
              </w:rPr>
              <w:t>响应文件要求</w:t>
            </w:r>
          </w:p>
        </w:tc>
        <w:tc>
          <w:tcPr>
            <w:tcW w:w="7174" w:type="dxa"/>
            <w:noWrap w:val="0"/>
            <w:vAlign w:val="center"/>
          </w:tcPr>
          <w:p w14:paraId="1A5630E9">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b w:val="0"/>
                <w:color w:val="auto"/>
                <w:sz w:val="24"/>
                <w:highlight w:val="none"/>
                <w:u w:val="single"/>
              </w:rPr>
              <w:t>加密电子响应文件</w:t>
            </w:r>
          </w:p>
        </w:tc>
      </w:tr>
      <w:tr w14:paraId="6ABF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75" w:type="dxa"/>
            <w:noWrap w:val="0"/>
            <w:vAlign w:val="center"/>
          </w:tcPr>
          <w:p w14:paraId="3352AC9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p>
        </w:tc>
        <w:tc>
          <w:tcPr>
            <w:tcW w:w="1515" w:type="dxa"/>
            <w:noWrap w:val="0"/>
            <w:vAlign w:val="center"/>
          </w:tcPr>
          <w:p w14:paraId="5537DC82">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b w:val="0"/>
                <w:strike w:val="0"/>
                <w:dstrike w:val="0"/>
                <w:color w:val="auto"/>
                <w:sz w:val="24"/>
                <w:highlight w:val="none"/>
                <w:u w:val="none"/>
              </w:rPr>
              <w:t>响应文件解密时间</w:t>
            </w:r>
          </w:p>
        </w:tc>
        <w:tc>
          <w:tcPr>
            <w:tcW w:w="7174" w:type="dxa"/>
            <w:noWrap w:val="0"/>
            <w:vAlign w:val="center"/>
          </w:tcPr>
          <w:p w14:paraId="60757613">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b w:val="0"/>
                <w:color w:val="auto"/>
                <w:sz w:val="24"/>
                <w:highlight w:val="none"/>
                <w:u w:val="single"/>
              </w:rPr>
            </w:pPr>
            <w:r>
              <w:rPr>
                <w:rFonts w:hint="eastAsia" w:ascii="宋体" w:hAnsi="宋体" w:eastAsia="宋体" w:cs="宋体"/>
                <w:b w:val="0"/>
                <w:color w:val="auto"/>
                <w:sz w:val="24"/>
                <w:highlight w:val="none"/>
                <w:u w:val="single"/>
              </w:rPr>
              <w:t>响应文件提交截止时间后30分钟内（以系统解密倒计时为准）</w:t>
            </w:r>
          </w:p>
          <w:p w14:paraId="5F64287C">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bCs/>
                <w:color w:val="auto"/>
                <w:sz w:val="24"/>
                <w:szCs w:val="24"/>
                <w:highlight w:val="none"/>
              </w:rPr>
            </w:pPr>
            <w:r>
              <w:rPr>
                <w:rFonts w:hint="eastAsia" w:ascii="宋体" w:hAnsi="宋体" w:eastAsia="宋体" w:cs="宋体"/>
                <w:b/>
                <w:bCs w:val="0"/>
                <w:color w:val="auto"/>
                <w:sz w:val="24"/>
                <w:highlight w:val="none"/>
                <w:u w:val="none"/>
                <w:lang w:val="en-US" w:eastAsia="zh-CN"/>
              </w:rPr>
              <w:t>其他要求：响应文件解密可以采用网上远程方式，无需到开标现场进行解密。解密的CA锁必须与响应文件加密的CA锁一致，否则造成的后果由供应商自行承担。</w:t>
            </w:r>
          </w:p>
        </w:tc>
      </w:tr>
      <w:tr w14:paraId="72C3C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75" w:type="dxa"/>
            <w:noWrap w:val="0"/>
            <w:vAlign w:val="center"/>
          </w:tcPr>
          <w:p w14:paraId="3E550D1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p>
        </w:tc>
        <w:tc>
          <w:tcPr>
            <w:tcW w:w="1515" w:type="dxa"/>
            <w:noWrap w:val="0"/>
            <w:vAlign w:val="center"/>
          </w:tcPr>
          <w:p w14:paraId="2762A83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磋商时间及地点</w:t>
            </w:r>
          </w:p>
        </w:tc>
        <w:tc>
          <w:tcPr>
            <w:tcW w:w="7174" w:type="dxa"/>
            <w:noWrap w:val="0"/>
            <w:vAlign w:val="center"/>
          </w:tcPr>
          <w:p w14:paraId="38A80A8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lang w:val="zh-CN"/>
              </w:rPr>
            </w:pPr>
            <w:r>
              <w:rPr>
                <w:rFonts w:hint="eastAsia" w:ascii="宋体" w:hAnsi="宋体" w:eastAsia="宋体" w:cs="宋体"/>
                <w:b w:val="0"/>
                <w:color w:val="auto"/>
                <w:sz w:val="24"/>
                <w:highlight w:val="none"/>
                <w:u w:val="single"/>
              </w:rPr>
              <w:t>详见磋商邀请</w:t>
            </w:r>
          </w:p>
        </w:tc>
      </w:tr>
      <w:tr w14:paraId="5883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75" w:type="dxa"/>
            <w:noWrap w:val="0"/>
            <w:vAlign w:val="center"/>
          </w:tcPr>
          <w:p w14:paraId="1FDA6E5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w:t>
            </w:r>
          </w:p>
        </w:tc>
        <w:tc>
          <w:tcPr>
            <w:tcW w:w="1515" w:type="dxa"/>
            <w:noWrap w:val="0"/>
            <w:vAlign w:val="center"/>
          </w:tcPr>
          <w:p w14:paraId="7B484FB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磋商与评审办法</w:t>
            </w:r>
          </w:p>
        </w:tc>
        <w:tc>
          <w:tcPr>
            <w:tcW w:w="7174" w:type="dxa"/>
            <w:noWrap w:val="0"/>
            <w:vAlign w:val="center"/>
          </w:tcPr>
          <w:p w14:paraId="1E8B29C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sym w:font="Wingdings" w:char="00FE"/>
            </w:r>
            <w:r>
              <w:rPr>
                <w:rFonts w:hint="eastAsia" w:ascii="宋体" w:hAnsi="宋体" w:eastAsia="宋体" w:cs="宋体"/>
                <w:b w:val="0"/>
                <w:color w:val="auto"/>
                <w:sz w:val="24"/>
                <w:highlight w:val="none"/>
                <w:u w:val="single"/>
              </w:rPr>
              <w:t>综合评分法</w:t>
            </w:r>
          </w:p>
        </w:tc>
      </w:tr>
      <w:tr w14:paraId="74D9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75" w:type="dxa"/>
            <w:noWrap w:val="0"/>
            <w:vAlign w:val="center"/>
          </w:tcPr>
          <w:p w14:paraId="70F1F87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w:t>
            </w:r>
          </w:p>
        </w:tc>
        <w:tc>
          <w:tcPr>
            <w:tcW w:w="1515" w:type="dxa"/>
            <w:noWrap w:val="0"/>
            <w:vAlign w:val="center"/>
          </w:tcPr>
          <w:p w14:paraId="02B57A8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color w:val="auto"/>
                <w:sz w:val="24"/>
                <w:highlight w:val="none"/>
                <w:lang w:eastAsia="zh-CN"/>
              </w:rPr>
              <w:t>磋商小组</w:t>
            </w:r>
            <w:r>
              <w:rPr>
                <w:rFonts w:hint="eastAsia" w:ascii="宋体" w:hAnsi="宋体" w:eastAsia="宋体" w:cs="宋体"/>
                <w:b w:val="0"/>
                <w:color w:val="auto"/>
                <w:sz w:val="24"/>
                <w:highlight w:val="none"/>
              </w:rPr>
              <w:t>推荐中标候选人的数量</w:t>
            </w:r>
          </w:p>
        </w:tc>
        <w:tc>
          <w:tcPr>
            <w:tcW w:w="7174" w:type="dxa"/>
            <w:noWrap w:val="0"/>
            <w:vAlign w:val="center"/>
          </w:tcPr>
          <w:p w14:paraId="00E843B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Cs/>
                <w:color w:val="auto"/>
                <w:kern w:val="2"/>
                <w:sz w:val="24"/>
                <w:szCs w:val="24"/>
                <w:highlight w:val="none"/>
                <w:u w:val="single"/>
                <w:lang w:val="en-US" w:eastAsia="zh-CN" w:bidi="ar-SA"/>
              </w:rPr>
              <w:t>1家</w:t>
            </w:r>
          </w:p>
        </w:tc>
      </w:tr>
      <w:tr w14:paraId="370E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75" w:type="dxa"/>
            <w:noWrap w:val="0"/>
            <w:vAlign w:val="center"/>
          </w:tcPr>
          <w:p w14:paraId="5EFF7B2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w:t>
            </w:r>
          </w:p>
        </w:tc>
        <w:tc>
          <w:tcPr>
            <w:tcW w:w="1515" w:type="dxa"/>
            <w:noWrap w:val="0"/>
            <w:vAlign w:val="center"/>
          </w:tcPr>
          <w:p w14:paraId="69B1B5D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招标代理服务费</w:t>
            </w:r>
          </w:p>
        </w:tc>
        <w:tc>
          <w:tcPr>
            <w:tcW w:w="7174" w:type="dxa"/>
            <w:noWrap w:val="0"/>
            <w:vAlign w:val="center"/>
          </w:tcPr>
          <w:p w14:paraId="5F915A6A">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（1）金额：</w:t>
            </w:r>
          </w:p>
          <w:p w14:paraId="77D45321">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b w:val="0"/>
                <w:color w:val="auto"/>
                <w:sz w:val="24"/>
                <w:highlight w:val="none"/>
              </w:rPr>
            </w:pPr>
            <w:r>
              <w:rPr>
                <w:rFonts w:hint="eastAsia" w:ascii="宋体" w:hAnsi="宋体" w:eastAsia="宋体" w:cs="宋体"/>
                <w:color w:val="auto"/>
                <w:sz w:val="24"/>
                <w:szCs w:val="24"/>
                <w:highlight w:val="none"/>
              </w:rPr>
              <w:t>□</w:t>
            </w:r>
            <w:r>
              <w:rPr>
                <w:rFonts w:hint="eastAsia" w:ascii="宋体" w:hAnsi="宋体" w:eastAsia="宋体" w:cs="宋体"/>
                <w:b w:val="0"/>
                <w:color w:val="auto"/>
                <w:sz w:val="24"/>
                <w:highlight w:val="none"/>
              </w:rPr>
              <w:t>免收</w:t>
            </w:r>
          </w:p>
          <w:p w14:paraId="6693C0C2">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b w:val="0"/>
                <w:color w:val="auto"/>
                <w:sz w:val="24"/>
                <w:highlight w:val="none"/>
                <w:lang w:eastAsia="zh-CN"/>
              </w:rPr>
            </w:pPr>
            <w:r>
              <w:rPr>
                <w:rFonts w:hint="eastAsia" w:ascii="宋体" w:hAnsi="宋体" w:eastAsia="宋体" w:cs="宋体"/>
                <w:b w:val="0"/>
                <w:color w:val="auto"/>
                <w:sz w:val="24"/>
                <w:highlight w:val="none"/>
                <w:lang w:eastAsia="zh-CN"/>
              </w:rPr>
              <w:t>□</w:t>
            </w:r>
            <w:r>
              <w:rPr>
                <w:rFonts w:hint="eastAsia" w:ascii="宋体" w:hAnsi="宋体" w:eastAsia="宋体" w:cs="宋体"/>
                <w:b w:val="0"/>
                <w:color w:val="auto"/>
                <w:sz w:val="24"/>
                <w:highlight w:val="none"/>
              </w:rPr>
              <w:t>定额收取：</w:t>
            </w:r>
          </w:p>
          <w:p w14:paraId="34C7D5E6">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color w:val="auto"/>
                <w:sz w:val="24"/>
                <w:highlight w:val="none"/>
              </w:rPr>
            </w:pPr>
            <w:r>
              <w:rPr>
                <w:rFonts w:hint="eastAsia" w:ascii="宋体" w:hAnsi="宋体" w:eastAsia="宋体" w:cs="宋体"/>
                <w:b/>
                <w:bCs/>
                <w:color w:val="auto"/>
                <w:sz w:val="24"/>
                <w:szCs w:val="24"/>
                <w:highlight w:val="none"/>
              </w:rPr>
              <w:sym w:font="Wingdings" w:char="00FE"/>
            </w:r>
            <w:r>
              <w:rPr>
                <w:rFonts w:hint="eastAsia" w:ascii="宋体" w:hAnsi="宋体" w:eastAsia="宋体" w:cs="宋体"/>
                <w:b w:val="0"/>
                <w:color w:val="auto"/>
                <w:sz w:val="24"/>
                <w:highlight w:val="none"/>
              </w:rPr>
              <w:t>按下列标准收取：</w:t>
            </w:r>
            <w:r>
              <w:rPr>
                <w:rFonts w:hint="eastAsia" w:ascii="宋体" w:hAnsi="宋体" w:eastAsia="宋体" w:cs="宋体"/>
                <w:b w:val="0"/>
                <w:color w:val="auto"/>
                <w:sz w:val="24"/>
                <w:highlight w:val="none"/>
                <w:u w:val="single"/>
                <w:lang w:eastAsia="zh-CN"/>
              </w:rPr>
              <w:t>详见磋商文件第三章投标人须知</w:t>
            </w:r>
            <w:r>
              <w:rPr>
                <w:rFonts w:hint="eastAsia" w:ascii="宋体" w:hAnsi="宋体" w:eastAsia="宋体" w:cs="宋体"/>
                <w:b/>
                <w:bCs w:val="0"/>
                <w:color w:val="auto"/>
                <w:sz w:val="24"/>
                <w:highlight w:val="none"/>
                <w:u w:val="single"/>
                <w:lang w:eastAsia="zh-CN"/>
              </w:rPr>
              <w:t>（不足</w:t>
            </w:r>
            <w:r>
              <w:rPr>
                <w:rFonts w:hint="eastAsia" w:cs="宋体"/>
                <w:b/>
                <w:bCs w:val="0"/>
                <w:color w:val="auto"/>
                <w:sz w:val="24"/>
                <w:highlight w:val="none"/>
                <w:u w:val="single"/>
                <w:lang w:val="en-US" w:eastAsia="zh-CN"/>
              </w:rPr>
              <w:t>4</w:t>
            </w:r>
            <w:r>
              <w:rPr>
                <w:rFonts w:hint="eastAsia" w:ascii="宋体" w:hAnsi="宋体" w:eastAsia="宋体" w:cs="宋体"/>
                <w:b/>
                <w:bCs w:val="0"/>
                <w:color w:val="auto"/>
                <w:sz w:val="24"/>
                <w:highlight w:val="none"/>
                <w:u w:val="single"/>
                <w:lang w:val="en-US" w:eastAsia="zh-CN"/>
              </w:rPr>
              <w:t>000按</w:t>
            </w:r>
            <w:r>
              <w:rPr>
                <w:rFonts w:hint="eastAsia" w:cs="宋体"/>
                <w:b/>
                <w:bCs w:val="0"/>
                <w:color w:val="auto"/>
                <w:sz w:val="24"/>
                <w:highlight w:val="none"/>
                <w:u w:val="single"/>
                <w:lang w:val="en-US" w:eastAsia="zh-CN"/>
              </w:rPr>
              <w:t>4</w:t>
            </w:r>
            <w:r>
              <w:rPr>
                <w:rFonts w:hint="eastAsia" w:ascii="宋体" w:hAnsi="宋体" w:eastAsia="宋体" w:cs="宋体"/>
                <w:b/>
                <w:bCs w:val="0"/>
                <w:color w:val="auto"/>
                <w:sz w:val="24"/>
                <w:highlight w:val="none"/>
                <w:u w:val="single"/>
                <w:lang w:val="en-US" w:eastAsia="zh-CN"/>
              </w:rPr>
              <w:t>000元收取</w:t>
            </w:r>
            <w:r>
              <w:rPr>
                <w:rFonts w:hint="eastAsia" w:ascii="宋体" w:hAnsi="宋体" w:eastAsia="宋体" w:cs="宋体"/>
                <w:b/>
                <w:bCs w:val="0"/>
                <w:color w:val="auto"/>
                <w:sz w:val="24"/>
                <w:highlight w:val="none"/>
                <w:u w:val="single"/>
                <w:lang w:eastAsia="zh-CN"/>
              </w:rPr>
              <w:t>）</w:t>
            </w:r>
          </w:p>
          <w:p w14:paraId="7514B67C">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（2）支付方式：</w:t>
            </w:r>
            <w:r>
              <w:rPr>
                <w:rFonts w:hint="eastAsia" w:ascii="宋体" w:hAnsi="宋体" w:eastAsia="宋体" w:cs="宋体"/>
                <w:b/>
                <w:bCs/>
                <w:color w:val="auto"/>
                <w:sz w:val="24"/>
                <w:szCs w:val="24"/>
                <w:highlight w:val="none"/>
              </w:rPr>
              <w:sym w:font="Wingdings" w:char="00FE"/>
            </w:r>
            <w:r>
              <w:rPr>
                <w:rFonts w:hint="eastAsia" w:ascii="宋体" w:hAnsi="宋体" w:eastAsia="宋体" w:cs="宋体"/>
                <w:b w:val="0"/>
                <w:color w:val="auto"/>
                <w:sz w:val="24"/>
                <w:highlight w:val="none"/>
              </w:rPr>
              <w:t>转账/电汇</w:t>
            </w:r>
          </w:p>
          <w:p w14:paraId="4D96519E">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b w:val="0"/>
                <w:color w:val="auto"/>
                <w:sz w:val="24"/>
                <w:highlight w:val="none"/>
                <w:u w:val="single"/>
                <w:lang w:eastAsia="zh-CN"/>
              </w:rPr>
            </w:pPr>
            <w:r>
              <w:rPr>
                <w:rFonts w:hint="eastAsia" w:ascii="宋体" w:hAnsi="宋体" w:eastAsia="宋体" w:cs="宋体"/>
                <w:b w:val="0"/>
                <w:color w:val="auto"/>
                <w:sz w:val="24"/>
                <w:highlight w:val="none"/>
              </w:rPr>
              <w:t>（3）收取单位：</w:t>
            </w:r>
            <w:r>
              <w:rPr>
                <w:rFonts w:hint="eastAsia" w:ascii="宋体" w:hAnsi="宋体" w:eastAsia="宋体" w:cs="宋体"/>
                <w:b w:val="0"/>
                <w:color w:val="auto"/>
                <w:sz w:val="24"/>
                <w:highlight w:val="none"/>
                <w:u w:val="single"/>
                <w:lang w:eastAsia="zh-CN"/>
              </w:rPr>
              <w:t>肥西县公共资源交易有限责任公司</w:t>
            </w:r>
          </w:p>
          <w:p w14:paraId="3FD6EB4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b w:val="0"/>
                <w:color w:val="auto"/>
                <w:sz w:val="24"/>
                <w:highlight w:val="none"/>
              </w:rPr>
              <w:t>（4）缴纳时间：</w:t>
            </w:r>
            <w:r>
              <w:rPr>
                <w:rFonts w:hint="eastAsia" w:ascii="宋体" w:hAnsi="宋体" w:eastAsia="宋体" w:cs="宋体"/>
                <w:b w:val="0"/>
                <w:color w:val="auto"/>
                <w:sz w:val="24"/>
                <w:highlight w:val="none"/>
                <w:u w:val="single"/>
              </w:rPr>
              <w:t>公告中标（成交）结果后</w:t>
            </w:r>
          </w:p>
        </w:tc>
      </w:tr>
      <w:tr w14:paraId="6048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75" w:type="dxa"/>
            <w:noWrap w:val="0"/>
            <w:vAlign w:val="center"/>
          </w:tcPr>
          <w:p w14:paraId="35150D3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1515" w:type="dxa"/>
            <w:noWrap w:val="0"/>
            <w:vAlign w:val="center"/>
          </w:tcPr>
          <w:p w14:paraId="7BB12F1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履约保证金</w:t>
            </w:r>
          </w:p>
        </w:tc>
        <w:tc>
          <w:tcPr>
            <w:tcW w:w="7174" w:type="dxa"/>
            <w:noWrap w:val="0"/>
            <w:vAlign w:val="center"/>
          </w:tcPr>
          <w:p w14:paraId="0576163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sym w:font="Wingdings" w:char="00FE"/>
            </w:r>
            <w:r>
              <w:rPr>
                <w:rFonts w:hint="eastAsia" w:ascii="宋体" w:hAnsi="宋体" w:eastAsia="宋体" w:cs="宋体"/>
                <w:b/>
                <w:bCs/>
                <w:color w:val="auto"/>
                <w:sz w:val="24"/>
                <w:szCs w:val="24"/>
                <w:highlight w:val="none"/>
              </w:rPr>
              <w:t>不要求</w:t>
            </w:r>
          </w:p>
          <w:p w14:paraId="25920A7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要求</w:t>
            </w:r>
          </w:p>
          <w:p w14:paraId="55327695">
            <w:pPr>
              <w:pStyle w:val="30"/>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1.履约保证金数额：</w:t>
            </w:r>
            <w:r>
              <w:rPr>
                <w:rFonts w:hint="eastAsia" w:ascii="宋体" w:hAnsi="宋体" w:eastAsia="宋体" w:cs="宋体"/>
                <w:bCs/>
                <w:color w:val="auto"/>
                <w:sz w:val="24"/>
                <w:szCs w:val="24"/>
                <w:highlight w:val="none"/>
                <w:u w:val="single"/>
                <w:lang w:val="en-US" w:eastAsia="zh-CN"/>
              </w:rPr>
              <w:t xml:space="preserve">      元</w:t>
            </w:r>
            <w:r>
              <w:rPr>
                <w:rFonts w:hint="eastAsia" w:ascii="宋体" w:hAnsi="宋体" w:eastAsia="宋体" w:cs="宋体"/>
                <w:bCs/>
                <w:color w:val="auto"/>
                <w:sz w:val="24"/>
                <w:szCs w:val="24"/>
                <w:highlight w:val="none"/>
              </w:rPr>
              <w:t>；</w:t>
            </w:r>
          </w:p>
          <w:p w14:paraId="785D2272">
            <w:pPr>
              <w:pStyle w:val="30"/>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2.收受方式为：</w:t>
            </w:r>
            <w:r>
              <w:rPr>
                <w:rFonts w:hint="eastAsia" w:ascii="宋体" w:hAnsi="宋体" w:eastAsia="宋体" w:cs="宋体"/>
                <w:b/>
                <w:bCs/>
                <w:color w:val="auto"/>
                <w:sz w:val="24"/>
                <w:szCs w:val="24"/>
                <w:highlight w:val="none"/>
              </w:rPr>
              <w:sym w:font="Wingdings" w:char="00FE"/>
            </w:r>
            <w:r>
              <w:rPr>
                <w:rFonts w:hint="eastAsia" w:ascii="宋体" w:hAnsi="宋体" w:eastAsia="宋体" w:cs="宋体"/>
                <w:bCs/>
                <w:color w:val="auto"/>
                <w:sz w:val="24"/>
                <w:szCs w:val="24"/>
                <w:highlight w:val="none"/>
              </w:rPr>
              <w:t xml:space="preserve">银行电汇 </w:t>
            </w:r>
            <w:r>
              <w:rPr>
                <w:rFonts w:hint="eastAsia" w:ascii="宋体" w:hAnsi="宋体" w:eastAsia="宋体" w:cs="宋体"/>
                <w:b/>
                <w:bCs/>
                <w:color w:val="auto"/>
                <w:sz w:val="24"/>
                <w:szCs w:val="24"/>
                <w:highlight w:val="none"/>
              </w:rPr>
              <w:sym w:font="Wingdings" w:char="00FE"/>
            </w:r>
            <w:r>
              <w:rPr>
                <w:rFonts w:hint="eastAsia" w:ascii="宋体" w:hAnsi="宋体" w:eastAsia="宋体" w:cs="宋体"/>
                <w:bCs/>
                <w:color w:val="auto"/>
                <w:sz w:val="24"/>
                <w:szCs w:val="24"/>
                <w:highlight w:val="none"/>
              </w:rPr>
              <w:t xml:space="preserve">银行转账 </w:t>
            </w:r>
            <w:r>
              <w:rPr>
                <w:rFonts w:hint="eastAsia" w:ascii="宋体" w:hAnsi="宋体" w:eastAsia="宋体" w:cs="宋体"/>
                <w:b/>
                <w:bCs/>
                <w:color w:val="auto"/>
                <w:sz w:val="24"/>
                <w:szCs w:val="24"/>
                <w:highlight w:val="none"/>
              </w:rPr>
              <w:sym w:font="Wingdings" w:char="00FE"/>
            </w:r>
            <w:r>
              <w:rPr>
                <w:rFonts w:hint="eastAsia" w:ascii="宋体" w:hAnsi="宋体" w:eastAsia="宋体" w:cs="宋体"/>
                <w:bCs/>
                <w:color w:val="auto"/>
                <w:sz w:val="24"/>
                <w:szCs w:val="24"/>
                <w:highlight w:val="none"/>
              </w:rPr>
              <w:t xml:space="preserve">银行保函 </w:t>
            </w:r>
            <w:r>
              <w:rPr>
                <w:rFonts w:hint="eastAsia" w:ascii="宋体" w:hAnsi="宋体" w:eastAsia="宋体" w:cs="宋体"/>
                <w:b/>
                <w:bCs/>
                <w:color w:val="auto"/>
                <w:sz w:val="24"/>
                <w:szCs w:val="24"/>
                <w:highlight w:val="none"/>
              </w:rPr>
              <w:sym w:font="Wingdings" w:char="00FE"/>
            </w:r>
            <w:r>
              <w:rPr>
                <w:rFonts w:hint="eastAsia" w:ascii="宋体" w:hAnsi="宋体" w:eastAsia="宋体" w:cs="宋体"/>
                <w:bCs/>
                <w:color w:val="auto"/>
                <w:sz w:val="24"/>
                <w:szCs w:val="24"/>
                <w:highlight w:val="none"/>
              </w:rPr>
              <w:t xml:space="preserve">保证保险 </w:t>
            </w:r>
            <w:r>
              <w:rPr>
                <w:rFonts w:hint="eastAsia" w:ascii="宋体" w:hAnsi="宋体" w:eastAsia="宋体" w:cs="宋体"/>
                <w:b/>
                <w:bCs/>
                <w:color w:val="auto"/>
                <w:sz w:val="24"/>
                <w:szCs w:val="24"/>
                <w:highlight w:val="none"/>
              </w:rPr>
              <w:sym w:font="Wingdings" w:char="00FE"/>
            </w:r>
            <w:r>
              <w:rPr>
                <w:rFonts w:hint="eastAsia" w:ascii="宋体" w:hAnsi="宋体" w:eastAsia="宋体" w:cs="宋体"/>
                <w:bCs/>
                <w:color w:val="auto"/>
                <w:sz w:val="24"/>
                <w:szCs w:val="24"/>
                <w:highlight w:val="none"/>
              </w:rPr>
              <w:t>担保机构担保</w:t>
            </w:r>
          </w:p>
          <w:p w14:paraId="19888B10">
            <w:pPr>
              <w:pStyle w:val="30"/>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3.收受人为:</w:t>
            </w:r>
            <w:r>
              <w:rPr>
                <w:rFonts w:hint="eastAsia" w:ascii="宋体" w:hAnsi="宋体" w:eastAsia="宋体" w:cs="宋体"/>
                <w:b/>
                <w:bCs/>
                <w:color w:val="auto"/>
                <w:sz w:val="24"/>
                <w:szCs w:val="24"/>
                <w:highlight w:val="none"/>
              </w:rPr>
              <w:sym w:font="Wingdings" w:char="00FE"/>
            </w:r>
            <w:r>
              <w:rPr>
                <w:rFonts w:hint="eastAsia" w:ascii="宋体" w:hAnsi="宋体" w:eastAsia="宋体" w:cs="宋体"/>
                <w:bCs/>
                <w:color w:val="auto"/>
                <w:sz w:val="24"/>
                <w:szCs w:val="24"/>
                <w:highlight w:val="none"/>
              </w:rPr>
              <w:t>招标人、</w:t>
            </w:r>
            <w:r>
              <w:rPr>
                <w:rFonts w:hint="eastAsia" w:ascii="宋体" w:hAnsi="宋体" w:eastAsia="宋体" w:cs="宋体"/>
                <w:b/>
                <w:bCs/>
                <w:color w:val="auto"/>
                <w:sz w:val="24"/>
                <w:szCs w:val="24"/>
                <w:highlight w:val="none"/>
              </w:rPr>
              <w:sym w:font="Wingdings" w:char="00FE"/>
            </w:r>
            <w:r>
              <w:rPr>
                <w:rFonts w:hint="eastAsia" w:ascii="宋体" w:hAnsi="宋体" w:eastAsia="宋体" w:cs="宋体"/>
                <w:bCs/>
                <w:color w:val="auto"/>
                <w:sz w:val="24"/>
                <w:szCs w:val="24"/>
                <w:highlight w:val="none"/>
              </w:rPr>
              <w:t>委托人、□</w:t>
            </w:r>
            <w:r>
              <w:rPr>
                <w:rFonts w:hint="eastAsia" w:ascii="宋体" w:hAnsi="宋体" w:eastAsia="宋体" w:cs="宋体"/>
                <w:bCs/>
                <w:color w:val="auto"/>
                <w:sz w:val="24"/>
                <w:szCs w:val="24"/>
                <w:highlight w:val="none"/>
                <w:lang w:eastAsia="zh-CN"/>
              </w:rPr>
              <w:t>肥西县公共资源交易有限责任公司</w:t>
            </w:r>
          </w:p>
          <w:p w14:paraId="0303C978">
            <w:pPr>
              <w:pStyle w:val="30"/>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4.提交时限：合同签订前按规定提交履约保证金，若中标人在规定时限内未提交履约保证金的，招标人有权取消其中标资格。</w:t>
            </w:r>
          </w:p>
          <w:p w14:paraId="756B35FB">
            <w:pPr>
              <w:pStyle w:val="30"/>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5.退还：</w:t>
            </w:r>
            <w:r>
              <w:rPr>
                <w:rFonts w:hint="eastAsia" w:ascii="宋体" w:hAnsi="宋体" w:eastAsia="宋体" w:cs="宋体"/>
                <w:bCs/>
                <w:color w:val="auto"/>
                <w:sz w:val="24"/>
                <w:szCs w:val="24"/>
                <w:highlight w:val="none"/>
                <w:u w:val="single"/>
              </w:rPr>
              <w:t xml:space="preserve">合同履约完毕后一次性无息退还 </w:t>
            </w:r>
          </w:p>
          <w:p w14:paraId="382A1F44">
            <w:pPr>
              <w:pStyle w:val="30"/>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如采用银行保函，银行保函应为合肥行政区域（含四县一市）具有分支机构的银行（或该银行国内任一分行或支行）出具的见索即付无条件银行保函。例如：某银行在合肥行政区域有分支机构，则该银行总行（或该银行国内任一分行或支行）出具的满足招标文件要求的银行保函均予以认可；</w:t>
            </w:r>
          </w:p>
          <w:p w14:paraId="1334F4D5">
            <w:pPr>
              <w:pStyle w:val="30"/>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7.如采用担保机构担保，应为注册地在合肥行政区域（含四县一市）范围内的融资担保机构或经安徽省地方金融监督管理局备案的融资担保机构出具的无条件担保。</w:t>
            </w:r>
          </w:p>
          <w:p w14:paraId="6DB47926">
            <w:pPr>
              <w:pStyle w:val="30"/>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8.以上各类机构出具的以担保函、保证保险承担责任的方式均须满足无条件见索即付条件。</w:t>
            </w:r>
          </w:p>
          <w:p w14:paraId="24F473AB">
            <w:pPr>
              <w:pStyle w:val="30"/>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其他详见磋商文件第三章投标人须知</w:t>
            </w:r>
          </w:p>
        </w:tc>
      </w:tr>
      <w:tr w14:paraId="3DC1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75" w:type="dxa"/>
            <w:noWrap w:val="0"/>
            <w:vAlign w:val="center"/>
          </w:tcPr>
          <w:p w14:paraId="794FF33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w:t>
            </w:r>
          </w:p>
        </w:tc>
        <w:tc>
          <w:tcPr>
            <w:tcW w:w="1515" w:type="dxa"/>
            <w:noWrap w:val="0"/>
            <w:vAlign w:val="center"/>
          </w:tcPr>
          <w:p w14:paraId="60A8120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本项目提供除磋商文件以外的其他资料</w:t>
            </w:r>
          </w:p>
        </w:tc>
        <w:tc>
          <w:tcPr>
            <w:tcW w:w="7174" w:type="dxa"/>
            <w:noWrap w:val="0"/>
            <w:vAlign w:val="center"/>
          </w:tcPr>
          <w:p w14:paraId="6E4E026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sym w:font="Wingdings" w:char="F0FE"/>
            </w:r>
            <w:r>
              <w:rPr>
                <w:rFonts w:hint="eastAsia" w:ascii="宋体" w:hAnsi="宋体" w:eastAsia="宋体" w:cs="宋体"/>
                <w:b/>
                <w:color w:val="auto"/>
                <w:sz w:val="24"/>
                <w:szCs w:val="24"/>
                <w:highlight w:val="none"/>
              </w:rPr>
              <w:t>无</w:t>
            </w:r>
          </w:p>
        </w:tc>
      </w:tr>
      <w:tr w14:paraId="7F79E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75" w:type="dxa"/>
            <w:noWrap w:val="0"/>
            <w:vAlign w:val="center"/>
          </w:tcPr>
          <w:p w14:paraId="1E9FC39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w:t>
            </w:r>
          </w:p>
        </w:tc>
        <w:tc>
          <w:tcPr>
            <w:tcW w:w="1515" w:type="dxa"/>
            <w:noWrap w:val="0"/>
            <w:vAlign w:val="center"/>
          </w:tcPr>
          <w:p w14:paraId="6DDDAF9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c>
          <w:tcPr>
            <w:tcW w:w="7174" w:type="dxa"/>
            <w:noWrap w:val="0"/>
            <w:vAlign w:val="center"/>
          </w:tcPr>
          <w:p w14:paraId="1DFF941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1.无论何种原因，即使投标人磋商时携带了证书等材料的原件，但在响应文件中未提供与之内容完全一致的扫描件的，磋商小组可以视同其未提供。</w:t>
            </w:r>
          </w:p>
          <w:p w14:paraId="17AA02E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2.磋商文件中要求加盖公章，均可以提供加盖公章的扫描件；磋商文件要求提供的证明资料均应制作在响应文件</w:t>
            </w:r>
            <w:r>
              <w:rPr>
                <w:rFonts w:hint="eastAsia" w:ascii="宋体" w:hAnsi="宋体" w:eastAsia="宋体" w:cs="宋体"/>
                <w:color w:val="auto"/>
                <w:sz w:val="24"/>
                <w:szCs w:val="24"/>
                <w:highlight w:val="none"/>
                <w:lang w:eastAsia="zh-CN"/>
              </w:rPr>
              <w:t>中</w:t>
            </w:r>
            <w:r>
              <w:rPr>
                <w:rFonts w:hint="eastAsia" w:ascii="宋体" w:hAnsi="宋体" w:eastAsia="宋体" w:cs="宋体"/>
                <w:color w:val="auto"/>
                <w:sz w:val="24"/>
                <w:szCs w:val="24"/>
                <w:highlight w:val="none"/>
              </w:rPr>
              <w:t>。响应文件中的投标资料模糊不清的，磋商小组将按不利于投标人的理解进行评审，由此产生的一切后果由投标人自行承担。</w:t>
            </w:r>
          </w:p>
          <w:p w14:paraId="05972E0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strike/>
                <w:dstrike w:val="0"/>
                <w:color w:val="auto"/>
                <w:sz w:val="24"/>
                <w:szCs w:val="24"/>
                <w:highlight w:val="none"/>
              </w:rPr>
            </w:pPr>
            <w:r>
              <w:rPr>
                <w:rFonts w:hint="eastAsia" w:ascii="宋体" w:hAnsi="宋体" w:eastAsia="宋体" w:cs="宋体"/>
                <w:color w:val="auto"/>
                <w:sz w:val="24"/>
                <w:szCs w:val="24"/>
                <w:highlight w:val="none"/>
              </w:rPr>
              <w:t>3.本项目将对中标候选人经磋商小组评审认可的以下内容进行公示：</w:t>
            </w:r>
          </w:p>
          <w:p w14:paraId="2B2293E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）投标人业绩（如有，得分业绩）：</w:t>
            </w:r>
            <w:r>
              <w:rPr>
                <w:rFonts w:hint="eastAsia" w:ascii="宋体" w:hAnsi="宋体" w:eastAsia="宋体" w:cs="宋体"/>
                <w:color w:val="auto"/>
                <w:sz w:val="24"/>
                <w:szCs w:val="24"/>
                <w:highlight w:val="none"/>
                <w:u w:val="single"/>
              </w:rPr>
              <w:t>项目名称；</w:t>
            </w:r>
          </w:p>
          <w:p w14:paraId="646D78A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）银行保函或担保机构担保或保证保险形式的磋商保证金扫描件（如采用）。</w:t>
            </w:r>
          </w:p>
          <w:p w14:paraId="4FDF970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注：如存在弄虚作假行为，将取消中标资格并上报</w:t>
            </w:r>
            <w:r>
              <w:rPr>
                <w:rFonts w:hint="eastAsia" w:ascii="宋体" w:hAnsi="宋体" w:eastAsia="宋体" w:cs="宋体"/>
                <w:color w:val="auto"/>
                <w:sz w:val="24"/>
                <w:szCs w:val="24"/>
                <w:highlight w:val="none"/>
                <w:lang w:eastAsia="zh-CN"/>
              </w:rPr>
              <w:t>监管部门</w:t>
            </w:r>
            <w:r>
              <w:rPr>
                <w:rFonts w:hint="eastAsia" w:ascii="宋体" w:hAnsi="宋体" w:eastAsia="宋体" w:cs="宋体"/>
                <w:color w:val="auto"/>
                <w:sz w:val="24"/>
                <w:szCs w:val="24"/>
                <w:highlight w:val="none"/>
              </w:rPr>
              <w:t>按有关规定处理。</w:t>
            </w:r>
          </w:p>
          <w:p w14:paraId="38B3386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4.凡中标的外地来肥建筑安装企业，应按照国家税务总局2016年第17号公告规定，在建筑服务发生地及时足额预缴增值税。</w:t>
            </w:r>
          </w:p>
          <w:p w14:paraId="2EBF864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5.如有最新国家和地方标准、规范等，应按最新标准、规范执行，如多个规范对同一问题的标准和要求不一致时，应按较高标准和要求内容执行 。</w:t>
            </w:r>
          </w:p>
        </w:tc>
      </w:tr>
      <w:tr w14:paraId="631D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75" w:type="dxa"/>
            <w:noWrap w:val="0"/>
            <w:vAlign w:val="center"/>
          </w:tcPr>
          <w:p w14:paraId="7BA80FEA">
            <w:pPr>
              <w:pStyle w:val="29"/>
              <w:pBdr>
                <w:bottom w:val="none" w:color="auto" w:sz="0" w:space="0"/>
              </w:pBdr>
              <w:tabs>
                <w:tab w:val="clear" w:pos="4153"/>
                <w:tab w:val="clear" w:pos="8306"/>
              </w:tabs>
              <w:adjustRightInd/>
              <w:spacing w:line="360" w:lineRule="auto"/>
              <w:textAlignment w:val="auto"/>
              <w:rPr>
                <w:rFonts w:hint="default" w:ascii="宋体" w:hAnsi="宋体" w:eastAsia="宋体" w:cs="宋体"/>
                <w:color w:val="auto"/>
                <w:sz w:val="24"/>
                <w:szCs w:val="24"/>
                <w:highlight w:val="none"/>
                <w:lang w:val="en-US" w:eastAsia="zh-CN"/>
              </w:rPr>
            </w:pPr>
            <w:r>
              <w:rPr>
                <w:rFonts w:hint="eastAsia" w:cs="宋体"/>
                <w:bCs/>
                <w:color w:val="auto"/>
                <w:kern w:val="2"/>
                <w:sz w:val="24"/>
                <w:szCs w:val="24"/>
                <w:highlight w:val="none"/>
                <w:lang w:val="en-US" w:eastAsia="zh-CN"/>
              </w:rPr>
              <w:t>23</w:t>
            </w:r>
          </w:p>
        </w:tc>
        <w:tc>
          <w:tcPr>
            <w:tcW w:w="1515" w:type="dxa"/>
            <w:noWrap w:val="0"/>
            <w:vAlign w:val="center"/>
          </w:tcPr>
          <w:p w14:paraId="1280D61B">
            <w:pPr>
              <w:pStyle w:val="29"/>
              <w:pBdr>
                <w:bottom w:val="none" w:color="auto" w:sz="0" w:space="0"/>
              </w:pBdr>
              <w:tabs>
                <w:tab w:val="clear" w:pos="4153"/>
                <w:tab w:val="clear" w:pos="8306"/>
              </w:tabs>
              <w:adjustRightIn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bCs/>
                <w:color w:val="auto"/>
                <w:kern w:val="2"/>
                <w:sz w:val="24"/>
                <w:szCs w:val="24"/>
                <w:highlight w:val="none"/>
                <w:lang w:val="en-US" w:eastAsia="zh-CN"/>
              </w:rPr>
              <w:t>电子交易服务费</w:t>
            </w:r>
          </w:p>
        </w:tc>
        <w:tc>
          <w:tcPr>
            <w:tcW w:w="7174" w:type="dxa"/>
            <w:noWrap w:val="0"/>
            <w:vAlign w:val="center"/>
          </w:tcPr>
          <w:p w14:paraId="7F3034B6">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0"/>
              <w:jc w:val="both"/>
              <w:textAlignment w:val="auto"/>
              <w:rPr>
                <w:rFonts w:hint="default"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金额：人民币200元，售后不退</w:t>
            </w:r>
          </w:p>
          <w:p w14:paraId="5D831FB6">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0"/>
              <w:jc w:val="both"/>
              <w:textAlignment w:val="auto"/>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交纳形式：</w:t>
            </w:r>
            <w:r>
              <w:rPr>
                <w:rFonts w:hint="eastAsia" w:ascii="宋体" w:hAnsi="宋体" w:eastAsia="宋体" w:cs="@仿宋_GB2312"/>
                <w:b w:val="0"/>
                <w:bCs w:val="0"/>
                <w:color w:val="auto"/>
                <w:kern w:val="2"/>
                <w:sz w:val="24"/>
                <w:szCs w:val="18"/>
                <w:highlight w:val="none"/>
                <w:lang w:val="en-US" w:eastAsia="zh-CN" w:bidi="ar-SA"/>
              </w:rPr>
              <w:sym w:font="Wingdings" w:char="00FE"/>
            </w:r>
            <w:r>
              <w:rPr>
                <w:rFonts w:hint="eastAsia" w:ascii="宋体" w:hAnsi="宋体" w:eastAsia="宋体" w:cs="@仿宋_GB2312"/>
                <w:b w:val="0"/>
                <w:bCs w:val="0"/>
                <w:color w:val="auto"/>
                <w:kern w:val="2"/>
                <w:sz w:val="24"/>
                <w:szCs w:val="18"/>
                <w:highlight w:val="none"/>
                <w:lang w:val="en-US" w:eastAsia="zh-CN" w:bidi="ar-SA"/>
              </w:rPr>
              <w:t xml:space="preserve">银行转账  </w:t>
            </w:r>
            <w:r>
              <w:rPr>
                <w:rFonts w:hint="eastAsia" w:ascii="宋体" w:hAnsi="宋体" w:eastAsia="宋体" w:cs="@仿宋_GB2312"/>
                <w:b w:val="0"/>
                <w:bCs w:val="0"/>
                <w:color w:val="auto"/>
                <w:kern w:val="2"/>
                <w:sz w:val="24"/>
                <w:szCs w:val="18"/>
                <w:highlight w:val="none"/>
                <w:lang w:val="en-US" w:eastAsia="zh-CN" w:bidi="ar-SA"/>
              </w:rPr>
              <w:sym w:font="Wingdings" w:char="00FE"/>
            </w:r>
            <w:r>
              <w:rPr>
                <w:rFonts w:hint="eastAsia" w:ascii="宋体" w:hAnsi="宋体" w:eastAsia="宋体" w:cs="@仿宋_GB2312"/>
                <w:b w:val="0"/>
                <w:bCs w:val="0"/>
                <w:color w:val="auto"/>
                <w:kern w:val="2"/>
                <w:sz w:val="24"/>
                <w:szCs w:val="18"/>
                <w:highlight w:val="none"/>
                <w:lang w:val="en-US" w:eastAsia="zh-CN" w:bidi="ar-SA"/>
              </w:rPr>
              <w:t>银行电汇</w:t>
            </w:r>
          </w:p>
          <w:p w14:paraId="2265A6F6">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0"/>
              <w:jc w:val="both"/>
              <w:textAlignment w:val="auto"/>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 xml:space="preserve">递交要求： </w:t>
            </w:r>
          </w:p>
          <w:p w14:paraId="60208834">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0"/>
              <w:jc w:val="both"/>
              <w:textAlignment w:val="auto"/>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①</w:t>
            </w:r>
            <w:r>
              <w:rPr>
                <w:rFonts w:hint="eastAsia" w:cs="@仿宋_GB2312"/>
                <w:b w:val="0"/>
                <w:bCs w:val="0"/>
                <w:color w:val="auto"/>
                <w:kern w:val="2"/>
                <w:sz w:val="24"/>
                <w:szCs w:val="18"/>
                <w:highlight w:val="none"/>
                <w:lang w:val="en-US" w:eastAsia="zh-CN" w:bidi="ar-SA"/>
              </w:rPr>
              <w:t>电子交易服务费</w:t>
            </w:r>
            <w:r>
              <w:rPr>
                <w:rFonts w:hint="eastAsia" w:ascii="宋体" w:hAnsi="宋体" w:eastAsia="宋体" w:cs="@仿宋_GB2312"/>
                <w:b w:val="0"/>
                <w:bCs w:val="0"/>
                <w:color w:val="auto"/>
                <w:kern w:val="2"/>
                <w:sz w:val="24"/>
                <w:szCs w:val="18"/>
                <w:highlight w:val="none"/>
                <w:lang w:val="en-US" w:eastAsia="zh-CN" w:bidi="ar-SA"/>
              </w:rPr>
              <w:t>的到账截止时间：同</w:t>
            </w:r>
            <w:r>
              <w:rPr>
                <w:rFonts w:hint="eastAsia" w:cs="@仿宋_GB2312"/>
                <w:b w:val="0"/>
                <w:bCs w:val="0"/>
                <w:color w:val="auto"/>
                <w:kern w:val="2"/>
                <w:sz w:val="24"/>
                <w:szCs w:val="18"/>
                <w:highlight w:val="none"/>
                <w:lang w:val="en-US" w:eastAsia="zh-CN" w:bidi="ar-SA"/>
              </w:rPr>
              <w:t>磋商</w:t>
            </w:r>
            <w:r>
              <w:rPr>
                <w:rFonts w:hint="eastAsia" w:ascii="宋体" w:hAnsi="宋体" w:eastAsia="宋体" w:cs="@仿宋_GB2312"/>
                <w:b w:val="0"/>
                <w:bCs w:val="0"/>
                <w:color w:val="auto"/>
                <w:kern w:val="2"/>
                <w:sz w:val="24"/>
                <w:szCs w:val="18"/>
                <w:highlight w:val="none"/>
                <w:lang w:val="en-US" w:eastAsia="zh-CN" w:bidi="ar-SA"/>
              </w:rPr>
              <w:t>时间。</w:t>
            </w:r>
          </w:p>
          <w:p w14:paraId="17A5EF2B">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0"/>
              <w:jc w:val="both"/>
              <w:textAlignment w:val="auto"/>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②</w:t>
            </w:r>
            <w:r>
              <w:rPr>
                <w:rFonts w:hint="eastAsia" w:cs="@仿宋_GB2312"/>
                <w:b w:val="0"/>
                <w:bCs w:val="0"/>
                <w:color w:val="auto"/>
                <w:kern w:val="2"/>
                <w:sz w:val="24"/>
                <w:szCs w:val="18"/>
                <w:highlight w:val="none"/>
                <w:lang w:val="en-US" w:eastAsia="zh-CN" w:bidi="ar-SA"/>
              </w:rPr>
              <w:t>电子交易服务费</w:t>
            </w:r>
            <w:r>
              <w:rPr>
                <w:rFonts w:hint="eastAsia" w:ascii="宋体" w:hAnsi="宋体" w:eastAsia="宋体" w:cs="@仿宋_GB2312"/>
                <w:b w:val="0"/>
                <w:bCs w:val="0"/>
                <w:color w:val="auto"/>
                <w:kern w:val="2"/>
                <w:sz w:val="24"/>
                <w:szCs w:val="18"/>
                <w:highlight w:val="none"/>
                <w:lang w:val="en-US" w:eastAsia="zh-CN" w:bidi="ar-SA"/>
              </w:rPr>
              <w:t>应当从供应商账户转出，转出</w:t>
            </w:r>
            <w:r>
              <w:rPr>
                <w:rFonts w:hint="eastAsia" w:cs="@仿宋_GB2312"/>
                <w:b w:val="0"/>
                <w:bCs w:val="0"/>
                <w:color w:val="auto"/>
                <w:kern w:val="2"/>
                <w:sz w:val="24"/>
                <w:szCs w:val="18"/>
                <w:highlight w:val="none"/>
                <w:lang w:val="en-US" w:eastAsia="zh-CN" w:bidi="ar-SA"/>
              </w:rPr>
              <w:t>电子交易服务费</w:t>
            </w:r>
            <w:r>
              <w:rPr>
                <w:rFonts w:hint="eastAsia" w:ascii="宋体" w:hAnsi="宋体" w:eastAsia="宋体" w:cs="@仿宋_GB2312"/>
                <w:b w:val="0"/>
                <w:bCs w:val="0"/>
                <w:color w:val="auto"/>
                <w:kern w:val="2"/>
                <w:sz w:val="24"/>
                <w:szCs w:val="18"/>
                <w:highlight w:val="none"/>
                <w:lang w:val="en-US" w:eastAsia="zh-CN" w:bidi="ar-SA"/>
              </w:rPr>
              <w:t>的账户与供应商响应文件提供的账户信息不一致的，视为未按</w:t>
            </w:r>
            <w:r>
              <w:rPr>
                <w:rFonts w:hint="eastAsia" w:cs="@仿宋_GB2312"/>
                <w:b w:val="0"/>
                <w:bCs w:val="0"/>
                <w:color w:val="auto"/>
                <w:kern w:val="2"/>
                <w:sz w:val="24"/>
                <w:szCs w:val="18"/>
                <w:highlight w:val="none"/>
                <w:lang w:val="en-US" w:eastAsia="zh-CN" w:bidi="ar-SA"/>
              </w:rPr>
              <w:t>磋商</w:t>
            </w:r>
            <w:r>
              <w:rPr>
                <w:rFonts w:hint="eastAsia" w:ascii="宋体" w:hAnsi="宋体" w:eastAsia="宋体" w:cs="@仿宋_GB2312"/>
                <w:b w:val="0"/>
                <w:bCs w:val="0"/>
                <w:color w:val="auto"/>
                <w:kern w:val="2"/>
                <w:sz w:val="24"/>
                <w:szCs w:val="18"/>
                <w:highlight w:val="none"/>
                <w:lang w:val="en-US" w:eastAsia="zh-CN" w:bidi="ar-SA"/>
              </w:rPr>
              <w:t>文件规定要求交纳</w:t>
            </w:r>
            <w:r>
              <w:rPr>
                <w:rFonts w:hint="eastAsia" w:cs="@仿宋_GB2312"/>
                <w:b w:val="0"/>
                <w:bCs w:val="0"/>
                <w:color w:val="auto"/>
                <w:kern w:val="2"/>
                <w:sz w:val="24"/>
                <w:szCs w:val="18"/>
                <w:highlight w:val="none"/>
                <w:lang w:val="en-US" w:eastAsia="zh-CN" w:bidi="ar-SA"/>
              </w:rPr>
              <w:t>电子交易服务费</w:t>
            </w:r>
            <w:r>
              <w:rPr>
                <w:rFonts w:hint="eastAsia" w:ascii="宋体" w:hAnsi="宋体" w:eastAsia="宋体" w:cs="@仿宋_GB2312"/>
                <w:b w:val="0"/>
                <w:bCs w:val="0"/>
                <w:color w:val="auto"/>
                <w:kern w:val="2"/>
                <w:sz w:val="24"/>
                <w:szCs w:val="18"/>
                <w:highlight w:val="none"/>
                <w:lang w:val="en-US" w:eastAsia="zh-CN" w:bidi="ar-SA"/>
              </w:rPr>
              <w:t>，其响应无效。</w:t>
            </w:r>
          </w:p>
          <w:p w14:paraId="6D28248B">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0"/>
              <w:jc w:val="both"/>
              <w:textAlignment w:val="auto"/>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转入的开户银行及账号：</w:t>
            </w:r>
          </w:p>
          <w:p w14:paraId="4B3DC39E">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0"/>
              <w:jc w:val="both"/>
              <w:textAlignment w:val="auto"/>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开户银行：广发银行股份有限公司合肥肥西支行</w:t>
            </w:r>
          </w:p>
          <w:p w14:paraId="1EF6F149">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0"/>
              <w:jc w:val="both"/>
              <w:textAlignment w:val="auto"/>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开户名：</w:t>
            </w:r>
            <w:r>
              <w:rPr>
                <w:rFonts w:hint="eastAsia" w:cs="@仿宋_GB2312"/>
                <w:b w:val="0"/>
                <w:bCs w:val="0"/>
                <w:color w:val="auto"/>
                <w:kern w:val="2"/>
                <w:sz w:val="24"/>
                <w:szCs w:val="18"/>
                <w:highlight w:val="none"/>
                <w:lang w:val="en-US" w:eastAsia="zh-CN" w:bidi="ar-SA"/>
              </w:rPr>
              <w:t>肥西县公共资源交易有限责任公司</w:t>
            </w:r>
          </w:p>
          <w:p w14:paraId="30C9AEEB">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0"/>
              <w:jc w:val="both"/>
              <w:textAlignment w:val="auto"/>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账号： 6232594999000550762</w:t>
            </w:r>
          </w:p>
          <w:p w14:paraId="745AD260">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0"/>
              <w:jc w:val="both"/>
              <w:textAlignment w:val="auto"/>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注意事项：</w:t>
            </w:r>
          </w:p>
          <w:p w14:paraId="039383F3">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0"/>
              <w:jc w:val="both"/>
              <w:textAlignment w:val="auto"/>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（1）</w:t>
            </w:r>
            <w:r>
              <w:rPr>
                <w:rFonts w:hint="eastAsia" w:cs="@仿宋_GB2312"/>
                <w:b w:val="0"/>
                <w:bCs w:val="0"/>
                <w:color w:val="auto"/>
                <w:kern w:val="2"/>
                <w:sz w:val="24"/>
                <w:szCs w:val="18"/>
                <w:highlight w:val="none"/>
                <w:lang w:val="en-US" w:eastAsia="zh-CN" w:bidi="ar-SA"/>
              </w:rPr>
              <w:t>电子交易服务费</w:t>
            </w:r>
            <w:r>
              <w:rPr>
                <w:rFonts w:hint="eastAsia" w:ascii="宋体" w:hAnsi="宋体" w:eastAsia="宋体" w:cs="@仿宋_GB2312"/>
                <w:b w:val="0"/>
                <w:bCs w:val="0"/>
                <w:color w:val="auto"/>
                <w:kern w:val="2"/>
                <w:sz w:val="24"/>
                <w:szCs w:val="18"/>
                <w:highlight w:val="none"/>
                <w:lang w:val="en-US" w:eastAsia="zh-CN" w:bidi="ar-SA"/>
              </w:rPr>
              <w:t>交纳账号采用动态虚拟账号，请供应商交纳</w:t>
            </w:r>
            <w:r>
              <w:rPr>
                <w:rFonts w:hint="eastAsia" w:cs="@仿宋_GB2312"/>
                <w:b w:val="0"/>
                <w:bCs w:val="0"/>
                <w:color w:val="auto"/>
                <w:kern w:val="2"/>
                <w:sz w:val="24"/>
                <w:szCs w:val="18"/>
                <w:highlight w:val="none"/>
                <w:lang w:val="en-US" w:eastAsia="zh-CN" w:bidi="ar-SA"/>
              </w:rPr>
              <w:t>电子交易服务费</w:t>
            </w:r>
            <w:r>
              <w:rPr>
                <w:rFonts w:hint="eastAsia" w:ascii="宋体" w:hAnsi="宋体" w:eastAsia="宋体" w:cs="@仿宋_GB2312"/>
                <w:b w:val="0"/>
                <w:bCs w:val="0"/>
                <w:color w:val="auto"/>
                <w:kern w:val="2"/>
                <w:sz w:val="24"/>
                <w:szCs w:val="18"/>
                <w:highlight w:val="none"/>
                <w:lang w:val="en-US" w:eastAsia="zh-CN" w:bidi="ar-SA"/>
              </w:rPr>
              <w:t>时，务必备注如下：</w:t>
            </w:r>
          </w:p>
          <w:p w14:paraId="16A1D47B">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0"/>
              <w:jc w:val="both"/>
              <w:textAlignment w:val="auto"/>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bCs/>
                <w:color w:val="auto"/>
                <w:kern w:val="2"/>
                <w:sz w:val="24"/>
                <w:szCs w:val="18"/>
                <w:highlight w:val="none"/>
                <w:lang w:val="en-US" w:eastAsia="zh-CN" w:bidi="ar-SA"/>
              </w:rPr>
              <w:t>（项目编号）</w:t>
            </w:r>
            <w:r>
              <w:rPr>
                <w:rFonts w:hint="eastAsia" w:cs="@仿宋_GB2312"/>
                <w:b/>
                <w:bCs/>
                <w:color w:val="auto"/>
                <w:kern w:val="2"/>
                <w:sz w:val="24"/>
                <w:szCs w:val="18"/>
                <w:highlight w:val="none"/>
                <w:lang w:val="en-US" w:eastAsia="zh-CN" w:bidi="ar-SA"/>
              </w:rPr>
              <w:t>电子交易服务费</w:t>
            </w:r>
          </w:p>
          <w:p w14:paraId="7CAB479B">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0"/>
              <w:jc w:val="both"/>
              <w:textAlignment w:val="auto"/>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供应商如未进行备注的，可能会因评审委员会无法识别</w:t>
            </w:r>
            <w:r>
              <w:rPr>
                <w:rFonts w:hint="eastAsia" w:cs="@仿宋_GB2312"/>
                <w:b w:val="0"/>
                <w:bCs w:val="0"/>
                <w:color w:val="auto"/>
                <w:kern w:val="2"/>
                <w:sz w:val="24"/>
                <w:szCs w:val="18"/>
                <w:highlight w:val="none"/>
                <w:lang w:val="en-US" w:eastAsia="zh-CN" w:bidi="ar-SA"/>
              </w:rPr>
              <w:t>电子交易服务费</w:t>
            </w:r>
            <w:r>
              <w:rPr>
                <w:rFonts w:hint="eastAsia" w:ascii="宋体" w:hAnsi="宋体" w:eastAsia="宋体" w:cs="@仿宋_GB2312"/>
                <w:b w:val="0"/>
                <w:bCs w:val="0"/>
                <w:color w:val="auto"/>
                <w:kern w:val="2"/>
                <w:sz w:val="24"/>
                <w:szCs w:val="18"/>
                <w:highlight w:val="none"/>
                <w:lang w:val="en-US" w:eastAsia="zh-CN" w:bidi="ar-SA"/>
              </w:rPr>
              <w:t>到账情况导致响应文件被否决，责任由供应商自行承担。</w:t>
            </w:r>
          </w:p>
          <w:p w14:paraId="40C1DEE7">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0"/>
              <w:jc w:val="both"/>
              <w:textAlignment w:val="auto"/>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（2）凡转账到其他项目</w:t>
            </w:r>
            <w:r>
              <w:rPr>
                <w:rFonts w:hint="eastAsia" w:cs="@仿宋_GB2312"/>
                <w:b w:val="0"/>
                <w:bCs w:val="0"/>
                <w:color w:val="auto"/>
                <w:kern w:val="2"/>
                <w:sz w:val="24"/>
                <w:szCs w:val="18"/>
                <w:highlight w:val="none"/>
                <w:lang w:val="en-US" w:eastAsia="zh-CN" w:bidi="ar-SA"/>
              </w:rPr>
              <w:t>电子交易服务费</w:t>
            </w:r>
            <w:r>
              <w:rPr>
                <w:rFonts w:hint="eastAsia" w:ascii="宋体" w:hAnsi="宋体" w:eastAsia="宋体" w:cs="@仿宋_GB2312"/>
                <w:b w:val="0"/>
                <w:bCs w:val="0"/>
                <w:color w:val="auto"/>
                <w:kern w:val="2"/>
                <w:sz w:val="24"/>
                <w:szCs w:val="18"/>
                <w:highlight w:val="none"/>
                <w:lang w:val="en-US" w:eastAsia="zh-CN" w:bidi="ar-SA"/>
              </w:rPr>
              <w:t>账户或本项目前次公告中</w:t>
            </w:r>
            <w:r>
              <w:rPr>
                <w:rFonts w:hint="eastAsia" w:cs="@仿宋_GB2312"/>
                <w:b w:val="0"/>
                <w:bCs w:val="0"/>
                <w:color w:val="auto"/>
                <w:kern w:val="2"/>
                <w:sz w:val="24"/>
                <w:szCs w:val="18"/>
                <w:highlight w:val="none"/>
                <w:lang w:val="en-US" w:eastAsia="zh-CN" w:bidi="ar-SA"/>
              </w:rPr>
              <w:t>电子交易服务费</w:t>
            </w:r>
            <w:r>
              <w:rPr>
                <w:rFonts w:hint="eastAsia" w:ascii="宋体" w:hAnsi="宋体" w:eastAsia="宋体" w:cs="@仿宋_GB2312"/>
                <w:b w:val="0"/>
                <w:bCs w:val="0"/>
                <w:color w:val="auto"/>
                <w:kern w:val="2"/>
                <w:sz w:val="24"/>
                <w:szCs w:val="18"/>
                <w:highlight w:val="none"/>
                <w:lang w:val="en-US" w:eastAsia="zh-CN" w:bidi="ar-SA"/>
              </w:rPr>
              <w:t>账户的，视为未按</w:t>
            </w:r>
            <w:r>
              <w:rPr>
                <w:rFonts w:hint="eastAsia" w:cs="@仿宋_GB2312"/>
                <w:b w:val="0"/>
                <w:bCs w:val="0"/>
                <w:color w:val="auto"/>
                <w:kern w:val="2"/>
                <w:sz w:val="24"/>
                <w:szCs w:val="18"/>
                <w:highlight w:val="none"/>
                <w:lang w:val="en-US" w:eastAsia="zh-CN" w:bidi="ar-SA"/>
              </w:rPr>
              <w:t>磋商</w:t>
            </w:r>
            <w:r>
              <w:rPr>
                <w:rFonts w:hint="eastAsia" w:ascii="宋体" w:hAnsi="宋体" w:eastAsia="宋体" w:cs="@仿宋_GB2312"/>
                <w:b w:val="0"/>
                <w:bCs w:val="0"/>
                <w:color w:val="auto"/>
                <w:kern w:val="2"/>
                <w:sz w:val="24"/>
                <w:szCs w:val="18"/>
                <w:highlight w:val="none"/>
                <w:lang w:val="en-US" w:eastAsia="zh-CN" w:bidi="ar-SA"/>
              </w:rPr>
              <w:t>文件规定要求交纳</w:t>
            </w:r>
            <w:r>
              <w:rPr>
                <w:rFonts w:hint="eastAsia" w:cs="@仿宋_GB2312"/>
                <w:b w:val="0"/>
                <w:bCs w:val="0"/>
                <w:color w:val="auto"/>
                <w:kern w:val="2"/>
                <w:sz w:val="24"/>
                <w:szCs w:val="18"/>
                <w:highlight w:val="none"/>
                <w:lang w:val="en-US" w:eastAsia="zh-CN" w:bidi="ar-SA"/>
              </w:rPr>
              <w:t>电子交易服务费</w:t>
            </w:r>
            <w:r>
              <w:rPr>
                <w:rFonts w:hint="eastAsia" w:ascii="宋体" w:hAnsi="宋体" w:eastAsia="宋体" w:cs="@仿宋_GB2312"/>
                <w:b w:val="0"/>
                <w:bCs w:val="0"/>
                <w:color w:val="auto"/>
                <w:kern w:val="2"/>
                <w:sz w:val="24"/>
                <w:szCs w:val="18"/>
                <w:highlight w:val="none"/>
                <w:lang w:val="en-US" w:eastAsia="zh-CN" w:bidi="ar-SA"/>
              </w:rPr>
              <w:t>，其响应无效。</w:t>
            </w:r>
          </w:p>
          <w:p w14:paraId="561850EB">
            <w:pPr>
              <w:spacing w:line="360" w:lineRule="auto"/>
              <w:jc w:val="left"/>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w:t>
            </w:r>
            <w:r>
              <w:rPr>
                <w:rFonts w:hint="eastAsia" w:cs="@仿宋_GB2312"/>
                <w:b w:val="0"/>
                <w:bCs w:val="0"/>
                <w:color w:val="auto"/>
                <w:kern w:val="2"/>
                <w:sz w:val="24"/>
                <w:szCs w:val="18"/>
                <w:highlight w:val="none"/>
                <w:lang w:val="en-US" w:eastAsia="zh-CN" w:bidi="ar-SA"/>
              </w:rPr>
              <w:t>3</w:t>
            </w:r>
            <w:r>
              <w:rPr>
                <w:rFonts w:hint="eastAsia" w:ascii="宋体" w:hAnsi="宋体" w:eastAsia="宋体" w:cs="@仿宋_GB2312"/>
                <w:b w:val="0"/>
                <w:bCs w:val="0"/>
                <w:color w:val="auto"/>
                <w:kern w:val="2"/>
                <w:sz w:val="24"/>
                <w:szCs w:val="18"/>
                <w:highlight w:val="none"/>
                <w:lang w:val="en-US" w:eastAsia="zh-CN" w:bidi="ar-SA"/>
              </w:rPr>
              <w:t>）供应商参与本项目多个标段</w:t>
            </w:r>
            <w:r>
              <w:rPr>
                <w:rFonts w:hint="eastAsia" w:cs="@仿宋_GB2312"/>
                <w:b w:val="0"/>
                <w:bCs w:val="0"/>
                <w:color w:val="auto"/>
                <w:kern w:val="2"/>
                <w:sz w:val="24"/>
                <w:szCs w:val="18"/>
                <w:highlight w:val="none"/>
                <w:lang w:val="en-US" w:eastAsia="zh-CN" w:bidi="ar-SA"/>
              </w:rPr>
              <w:t>磋商</w:t>
            </w:r>
            <w:r>
              <w:rPr>
                <w:rFonts w:hint="eastAsia" w:ascii="宋体" w:hAnsi="宋体" w:eastAsia="宋体" w:cs="@仿宋_GB2312"/>
                <w:b w:val="0"/>
                <w:bCs w:val="0"/>
                <w:color w:val="auto"/>
                <w:kern w:val="2"/>
                <w:sz w:val="24"/>
                <w:szCs w:val="18"/>
                <w:highlight w:val="none"/>
                <w:lang w:val="en-US" w:eastAsia="zh-CN" w:bidi="ar-SA"/>
              </w:rPr>
              <w:t>的（如分多标段的），应该按标段分别递交</w:t>
            </w:r>
            <w:r>
              <w:rPr>
                <w:rFonts w:hint="eastAsia" w:cs="@仿宋_GB2312"/>
                <w:b w:val="0"/>
                <w:bCs w:val="0"/>
                <w:color w:val="auto"/>
                <w:kern w:val="2"/>
                <w:sz w:val="24"/>
                <w:szCs w:val="18"/>
                <w:highlight w:val="none"/>
                <w:lang w:val="en-US" w:eastAsia="zh-CN" w:bidi="ar-SA"/>
              </w:rPr>
              <w:t>电子交易服务费</w:t>
            </w:r>
            <w:r>
              <w:rPr>
                <w:rFonts w:hint="eastAsia" w:ascii="宋体" w:hAnsi="宋体" w:eastAsia="宋体" w:cs="@仿宋_GB2312"/>
                <w:b w:val="0"/>
                <w:bCs w:val="0"/>
                <w:color w:val="auto"/>
                <w:kern w:val="2"/>
                <w:sz w:val="24"/>
                <w:szCs w:val="18"/>
                <w:highlight w:val="none"/>
                <w:lang w:val="en-US" w:eastAsia="zh-CN" w:bidi="ar-SA"/>
              </w:rPr>
              <w:t>。未递交</w:t>
            </w:r>
            <w:r>
              <w:rPr>
                <w:rFonts w:hint="eastAsia" w:cs="@仿宋_GB2312"/>
                <w:b w:val="0"/>
                <w:bCs w:val="0"/>
                <w:color w:val="auto"/>
                <w:kern w:val="2"/>
                <w:sz w:val="24"/>
                <w:szCs w:val="18"/>
                <w:highlight w:val="none"/>
                <w:lang w:val="en-US" w:eastAsia="zh-CN" w:bidi="ar-SA"/>
              </w:rPr>
              <w:t>电子交易服务费</w:t>
            </w:r>
            <w:r>
              <w:rPr>
                <w:rFonts w:hint="eastAsia" w:ascii="宋体" w:hAnsi="宋体" w:eastAsia="宋体" w:cs="@仿宋_GB2312"/>
                <w:b w:val="0"/>
                <w:bCs w:val="0"/>
                <w:color w:val="auto"/>
                <w:kern w:val="2"/>
                <w:sz w:val="24"/>
                <w:szCs w:val="18"/>
                <w:highlight w:val="none"/>
                <w:lang w:val="en-US" w:eastAsia="zh-CN" w:bidi="ar-SA"/>
              </w:rPr>
              <w:t>的标段，其响应无效。</w:t>
            </w:r>
          </w:p>
          <w:p w14:paraId="5656B494">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0"/>
              <w:jc w:val="both"/>
              <w:textAlignment w:val="auto"/>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（4）由于优质采云采购平台端口限制，</w:t>
            </w:r>
            <w:r>
              <w:rPr>
                <w:rFonts w:hint="eastAsia" w:ascii="宋体" w:hAnsi="宋体" w:eastAsia="宋体" w:cs="@仿宋_GB2312"/>
                <w:b w:val="0"/>
                <w:bCs w:val="0"/>
                <w:color w:val="auto"/>
                <w:kern w:val="2"/>
                <w:sz w:val="24"/>
                <w:szCs w:val="18"/>
                <w:highlight w:val="none"/>
                <w:lang w:val="zh-CN" w:eastAsia="zh-CN" w:bidi="ar-SA"/>
              </w:rPr>
              <w:t>供应商</w:t>
            </w:r>
            <w:r>
              <w:rPr>
                <w:rFonts w:hint="eastAsia" w:ascii="宋体" w:hAnsi="宋体" w:eastAsia="宋体" w:cs="@仿宋_GB2312"/>
                <w:b w:val="0"/>
                <w:bCs w:val="0"/>
                <w:color w:val="auto"/>
                <w:kern w:val="2"/>
                <w:sz w:val="24"/>
                <w:szCs w:val="18"/>
                <w:highlight w:val="none"/>
                <w:lang w:val="en-US" w:eastAsia="zh-CN" w:bidi="ar-SA"/>
              </w:rPr>
              <w:t>在优质采云采购平台看到的保证金（200元），其费用及效力等同于谈判文件的电子交易服务费。</w:t>
            </w:r>
          </w:p>
          <w:p w14:paraId="024F0601">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仿宋_GB2312"/>
                <w:b w:val="0"/>
                <w:bCs w:val="0"/>
                <w:color w:val="auto"/>
                <w:kern w:val="2"/>
                <w:sz w:val="24"/>
                <w:szCs w:val="18"/>
                <w:highlight w:val="none"/>
                <w:lang w:val="en-US" w:eastAsia="zh-CN" w:bidi="ar-SA"/>
              </w:rPr>
              <w:t>（5）项目评审结束后，如需开具电子交易服务费发票， 请致电咨询：王工，联系电话：0551-68821291。</w:t>
            </w:r>
          </w:p>
        </w:tc>
      </w:tr>
      <w:tr w14:paraId="3059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75" w:type="dxa"/>
            <w:noWrap w:val="0"/>
            <w:vAlign w:val="center"/>
          </w:tcPr>
          <w:p w14:paraId="1DDC50F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strike/>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24</w:t>
            </w:r>
          </w:p>
        </w:tc>
        <w:tc>
          <w:tcPr>
            <w:tcW w:w="1515" w:type="dxa"/>
            <w:noWrap w:val="0"/>
            <w:vAlign w:val="center"/>
          </w:tcPr>
          <w:p w14:paraId="57455B1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重要提示</w:t>
            </w:r>
          </w:p>
        </w:tc>
        <w:tc>
          <w:tcPr>
            <w:tcW w:w="7174" w:type="dxa"/>
            <w:noWrap w:val="0"/>
            <w:vAlign w:val="center"/>
          </w:tcPr>
          <w:p w14:paraId="6269744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1.中标人中标之后，应当在规定的期间内与招标人签订合同，招标人拒绝签订合同的，</w:t>
            </w:r>
            <w:r>
              <w:rPr>
                <w:rFonts w:hint="eastAsia" w:ascii="宋体" w:hAnsi="宋体" w:eastAsia="宋体" w:cs="宋体"/>
                <w:strike w:val="0"/>
                <w:dstrike w:val="0"/>
                <w:color w:val="auto"/>
                <w:sz w:val="24"/>
                <w:szCs w:val="24"/>
                <w:highlight w:val="none"/>
              </w:rPr>
              <w:t>中标人应当及时向</w:t>
            </w:r>
            <w:r>
              <w:rPr>
                <w:rFonts w:hint="eastAsia" w:ascii="宋体" w:hAnsi="宋体" w:eastAsia="宋体" w:cs="宋体"/>
                <w:strike w:val="0"/>
                <w:dstrike w:val="0"/>
                <w:color w:val="auto"/>
                <w:sz w:val="24"/>
                <w:szCs w:val="24"/>
                <w:highlight w:val="none"/>
                <w:lang w:eastAsia="zh-CN"/>
              </w:rPr>
              <w:t>监管部门</w:t>
            </w:r>
            <w:r>
              <w:rPr>
                <w:rFonts w:hint="eastAsia" w:ascii="宋体" w:hAnsi="宋体" w:eastAsia="宋体" w:cs="宋体"/>
                <w:strike w:val="0"/>
                <w:dstrike w:val="0"/>
                <w:color w:val="auto"/>
                <w:sz w:val="24"/>
                <w:szCs w:val="24"/>
                <w:highlight w:val="none"/>
              </w:rPr>
              <w:t>反映，以便协调处理；</w:t>
            </w:r>
          </w:p>
          <w:p w14:paraId="1A75E50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2.中标人中标之后，应当在规定的时间内与招标人签订合同，中标人拒绝签订合同的，招标人应当及时向</w:t>
            </w:r>
            <w:r>
              <w:rPr>
                <w:rFonts w:hint="eastAsia" w:ascii="宋体" w:hAnsi="宋体" w:eastAsia="宋体" w:cs="宋体"/>
                <w:strike w:val="0"/>
                <w:dstrike w:val="0"/>
                <w:color w:val="auto"/>
                <w:sz w:val="24"/>
                <w:szCs w:val="24"/>
                <w:highlight w:val="none"/>
                <w:lang w:eastAsia="zh-CN"/>
              </w:rPr>
              <w:t>监管部门</w:t>
            </w:r>
            <w:r>
              <w:rPr>
                <w:rFonts w:hint="eastAsia" w:ascii="宋体" w:hAnsi="宋体" w:eastAsia="宋体" w:cs="宋体"/>
                <w:strike w:val="0"/>
                <w:dstrike w:val="0"/>
                <w:color w:val="auto"/>
                <w:sz w:val="24"/>
                <w:szCs w:val="24"/>
                <w:highlight w:val="none"/>
              </w:rPr>
              <w:t>反映，以便协调处理；</w:t>
            </w:r>
          </w:p>
          <w:p w14:paraId="0AE0503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3.中标合同签订后，中标人未及时履行义务的，招标人应当及时向</w:t>
            </w:r>
            <w:r>
              <w:rPr>
                <w:rFonts w:hint="eastAsia" w:ascii="宋体" w:hAnsi="宋体" w:eastAsia="宋体" w:cs="宋体"/>
                <w:strike w:val="0"/>
                <w:dstrike w:val="0"/>
                <w:color w:val="auto"/>
                <w:sz w:val="24"/>
                <w:szCs w:val="24"/>
                <w:highlight w:val="none"/>
                <w:lang w:eastAsia="zh-CN"/>
              </w:rPr>
              <w:t>监管部门</w:t>
            </w:r>
            <w:r>
              <w:rPr>
                <w:rFonts w:hint="eastAsia" w:ascii="宋体" w:hAnsi="宋体" w:eastAsia="宋体" w:cs="宋体"/>
                <w:strike w:val="0"/>
                <w:dstrike w:val="0"/>
                <w:color w:val="auto"/>
                <w:sz w:val="24"/>
                <w:szCs w:val="24"/>
                <w:highlight w:val="none"/>
              </w:rPr>
              <w:t>反映，以便协调处理；</w:t>
            </w:r>
          </w:p>
          <w:p w14:paraId="1B7A6B1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4.中标合同签订后，招标人未及时履行义务影响中标人履行义务的，中标人应当及时向</w:t>
            </w:r>
            <w:r>
              <w:rPr>
                <w:rFonts w:hint="eastAsia" w:ascii="宋体" w:hAnsi="宋体" w:eastAsia="宋体" w:cs="宋体"/>
                <w:strike w:val="0"/>
                <w:dstrike w:val="0"/>
                <w:color w:val="auto"/>
                <w:sz w:val="24"/>
                <w:szCs w:val="24"/>
                <w:highlight w:val="none"/>
                <w:lang w:eastAsia="zh-CN"/>
              </w:rPr>
              <w:t>监管部门</w:t>
            </w:r>
            <w:r>
              <w:rPr>
                <w:rFonts w:hint="eastAsia" w:ascii="宋体" w:hAnsi="宋体" w:eastAsia="宋体" w:cs="宋体"/>
                <w:strike w:val="0"/>
                <w:dstrike w:val="0"/>
                <w:color w:val="auto"/>
                <w:sz w:val="24"/>
                <w:szCs w:val="24"/>
                <w:highlight w:val="none"/>
              </w:rPr>
              <w:t>反映，以便协调处理。</w:t>
            </w:r>
          </w:p>
          <w:p w14:paraId="6CD1DB2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招标人和中标人未履行上述义务的，</w:t>
            </w:r>
            <w:r>
              <w:rPr>
                <w:rFonts w:hint="eastAsia" w:ascii="宋体" w:hAnsi="宋体" w:eastAsia="宋体" w:cs="宋体"/>
                <w:strike w:val="0"/>
                <w:dstrike w:val="0"/>
                <w:color w:val="auto"/>
                <w:sz w:val="24"/>
                <w:szCs w:val="24"/>
                <w:highlight w:val="none"/>
                <w:lang w:eastAsia="zh-CN"/>
              </w:rPr>
              <w:t>监管部门</w:t>
            </w:r>
            <w:r>
              <w:rPr>
                <w:rFonts w:hint="eastAsia" w:ascii="宋体" w:hAnsi="宋体" w:eastAsia="宋体" w:cs="宋体"/>
                <w:strike w:val="0"/>
                <w:dstrike w:val="0"/>
                <w:color w:val="auto"/>
                <w:sz w:val="24"/>
                <w:szCs w:val="24"/>
                <w:highlight w:val="none"/>
              </w:rPr>
              <w:t>将依法对招标人和中标人进行处理，追究相关责任。</w:t>
            </w:r>
          </w:p>
        </w:tc>
      </w:tr>
      <w:tr w14:paraId="1EE24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75" w:type="dxa"/>
            <w:noWrap w:val="0"/>
            <w:vAlign w:val="center"/>
          </w:tcPr>
          <w:p w14:paraId="22725B2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25</w:t>
            </w:r>
          </w:p>
        </w:tc>
        <w:tc>
          <w:tcPr>
            <w:tcW w:w="1515" w:type="dxa"/>
            <w:noWrap w:val="0"/>
            <w:vAlign w:val="center"/>
          </w:tcPr>
          <w:p w14:paraId="5846734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特别提示</w:t>
            </w:r>
          </w:p>
        </w:tc>
        <w:tc>
          <w:tcPr>
            <w:tcW w:w="7174" w:type="dxa"/>
            <w:noWrap w:val="0"/>
            <w:vAlign w:val="center"/>
          </w:tcPr>
          <w:p w14:paraId="459DC83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lang w:val="en-US" w:eastAsia="zh-CN"/>
              </w:rPr>
              <w:t>1</w:t>
            </w:r>
            <w:r>
              <w:rPr>
                <w:rFonts w:hint="eastAsia" w:ascii="宋体" w:hAnsi="宋体" w:eastAsia="宋体" w:cs="宋体"/>
                <w:strike w:val="0"/>
                <w:dstrike w:val="0"/>
                <w:color w:val="auto"/>
                <w:sz w:val="24"/>
                <w:szCs w:val="24"/>
                <w:highlight w:val="none"/>
              </w:rPr>
              <w:t>.投标人响应文件中填报人员及投标人按磋商文件提出的最低要求填报派驻投标标段的其他管理和技术人员，经招标人审核后不得进行更换。除非磋商文件另有约定，投标人派驻投标标段的项目经理及项目主要人员均应为投标单位在职人员（不含外聘人员、返聘人员、临时聘用人员），否则招标人有权取消其中标资格。</w:t>
            </w:r>
          </w:p>
          <w:p w14:paraId="5CD7B93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strike/>
                <w:dstrike w:val="0"/>
                <w:color w:val="auto"/>
                <w:sz w:val="24"/>
                <w:szCs w:val="24"/>
                <w:highlight w:val="none"/>
              </w:rPr>
            </w:pPr>
            <w:r>
              <w:rPr>
                <w:rFonts w:hint="eastAsia" w:ascii="宋体" w:hAnsi="宋体" w:eastAsia="宋体" w:cs="宋体"/>
                <w:strike w:val="0"/>
                <w:dstrike w:val="0"/>
                <w:color w:val="auto"/>
                <w:sz w:val="24"/>
                <w:szCs w:val="24"/>
                <w:highlight w:val="none"/>
                <w:lang w:val="en-US" w:eastAsia="zh-CN"/>
              </w:rPr>
              <w:t>2</w:t>
            </w:r>
            <w:r>
              <w:rPr>
                <w:rFonts w:hint="eastAsia" w:ascii="宋体" w:hAnsi="宋体" w:eastAsia="宋体" w:cs="宋体"/>
                <w:strike w:val="0"/>
                <w:dstrike w:val="0"/>
                <w:color w:val="auto"/>
                <w:sz w:val="24"/>
                <w:szCs w:val="24"/>
                <w:highlight w:val="none"/>
              </w:rPr>
              <w:t>.投标人提供的如营业执照、资质证书、安全生产许可证、安全生产考核合格证书、注册建造师证书、安全生产考核合格证书等证书证件应在有效期内，若法律法规或发证机构或相关主管部门另有规定的，从其规定，但投标人须在响应文件中提供发证机构或相关主管部门发布的相关证明材料，或经询标被磋商小组认定符合相关规定的，磋商小组应予以认可。</w:t>
            </w:r>
          </w:p>
        </w:tc>
      </w:tr>
    </w:tbl>
    <w:p w14:paraId="6F85730C">
      <w:pPr>
        <w:spacing w:line="360" w:lineRule="auto"/>
        <w:rPr>
          <w:rFonts w:hint="eastAsia" w:ascii="宋体" w:hAnsi="宋体" w:eastAsia="宋体" w:cs="宋体"/>
          <w:color w:val="auto"/>
          <w:sz w:val="24"/>
          <w:szCs w:val="24"/>
          <w:highlight w:val="none"/>
        </w:rPr>
      </w:pPr>
      <w:bookmarkStart w:id="9" w:name="_Hlt509650027"/>
      <w:bookmarkEnd w:id="9"/>
      <w:bookmarkStart w:id="10" w:name="_Hlt519045778"/>
      <w:bookmarkEnd w:id="10"/>
    </w:p>
    <w:p w14:paraId="48DF46DF">
      <w:pPr>
        <w:spacing w:line="360" w:lineRule="auto"/>
        <w:rPr>
          <w:rFonts w:hint="eastAsia" w:ascii="宋体" w:hAnsi="宋体" w:eastAsia="宋体" w:cs="宋体"/>
          <w:color w:val="auto"/>
          <w:sz w:val="24"/>
          <w:szCs w:val="24"/>
          <w:highlight w:val="none"/>
        </w:rPr>
      </w:pPr>
    </w:p>
    <w:p w14:paraId="1C7CA604">
      <w:pPr>
        <w:pStyle w:val="3"/>
        <w:spacing w:line="500" w:lineRule="exact"/>
        <w:ind w:firstLine="0"/>
        <w:rPr>
          <w:rFonts w:hint="eastAsia" w:ascii="宋体" w:hAnsi="宋体" w:eastAsia="宋体" w:cs="宋体"/>
          <w:color w:val="auto"/>
          <w:highlight w:val="none"/>
        </w:rPr>
        <w:sectPr>
          <w:pgSz w:w="11907" w:h="16840"/>
          <w:pgMar w:top="1440" w:right="1247" w:bottom="1440" w:left="1247" w:header="851" w:footer="992" w:gutter="0"/>
          <w:pgBorders>
            <w:top w:val="none" w:sz="0" w:space="0"/>
            <w:left w:val="none" w:sz="0" w:space="0"/>
            <w:bottom w:val="none" w:sz="0" w:space="0"/>
            <w:right w:val="none" w:sz="0" w:space="0"/>
          </w:pgBorders>
          <w:cols w:space="720" w:num="1"/>
          <w:docGrid w:linePitch="303" w:charSpace="0"/>
        </w:sectPr>
      </w:pPr>
      <w:bookmarkStart w:id="11" w:name="_Hlt204508754"/>
      <w:bookmarkEnd w:id="11"/>
      <w:bookmarkStart w:id="12" w:name="_Hlt509650351"/>
      <w:bookmarkEnd w:id="12"/>
      <w:bookmarkStart w:id="13" w:name="_Hlt516969057"/>
      <w:bookmarkEnd w:id="13"/>
    </w:p>
    <w:p w14:paraId="766F4CA9">
      <w:pPr>
        <w:pStyle w:val="27"/>
        <w:widowControl w:val="0"/>
        <w:autoSpaceDE w:val="0"/>
        <w:autoSpaceDN w:val="0"/>
        <w:adjustRightInd w:val="0"/>
        <w:spacing w:before="0" w:after="0" w:line="360" w:lineRule="auto"/>
        <w:jc w:val="center"/>
        <w:rPr>
          <w:rFonts w:hint="eastAsia" w:ascii="宋体" w:hAnsi="宋体" w:eastAsia="宋体" w:cs="宋体"/>
          <w:b/>
          <w:bCs/>
          <w:color w:val="auto"/>
          <w:sz w:val="28"/>
          <w:szCs w:val="28"/>
          <w:highlight w:val="none"/>
        </w:rPr>
      </w:pPr>
      <w:bookmarkStart w:id="14" w:name="_Toc14697"/>
      <w:r>
        <w:rPr>
          <w:rFonts w:hint="eastAsia" w:ascii="宋体" w:hAnsi="宋体" w:eastAsia="宋体" w:cs="宋体"/>
          <w:b/>
          <w:bCs/>
          <w:color w:val="auto"/>
          <w:sz w:val="28"/>
          <w:szCs w:val="28"/>
          <w:highlight w:val="none"/>
        </w:rPr>
        <w:t>第三章 投标人须知</w:t>
      </w:r>
      <w:bookmarkEnd w:id="14"/>
    </w:p>
    <w:p w14:paraId="4BE8A3C1">
      <w:pPr>
        <w:pStyle w:val="27"/>
        <w:widowControl w:val="0"/>
        <w:autoSpaceDE w:val="0"/>
        <w:autoSpaceDN w:val="0"/>
        <w:adjustRightInd w:val="0"/>
        <w:spacing w:before="0" w:after="0" w:line="360" w:lineRule="auto"/>
        <w:jc w:val="center"/>
        <w:rPr>
          <w:rFonts w:hint="eastAsia" w:ascii="宋体" w:hAnsi="宋体" w:eastAsia="宋体" w:cs="宋体"/>
          <w:b/>
          <w:bCs/>
          <w:color w:val="auto"/>
          <w:kern w:val="2"/>
          <w:sz w:val="28"/>
          <w:szCs w:val="32"/>
          <w:highlight w:val="none"/>
          <w:lang w:val="en-US" w:eastAsia="zh-CN" w:bidi="ar-SA"/>
        </w:rPr>
      </w:pPr>
      <w:bookmarkStart w:id="15" w:name="_Hlt509649998"/>
      <w:bookmarkEnd w:id="15"/>
      <w:bookmarkStart w:id="16" w:name="_Hlt509649722"/>
      <w:bookmarkEnd w:id="16"/>
      <w:bookmarkStart w:id="17" w:name="_Hlt526418143"/>
      <w:bookmarkEnd w:id="17"/>
      <w:bookmarkStart w:id="18" w:name="_Hlt509650126"/>
      <w:bookmarkEnd w:id="18"/>
      <w:bookmarkStart w:id="19" w:name="_Hlt509650686"/>
      <w:bookmarkEnd w:id="19"/>
      <w:bookmarkStart w:id="20" w:name="_Hlt509650955"/>
      <w:bookmarkEnd w:id="20"/>
      <w:bookmarkStart w:id="21" w:name="_Toc21093"/>
      <w:r>
        <w:rPr>
          <w:rFonts w:hint="eastAsia" w:ascii="宋体" w:hAnsi="宋体" w:eastAsia="宋体" w:cs="宋体"/>
          <w:b/>
          <w:bCs/>
          <w:color w:val="auto"/>
          <w:kern w:val="2"/>
          <w:sz w:val="28"/>
          <w:szCs w:val="32"/>
          <w:highlight w:val="none"/>
          <w:lang w:val="en-US" w:eastAsia="zh-CN" w:bidi="ar-SA"/>
        </w:rPr>
        <w:t>一．总    则</w:t>
      </w:r>
      <w:bookmarkEnd w:id="21"/>
    </w:p>
    <w:p w14:paraId="412203DA">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1.适用范围</w:t>
      </w:r>
    </w:p>
    <w:p w14:paraId="4765112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1.1本磋商文件仅适用于本次磋商所述的</w:t>
      </w: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rPr>
        <w:t>项目招标。</w:t>
      </w:r>
    </w:p>
    <w:p w14:paraId="245ACC94">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2.有关定义</w:t>
      </w:r>
    </w:p>
    <w:p w14:paraId="45A47E0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bCs/>
          <w:color w:val="auto"/>
          <w:kern w:val="0"/>
          <w:sz w:val="24"/>
          <w:szCs w:val="18"/>
          <w:highlight w:val="none"/>
          <w:lang w:val="en-US" w:eastAsia="zh-CN" w:bidi="ar-SA"/>
        </w:rPr>
      </w:pPr>
      <w:r>
        <w:rPr>
          <w:rFonts w:hint="eastAsia" w:ascii="宋体" w:hAnsi="宋体" w:eastAsia="宋体" w:cs="宋体"/>
          <w:color w:val="auto"/>
          <w:sz w:val="24"/>
          <w:szCs w:val="24"/>
          <w:highlight w:val="none"/>
        </w:rPr>
        <w:t>2.1交易监督管理部门：</w:t>
      </w:r>
      <w:r>
        <w:rPr>
          <w:rFonts w:hint="eastAsia" w:ascii="宋体" w:hAnsi="宋体" w:cs="宋体"/>
          <w:bCs/>
          <w:color w:val="auto"/>
          <w:kern w:val="0"/>
          <w:sz w:val="24"/>
          <w:szCs w:val="18"/>
          <w:highlight w:val="none"/>
          <w:lang w:val="en-US" w:eastAsia="zh-CN" w:bidi="ar-SA"/>
        </w:rPr>
        <w:t>系指肥西县中医院监察室。</w:t>
      </w:r>
    </w:p>
    <w:p w14:paraId="5036321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2.2招标人：系指本次招标项目的业主方。</w:t>
      </w:r>
    </w:p>
    <w:p w14:paraId="1A93FCD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2.3委托人：系指本次招标项目的委托方。</w:t>
      </w:r>
    </w:p>
    <w:p w14:paraId="00854DF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2.4招标代理机构：系指</w:t>
      </w:r>
      <w:r>
        <w:rPr>
          <w:rFonts w:hint="eastAsia" w:ascii="宋体" w:hAnsi="宋体" w:eastAsia="宋体" w:cs="宋体"/>
          <w:color w:val="auto"/>
          <w:sz w:val="24"/>
          <w:szCs w:val="24"/>
          <w:highlight w:val="none"/>
          <w:lang w:eastAsia="zh-CN"/>
        </w:rPr>
        <w:t>肥西县公共资源交易有限责任公司</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县公共资源交易有限责任公司</w:t>
      </w:r>
      <w:r>
        <w:rPr>
          <w:rFonts w:hint="eastAsia" w:ascii="宋体" w:hAnsi="宋体" w:eastAsia="宋体" w:cs="宋体"/>
          <w:color w:val="auto"/>
          <w:sz w:val="24"/>
          <w:szCs w:val="24"/>
          <w:highlight w:val="none"/>
        </w:rPr>
        <w:t>”。</w:t>
      </w:r>
    </w:p>
    <w:p w14:paraId="0391711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2.5投标人：系指按规定获取了本磋商文件，且已经提交或准备提交本次响应文件的法人或者其他组织。</w:t>
      </w:r>
    </w:p>
    <w:p w14:paraId="7F4BB5D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rPr>
        <w:t>2.6服务：系指除货物和工程以外的其他招标对象，包括咨询、调研、评估、规划、设计、监理、审计、保险、租赁、印刷、维修、物业管理等。</w:t>
      </w:r>
    </w:p>
    <w:p w14:paraId="717114F5">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2.7业绩：</w:t>
      </w:r>
      <w:r>
        <w:rPr>
          <w:rFonts w:hint="eastAsia" w:ascii="宋体" w:hAnsi="宋体" w:eastAsia="宋体" w:cs="宋体"/>
          <w:color w:val="auto"/>
          <w:sz w:val="24"/>
          <w:highlight w:val="none"/>
        </w:rPr>
        <w:t>投标人与其关联公司（如母公司、分公司、全资子公司、控股子公司、同一法定代表人的公司）之间签订的合同，均不予认可。</w:t>
      </w:r>
    </w:p>
    <w:p w14:paraId="7C4EBC9E">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3.投标费用</w:t>
      </w:r>
    </w:p>
    <w:p w14:paraId="4F851FB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3.1无论投标结果如何，投标人应自行承担其编制与递交响应文件所涉及的一切费用。</w:t>
      </w:r>
    </w:p>
    <w:p w14:paraId="235E7881">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4.合格的投标人</w:t>
      </w:r>
    </w:p>
    <w:p w14:paraId="40F883D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4.1合格的投标人应符合磋商文件载明的投标资格。</w:t>
      </w:r>
    </w:p>
    <w:p w14:paraId="03F2459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4.1.1除非磋商文件认可，否则母、子公司之间的业绩、资质不得互用。</w:t>
      </w:r>
    </w:p>
    <w:p w14:paraId="1EAC7FC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4.2与招标人存在利害关系可能影响招标公正性的法人、其他组织或个人，不得参加投标。</w:t>
      </w:r>
    </w:p>
    <w:p w14:paraId="22DA483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单位负责人为同一人或者存在控股、管理关系的不同单位，不得参加同一标段投标或者未划分标段的同一招标项目投标。</w:t>
      </w:r>
    </w:p>
    <w:p w14:paraId="6E46BB5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违反前两款规定的，相关投标均无效。</w:t>
      </w:r>
    </w:p>
    <w:p w14:paraId="7A997348">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5.踏勘现场</w:t>
      </w:r>
    </w:p>
    <w:p w14:paraId="7FA2A12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5.1供应商应自行对供货（安装）、施工或服务现场和周围环境进行踏勘，以获取编制 响应文件和签署合同所需的资料。踏勘现场的方式、地址及联系方式见</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须知前附表。</w:t>
      </w:r>
    </w:p>
    <w:p w14:paraId="787B57C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踏勘现场所发生的费用由供应商自行承担。采购人向供应商提供的有关供货（安装）、施工或服务现场的资料和数据，是采购人现有的能使供应商利用的资料。采购人对供应商由此而做出的推论、理解和结论概不负责。供应商未到供货（安装）、施工或服务现场实地踏勘的，成交后签订合同时和履约过程中，不得以不完全了解现场情况为由，提出任何形式的增加合同价款或索赔的要求。</w:t>
      </w:r>
    </w:p>
    <w:p w14:paraId="1036435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5.3除非有特殊要求，磋商文件不单独提供供货（安装）、施工或服务地点的自然环境、气候条件、公用设施等情况，供应商被视为熟悉上述与履行合同有关的一切情况。</w:t>
      </w:r>
    </w:p>
    <w:p w14:paraId="35F2B90F">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6.知识产权</w:t>
      </w:r>
    </w:p>
    <w:p w14:paraId="23185CC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6.1</w:t>
      </w:r>
      <w:r>
        <w:rPr>
          <w:rFonts w:hint="eastAsia" w:ascii="宋体" w:hAnsi="宋体" w:eastAsia="宋体" w:cs="宋体"/>
          <w:bCs/>
          <w:color w:val="auto"/>
          <w:sz w:val="24"/>
          <w:szCs w:val="24"/>
          <w:highlight w:val="none"/>
        </w:rPr>
        <w:t>投标人须保证，招标人在中华人民共和国境内使用投标货物、资料、技术、服务或其任何一部分时，享有不受限制的无偿使用权，不会产生因第三方提出侵犯其专利权、商标权或其它知识产权而引起的法律或经济纠纷。如投标人不拥有相应的知识产权，则在投标报价中必须包括合法获取该知识产权的一切相关费用。</w:t>
      </w:r>
      <w:r>
        <w:rPr>
          <w:rFonts w:hint="eastAsia" w:ascii="宋体" w:hAnsi="宋体" w:eastAsia="宋体" w:cs="宋体"/>
          <w:color w:val="auto"/>
          <w:sz w:val="24"/>
          <w:szCs w:val="24"/>
          <w:highlight w:val="none"/>
        </w:rPr>
        <w:t>如因此导致招标人损失的，投标人须承担全部赔偿责任。</w:t>
      </w:r>
    </w:p>
    <w:p w14:paraId="38EC2057">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7.纪律与保密</w:t>
      </w:r>
    </w:p>
    <w:p w14:paraId="454C355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7.1投标人的投标行为应遵守中国的有关法律、法规和规章。</w:t>
      </w:r>
    </w:p>
    <w:p w14:paraId="2B7FD90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7.2投标人不得相互串通投标报价，不得排挤其他投标人的公平竞争，损害招标人或者其他投标人的合法权益。</w:t>
      </w:r>
    </w:p>
    <w:p w14:paraId="656EB42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投标人不得与招标人串通投标，损害国家利益、社会公共利益或者他人的合法权益。 禁止投标人以向招标人或者磋商小组成员行贿的手段谋取中标。</w:t>
      </w:r>
    </w:p>
    <w:p w14:paraId="54441EE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投标人不得以低于成本的报价竞标，也不得以他人名义投标或者以其他方式弄虚作假，骗取中标。</w:t>
      </w:r>
    </w:p>
    <w:p w14:paraId="5AA0D3C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7.3在确定中标人之前，投标人不得与招标人就投标价格、投标方案等实质性内容进行</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，也不得私下接触磋商小组成员。</w:t>
      </w:r>
    </w:p>
    <w:p w14:paraId="30CC3DB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7.4在确定中标人之前，投标人试图在响应文件审查、澄清、比较和评价时对磋商小组、招标人和</w:t>
      </w:r>
      <w:r>
        <w:rPr>
          <w:rFonts w:hint="eastAsia" w:ascii="宋体" w:hAnsi="宋体" w:eastAsia="宋体" w:cs="宋体"/>
          <w:color w:val="auto"/>
          <w:sz w:val="24"/>
          <w:szCs w:val="24"/>
          <w:highlight w:val="none"/>
          <w:lang w:eastAsia="zh-CN"/>
        </w:rPr>
        <w:t>县公共资源交易有限责任公司</w:t>
      </w:r>
      <w:r>
        <w:rPr>
          <w:rFonts w:hint="eastAsia" w:ascii="宋体" w:hAnsi="宋体" w:eastAsia="宋体" w:cs="宋体"/>
          <w:color w:val="auto"/>
          <w:sz w:val="24"/>
          <w:szCs w:val="24"/>
          <w:highlight w:val="none"/>
        </w:rPr>
        <w:t>施加任何影响都可能导致其投标无效。</w:t>
      </w:r>
    </w:p>
    <w:p w14:paraId="1CFE50E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7.5由招标人向投标人提供的图纸、详细资料、样品、模型、模件和所有其它资料，被视为保密资料，仅被用于它所规定的用途。除非得到招标人的同意，不能向任何第三方透露。磋商结束后，应招标人要求，投标人应归还所有从招标人处获得的保密资料。</w:t>
      </w:r>
    </w:p>
    <w:p w14:paraId="1857B434">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8.联合体磋商</w:t>
      </w:r>
    </w:p>
    <w:p w14:paraId="4612AB4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8.1除非本项目明确要求不接受联合体形式磋商外，两个以上法人（磋商文件如有约定，从其约定）或者其他组织可以组成一个联合体，以一个投标人的身份共同</w:t>
      </w:r>
      <w:r>
        <w:rPr>
          <w:rFonts w:hint="eastAsia" w:ascii="宋体" w:hAnsi="宋体" w:eastAsia="宋体" w:cs="宋体"/>
          <w:color w:val="auto"/>
          <w:sz w:val="24"/>
          <w:highlight w:val="none"/>
        </w:rPr>
        <w:t>磋商</w:t>
      </w:r>
      <w:r>
        <w:rPr>
          <w:rFonts w:hint="eastAsia" w:ascii="宋体" w:hAnsi="宋体" w:eastAsia="宋体" w:cs="宋体"/>
          <w:color w:val="auto"/>
          <w:sz w:val="24"/>
          <w:szCs w:val="24"/>
          <w:highlight w:val="none"/>
        </w:rPr>
        <w:t>。</w:t>
      </w:r>
    </w:p>
    <w:p w14:paraId="4613A73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8.2以联合体形式参加</w:t>
      </w:r>
      <w:r>
        <w:rPr>
          <w:rFonts w:hint="eastAsia" w:ascii="宋体" w:hAnsi="宋体" w:eastAsia="宋体" w:cs="宋体"/>
          <w:color w:val="auto"/>
          <w:sz w:val="24"/>
          <w:highlight w:val="none"/>
        </w:rPr>
        <w:t>磋商</w:t>
      </w:r>
      <w:r>
        <w:rPr>
          <w:rFonts w:hint="eastAsia" w:ascii="宋体" w:hAnsi="宋体" w:eastAsia="宋体" w:cs="宋体"/>
          <w:color w:val="auto"/>
          <w:sz w:val="24"/>
          <w:szCs w:val="24"/>
          <w:highlight w:val="none"/>
        </w:rPr>
        <w:t>的，联合体各方均应当具备承担</w:t>
      </w:r>
      <w:r>
        <w:rPr>
          <w:rFonts w:hint="eastAsia" w:ascii="宋体" w:hAnsi="宋体" w:eastAsia="宋体" w:cs="宋体"/>
          <w:color w:val="auto"/>
          <w:sz w:val="24"/>
          <w:highlight w:val="none"/>
        </w:rPr>
        <w:t>磋商</w:t>
      </w:r>
      <w:r>
        <w:rPr>
          <w:rFonts w:hint="eastAsia" w:ascii="宋体" w:hAnsi="宋体" w:eastAsia="宋体" w:cs="宋体"/>
          <w:color w:val="auto"/>
          <w:sz w:val="24"/>
          <w:szCs w:val="24"/>
          <w:highlight w:val="none"/>
        </w:rPr>
        <w:t>项目的相应能力；国家有关规定或者磋商文件对投标人资格条件有规定的，联合体各方均应当具备规定的相应资格条件。由同一专业的单位组成的联合体，按照资质等级较低的单位确定资质等级。</w:t>
      </w:r>
    </w:p>
    <w:p w14:paraId="1603E5D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联合体各方应当签订联合体协议，明确约定各方拟承担的工作和责任，并将联合体协议连同响应文件一并提交。联合体中标的，联合体各方应当共同与招标人签订合同，就中标项目向招标人承担连带责任。联合体各方在同一招标项目（标段）中以自己名义单独</w:t>
      </w:r>
      <w:r>
        <w:rPr>
          <w:rFonts w:hint="eastAsia" w:ascii="宋体" w:hAnsi="宋体" w:eastAsia="宋体" w:cs="宋体"/>
          <w:color w:val="auto"/>
          <w:sz w:val="24"/>
          <w:highlight w:val="none"/>
        </w:rPr>
        <w:t>磋商</w:t>
      </w:r>
      <w:r>
        <w:rPr>
          <w:rFonts w:hint="eastAsia" w:ascii="宋体" w:hAnsi="宋体" w:eastAsia="宋体" w:cs="宋体"/>
          <w:color w:val="auto"/>
          <w:sz w:val="24"/>
          <w:szCs w:val="24"/>
          <w:highlight w:val="none"/>
        </w:rPr>
        <w:t>或者参加其他联合体磋商的，相关</w:t>
      </w:r>
      <w:r>
        <w:rPr>
          <w:rFonts w:hint="eastAsia" w:ascii="宋体" w:hAnsi="宋体" w:eastAsia="宋体" w:cs="宋体"/>
          <w:color w:val="auto"/>
          <w:sz w:val="24"/>
          <w:highlight w:val="none"/>
        </w:rPr>
        <w:t>磋商</w:t>
      </w:r>
      <w:r>
        <w:rPr>
          <w:rFonts w:hint="eastAsia" w:ascii="宋体" w:hAnsi="宋体" w:eastAsia="宋体" w:cs="宋体"/>
          <w:color w:val="auto"/>
          <w:sz w:val="24"/>
          <w:szCs w:val="24"/>
          <w:highlight w:val="none"/>
        </w:rPr>
        <w:t>均无效。</w:t>
      </w:r>
    </w:p>
    <w:p w14:paraId="6D0E139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w:t>
      </w:r>
      <w:r>
        <w:rPr>
          <w:rFonts w:hint="eastAsia" w:ascii="宋体" w:hAnsi="宋体" w:eastAsia="宋体" w:cs="宋体"/>
          <w:color w:val="auto"/>
          <w:sz w:val="24"/>
          <w:highlight w:val="none"/>
        </w:rPr>
        <w:t>联合体磋商的，磋商保证金由联合体牵头方递交，以一方名义递交保证金的，对联合体各方均具有约束力。</w:t>
      </w:r>
    </w:p>
    <w:p w14:paraId="5049F89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8.5除磋商文件有明确约定的，联合体参加</w:t>
      </w:r>
      <w:r>
        <w:rPr>
          <w:rFonts w:hint="eastAsia" w:ascii="宋体" w:hAnsi="宋体" w:eastAsia="宋体" w:cs="宋体"/>
          <w:color w:val="auto"/>
          <w:sz w:val="24"/>
          <w:highlight w:val="none"/>
        </w:rPr>
        <w:t>磋商</w:t>
      </w:r>
      <w:r>
        <w:rPr>
          <w:rFonts w:hint="eastAsia" w:ascii="宋体" w:hAnsi="宋体" w:eastAsia="宋体" w:cs="宋体"/>
          <w:color w:val="auto"/>
          <w:sz w:val="24"/>
          <w:szCs w:val="24"/>
          <w:highlight w:val="none"/>
        </w:rPr>
        <w:t>的，可以由联合体中的任一方获取磋商文件。</w:t>
      </w:r>
    </w:p>
    <w:p w14:paraId="43C83CF3">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highlight w:val="none"/>
        </w:rPr>
        <w:t>投标专用章的效力</w:t>
      </w:r>
    </w:p>
    <w:p w14:paraId="0BCDF06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.1磋商文件中明确要求加盖公章的，投标人必须加盖投标人公章。在有授权文件(原件或原件的扫描件)表明投标专用章法律效力等同于投标人公章的情况下，可以加盖投标专用章，否则将导致投标无效。</w:t>
      </w:r>
    </w:p>
    <w:p w14:paraId="3633C034">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0</w:t>
      </w:r>
      <w:r>
        <w:rPr>
          <w:rFonts w:hint="eastAsia" w:ascii="宋体" w:hAnsi="宋体" w:eastAsia="宋体" w:cs="宋体"/>
          <w:b/>
          <w:bCs/>
          <w:color w:val="auto"/>
          <w:sz w:val="24"/>
          <w:highlight w:val="none"/>
        </w:rPr>
        <w:t>.合同标的转让</w:t>
      </w:r>
    </w:p>
    <w:p w14:paraId="6E49CBD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.1合同未约定或者未经招标人同意，中标人不得向他人转让中标项目，也不得将中标项目肢解后分别向他人转让。</w:t>
      </w:r>
    </w:p>
    <w:p w14:paraId="352D67F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2合同约定或者经招标人同意，中标人可以将中标项目的部分非主体、非关键性工作分包给他人完成。接受分包的人应当具备相应的资格条件，并不得再次分包。如果本项目允许分包，投标人根据招标项目的实际情况，拟在中标后将中标项目的非主体、非关键性工作交由他人完成的，应在响应文件中载明。</w:t>
      </w:r>
    </w:p>
    <w:p w14:paraId="566E2BB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.3中标人应当就分包项目向招标人负责，接受分包的人就分包项目承担连带责任。</w:t>
      </w:r>
    </w:p>
    <w:p w14:paraId="7AD63F85">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rPr>
        <w:t>.磋商信息的发布</w:t>
      </w:r>
    </w:p>
    <w:p w14:paraId="59F25A9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.1与本次磋商活动相关的信息，将在肥西县公共资源交易有限责任公司（http://www.fxggzy.cn/）</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优质采云采购平台、安徽省招标投标信息网、中国采购与招标</w:t>
      </w:r>
      <w:r>
        <w:rPr>
          <w:rFonts w:hint="eastAsia" w:ascii="宋体" w:hAnsi="宋体" w:eastAsia="宋体" w:cs="宋体"/>
          <w:color w:val="auto"/>
          <w:sz w:val="24"/>
          <w:highlight w:val="none"/>
          <w:lang w:val="en-US" w:eastAsia="zh-CN"/>
        </w:rPr>
        <w:t>网上发布</w:t>
      </w:r>
      <w:r>
        <w:rPr>
          <w:rFonts w:hint="eastAsia" w:ascii="宋体" w:hAnsi="宋体" w:eastAsia="宋体" w:cs="宋体"/>
          <w:color w:val="auto"/>
          <w:sz w:val="24"/>
          <w:highlight w:val="none"/>
        </w:rPr>
        <w:t>。</w:t>
      </w:r>
    </w:p>
    <w:p w14:paraId="3EE20383">
      <w:pPr>
        <w:pStyle w:val="2"/>
        <w:spacing w:line="500" w:lineRule="exact"/>
        <w:rPr>
          <w:rFonts w:hint="eastAsia" w:ascii="宋体" w:hAnsi="宋体" w:eastAsia="宋体" w:cs="宋体"/>
          <w:color w:val="auto"/>
          <w:sz w:val="28"/>
          <w:highlight w:val="none"/>
        </w:rPr>
      </w:pPr>
      <w:bookmarkStart w:id="22" w:name="_Toc27865"/>
      <w:r>
        <w:rPr>
          <w:rFonts w:hint="eastAsia" w:ascii="宋体" w:hAnsi="宋体" w:eastAsia="宋体" w:cs="宋体"/>
          <w:color w:val="auto"/>
          <w:sz w:val="28"/>
          <w:highlight w:val="none"/>
        </w:rPr>
        <w:t>二．磋商文件</w:t>
      </w:r>
      <w:bookmarkEnd w:id="22"/>
      <w:bookmarkStart w:id="23" w:name="_Hlt509649930"/>
      <w:bookmarkEnd w:id="23"/>
      <w:bookmarkStart w:id="24" w:name="_Hlt509649791"/>
      <w:bookmarkEnd w:id="24"/>
      <w:bookmarkStart w:id="25" w:name="_Hlt509650361"/>
      <w:bookmarkEnd w:id="25"/>
    </w:p>
    <w:p w14:paraId="75E955A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auto"/>
          <w:sz w:val="24"/>
          <w:szCs w:val="24"/>
          <w:highlight w:val="none"/>
        </w:rPr>
      </w:pPr>
      <w:bookmarkStart w:id="26" w:name="_Hlt509650734"/>
      <w:bookmarkEnd w:id="26"/>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.磋商文件构成</w:t>
      </w:r>
    </w:p>
    <w:p w14:paraId="226BC0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12.1磋商文件包括以下部分：</w:t>
      </w:r>
    </w:p>
    <w:p w14:paraId="496D9D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12.1.1第一章：磋商邀请（磋商公告）；</w:t>
      </w:r>
    </w:p>
    <w:p w14:paraId="0CAD90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12.1.2第二章：投标人须知前附表；</w:t>
      </w:r>
    </w:p>
    <w:p w14:paraId="77A121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12.1.3第三章：投标人须知；</w:t>
      </w:r>
    </w:p>
    <w:p w14:paraId="7DDF29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12.1.4第四章：磋商需求；</w:t>
      </w:r>
    </w:p>
    <w:p w14:paraId="48810C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12.1.5第五章：磋商与评审办法；</w:t>
      </w:r>
    </w:p>
    <w:p w14:paraId="75D24A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12.1.6第六章：合同；</w:t>
      </w:r>
    </w:p>
    <w:p w14:paraId="2D280D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12.1.7第七章：响应文件格式；</w:t>
      </w:r>
    </w:p>
    <w:p w14:paraId="1A0556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县公共资源交易有限责任公司</w:t>
      </w:r>
      <w:r>
        <w:rPr>
          <w:rFonts w:hint="eastAsia" w:ascii="宋体" w:hAnsi="宋体" w:eastAsia="宋体" w:cs="宋体"/>
          <w:color w:val="auto"/>
          <w:sz w:val="24"/>
          <w:szCs w:val="24"/>
          <w:highlight w:val="none"/>
        </w:rPr>
        <w:t>发布的图纸、答疑、补遗、补充通知等。</w:t>
      </w:r>
    </w:p>
    <w:p w14:paraId="0E5F7A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 投标人应认真阅读磋商文件中所有的事项、格式、条件、条款和规范等要求。</w:t>
      </w:r>
    </w:p>
    <w:p w14:paraId="6441E9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12.3投标人应当按照磋商文件的要求编制响应文件。响应文件应对磋商文件提出的要求和条件作出实质性响应。</w:t>
      </w:r>
    </w:p>
    <w:p w14:paraId="58AD0B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12.4投标人获取磋商文件后，应仔细检查磋商文件的所有内容，如有残缺等问题应在获得磋商文件3日内向</w:t>
      </w:r>
      <w:r>
        <w:rPr>
          <w:rFonts w:hint="eastAsia" w:ascii="宋体" w:hAnsi="宋体" w:eastAsia="宋体" w:cs="宋体"/>
          <w:color w:val="auto"/>
          <w:sz w:val="24"/>
          <w:szCs w:val="24"/>
          <w:highlight w:val="none"/>
          <w:lang w:eastAsia="zh-CN"/>
        </w:rPr>
        <w:t>县公共资源交易有限责任公司</w:t>
      </w:r>
      <w:r>
        <w:rPr>
          <w:rFonts w:hint="eastAsia" w:ascii="宋体" w:hAnsi="宋体" w:eastAsia="宋体" w:cs="宋体"/>
          <w:color w:val="auto"/>
          <w:sz w:val="24"/>
          <w:szCs w:val="24"/>
          <w:highlight w:val="none"/>
        </w:rPr>
        <w:t>提出，否则，由此引起的损失由投标人自行承担。</w:t>
      </w:r>
    </w:p>
    <w:p w14:paraId="4421C00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w:t>
      </w:r>
      <w:r>
        <w:rPr>
          <w:rFonts w:hint="eastAsia" w:ascii="宋体" w:hAnsi="宋体" w:eastAsia="宋体" w:cs="宋体"/>
          <w:b/>
          <w:color w:val="auto"/>
          <w:sz w:val="24"/>
          <w:highlight w:val="none"/>
        </w:rPr>
        <w:t>磋商文件的澄清与修改</w:t>
      </w:r>
    </w:p>
    <w:p w14:paraId="6CA74D5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13.1投标人</w:t>
      </w:r>
      <w:r>
        <w:rPr>
          <w:rFonts w:hint="eastAsia" w:ascii="宋体" w:hAnsi="宋体" w:eastAsia="宋体" w:cs="宋体"/>
          <w:color w:val="auto"/>
          <w:sz w:val="24"/>
          <w:highlight w:val="none"/>
        </w:rPr>
        <w:t>如对磋商文件内容有疑问，必须在</w:t>
      </w:r>
      <w:r>
        <w:rPr>
          <w:rFonts w:hint="eastAsia" w:ascii="宋体" w:hAnsi="宋体" w:eastAsia="宋体" w:cs="宋体"/>
          <w:color w:val="auto"/>
          <w:sz w:val="24"/>
          <w:highlight w:val="none"/>
          <w:u w:val="single"/>
          <w:lang w:val="en-US" w:eastAsia="zh-CN"/>
        </w:rPr>
        <w:t>投标人</w:t>
      </w:r>
      <w:r>
        <w:rPr>
          <w:rFonts w:hint="eastAsia" w:ascii="宋体" w:hAnsi="宋体" w:eastAsia="宋体" w:cs="宋体"/>
          <w:color w:val="auto"/>
          <w:sz w:val="24"/>
          <w:highlight w:val="none"/>
          <w:u w:val="single"/>
        </w:rPr>
        <w:t>须知前附表</w:t>
      </w:r>
      <w:r>
        <w:rPr>
          <w:rFonts w:hint="eastAsia" w:ascii="宋体" w:hAnsi="宋体" w:eastAsia="宋体" w:cs="宋体"/>
          <w:color w:val="auto"/>
          <w:sz w:val="24"/>
          <w:highlight w:val="none"/>
        </w:rPr>
        <w:t>规定的网上询问截止时间前以网上提问形式提交给采购代理机构。</w:t>
      </w:r>
    </w:p>
    <w:p w14:paraId="75D1489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13.2招标人</w:t>
      </w:r>
      <w:r>
        <w:rPr>
          <w:rFonts w:hint="eastAsia" w:ascii="宋体" w:hAnsi="宋体" w:eastAsia="宋体" w:cs="宋体"/>
          <w:color w:val="auto"/>
          <w:sz w:val="24"/>
          <w:highlight w:val="none"/>
        </w:rPr>
        <w:t>可主动或在解答供应商提出的问题时对磋商文件进行澄清或者修改。</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rPr>
        <w:t>代理机构将在</w:t>
      </w:r>
      <w:r>
        <w:rPr>
          <w:rFonts w:hint="eastAsia" w:ascii="宋体" w:hAnsi="宋体" w:eastAsia="宋体" w:cs="宋体"/>
          <w:color w:val="auto"/>
          <w:sz w:val="24"/>
          <w:szCs w:val="18"/>
          <w:highlight w:val="none"/>
          <w:lang w:eastAsia="zh-CN"/>
        </w:rPr>
        <w:t>优质采云采购平台</w:t>
      </w:r>
      <w:r>
        <w:rPr>
          <w:rFonts w:hint="eastAsia" w:ascii="宋体" w:hAnsi="宋体" w:eastAsia="宋体" w:cs="宋体"/>
          <w:color w:val="auto"/>
          <w:sz w:val="24"/>
          <w:highlight w:val="none"/>
        </w:rPr>
        <w:t>以发布更正公告的方式澄清或者修改磋商文件，更正公告的内容作为磋商文件的组成部分，对</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起约束作用。供应商应主动上网查询。</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rPr>
        <w:t>代理机构不承担</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未及时关注相关信息引发的相关责任。</w:t>
      </w:r>
    </w:p>
    <w:p w14:paraId="2C48492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rPr>
        <w:t>.3任何人或任何组织向</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提供的任何书面或口头资料，未经</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rPr>
        <w:t>代理机构在网上发布或书面通知，均作无效处理，不得作为磋商文件的组成部分。</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rPr>
        <w:t>代理机构对</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由此而做出的推论、理解和结论概不负责。</w:t>
      </w:r>
    </w:p>
    <w:p w14:paraId="643E2C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rPr>
        <w:t>.4对于没有提出询问又参与了本项目磋商的供应商将被视为完全认同本磋商文件（含更正公告的内容）</w:t>
      </w:r>
      <w:r>
        <w:rPr>
          <w:rFonts w:hint="eastAsia" w:ascii="宋体" w:hAnsi="宋体" w:eastAsia="宋体" w:cs="宋体"/>
          <w:color w:val="auto"/>
          <w:sz w:val="24"/>
          <w:highlight w:val="none"/>
          <w:lang w:eastAsia="zh-CN"/>
        </w:rPr>
        <w:t>。</w:t>
      </w:r>
    </w:p>
    <w:p w14:paraId="399FE649">
      <w:pPr>
        <w:pStyle w:val="2"/>
        <w:spacing w:line="500" w:lineRule="exact"/>
        <w:rPr>
          <w:rFonts w:hint="eastAsia" w:ascii="宋体" w:hAnsi="宋体" w:eastAsia="宋体" w:cs="宋体"/>
          <w:color w:val="auto"/>
          <w:sz w:val="28"/>
          <w:highlight w:val="none"/>
        </w:rPr>
      </w:pPr>
      <w:bookmarkStart w:id="27" w:name="_Hlt509649724"/>
      <w:bookmarkEnd w:id="27"/>
      <w:bookmarkStart w:id="28" w:name="_Hlt510342861"/>
      <w:bookmarkEnd w:id="28"/>
      <w:bookmarkStart w:id="29" w:name="_Hlt509650697"/>
      <w:bookmarkEnd w:id="29"/>
      <w:bookmarkStart w:id="30" w:name="_Toc21487"/>
      <w:r>
        <w:rPr>
          <w:rFonts w:hint="eastAsia" w:ascii="宋体" w:hAnsi="宋体" w:eastAsia="宋体" w:cs="宋体"/>
          <w:color w:val="auto"/>
          <w:sz w:val="28"/>
          <w:highlight w:val="none"/>
        </w:rPr>
        <w:t>三．响应文件的编制</w:t>
      </w:r>
      <w:bookmarkEnd w:id="30"/>
    </w:p>
    <w:p w14:paraId="0E4FC63C">
      <w:pPr>
        <w:keepNext w:val="0"/>
        <w:keepLines w:val="0"/>
        <w:pageBreakBefore w:val="0"/>
        <w:widowControl w:val="0"/>
        <w:kinsoku/>
        <w:wordWrap/>
        <w:overflowPunct/>
        <w:topLinePunct w:val="0"/>
        <w:autoSpaceDE/>
        <w:autoSpaceDN/>
        <w:bidi w:val="0"/>
        <w:adjustRightInd/>
        <w:spacing w:line="360" w:lineRule="auto"/>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.响应文件构成与要求</w:t>
      </w:r>
    </w:p>
    <w:p w14:paraId="76B65137">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rPr>
      </w:pPr>
      <w:bookmarkStart w:id="31" w:name="_Hlt509650345"/>
      <w:bookmarkEnd w:id="31"/>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.1响应文件是对磋商文件的实质性响应及承诺文件。</w:t>
      </w:r>
    </w:p>
    <w:p w14:paraId="56249295">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w:t>
      </w:r>
      <w:r>
        <w:rPr>
          <w:rFonts w:hint="eastAsia" w:ascii="宋体" w:hAnsi="宋体" w:eastAsia="宋体" w:cs="宋体"/>
          <w:bCs/>
          <w:color w:val="auto"/>
          <w:sz w:val="24"/>
          <w:szCs w:val="24"/>
          <w:highlight w:val="none"/>
        </w:rPr>
        <w:t>除非注明“投标人</w:t>
      </w:r>
      <w:r>
        <w:rPr>
          <w:rFonts w:hint="eastAsia" w:ascii="宋体" w:hAnsi="宋体" w:eastAsia="宋体" w:cs="宋体"/>
          <w:color w:val="auto"/>
          <w:sz w:val="24"/>
          <w:szCs w:val="24"/>
          <w:highlight w:val="none"/>
        </w:rPr>
        <w:t>可自行制作格式”，响应文件应使用磋商文件提供的格式。</w:t>
      </w:r>
    </w:p>
    <w:p w14:paraId="122643A0">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3除专用术语外，响应文件以及投标人与招标人就有关磋商的往来函电均应使用中文。投标人提交的支持性文件和印制的文件可以用另一种语言，但相应内容应翻译成中文，对不同文字文本响应文件的解释发生异议的，以中文文本为准。</w:t>
      </w:r>
    </w:p>
    <w:p w14:paraId="00C07708">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.4除非磋商文件另有规定，响应文件应使用中华人民共和国法定计量单位。</w:t>
      </w:r>
    </w:p>
    <w:p w14:paraId="28800C18">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5除非磋商文件另有规定，响应文件应使用人民币填报所有报价。允许以多种货币报价的，或涉及合同金额等计算的，均按照中国银行在磋商日公布的汇率中间价换算成人民币。公司注册资本为外币，须折算成人民币的，按照公司成立日期当日(以营业执照注明的成立日期为准）中国人民银行公布的汇率的中间价计算（投标人应提供成立日期当日中国人民银行公布的汇率的中间价作为参考）。</w:t>
      </w:r>
    </w:p>
    <w:p w14:paraId="2CEE7211">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.6投标人提供的资质证书（或资格证明、认证证书等）处于年检、换证、升级、变更等期间，除非法律法规或发证机构有书面材料明确表明投标人资质（或资格)有效，否则一律不予认可。</w:t>
      </w:r>
    </w:p>
    <w:p w14:paraId="6BD54EC6">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.7电报、电话、传真形式的投标概不接受。</w:t>
      </w:r>
    </w:p>
    <w:p w14:paraId="6FC4BA06">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本磋商文件所要求的证书、认证、资质，均应当是有权机构颁发，且在有效期内的。</w:t>
      </w:r>
    </w:p>
    <w:p w14:paraId="75817E7F">
      <w:pPr>
        <w:keepNext w:val="0"/>
        <w:keepLines w:val="0"/>
        <w:pageBreakBefore w:val="0"/>
        <w:widowControl w:val="0"/>
        <w:kinsoku/>
        <w:wordWrap/>
        <w:overflowPunct/>
        <w:topLinePunct w:val="0"/>
        <w:autoSpaceDE/>
        <w:autoSpaceDN/>
        <w:bidi w:val="0"/>
        <w:adjustRightInd/>
        <w:spacing w:line="360" w:lineRule="auto"/>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.报价</w:t>
      </w:r>
    </w:p>
    <w:p w14:paraId="0FB19A9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的报价应当包括满足本次磋商全部采购需求所应提供的货物，以及伴随的服务和工程。所有内容均应以人民币报价，</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的磋商报价应遵守《中华人民共和国价格法》。</w:t>
      </w:r>
    </w:p>
    <w:p w14:paraId="0860155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应在分项报价表上标明所投货物及相关服务的单价（如适用）和总价，未标明的视同包含在磋商报价中。</w:t>
      </w:r>
    </w:p>
    <w:p w14:paraId="3B27D9C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rPr>
        <w:t>.3除非磋商文件另有规定或经</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rPr>
        <w:t>人同意支付的，最后报价均不得高于磋商文件（公告）列明的项目预算，否则其响应文件将被认定为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13C81D4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rPr>
        <w:t>.4报价在合同履行过程中是固定不变的，不得以任何理由予以变更。任何包含价格调整要求的磋商，其响应文件将被认定为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0D6FA652">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.5</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rPr>
        <w:t>人不接受具有附加条件的报价。</w:t>
      </w:r>
    </w:p>
    <w:p w14:paraId="5C4A6A87">
      <w:pPr>
        <w:keepNext w:val="0"/>
        <w:keepLines w:val="0"/>
        <w:pageBreakBefore w:val="0"/>
        <w:widowControl w:val="0"/>
        <w:kinsoku/>
        <w:wordWrap/>
        <w:overflowPunct/>
        <w:topLinePunct w:val="0"/>
        <w:autoSpaceDE/>
        <w:autoSpaceDN/>
        <w:bidi w:val="0"/>
        <w:adjustRightInd/>
        <w:spacing w:line="360" w:lineRule="auto"/>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.投标内容填写及说明</w:t>
      </w:r>
    </w:p>
    <w:p w14:paraId="39E97608">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响应文件须对磋商文件载明的投标资格、技术、资信、服务、报价等全部要求和条件做出实质性和完整的响应，如果响应文件填报的内容资料不详，或没有提供磋商文件中所要求的全部资料、证明及数据，将可能导致投标无效。</w:t>
      </w:r>
    </w:p>
    <w:p w14:paraId="05E95CEA">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.2投标人应在响应文件中提交磋商文件要求的有关证明文件，作为其响应文件的一部分。</w:t>
      </w:r>
    </w:p>
    <w:p w14:paraId="0FDDBD1E">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17.3</w:t>
      </w:r>
      <w:r>
        <w:rPr>
          <w:rFonts w:hint="eastAsia" w:ascii="宋体" w:hAnsi="宋体" w:eastAsia="宋体" w:cs="宋体"/>
          <w:color w:val="auto"/>
          <w:sz w:val="24"/>
          <w:szCs w:val="24"/>
          <w:highlight w:val="none"/>
        </w:rPr>
        <w:t>响应文件须对磋商文件载明的全部初审要求（如磋商资格、技术、资信、服务、报价等），做出实质性响应，如果响应文件填报的内容资料不详，或没有提供磋商文件中所要求的资料、证明及数据，将导致投标无效</w:t>
      </w:r>
      <w:r>
        <w:rPr>
          <w:rFonts w:hint="eastAsia" w:ascii="宋体" w:hAnsi="宋体" w:eastAsia="宋体" w:cs="宋体"/>
          <w:color w:val="auto"/>
          <w:sz w:val="24"/>
          <w:szCs w:val="24"/>
          <w:highlight w:val="none"/>
          <w:lang w:eastAsia="zh-CN"/>
        </w:rPr>
        <w:t>。</w:t>
      </w:r>
    </w:p>
    <w:p w14:paraId="5DFF8A3E">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strike/>
          <w:dstrike w:val="0"/>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响应文件应字迹清楚、编排有序、内容齐全、不得涂改或增删。如有错漏处必须修改，应在修改处加盖投标人公章。</w:t>
      </w:r>
    </w:p>
    <w:p w14:paraId="228FABAB">
      <w:pPr>
        <w:keepNext w:val="0"/>
        <w:keepLines w:val="0"/>
        <w:pageBreakBefore w:val="0"/>
        <w:widowControl w:val="0"/>
        <w:kinsoku/>
        <w:wordWrap/>
        <w:overflowPunct/>
        <w:topLinePunct w:val="0"/>
        <w:autoSpaceDE/>
        <w:autoSpaceDN/>
        <w:bidi w:val="0"/>
        <w:adjustRightInd/>
        <w:spacing w:line="360" w:lineRule="auto"/>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8</w:t>
      </w:r>
      <w:r>
        <w:rPr>
          <w:rFonts w:hint="eastAsia" w:ascii="宋体" w:hAnsi="宋体" w:eastAsia="宋体" w:cs="宋体"/>
          <w:b/>
          <w:color w:val="auto"/>
          <w:sz w:val="24"/>
          <w:szCs w:val="24"/>
          <w:highlight w:val="none"/>
        </w:rPr>
        <w:t>.磋商保证金</w:t>
      </w:r>
    </w:p>
    <w:p w14:paraId="5CC3F246">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1</w:t>
      </w:r>
      <w:r>
        <w:rPr>
          <w:rFonts w:hint="eastAsia" w:ascii="宋体" w:hAnsi="宋体" w:eastAsia="宋体" w:cs="宋体"/>
          <w:color w:val="auto"/>
          <w:sz w:val="24"/>
          <w:szCs w:val="22"/>
          <w:highlight w:val="none"/>
          <w:lang w:val="en-US" w:eastAsia="zh-CN"/>
        </w:rPr>
        <w:t>8</w:t>
      </w:r>
      <w:r>
        <w:rPr>
          <w:rFonts w:hint="eastAsia" w:ascii="宋体" w:hAnsi="宋体" w:eastAsia="宋体" w:cs="宋体"/>
          <w:color w:val="auto"/>
          <w:sz w:val="24"/>
          <w:szCs w:val="22"/>
          <w:highlight w:val="none"/>
        </w:rPr>
        <w:t>.1投标人在递交响应文件的同时，应按投标人须知前附表规定的金额、担保形式和第七章“响应文件格式”规定的磋商保证金格式递交磋商保证金，并作为其响应文件的组成部分。境内投标人以现金或者支票形式提交的磋商保证金，应当从其账户转出并在响应文件中附上证明。联合体投标的，其磋商保证金由牵头人递交，并应符合投标人须知前附表的规定。</w:t>
      </w:r>
    </w:p>
    <w:p w14:paraId="440A4D3A">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1</w:t>
      </w:r>
      <w:r>
        <w:rPr>
          <w:rFonts w:hint="eastAsia" w:ascii="宋体" w:hAnsi="宋体" w:eastAsia="宋体" w:cs="宋体"/>
          <w:color w:val="auto"/>
          <w:sz w:val="24"/>
          <w:szCs w:val="22"/>
          <w:highlight w:val="none"/>
          <w:lang w:val="en-US" w:eastAsia="zh-CN"/>
        </w:rPr>
        <w:t>8</w:t>
      </w:r>
      <w:r>
        <w:rPr>
          <w:rFonts w:hint="eastAsia" w:ascii="宋体" w:hAnsi="宋体" w:eastAsia="宋体" w:cs="宋体"/>
          <w:color w:val="auto"/>
          <w:sz w:val="24"/>
          <w:szCs w:val="22"/>
          <w:highlight w:val="none"/>
        </w:rPr>
        <w:t>.2无论采取何种形式的磋商保证金，磋商保证金有效期均应与投标有效期一致。招标人如果按本章1</w:t>
      </w:r>
      <w:r>
        <w:rPr>
          <w:rFonts w:hint="eastAsia" w:ascii="宋体" w:hAnsi="宋体" w:eastAsia="宋体" w:cs="宋体"/>
          <w:color w:val="auto"/>
          <w:sz w:val="24"/>
          <w:szCs w:val="22"/>
          <w:highlight w:val="none"/>
          <w:lang w:val="en-US" w:eastAsia="zh-CN"/>
        </w:rPr>
        <w:t>9</w:t>
      </w:r>
      <w:r>
        <w:rPr>
          <w:rFonts w:hint="eastAsia" w:ascii="宋体" w:hAnsi="宋体" w:eastAsia="宋体" w:cs="宋体"/>
          <w:color w:val="auto"/>
          <w:sz w:val="24"/>
          <w:szCs w:val="22"/>
          <w:highlight w:val="none"/>
        </w:rPr>
        <w:t>.4项的规定延长了投标有效期，则磋商保证金的有效期也相应延长。</w:t>
      </w:r>
    </w:p>
    <w:p w14:paraId="3F4E0C1A">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1</w:t>
      </w:r>
      <w:r>
        <w:rPr>
          <w:rFonts w:hint="eastAsia" w:ascii="宋体" w:hAnsi="宋体" w:eastAsia="宋体" w:cs="宋体"/>
          <w:color w:val="auto"/>
          <w:sz w:val="24"/>
          <w:szCs w:val="22"/>
          <w:highlight w:val="none"/>
          <w:lang w:val="en-US" w:eastAsia="zh-CN"/>
        </w:rPr>
        <w:t>8</w:t>
      </w:r>
      <w:r>
        <w:rPr>
          <w:rFonts w:hint="eastAsia" w:ascii="宋体" w:hAnsi="宋体" w:eastAsia="宋体" w:cs="宋体"/>
          <w:color w:val="auto"/>
          <w:sz w:val="24"/>
          <w:szCs w:val="22"/>
          <w:highlight w:val="none"/>
        </w:rPr>
        <w:t>.3 投标人不按本章1</w:t>
      </w:r>
      <w:r>
        <w:rPr>
          <w:rFonts w:hint="eastAsia" w:ascii="宋体" w:hAnsi="宋体" w:eastAsia="宋体" w:cs="宋体"/>
          <w:color w:val="auto"/>
          <w:sz w:val="24"/>
          <w:szCs w:val="22"/>
          <w:highlight w:val="none"/>
          <w:lang w:val="en-US" w:eastAsia="zh-CN"/>
        </w:rPr>
        <w:t>8</w:t>
      </w:r>
      <w:r>
        <w:rPr>
          <w:rFonts w:hint="eastAsia" w:ascii="宋体" w:hAnsi="宋体" w:eastAsia="宋体" w:cs="宋体"/>
          <w:color w:val="auto"/>
          <w:sz w:val="24"/>
          <w:szCs w:val="22"/>
          <w:highlight w:val="none"/>
        </w:rPr>
        <w:t>.1要求提交磋商保证金的，</w:t>
      </w:r>
      <w:r>
        <w:rPr>
          <w:rFonts w:hint="eastAsia" w:ascii="宋体" w:hAnsi="宋体" w:eastAsia="宋体" w:cs="宋体"/>
          <w:color w:val="auto"/>
          <w:kern w:val="0"/>
          <w:sz w:val="24"/>
          <w:highlight w:val="none"/>
        </w:rPr>
        <w:t>磋商小组</w:t>
      </w:r>
      <w:r>
        <w:rPr>
          <w:rFonts w:hint="eastAsia" w:ascii="宋体" w:hAnsi="宋体" w:eastAsia="宋体" w:cs="宋体"/>
          <w:color w:val="auto"/>
          <w:sz w:val="24"/>
          <w:szCs w:val="22"/>
          <w:highlight w:val="none"/>
        </w:rPr>
        <w:t>将否决其投标。</w:t>
      </w:r>
    </w:p>
    <w:p w14:paraId="7DBB9F80">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1</w:t>
      </w:r>
      <w:r>
        <w:rPr>
          <w:rFonts w:hint="eastAsia" w:ascii="宋体" w:hAnsi="宋体" w:eastAsia="宋体" w:cs="宋体"/>
          <w:color w:val="auto"/>
          <w:sz w:val="24"/>
          <w:szCs w:val="22"/>
          <w:highlight w:val="none"/>
          <w:lang w:val="en-US" w:eastAsia="zh-CN"/>
        </w:rPr>
        <w:t>8</w:t>
      </w:r>
      <w:r>
        <w:rPr>
          <w:rFonts w:hint="eastAsia" w:ascii="宋体" w:hAnsi="宋体" w:eastAsia="宋体" w:cs="宋体"/>
          <w:color w:val="auto"/>
          <w:sz w:val="24"/>
          <w:szCs w:val="22"/>
          <w:highlight w:val="none"/>
        </w:rPr>
        <w:t>.4招标人最迟将在中标通知书发出后5日内向中标候选人以外的其他投标人退还磋商保证金，与中标人签订合同后5日内向中标人和其他中标候选人退还磋商保证金。磋商保证金以现金或支票形式递交的，招标人应同时退还磋商保证金的银行同期活期存款利息，且退还至投标人的账户。</w:t>
      </w:r>
    </w:p>
    <w:p w14:paraId="13D4567D">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1</w:t>
      </w:r>
      <w:r>
        <w:rPr>
          <w:rFonts w:hint="eastAsia" w:ascii="宋体" w:hAnsi="宋体" w:eastAsia="宋体" w:cs="宋体"/>
          <w:color w:val="auto"/>
          <w:sz w:val="24"/>
          <w:szCs w:val="22"/>
          <w:highlight w:val="none"/>
          <w:lang w:val="en-US" w:eastAsia="zh-CN"/>
        </w:rPr>
        <w:t>8</w:t>
      </w:r>
      <w:r>
        <w:rPr>
          <w:rFonts w:hint="eastAsia" w:ascii="宋体" w:hAnsi="宋体" w:eastAsia="宋体" w:cs="宋体"/>
          <w:color w:val="auto"/>
          <w:sz w:val="24"/>
          <w:szCs w:val="22"/>
          <w:highlight w:val="none"/>
        </w:rPr>
        <w:t>.5有下列情形之一的，磋商保证金将不予退还：</w:t>
      </w:r>
    </w:p>
    <w:p w14:paraId="699282DD">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（1）投标人在规定的投标有效期内撤销其投标；</w:t>
      </w:r>
    </w:p>
    <w:p w14:paraId="68EFE26B">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中标候选人无正当理由放弃中标项目资格的；或中标人无正当理由不与招标人签订合同的；或中标人在签订合同时向招标人提出附加条件或者更改合同实质性内容的；或中标人不提交磋商文件所要求的履约保证金的；</w:t>
      </w:r>
    </w:p>
    <w:p w14:paraId="49851371">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（3）投标人存在弄虚作假行为的。</w:t>
      </w:r>
    </w:p>
    <w:p w14:paraId="49BE2BD3">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注：如磋商保证金采用第二类形式，出现以上情形的，由受益人向开立人申请索赔。</w:t>
      </w:r>
    </w:p>
    <w:p w14:paraId="08C2EFFC">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1</w:t>
      </w:r>
      <w:r>
        <w:rPr>
          <w:rFonts w:hint="eastAsia" w:ascii="宋体" w:hAnsi="宋体" w:eastAsia="宋体" w:cs="宋体"/>
          <w:color w:val="auto"/>
          <w:sz w:val="24"/>
          <w:szCs w:val="22"/>
          <w:highlight w:val="none"/>
          <w:lang w:val="en-US" w:eastAsia="zh-CN"/>
        </w:rPr>
        <w:t>8</w:t>
      </w:r>
      <w:r>
        <w:rPr>
          <w:rFonts w:hint="eastAsia" w:ascii="宋体" w:hAnsi="宋体" w:eastAsia="宋体" w:cs="宋体"/>
          <w:color w:val="auto"/>
          <w:sz w:val="24"/>
          <w:szCs w:val="22"/>
          <w:highlight w:val="none"/>
        </w:rPr>
        <w:t>.6由于投标人行为导致招标人或</w:t>
      </w:r>
      <w:r>
        <w:rPr>
          <w:rFonts w:hint="eastAsia" w:ascii="宋体" w:hAnsi="宋体" w:eastAsia="宋体" w:cs="宋体"/>
          <w:color w:val="auto"/>
          <w:sz w:val="24"/>
          <w:szCs w:val="22"/>
          <w:highlight w:val="none"/>
          <w:lang w:eastAsia="zh-CN"/>
        </w:rPr>
        <w:t>肥西县公共资源交易有限责任公司</w:t>
      </w:r>
      <w:r>
        <w:rPr>
          <w:rFonts w:hint="eastAsia" w:ascii="宋体" w:hAnsi="宋体" w:eastAsia="宋体" w:cs="宋体"/>
          <w:color w:val="auto"/>
          <w:sz w:val="24"/>
          <w:szCs w:val="22"/>
          <w:highlight w:val="none"/>
        </w:rPr>
        <w:t>损失的，相应损失由投标人承担，从磋商保证金中扣除。磋商保证金扣除后仍不足以弥补损失的，投标人应当对超过部分予以赔偿。</w:t>
      </w:r>
    </w:p>
    <w:p w14:paraId="4ABFA269">
      <w:pPr>
        <w:keepNext w:val="0"/>
        <w:keepLines w:val="0"/>
        <w:pageBreakBefore w:val="0"/>
        <w:widowControl w:val="0"/>
        <w:kinsoku/>
        <w:wordWrap/>
        <w:overflowPunct/>
        <w:topLinePunct w:val="0"/>
        <w:autoSpaceDE/>
        <w:autoSpaceDN/>
        <w:bidi w:val="0"/>
        <w:adjustRightInd/>
        <w:spacing w:line="360" w:lineRule="auto"/>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9</w:t>
      </w:r>
      <w:r>
        <w:rPr>
          <w:rFonts w:hint="eastAsia" w:ascii="宋体" w:hAnsi="宋体" w:eastAsia="宋体" w:cs="宋体"/>
          <w:b/>
          <w:color w:val="auto"/>
          <w:sz w:val="24"/>
          <w:szCs w:val="24"/>
          <w:highlight w:val="none"/>
        </w:rPr>
        <w:t>.投标有效期</w:t>
      </w:r>
    </w:p>
    <w:p w14:paraId="488A982E">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.1为保证招标人有足够的时间完成评标和与中标人签订合同，规定投标有效期。投标有效期期限见投标人须知前附表。</w:t>
      </w:r>
    </w:p>
    <w:p w14:paraId="1D102298">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.2在投标有效期内，投标人的投标保持有效，投标人不得要求撤销或修改其响应文件。</w:t>
      </w:r>
    </w:p>
    <w:p w14:paraId="6F313FB7">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.3投标有效期从投标截止日起计算。</w:t>
      </w:r>
    </w:p>
    <w:p w14:paraId="767E9E66">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4出现特殊情况需要延长投标有效期的，招标人以书面形式通知所有投标人延长投标有效期。投标人应予以书面答复，同意延长的，应相应延长其磋商保证金的有效期，但不得要求或被允许修改其响应文件；投标人拒绝延长的，其投标失效，但投标人有权收回其磋商保证金及以现金或者支票形式递交的磋商保证金的银行同期存款利息。</w:t>
      </w:r>
    </w:p>
    <w:p w14:paraId="6C76CBD6">
      <w:pPr>
        <w:keepNext w:val="0"/>
        <w:keepLines w:val="0"/>
        <w:pageBreakBefore w:val="0"/>
        <w:widowControl w:val="0"/>
        <w:kinsoku/>
        <w:wordWrap/>
        <w:overflowPunct/>
        <w:topLinePunct w:val="0"/>
        <w:autoSpaceDE/>
        <w:autoSpaceDN/>
        <w:bidi w:val="0"/>
        <w:adjustRightInd/>
        <w:spacing w:line="360" w:lineRule="auto"/>
        <w:ind w:firstLine="482" w:firstLineChars="200"/>
        <w:jc w:val="left"/>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.响应文件</w:t>
      </w:r>
      <w:r>
        <w:rPr>
          <w:rFonts w:hint="eastAsia" w:ascii="宋体" w:hAnsi="宋体" w:eastAsia="宋体" w:cs="宋体"/>
          <w:b/>
          <w:color w:val="auto"/>
          <w:sz w:val="24"/>
          <w:szCs w:val="24"/>
          <w:highlight w:val="none"/>
          <w:lang w:val="en-US" w:eastAsia="zh-CN"/>
        </w:rPr>
        <w:t>的制作</w:t>
      </w:r>
    </w:p>
    <w:p w14:paraId="568DF02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20.1.本项目采用全流程电子化招标采购方式，投标人必须递交电子投标文件，并对电子投标文件进行电子签章并使用CA锁进行加密，在磋商文件规定的投标截止时间前使用“优质采投标工具客户端”完成上传。</w:t>
      </w:r>
    </w:p>
    <w:p w14:paraId="23308CD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20.2.全流程电子招标采购项目供应商必须上传CA锁加密的电子投标文件，供应商下载磋商文件后，如未在磋商文件规定的投标文件递交截止时间前上传电子投标文件，视为投标无效；投标人在投标文件递交截止时间前，可以对其所递交的电子投标文件进行撤回，修改后重新上传（具体操作详见教程）；</w:t>
      </w:r>
    </w:p>
    <w:p w14:paraId="407DF34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20.3.响应文件递交截止时间以优质采云采购平台（www.youzhicai.com）系统的时间为准，逾期系统将自动关闭,电子响应文件未完成上传的，视为没有递交响应文件；</w:t>
      </w:r>
    </w:p>
    <w:p w14:paraId="1497E09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20.4.响应文件可远程解密，供应商无需到达开标现场。磋商文件“投标人须知”中另有规定的，从其规定。</w:t>
      </w:r>
    </w:p>
    <w:p w14:paraId="19CF7927">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lang w:val="en-US" w:eastAsia="zh-CN"/>
        </w:rPr>
        <w:t>20.5.投标人在制作、上传电子投标文件过程中，若存在技术操作问题，请及时联系优质采云采购平台客服人员，客服电话：400-0099-555，0551-62220164，0551-62220012。</w:t>
      </w:r>
    </w:p>
    <w:p w14:paraId="6A40DD2F">
      <w:pPr>
        <w:pStyle w:val="2"/>
        <w:spacing w:line="360" w:lineRule="auto"/>
        <w:ind w:firstLine="628"/>
        <w:rPr>
          <w:rFonts w:hint="eastAsia" w:ascii="宋体" w:hAnsi="宋体" w:eastAsia="宋体" w:cs="宋体"/>
          <w:color w:val="auto"/>
          <w:sz w:val="28"/>
          <w:highlight w:val="none"/>
        </w:rPr>
      </w:pPr>
      <w:bookmarkStart w:id="32" w:name="_Hlt509649294"/>
      <w:bookmarkEnd w:id="32"/>
      <w:bookmarkStart w:id="33" w:name="_Hlt509650572"/>
      <w:bookmarkEnd w:id="33"/>
      <w:bookmarkStart w:id="34" w:name="_Toc522466826"/>
      <w:bookmarkStart w:id="35" w:name="_Toc1863"/>
      <w:r>
        <w:rPr>
          <w:rFonts w:hint="eastAsia" w:ascii="宋体" w:hAnsi="宋体" w:eastAsia="宋体" w:cs="宋体"/>
          <w:color w:val="auto"/>
          <w:sz w:val="28"/>
          <w:highlight w:val="none"/>
        </w:rPr>
        <w:t>四．响应文件的递交</w:t>
      </w:r>
      <w:bookmarkEnd w:id="34"/>
      <w:bookmarkEnd w:id="35"/>
      <w:bookmarkStart w:id="36" w:name="_Hlt509649414"/>
      <w:bookmarkEnd w:id="36"/>
    </w:p>
    <w:p w14:paraId="7A61B38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w:t>
      </w:r>
      <w:r>
        <w:rPr>
          <w:rFonts w:hint="eastAsia" w:ascii="宋体" w:hAnsi="宋体" w:eastAsia="宋体" w:cs="宋体"/>
          <w:b/>
          <w:color w:val="auto"/>
          <w:sz w:val="24"/>
          <w:highlight w:val="none"/>
        </w:rPr>
        <w:t>响应文件的递交</w:t>
      </w:r>
    </w:p>
    <w:p w14:paraId="4404365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21</w:t>
      </w: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应在</w:t>
      </w:r>
      <w:r>
        <w:rPr>
          <w:rFonts w:hint="eastAsia" w:ascii="宋体" w:hAnsi="宋体" w:eastAsia="宋体" w:cs="宋体"/>
          <w:color w:val="auto"/>
          <w:sz w:val="24"/>
          <w:highlight w:val="none"/>
          <w:u w:val="single"/>
          <w:lang w:val="en-US" w:eastAsia="zh-CN"/>
        </w:rPr>
        <w:t>投标人</w:t>
      </w:r>
      <w:r>
        <w:rPr>
          <w:rFonts w:hint="eastAsia" w:ascii="宋体" w:hAnsi="宋体" w:eastAsia="宋体" w:cs="宋体"/>
          <w:color w:val="auto"/>
          <w:sz w:val="24"/>
          <w:highlight w:val="none"/>
          <w:u w:val="single"/>
        </w:rPr>
        <w:t>须知前附表</w:t>
      </w:r>
      <w:r>
        <w:rPr>
          <w:rFonts w:hint="eastAsia" w:ascii="宋体" w:hAnsi="宋体" w:eastAsia="宋体" w:cs="宋体"/>
          <w:color w:val="auto"/>
          <w:sz w:val="24"/>
          <w:highlight w:val="none"/>
        </w:rPr>
        <w:t>中规定的响应文件提交截止时间前，在网上提交加密电子响应文件。</w:t>
      </w:r>
    </w:p>
    <w:p w14:paraId="13500AE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21</w:t>
      </w: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在磋商文件规定的响应文件提交截止时间前上传了网上加密电子响应文件，但未在规定时间内进行解密的，</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79C271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21</w:t>
      </w: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招标人</w:t>
      </w:r>
      <w:r>
        <w:rPr>
          <w:rFonts w:hint="eastAsia" w:ascii="宋体" w:hAnsi="宋体" w:eastAsia="宋体" w:cs="宋体"/>
          <w:color w:val="auto"/>
          <w:sz w:val="24"/>
          <w:highlight w:val="none"/>
        </w:rPr>
        <w:t>和</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rPr>
        <w:t>代理机构延迟响应文件提交截止时间的。</w:t>
      </w:r>
      <w:r>
        <w:rPr>
          <w:rFonts w:hint="eastAsia" w:ascii="宋体" w:hAnsi="宋体" w:eastAsia="宋体" w:cs="宋体"/>
          <w:color w:val="auto"/>
          <w:sz w:val="24"/>
          <w:highlight w:val="none"/>
          <w:lang w:val="en-US" w:eastAsia="zh-CN"/>
        </w:rPr>
        <w:t>招标人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rPr>
        <w:t>代理机构和</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受响应文件提交截止时间制约的所有权利和义务均应延长至新的截止时间。</w:t>
      </w:r>
    </w:p>
    <w:p w14:paraId="201674E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.响应文件的修改和撤回</w:t>
      </w:r>
    </w:p>
    <w:p w14:paraId="7CB9CE5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22</w:t>
      </w: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应当在第一章“磋商邀请”规定的响应文件提交截止时间前，将加密的响应文件在</w:t>
      </w:r>
      <w:r>
        <w:rPr>
          <w:rFonts w:hint="eastAsia" w:ascii="宋体" w:hAnsi="宋体" w:eastAsia="宋体" w:cs="宋体"/>
          <w:color w:val="auto"/>
          <w:sz w:val="24"/>
          <w:highlight w:val="none"/>
          <w:lang w:val="en-US" w:eastAsia="zh-CN"/>
        </w:rPr>
        <w:t>优质采云采购平台（www.youzhicai.com）</w:t>
      </w:r>
      <w:r>
        <w:rPr>
          <w:rFonts w:hint="eastAsia" w:ascii="宋体" w:hAnsi="宋体" w:eastAsia="宋体" w:cs="宋体"/>
          <w:color w:val="auto"/>
          <w:sz w:val="24"/>
          <w:highlight w:val="none"/>
        </w:rPr>
        <w:t>上传。</w:t>
      </w:r>
    </w:p>
    <w:p w14:paraId="77E81AD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22</w:t>
      </w: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应当在响应文件提交截止时间前完成响应文件的传输提交，并可以补充、修改或者撤回响应文件。响应文件提交截止时间前未完成响应文件传输的，视为撤回响应文件。未按规定加密或响应文件提交截止时间后送达的响应文件，电子交易系统应当拒收。</w:t>
      </w:r>
    </w:p>
    <w:p w14:paraId="27C9A59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22</w:t>
      </w: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应在</w:t>
      </w:r>
      <w:r>
        <w:rPr>
          <w:rFonts w:hint="eastAsia" w:ascii="宋体" w:hAnsi="宋体" w:eastAsia="宋体" w:cs="宋体"/>
          <w:color w:val="auto"/>
          <w:sz w:val="24"/>
          <w:highlight w:val="none"/>
          <w:u w:val="single"/>
          <w:lang w:val="en-US" w:eastAsia="zh-CN"/>
        </w:rPr>
        <w:t>投标人</w:t>
      </w:r>
      <w:r>
        <w:rPr>
          <w:rFonts w:hint="eastAsia" w:ascii="宋体" w:hAnsi="宋体" w:eastAsia="宋体" w:cs="宋体"/>
          <w:color w:val="auto"/>
          <w:sz w:val="24"/>
          <w:highlight w:val="none"/>
          <w:u w:val="single"/>
        </w:rPr>
        <w:t>须知前附表</w:t>
      </w:r>
      <w:r>
        <w:rPr>
          <w:rFonts w:hint="eastAsia" w:ascii="宋体" w:hAnsi="宋体" w:eastAsia="宋体" w:cs="宋体"/>
          <w:color w:val="auto"/>
          <w:sz w:val="24"/>
          <w:highlight w:val="none"/>
        </w:rPr>
        <w:t>规定的解密时间前（以</w:t>
      </w:r>
      <w:r>
        <w:rPr>
          <w:rFonts w:hint="eastAsia" w:ascii="宋体" w:hAnsi="宋体" w:eastAsia="宋体" w:cs="宋体"/>
          <w:color w:val="auto"/>
          <w:sz w:val="24"/>
          <w:highlight w:val="none"/>
          <w:lang w:val="en-US" w:eastAsia="zh-CN"/>
        </w:rPr>
        <w:t>优质采云采购平台（www.youzhicai.com）系统的</w:t>
      </w:r>
      <w:r>
        <w:rPr>
          <w:rFonts w:hint="eastAsia" w:ascii="宋体" w:hAnsi="宋体" w:eastAsia="宋体" w:cs="宋体"/>
          <w:color w:val="auto"/>
          <w:sz w:val="24"/>
          <w:highlight w:val="none"/>
        </w:rPr>
        <w:t>解密倒计时为准）对本单位的响应文件进行解密，</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rPr>
        <w:t>代理机构工作人员在监督员监督下解密所有响应文件。</w:t>
      </w:r>
    </w:p>
    <w:p w14:paraId="53355F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8"/>
          <w:highlight w:val="none"/>
        </w:rPr>
      </w:pPr>
      <w:r>
        <w:rPr>
          <w:rFonts w:hint="eastAsia" w:ascii="宋体" w:hAnsi="宋体" w:eastAsia="宋体" w:cs="宋体"/>
          <w:color w:val="auto"/>
          <w:sz w:val="24"/>
          <w:highlight w:val="none"/>
          <w:lang w:val="en-US" w:eastAsia="zh-CN"/>
        </w:rPr>
        <w:t>22</w:t>
      </w:r>
      <w:r>
        <w:rPr>
          <w:rFonts w:hint="eastAsia" w:ascii="宋体" w:hAnsi="宋体" w:eastAsia="宋体" w:cs="宋体"/>
          <w:color w:val="auto"/>
          <w:sz w:val="24"/>
          <w:highlight w:val="none"/>
        </w:rPr>
        <w:t>.4在响应文件提交截止时间之后，</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不得对其响应文件做任何修改。但属于磋商小组在评审中发现的计算错误并进行核实的修改、按照磋商文件的变动情况和磋商小组的要求重新提交响应文件的，不在此列。</w:t>
      </w:r>
    </w:p>
    <w:p w14:paraId="11FCE880">
      <w:pPr>
        <w:pStyle w:val="2"/>
        <w:spacing w:line="360" w:lineRule="auto"/>
        <w:ind w:firstLine="628"/>
        <w:rPr>
          <w:rFonts w:hint="eastAsia" w:ascii="宋体" w:hAnsi="宋体" w:eastAsia="宋体" w:cs="宋体"/>
          <w:color w:val="auto"/>
          <w:sz w:val="28"/>
          <w:highlight w:val="none"/>
        </w:rPr>
      </w:pPr>
      <w:bookmarkStart w:id="37" w:name="_Toc459990140"/>
      <w:bookmarkStart w:id="38" w:name="_Toc20388"/>
      <w:bookmarkStart w:id="39" w:name="_Toc522466827"/>
      <w:r>
        <w:rPr>
          <w:rFonts w:hint="eastAsia" w:ascii="宋体" w:hAnsi="宋体" w:eastAsia="宋体" w:cs="宋体"/>
          <w:color w:val="auto"/>
          <w:sz w:val="28"/>
          <w:highlight w:val="none"/>
        </w:rPr>
        <w:t>五．</w:t>
      </w:r>
      <w:bookmarkEnd w:id="37"/>
      <w:r>
        <w:rPr>
          <w:rFonts w:hint="eastAsia" w:ascii="宋体" w:hAnsi="宋体" w:eastAsia="宋体" w:cs="宋体"/>
          <w:color w:val="auto"/>
          <w:sz w:val="28"/>
          <w:highlight w:val="none"/>
        </w:rPr>
        <w:t>响应文件磋商</w:t>
      </w:r>
      <w:bookmarkEnd w:id="38"/>
      <w:bookmarkEnd w:id="39"/>
    </w:p>
    <w:p w14:paraId="0035FB1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23</w:t>
      </w: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招标人</w:t>
      </w:r>
      <w:r>
        <w:rPr>
          <w:rFonts w:hint="eastAsia" w:ascii="宋体" w:hAnsi="宋体" w:eastAsia="宋体" w:cs="宋体"/>
          <w:color w:val="auto"/>
          <w:sz w:val="24"/>
          <w:highlight w:val="none"/>
        </w:rPr>
        <w:t>和</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rPr>
        <w:t>代理机构将在</w:t>
      </w:r>
      <w:r>
        <w:rPr>
          <w:rFonts w:hint="eastAsia" w:ascii="宋体" w:hAnsi="宋体" w:eastAsia="宋体" w:cs="宋体"/>
          <w:color w:val="auto"/>
          <w:sz w:val="24"/>
          <w:highlight w:val="none"/>
          <w:u w:val="single"/>
          <w:lang w:val="en-US" w:eastAsia="zh-CN"/>
        </w:rPr>
        <w:t>投标人</w:t>
      </w:r>
      <w:r>
        <w:rPr>
          <w:rFonts w:hint="eastAsia" w:ascii="宋体" w:hAnsi="宋体" w:eastAsia="宋体" w:cs="宋体"/>
          <w:color w:val="auto"/>
          <w:sz w:val="24"/>
          <w:highlight w:val="none"/>
          <w:u w:val="single"/>
        </w:rPr>
        <w:t>须知前附表</w:t>
      </w:r>
      <w:r>
        <w:rPr>
          <w:rFonts w:hint="eastAsia" w:ascii="宋体" w:hAnsi="宋体" w:eastAsia="宋体" w:cs="宋体"/>
          <w:color w:val="auto"/>
          <w:sz w:val="24"/>
          <w:highlight w:val="none"/>
        </w:rPr>
        <w:t>规定的时间和地点组织磋商。</w:t>
      </w:r>
    </w:p>
    <w:p w14:paraId="5EA2DAD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23</w:t>
      </w:r>
      <w:r>
        <w:rPr>
          <w:rFonts w:hint="eastAsia" w:ascii="宋体" w:hAnsi="宋体" w:eastAsia="宋体" w:cs="宋体"/>
          <w:color w:val="auto"/>
          <w:sz w:val="24"/>
          <w:highlight w:val="none"/>
        </w:rPr>
        <w:t>.2竞争性磋商活动采用综合评分法评审。</w:t>
      </w:r>
    </w:p>
    <w:p w14:paraId="1472AEE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综合评分法，是指响应文件满足磋商文件全部实质性要求且按评审因素的量化指标评审得分最高的</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为</w:t>
      </w:r>
      <w:r>
        <w:rPr>
          <w:rFonts w:hint="eastAsia" w:ascii="宋体" w:hAnsi="宋体" w:eastAsia="宋体" w:cs="宋体"/>
          <w:color w:val="auto"/>
          <w:sz w:val="24"/>
          <w:highlight w:val="none"/>
          <w:lang w:val="en-US" w:eastAsia="zh-CN"/>
        </w:rPr>
        <w:t>中标</w:t>
      </w:r>
      <w:r>
        <w:rPr>
          <w:rFonts w:hint="eastAsia" w:ascii="宋体" w:hAnsi="宋体" w:eastAsia="宋体" w:cs="宋体"/>
          <w:color w:val="auto"/>
          <w:sz w:val="24"/>
          <w:highlight w:val="none"/>
        </w:rPr>
        <w:t>候选</w:t>
      </w:r>
      <w:r>
        <w:rPr>
          <w:rFonts w:hint="eastAsia" w:ascii="宋体" w:hAnsi="宋体" w:eastAsia="宋体" w:cs="宋体"/>
          <w:color w:val="auto"/>
          <w:sz w:val="24"/>
          <w:highlight w:val="none"/>
          <w:lang w:val="en-US" w:eastAsia="zh-CN"/>
        </w:rPr>
        <w:t>人</w:t>
      </w:r>
      <w:r>
        <w:rPr>
          <w:rFonts w:hint="eastAsia" w:ascii="宋体" w:hAnsi="宋体" w:eastAsia="宋体" w:cs="宋体"/>
          <w:color w:val="auto"/>
          <w:sz w:val="24"/>
          <w:highlight w:val="none"/>
        </w:rPr>
        <w:t>的评审方法。</w:t>
      </w:r>
    </w:p>
    <w:p w14:paraId="21AA0F8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23</w:t>
      </w:r>
      <w:r>
        <w:rPr>
          <w:rFonts w:hint="eastAsia" w:ascii="宋体" w:hAnsi="宋体" w:eastAsia="宋体" w:cs="宋体"/>
          <w:color w:val="auto"/>
          <w:sz w:val="24"/>
          <w:highlight w:val="none"/>
        </w:rPr>
        <w:t>.3磋商小组将按照磋商文件规定的评审方法和标准对</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独立进行评审。评审程序如下：</w:t>
      </w:r>
    </w:p>
    <w:p w14:paraId="34C61B5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23</w:t>
      </w:r>
      <w:r>
        <w:rPr>
          <w:rFonts w:hint="eastAsia" w:ascii="宋体" w:hAnsi="宋体" w:eastAsia="宋体" w:cs="宋体"/>
          <w:color w:val="auto"/>
          <w:sz w:val="24"/>
          <w:highlight w:val="none"/>
        </w:rPr>
        <w:t>.3.1</w:t>
      </w:r>
      <w:r>
        <w:rPr>
          <w:rFonts w:hint="eastAsia" w:ascii="宋体" w:hAnsi="宋体" w:eastAsia="宋体" w:cs="宋体"/>
          <w:b/>
          <w:color w:val="auto"/>
          <w:sz w:val="24"/>
          <w:highlight w:val="none"/>
        </w:rPr>
        <w:t>初审</w:t>
      </w:r>
      <w:r>
        <w:rPr>
          <w:rFonts w:hint="eastAsia" w:ascii="宋体" w:hAnsi="宋体" w:eastAsia="宋体" w:cs="宋体"/>
          <w:color w:val="auto"/>
          <w:sz w:val="24"/>
          <w:highlight w:val="none"/>
        </w:rPr>
        <w:t>。磋商小组对</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必须满足和实质性响应的内容进行评审，</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未实质性响应磋商文件要求导致响应无效的，磋商小组将以书面询标的方式告知有关</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w:t>
      </w:r>
    </w:p>
    <w:p w14:paraId="45B0262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23</w:t>
      </w:r>
      <w:r>
        <w:rPr>
          <w:rFonts w:hint="eastAsia" w:ascii="宋体" w:hAnsi="宋体" w:eastAsia="宋体" w:cs="宋体"/>
          <w:color w:val="auto"/>
          <w:sz w:val="24"/>
          <w:highlight w:val="none"/>
        </w:rPr>
        <w:t>.3.2</w:t>
      </w:r>
      <w:r>
        <w:rPr>
          <w:rFonts w:hint="eastAsia" w:ascii="宋体" w:hAnsi="宋体" w:eastAsia="宋体" w:cs="宋体"/>
          <w:b/>
          <w:color w:val="auto"/>
          <w:sz w:val="24"/>
          <w:highlight w:val="none"/>
        </w:rPr>
        <w:t>磋商</w:t>
      </w:r>
      <w:r>
        <w:rPr>
          <w:rFonts w:hint="eastAsia" w:ascii="宋体" w:hAnsi="宋体" w:eastAsia="宋体" w:cs="宋体"/>
          <w:color w:val="auto"/>
          <w:sz w:val="24"/>
          <w:highlight w:val="none"/>
        </w:rPr>
        <w:t>。初审合格后，磋商小组将按网上加密电子响应文件提交顺序集中与单一</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分别进行磋商，并给予所有参加磋商的</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平等的磋商机会。</w:t>
      </w:r>
    </w:p>
    <w:p w14:paraId="0198526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23</w:t>
      </w:r>
      <w:r>
        <w:rPr>
          <w:rFonts w:hint="eastAsia" w:ascii="宋体" w:hAnsi="宋体" w:eastAsia="宋体" w:cs="宋体"/>
          <w:color w:val="auto"/>
          <w:sz w:val="24"/>
          <w:highlight w:val="none"/>
        </w:rPr>
        <w:t>.3.3</w:t>
      </w:r>
      <w:r>
        <w:rPr>
          <w:rFonts w:hint="eastAsia" w:ascii="宋体" w:hAnsi="宋体" w:eastAsia="宋体" w:cs="宋体"/>
          <w:b/>
          <w:color w:val="auto"/>
          <w:sz w:val="24"/>
          <w:highlight w:val="none"/>
        </w:rPr>
        <w:t>报价</w:t>
      </w:r>
      <w:r>
        <w:rPr>
          <w:rFonts w:hint="eastAsia" w:ascii="宋体" w:hAnsi="宋体" w:eastAsia="宋体" w:cs="宋体"/>
          <w:color w:val="auto"/>
          <w:sz w:val="24"/>
          <w:highlight w:val="none"/>
        </w:rPr>
        <w:t>。磋商结束后，磋商小组应当要求所有实质性响应的</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在规定时间内提交最后报价。</w:t>
      </w:r>
    </w:p>
    <w:p w14:paraId="3AC7A76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23</w:t>
      </w:r>
      <w:r>
        <w:rPr>
          <w:rFonts w:hint="eastAsia" w:ascii="宋体" w:hAnsi="宋体" w:eastAsia="宋体" w:cs="宋体"/>
          <w:color w:val="auto"/>
          <w:sz w:val="24"/>
          <w:highlight w:val="none"/>
        </w:rPr>
        <w:t>.3.4</w:t>
      </w:r>
      <w:r>
        <w:rPr>
          <w:rFonts w:hint="eastAsia" w:ascii="宋体" w:hAnsi="宋体" w:eastAsia="宋体" w:cs="宋体"/>
          <w:b/>
          <w:color w:val="auto"/>
          <w:sz w:val="24"/>
          <w:highlight w:val="none"/>
        </w:rPr>
        <w:t>综合评分</w:t>
      </w:r>
      <w:r>
        <w:rPr>
          <w:rFonts w:hint="eastAsia" w:ascii="宋体" w:hAnsi="宋体" w:eastAsia="宋体" w:cs="宋体"/>
          <w:color w:val="auto"/>
          <w:sz w:val="24"/>
          <w:highlight w:val="none"/>
        </w:rPr>
        <w:t>。磋商小组只对通过初审，实质上响应磋商文件要求的响应文件进行综合评分。经磋商确定最终采购需求和提交最后报价的</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后，由磋商小组采用综合评分法对提交最后报价的供应商的响应文件和最后报价进行综合评分。</w:t>
      </w:r>
    </w:p>
    <w:p w14:paraId="79DB90D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23</w:t>
      </w:r>
      <w:r>
        <w:rPr>
          <w:rFonts w:hint="eastAsia" w:ascii="宋体" w:hAnsi="宋体" w:eastAsia="宋体" w:cs="宋体"/>
          <w:color w:val="auto"/>
          <w:sz w:val="24"/>
          <w:highlight w:val="none"/>
        </w:rPr>
        <w:t>.4相关说明。</w:t>
      </w:r>
    </w:p>
    <w:p w14:paraId="2570FF9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23</w:t>
      </w:r>
      <w:r>
        <w:rPr>
          <w:rFonts w:hint="eastAsia" w:ascii="宋体" w:hAnsi="宋体" w:eastAsia="宋体" w:cs="宋体"/>
          <w:color w:val="auto"/>
          <w:sz w:val="24"/>
          <w:highlight w:val="none"/>
        </w:rPr>
        <w:t>.4.1为保证磋商活动顺利进行，</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 xml:space="preserve">可派相关技术人员进行网上答疑； </w:t>
      </w:r>
    </w:p>
    <w:p w14:paraId="0217B1A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23</w:t>
      </w:r>
      <w:r>
        <w:rPr>
          <w:rFonts w:hint="eastAsia" w:ascii="宋体" w:hAnsi="宋体" w:eastAsia="宋体" w:cs="宋体"/>
          <w:color w:val="auto"/>
          <w:sz w:val="24"/>
          <w:highlight w:val="none"/>
        </w:rPr>
        <w:t>.4.2磋商小组根据与</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磋商情况可能实质性变动磋商文件的内容，包括采购需求中的技术、服务要求以及合同草案条款。磋商文件有实质性变动的，经</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rPr>
        <w:t>人代表确认作为磋商文件的有效组成部分，磋商小组将以书面形式通知所有参加磋商的</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w:t>
      </w:r>
    </w:p>
    <w:p w14:paraId="6E6DB7B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23</w:t>
      </w:r>
      <w:r>
        <w:rPr>
          <w:rFonts w:hint="eastAsia" w:ascii="宋体" w:hAnsi="宋体" w:eastAsia="宋体" w:cs="宋体"/>
          <w:color w:val="auto"/>
          <w:sz w:val="24"/>
          <w:highlight w:val="none"/>
        </w:rPr>
        <w:t>.4.3磋商小组发现</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的报价或者某些分项报价明显低于其他通过初审的</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的报价，有可能影响产品质量和不能诚信履约的，应当要求其在合理的时间内提供书面说明，必要时提交相关证明材料；</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不能证明其报价合理性的，其响应文件将被认定为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40F90BF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23</w:t>
      </w:r>
      <w:r>
        <w:rPr>
          <w:rFonts w:hint="eastAsia" w:ascii="宋体" w:hAnsi="宋体" w:eastAsia="宋体" w:cs="宋体"/>
          <w:color w:val="auto"/>
          <w:sz w:val="24"/>
          <w:highlight w:val="none"/>
        </w:rPr>
        <w:t>.4.4无论何种原因，即使供应商磋商时携带了证书材料的原件，但响应文件中未提供与之内容完全一致的扫描件的，磋商小组可以视同其未提供。</w:t>
      </w:r>
    </w:p>
    <w:p w14:paraId="2B963AF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23</w:t>
      </w:r>
      <w:r>
        <w:rPr>
          <w:rFonts w:hint="eastAsia" w:ascii="宋体" w:hAnsi="宋体" w:eastAsia="宋体" w:cs="宋体"/>
          <w:color w:val="auto"/>
          <w:sz w:val="24"/>
          <w:highlight w:val="none"/>
        </w:rPr>
        <w:t>.4.5磋商小组决定响应文件的响应性及符合性只根据响应文件本身的内容，而不寻求其他外部证据。</w:t>
      </w:r>
    </w:p>
    <w:p w14:paraId="286DCAD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23</w:t>
      </w:r>
      <w:r>
        <w:rPr>
          <w:rFonts w:hint="eastAsia" w:ascii="宋体" w:hAnsi="宋体" w:eastAsia="宋体" w:cs="宋体"/>
          <w:color w:val="auto"/>
          <w:sz w:val="24"/>
          <w:highlight w:val="none"/>
        </w:rPr>
        <w:t>.5</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授权代表对磋商过程有疑义，以及认为</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rPr>
        <w:t>人、</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rPr>
        <w:t xml:space="preserve">代理机构相关工作人员有需要回避的情形的，应当场提出询问或者回避申请，并说明理由。 </w:t>
      </w:r>
    </w:p>
    <w:p w14:paraId="2C8C8B82">
      <w:pPr>
        <w:spacing w:line="360" w:lineRule="auto"/>
        <w:ind w:firstLine="437"/>
        <w:outlineLvl w:val="3"/>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24</w:t>
      </w:r>
      <w:r>
        <w:rPr>
          <w:rFonts w:hint="eastAsia" w:ascii="宋体" w:hAnsi="宋体" w:eastAsia="宋体" w:cs="宋体"/>
          <w:b/>
          <w:color w:val="auto"/>
          <w:sz w:val="24"/>
          <w:highlight w:val="none"/>
        </w:rPr>
        <w:t>.终止竞争性磋商</w:t>
      </w:r>
    </w:p>
    <w:p w14:paraId="7A470A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color w:val="auto"/>
          <w:sz w:val="24"/>
          <w:highlight w:val="none"/>
        </w:rPr>
        <w:t>在磋商中，符合专业条件的投标人或对磋商文件作实质响应的投标人不足规定家数的，</w:t>
      </w:r>
      <w:r>
        <w:rPr>
          <w:rFonts w:hint="eastAsia" w:ascii="宋体" w:hAnsi="宋体" w:eastAsia="宋体" w:cs="宋体"/>
          <w:color w:val="auto"/>
          <w:sz w:val="24"/>
          <w:szCs w:val="24"/>
          <w:highlight w:val="none"/>
        </w:rPr>
        <w:t>磋商小组</w:t>
      </w:r>
      <w:r>
        <w:rPr>
          <w:rFonts w:hint="eastAsia" w:ascii="宋体" w:hAnsi="宋体" w:eastAsia="宋体" w:cs="宋体"/>
          <w:color w:val="auto"/>
          <w:sz w:val="24"/>
          <w:highlight w:val="none"/>
        </w:rPr>
        <w:t>有权对磋商项目作流标处理。流标后，流标原因将</w:t>
      </w:r>
      <w:r>
        <w:rPr>
          <w:rFonts w:hint="eastAsia" w:ascii="宋体" w:hAnsi="宋体" w:eastAsia="宋体" w:cs="宋体"/>
          <w:bCs/>
          <w:color w:val="auto"/>
          <w:sz w:val="24"/>
          <w:highlight w:val="none"/>
        </w:rPr>
        <w:t>在网上公</w:t>
      </w:r>
      <w:r>
        <w:rPr>
          <w:rFonts w:hint="eastAsia" w:ascii="宋体" w:hAnsi="宋体" w:eastAsia="宋体" w:cs="宋体"/>
          <w:color w:val="auto"/>
          <w:sz w:val="24"/>
          <w:highlight w:val="none"/>
        </w:rPr>
        <w:t>示</w:t>
      </w:r>
      <w:r>
        <w:rPr>
          <w:rFonts w:hint="eastAsia" w:ascii="宋体" w:hAnsi="宋体" w:eastAsia="宋体" w:cs="宋体"/>
          <w:bCs/>
          <w:color w:val="auto"/>
          <w:sz w:val="24"/>
          <w:highlight w:val="none"/>
        </w:rPr>
        <w:t>。</w:t>
      </w:r>
    </w:p>
    <w:p w14:paraId="119B47C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24</w:t>
      </w:r>
      <w:r>
        <w:rPr>
          <w:rFonts w:hint="eastAsia" w:ascii="宋体" w:hAnsi="宋体" w:eastAsia="宋体" w:cs="宋体"/>
          <w:b/>
          <w:color w:val="auto"/>
          <w:sz w:val="24"/>
          <w:highlight w:val="none"/>
        </w:rPr>
        <w:t>.响应文件的澄清、说明或补正</w:t>
      </w:r>
    </w:p>
    <w:p w14:paraId="1675234E">
      <w:pPr>
        <w:spacing w:line="360" w:lineRule="auto"/>
        <w:ind w:firstLine="470" w:firstLineChars="196"/>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24</w:t>
      </w:r>
      <w:r>
        <w:rPr>
          <w:rFonts w:hint="eastAsia" w:ascii="宋体" w:hAnsi="宋体" w:eastAsia="宋体" w:cs="宋体"/>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1A0D27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trike w:val="0"/>
          <w:dstrike w:val="0"/>
          <w:color w:val="auto"/>
          <w:sz w:val="24"/>
          <w:highlight w:val="none"/>
        </w:rPr>
      </w:pPr>
      <w:r>
        <w:rPr>
          <w:rFonts w:hint="eastAsia" w:ascii="宋体" w:hAnsi="宋体" w:eastAsia="宋体" w:cs="宋体"/>
          <w:color w:val="auto"/>
          <w:sz w:val="24"/>
          <w:highlight w:val="none"/>
          <w:lang w:val="en-US" w:eastAsia="zh-CN"/>
        </w:rPr>
        <w:t>24</w:t>
      </w: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磋商小组通过优质采电子评标工具将需要澄清、说明或补正的内容以询标函的形式发送给供应商，供应商应登录优质采投标工具客户端并保持在线状态，以便及时接收磋商小组可能发出的询标函，并在询标函载明的时间内回复，若供应商未及时回复，视为放弃澄清。</w:t>
      </w:r>
    </w:p>
    <w:p w14:paraId="7731ADD8">
      <w:pPr>
        <w:spacing w:line="360" w:lineRule="auto"/>
        <w:ind w:firstLine="437"/>
        <w:outlineLvl w:val="3"/>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25</w:t>
      </w:r>
      <w:r>
        <w:rPr>
          <w:rFonts w:hint="eastAsia" w:ascii="宋体" w:hAnsi="宋体" w:eastAsia="宋体" w:cs="宋体"/>
          <w:b/>
          <w:color w:val="auto"/>
          <w:sz w:val="24"/>
          <w:highlight w:val="none"/>
        </w:rPr>
        <w:t>.最后报价</w:t>
      </w:r>
    </w:p>
    <w:p w14:paraId="318FAB2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25</w:t>
      </w:r>
      <w:r>
        <w:rPr>
          <w:rFonts w:hint="eastAsia" w:ascii="宋体" w:hAnsi="宋体" w:eastAsia="宋体" w:cs="宋体"/>
          <w:color w:val="auto"/>
          <w:sz w:val="24"/>
          <w:highlight w:val="none"/>
        </w:rPr>
        <w:t>.1磋商并不限定只进行二轮报价，如果磋商小组认为有必要，可以要求</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进行多轮报价。</w:t>
      </w:r>
    </w:p>
    <w:p w14:paraId="68F6FA3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25</w:t>
      </w:r>
      <w:r>
        <w:rPr>
          <w:rFonts w:hint="eastAsia" w:ascii="宋体" w:hAnsi="宋体" w:eastAsia="宋体" w:cs="宋体"/>
          <w:color w:val="auto"/>
          <w:sz w:val="24"/>
          <w:highlight w:val="none"/>
        </w:rPr>
        <w:t>.2在磋商内容不做实质性变更或重大调整的前提下，</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下轮报价不得高于上一轮报价。</w:t>
      </w:r>
    </w:p>
    <w:p w14:paraId="0B643A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25</w:t>
      </w:r>
      <w:r>
        <w:rPr>
          <w:rFonts w:hint="eastAsia" w:ascii="宋体" w:hAnsi="宋体" w:eastAsia="宋体" w:cs="宋体"/>
          <w:color w:val="auto"/>
          <w:sz w:val="24"/>
          <w:highlight w:val="none"/>
        </w:rPr>
        <w:t>.3最后报价是</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响应文件的有效组成部分，最后报价也是签订合同的依据。</w:t>
      </w:r>
    </w:p>
    <w:p w14:paraId="7EE6CAC2">
      <w:pPr>
        <w:pStyle w:val="2"/>
        <w:spacing w:line="360" w:lineRule="auto"/>
        <w:ind w:firstLine="628"/>
        <w:rPr>
          <w:rFonts w:hint="eastAsia" w:ascii="宋体" w:hAnsi="宋体" w:eastAsia="宋体" w:cs="宋体"/>
          <w:color w:val="auto"/>
          <w:sz w:val="28"/>
          <w:highlight w:val="none"/>
        </w:rPr>
      </w:pPr>
      <w:bookmarkStart w:id="40" w:name="_Toc477793061"/>
      <w:bookmarkStart w:id="41" w:name="_Toc460487454"/>
      <w:bookmarkStart w:id="42" w:name="_Toc522466828"/>
      <w:bookmarkStart w:id="43" w:name="_Toc15057"/>
      <w:r>
        <w:rPr>
          <w:rFonts w:hint="eastAsia" w:ascii="宋体" w:hAnsi="宋体" w:eastAsia="宋体" w:cs="宋体"/>
          <w:color w:val="auto"/>
          <w:sz w:val="28"/>
          <w:highlight w:val="none"/>
        </w:rPr>
        <w:t>六．定标与签订合同</w:t>
      </w:r>
      <w:bookmarkEnd w:id="40"/>
      <w:bookmarkEnd w:id="41"/>
      <w:bookmarkEnd w:id="42"/>
      <w:bookmarkEnd w:id="43"/>
    </w:p>
    <w:p w14:paraId="712DD10E">
      <w:pPr>
        <w:keepNext w:val="0"/>
        <w:keepLines w:val="0"/>
        <w:pageBreakBefore w:val="0"/>
        <w:widowControl w:val="0"/>
        <w:kinsoku/>
        <w:overflowPunct/>
        <w:topLinePunct w:val="0"/>
        <w:autoSpaceDE/>
        <w:autoSpaceDN/>
        <w:bidi w:val="0"/>
        <w:adjustRightInd/>
        <w:spacing w:line="360"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6</w:t>
      </w:r>
      <w:r>
        <w:rPr>
          <w:rFonts w:hint="eastAsia" w:ascii="宋体" w:hAnsi="宋体" w:eastAsia="宋体" w:cs="宋体"/>
          <w:b/>
          <w:color w:val="auto"/>
          <w:sz w:val="24"/>
          <w:highlight w:val="none"/>
        </w:rPr>
        <w:t>.定标</w:t>
      </w:r>
    </w:p>
    <w:p w14:paraId="5DE1C7BE">
      <w:pPr>
        <w:keepNext w:val="0"/>
        <w:keepLines w:val="0"/>
        <w:pageBreakBefore w:val="0"/>
        <w:widowControl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.1磋商小组应当按磋商文件规定的标准和方法提出独立评审意见，推荐中标候选人。</w:t>
      </w:r>
    </w:p>
    <w:p w14:paraId="31BD2D28">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.2</w:t>
      </w:r>
      <w:r>
        <w:rPr>
          <w:rFonts w:hint="eastAsia" w:ascii="宋体" w:hAnsi="宋体" w:eastAsia="宋体" w:cs="宋体"/>
          <w:color w:val="auto"/>
          <w:sz w:val="24"/>
          <w:szCs w:val="24"/>
          <w:highlight w:val="none"/>
        </w:rPr>
        <w:t>略</w:t>
      </w:r>
      <w:r>
        <w:rPr>
          <w:rFonts w:hint="eastAsia" w:ascii="宋体" w:hAnsi="宋体" w:eastAsia="宋体" w:cs="宋体"/>
          <w:color w:val="auto"/>
          <w:sz w:val="24"/>
          <w:highlight w:val="none"/>
        </w:rPr>
        <w:t>。</w:t>
      </w:r>
    </w:p>
    <w:p w14:paraId="6327EDC8">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.3</w:t>
      </w:r>
      <w:r>
        <w:rPr>
          <w:rFonts w:hint="eastAsia" w:ascii="宋体" w:hAnsi="宋体" w:eastAsia="宋体" w:cs="宋体"/>
          <w:color w:val="auto"/>
          <w:sz w:val="24"/>
          <w:szCs w:val="24"/>
          <w:highlight w:val="none"/>
        </w:rPr>
        <w:t>略</w:t>
      </w:r>
      <w:r>
        <w:rPr>
          <w:rFonts w:hint="eastAsia" w:ascii="宋体" w:hAnsi="宋体" w:eastAsia="宋体" w:cs="宋体"/>
          <w:color w:val="auto"/>
          <w:sz w:val="24"/>
          <w:highlight w:val="none"/>
        </w:rPr>
        <w:t>。</w:t>
      </w:r>
    </w:p>
    <w:p w14:paraId="21DC7C1F">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.4 最低报价并不是被授予合同的保证。</w:t>
      </w:r>
    </w:p>
    <w:p w14:paraId="75BDA9E7">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.5 凡发现中标候选人有下列行为之一的，其中标无效，</w:t>
      </w:r>
      <w:r>
        <w:rPr>
          <w:rFonts w:hint="eastAsia" w:ascii="宋体" w:hAnsi="宋体" w:eastAsia="宋体" w:cs="宋体"/>
          <w:color w:val="auto"/>
          <w:sz w:val="24"/>
          <w:highlight w:val="none"/>
        </w:rPr>
        <w:t>并移交</w:t>
      </w:r>
      <w:r>
        <w:rPr>
          <w:rFonts w:hint="eastAsia" w:ascii="宋体" w:hAnsi="宋体" w:eastAsia="宋体" w:cs="宋体"/>
          <w:color w:val="auto"/>
          <w:sz w:val="24"/>
          <w:highlight w:val="none"/>
          <w:lang w:eastAsia="zh-CN"/>
        </w:rPr>
        <w:t>监管部门</w:t>
      </w:r>
      <w:r>
        <w:rPr>
          <w:rFonts w:hint="eastAsia" w:ascii="宋体" w:hAnsi="宋体" w:eastAsia="宋体" w:cs="宋体"/>
          <w:color w:val="auto"/>
          <w:sz w:val="24"/>
          <w:highlight w:val="none"/>
        </w:rPr>
        <w:t>依法处理：</w:t>
      </w:r>
    </w:p>
    <w:p w14:paraId="674811BB">
      <w:pPr>
        <w:keepNext w:val="0"/>
        <w:keepLines w:val="0"/>
        <w:pageBreakBefore w:val="0"/>
        <w:widowControl w:val="0"/>
        <w:kinsoku/>
        <w:overflowPunct/>
        <w:topLinePunct w:val="0"/>
        <w:autoSpaceDE/>
        <w:autoSpaceDN/>
        <w:bidi w:val="0"/>
        <w:adjustRightInd/>
        <w:spacing w:line="360" w:lineRule="auto"/>
        <w:ind w:left="0" w:leftChars="0"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6</w:t>
      </w:r>
      <w:r>
        <w:rPr>
          <w:rFonts w:hint="eastAsia" w:ascii="宋体" w:hAnsi="宋体" w:eastAsia="宋体" w:cs="宋体"/>
          <w:b/>
          <w:bCs/>
          <w:color w:val="auto"/>
          <w:sz w:val="24"/>
          <w:highlight w:val="none"/>
        </w:rPr>
        <w:t>.5.1</w:t>
      </w:r>
      <w:r>
        <w:rPr>
          <w:rFonts w:hint="eastAsia" w:ascii="宋体" w:hAnsi="宋体" w:eastAsia="宋体" w:cs="宋体"/>
          <w:color w:val="auto"/>
          <w:sz w:val="24"/>
          <w:highlight w:val="none"/>
        </w:rPr>
        <w:t>有下列情形之一的，属于投标人相互串通投标：</w:t>
      </w:r>
    </w:p>
    <w:p w14:paraId="6E88F023">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.5.1.1投标人之间协商投标报价等响应文件的实质性内容；</w:t>
      </w:r>
    </w:p>
    <w:p w14:paraId="4834BF2F">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.5.1.2投标人之间约定中标人；</w:t>
      </w:r>
    </w:p>
    <w:p w14:paraId="5E27D242">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.5.1.3投标人之间约定部分投标人放弃投标或者中标；</w:t>
      </w:r>
    </w:p>
    <w:p w14:paraId="6AFBE00A">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.5.1.4属于同一集团、协会、商会等组织成员的投标人按照该组织要求协同投标；</w:t>
      </w:r>
    </w:p>
    <w:p w14:paraId="750DAA86">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.5.1.5投标人之间为谋取中标或者排斥特定投标人而采取的其他联合行动。</w:t>
      </w:r>
    </w:p>
    <w:p w14:paraId="11221F78">
      <w:pPr>
        <w:keepNext w:val="0"/>
        <w:keepLines w:val="0"/>
        <w:pageBreakBefore w:val="0"/>
        <w:widowControl w:val="0"/>
        <w:kinsoku/>
        <w:overflowPunct/>
        <w:topLinePunct w:val="0"/>
        <w:autoSpaceDE/>
        <w:autoSpaceDN/>
        <w:bidi w:val="0"/>
        <w:adjustRightInd/>
        <w:spacing w:line="360" w:lineRule="auto"/>
        <w:ind w:left="0" w:leftChars="0"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6</w:t>
      </w:r>
      <w:r>
        <w:rPr>
          <w:rFonts w:hint="eastAsia" w:ascii="宋体" w:hAnsi="宋体" w:eastAsia="宋体" w:cs="宋体"/>
          <w:b/>
          <w:bCs/>
          <w:color w:val="auto"/>
          <w:sz w:val="24"/>
          <w:highlight w:val="none"/>
        </w:rPr>
        <w:t>.5.2</w:t>
      </w:r>
      <w:r>
        <w:rPr>
          <w:rFonts w:hint="eastAsia" w:ascii="宋体" w:hAnsi="宋体" w:eastAsia="宋体" w:cs="宋体"/>
          <w:color w:val="auto"/>
          <w:sz w:val="24"/>
          <w:highlight w:val="none"/>
        </w:rPr>
        <w:t>有下列情形之一的，视为投标人相互串通投标：</w:t>
      </w:r>
    </w:p>
    <w:p w14:paraId="57E50D10">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.5.2.1不同投标人的响应文件由同一单位或者个人编制；</w:t>
      </w:r>
    </w:p>
    <w:p w14:paraId="7450C04B">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.5.2.2不同投标人委托同一单位或者个人办理投标事宜；</w:t>
      </w:r>
    </w:p>
    <w:p w14:paraId="7908459B">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.5.2.3不同投标人的响应文件载明的项目管理成员为同一人；</w:t>
      </w:r>
    </w:p>
    <w:p w14:paraId="7931C74A">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.5.2.4不同投标人的响应文件异常一致或者投标报价呈规律性差异；</w:t>
      </w:r>
    </w:p>
    <w:p w14:paraId="4124AD43">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.5.2.5不同投标人的响应文件相互混装；</w:t>
      </w:r>
    </w:p>
    <w:p w14:paraId="4C27F694">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.5.2.6不同投标人的磋商保证金从同一单位或者个人的账户转出。</w:t>
      </w:r>
    </w:p>
    <w:p w14:paraId="33EFE598">
      <w:pPr>
        <w:keepNext w:val="0"/>
        <w:keepLines w:val="0"/>
        <w:pageBreakBefore w:val="0"/>
        <w:widowControl w:val="0"/>
        <w:kinsoku/>
        <w:overflowPunct/>
        <w:topLinePunct w:val="0"/>
        <w:autoSpaceDE/>
        <w:autoSpaceDN/>
        <w:bidi w:val="0"/>
        <w:adjustRightInd/>
        <w:spacing w:line="360" w:lineRule="auto"/>
        <w:ind w:left="0" w:leftChars="0"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6</w:t>
      </w:r>
      <w:r>
        <w:rPr>
          <w:rFonts w:hint="eastAsia" w:ascii="宋体" w:hAnsi="宋体" w:eastAsia="宋体" w:cs="宋体"/>
          <w:b/>
          <w:bCs/>
          <w:color w:val="auto"/>
          <w:sz w:val="24"/>
          <w:highlight w:val="none"/>
        </w:rPr>
        <w:t>.5.3</w:t>
      </w:r>
      <w:r>
        <w:rPr>
          <w:rFonts w:hint="eastAsia" w:ascii="宋体" w:hAnsi="宋体" w:eastAsia="宋体" w:cs="宋体"/>
          <w:color w:val="auto"/>
          <w:sz w:val="24"/>
          <w:highlight w:val="none"/>
        </w:rPr>
        <w:t>有下列情形之一的，属于招标人与投标人串通投标：</w:t>
      </w:r>
    </w:p>
    <w:p w14:paraId="2B774263">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bCs/>
          <w:color w:val="auto"/>
          <w:sz w:val="24"/>
          <w:highlight w:val="none"/>
        </w:rPr>
        <w:t>.5.3.1</w:t>
      </w:r>
      <w:r>
        <w:rPr>
          <w:rFonts w:hint="eastAsia" w:ascii="宋体" w:hAnsi="宋体" w:eastAsia="宋体" w:cs="宋体"/>
          <w:color w:val="auto"/>
          <w:sz w:val="24"/>
          <w:highlight w:val="none"/>
        </w:rPr>
        <w:t>招标人在开标前开启响应文件并将有关信息泄露给其他投标人；</w:t>
      </w:r>
    </w:p>
    <w:p w14:paraId="4CED7A02">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bCs/>
          <w:color w:val="auto"/>
          <w:sz w:val="24"/>
          <w:highlight w:val="none"/>
        </w:rPr>
        <w:t>.5.3.2</w:t>
      </w:r>
      <w:r>
        <w:rPr>
          <w:rFonts w:hint="eastAsia" w:ascii="宋体" w:hAnsi="宋体" w:eastAsia="宋体" w:cs="宋体"/>
          <w:color w:val="auto"/>
          <w:sz w:val="24"/>
          <w:highlight w:val="none"/>
        </w:rPr>
        <w:t>招标人直接或者间接向投标人泄露标底、磋商小组成员等信息；</w:t>
      </w:r>
    </w:p>
    <w:p w14:paraId="30455B8B">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bCs/>
          <w:color w:val="auto"/>
          <w:sz w:val="24"/>
          <w:highlight w:val="none"/>
        </w:rPr>
        <w:t>.5.3.3</w:t>
      </w:r>
      <w:r>
        <w:rPr>
          <w:rFonts w:hint="eastAsia" w:ascii="宋体" w:hAnsi="宋体" w:eastAsia="宋体" w:cs="宋体"/>
          <w:color w:val="auto"/>
          <w:sz w:val="24"/>
          <w:highlight w:val="none"/>
        </w:rPr>
        <w:t>招标人明示或者暗示投标人压低或者抬高投标报价；</w:t>
      </w:r>
    </w:p>
    <w:p w14:paraId="7500784F">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bCs/>
          <w:color w:val="auto"/>
          <w:sz w:val="24"/>
          <w:highlight w:val="none"/>
        </w:rPr>
        <w:t>.5.3.4</w:t>
      </w:r>
      <w:r>
        <w:rPr>
          <w:rFonts w:hint="eastAsia" w:ascii="宋体" w:hAnsi="宋体" w:eastAsia="宋体" w:cs="宋体"/>
          <w:color w:val="auto"/>
          <w:sz w:val="24"/>
          <w:highlight w:val="none"/>
        </w:rPr>
        <w:t>招标人授意投标人撤换、修改响应文件；</w:t>
      </w:r>
    </w:p>
    <w:p w14:paraId="236B40DE">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bCs/>
          <w:color w:val="auto"/>
          <w:sz w:val="24"/>
          <w:highlight w:val="none"/>
        </w:rPr>
        <w:t>.5.3.5</w:t>
      </w:r>
      <w:r>
        <w:rPr>
          <w:rFonts w:hint="eastAsia" w:ascii="宋体" w:hAnsi="宋体" w:eastAsia="宋体" w:cs="宋体"/>
          <w:color w:val="auto"/>
          <w:sz w:val="24"/>
          <w:highlight w:val="none"/>
        </w:rPr>
        <w:t>招标人明示或者暗示投标人为特定投标人中标提供方便；</w:t>
      </w:r>
    </w:p>
    <w:p w14:paraId="47DB3374">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bCs/>
          <w:color w:val="auto"/>
          <w:sz w:val="24"/>
          <w:highlight w:val="none"/>
        </w:rPr>
        <w:t>.5.3.6</w:t>
      </w:r>
      <w:r>
        <w:rPr>
          <w:rFonts w:hint="eastAsia" w:ascii="宋体" w:hAnsi="宋体" w:eastAsia="宋体" w:cs="宋体"/>
          <w:color w:val="auto"/>
          <w:sz w:val="24"/>
          <w:highlight w:val="none"/>
        </w:rPr>
        <w:t>招标人与投标人为谋求特定投标人中标而采取的其他串通行为。</w:t>
      </w:r>
    </w:p>
    <w:p w14:paraId="2A27B8F4">
      <w:pPr>
        <w:keepNext w:val="0"/>
        <w:keepLines w:val="0"/>
        <w:pageBreakBefore w:val="0"/>
        <w:widowControl w:val="0"/>
        <w:kinsoku/>
        <w:overflowPunct/>
        <w:topLinePunct w:val="0"/>
        <w:autoSpaceDE/>
        <w:autoSpaceDN/>
        <w:bidi w:val="0"/>
        <w:adjustRightInd/>
        <w:spacing w:line="360" w:lineRule="auto"/>
        <w:ind w:left="0" w:leftChars="0"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6</w:t>
      </w:r>
      <w:r>
        <w:rPr>
          <w:rFonts w:hint="eastAsia" w:ascii="宋体" w:hAnsi="宋体" w:eastAsia="宋体" w:cs="宋体"/>
          <w:b/>
          <w:bCs/>
          <w:color w:val="auto"/>
          <w:sz w:val="24"/>
          <w:highlight w:val="none"/>
        </w:rPr>
        <w:t>.5.4</w:t>
      </w:r>
      <w:r>
        <w:rPr>
          <w:rFonts w:hint="eastAsia" w:ascii="宋体" w:hAnsi="宋体" w:eastAsia="宋体" w:cs="宋体"/>
          <w:color w:val="auto"/>
          <w:sz w:val="24"/>
          <w:highlight w:val="none"/>
        </w:rPr>
        <w:t>使用通过受让或者租借等方式获取的资格、资质证书投标的，</w:t>
      </w:r>
    </w:p>
    <w:p w14:paraId="41A3667C">
      <w:pPr>
        <w:keepNext w:val="0"/>
        <w:keepLines w:val="0"/>
        <w:pageBreakBefore w:val="0"/>
        <w:widowControl w:val="0"/>
        <w:kinsoku/>
        <w:overflowPunct/>
        <w:topLinePunct w:val="0"/>
        <w:autoSpaceDE/>
        <w:autoSpaceDN/>
        <w:bidi w:val="0"/>
        <w:adjustRightInd/>
        <w:spacing w:line="360" w:lineRule="auto"/>
        <w:ind w:left="0" w:leftChars="0"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6</w:t>
      </w:r>
      <w:r>
        <w:rPr>
          <w:rFonts w:hint="eastAsia" w:ascii="宋体" w:hAnsi="宋体" w:eastAsia="宋体" w:cs="宋体"/>
          <w:b/>
          <w:bCs/>
          <w:color w:val="auto"/>
          <w:sz w:val="24"/>
          <w:highlight w:val="none"/>
        </w:rPr>
        <w:t>.5.5</w:t>
      </w:r>
      <w:r>
        <w:rPr>
          <w:rFonts w:hint="eastAsia" w:ascii="宋体" w:hAnsi="宋体" w:eastAsia="宋体" w:cs="宋体"/>
          <w:color w:val="auto"/>
          <w:sz w:val="24"/>
          <w:highlight w:val="none"/>
        </w:rPr>
        <w:t>投标人有下列情形之一的，属于招标投标法第三十三条规定的以其他方式弄虚作假的行为：</w:t>
      </w:r>
    </w:p>
    <w:p w14:paraId="748B03D6">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.5.5.1使用伪造、变造的许可证件；</w:t>
      </w:r>
    </w:p>
    <w:p w14:paraId="004B4E12">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.5.5.2提供虚假的财务状况或者业绩；</w:t>
      </w:r>
    </w:p>
    <w:p w14:paraId="037D0CBE">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.5.5.3提供虚假的项目负责人或者主要技术人员简历、劳动关系证明；</w:t>
      </w:r>
    </w:p>
    <w:p w14:paraId="4EACFF07">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.5.5.4提供虚假的信用状况；</w:t>
      </w:r>
    </w:p>
    <w:p w14:paraId="7E4A5720">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.5.5.5其他弄虚作假的行为。</w:t>
      </w:r>
    </w:p>
    <w:p w14:paraId="447F20BF">
      <w:pPr>
        <w:keepNext w:val="0"/>
        <w:keepLines w:val="0"/>
        <w:pageBreakBefore w:val="0"/>
        <w:widowControl w:val="0"/>
        <w:kinsoku/>
        <w:overflowPunct/>
        <w:topLinePunct w:val="0"/>
        <w:autoSpaceDE/>
        <w:autoSpaceDN/>
        <w:bidi w:val="0"/>
        <w:adjustRightInd/>
        <w:spacing w:line="360" w:lineRule="auto"/>
        <w:ind w:left="0" w:leftChars="0"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6</w:t>
      </w:r>
      <w:r>
        <w:rPr>
          <w:rFonts w:hint="eastAsia" w:ascii="宋体" w:hAnsi="宋体" w:eastAsia="宋体" w:cs="宋体"/>
          <w:b/>
          <w:bCs/>
          <w:color w:val="auto"/>
          <w:sz w:val="24"/>
          <w:highlight w:val="none"/>
        </w:rPr>
        <w:t>.5.6</w:t>
      </w:r>
      <w:r>
        <w:rPr>
          <w:rFonts w:hint="eastAsia" w:ascii="宋体" w:hAnsi="宋体" w:eastAsia="宋体" w:cs="宋体"/>
          <w:color w:val="auto"/>
          <w:sz w:val="24"/>
          <w:highlight w:val="none"/>
        </w:rPr>
        <w:t>其他违反招投标法律、法规和规章强制性规定的行为。</w:t>
      </w:r>
    </w:p>
    <w:p w14:paraId="1C35B4B2">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.6 定标前，</w:t>
      </w:r>
      <w:r>
        <w:rPr>
          <w:rFonts w:hint="eastAsia" w:ascii="宋体" w:hAnsi="宋体" w:eastAsia="宋体" w:cs="宋体"/>
          <w:color w:val="auto"/>
          <w:sz w:val="24"/>
          <w:highlight w:val="none"/>
          <w:lang w:eastAsia="zh-CN"/>
        </w:rPr>
        <w:t>县公共资源交易有限责任公司</w:t>
      </w:r>
      <w:r>
        <w:rPr>
          <w:rFonts w:hint="eastAsia" w:ascii="宋体" w:hAnsi="宋体" w:eastAsia="宋体" w:cs="宋体"/>
          <w:color w:val="auto"/>
          <w:sz w:val="24"/>
          <w:highlight w:val="none"/>
        </w:rPr>
        <w:t>可能会同招标人对中标候选人进行约谈。约谈包括诚信承诺、履约承诺以及原件核查等内容。</w:t>
      </w:r>
    </w:p>
    <w:p w14:paraId="2B49C893">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.7中标候选人信息将</w:t>
      </w:r>
      <w:r>
        <w:rPr>
          <w:rFonts w:hint="eastAsia" w:ascii="宋体" w:hAnsi="宋体" w:eastAsia="宋体" w:cs="宋体"/>
          <w:bCs/>
          <w:color w:val="auto"/>
          <w:sz w:val="24"/>
          <w:highlight w:val="none"/>
        </w:rPr>
        <w:t>在网上公</w:t>
      </w:r>
      <w:r>
        <w:rPr>
          <w:rFonts w:hint="eastAsia" w:ascii="宋体" w:hAnsi="宋体" w:eastAsia="宋体" w:cs="宋体"/>
          <w:color w:val="auto"/>
          <w:sz w:val="24"/>
          <w:highlight w:val="none"/>
        </w:rPr>
        <w:t>示，公示期不少于3日，期满无异议则发布中标结果公告。</w:t>
      </w:r>
    </w:p>
    <w:p w14:paraId="055C6619">
      <w:pPr>
        <w:keepNext w:val="0"/>
        <w:keepLines w:val="0"/>
        <w:pageBreakBefore w:val="0"/>
        <w:widowControl w:val="0"/>
        <w:kinsoku/>
        <w:overflowPunct/>
        <w:topLinePunct w:val="0"/>
        <w:autoSpaceDE/>
        <w:autoSpaceDN/>
        <w:bidi w:val="0"/>
        <w:adjustRightInd/>
        <w:spacing w:line="360" w:lineRule="auto"/>
        <w:ind w:left="0" w:leftChars="0"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7</w:t>
      </w:r>
      <w:r>
        <w:rPr>
          <w:rFonts w:hint="eastAsia" w:ascii="宋体" w:hAnsi="宋体" w:eastAsia="宋体" w:cs="宋体"/>
          <w:b/>
          <w:color w:val="auto"/>
          <w:sz w:val="24"/>
          <w:highlight w:val="none"/>
        </w:rPr>
        <w:t>.中标通知书</w:t>
      </w:r>
    </w:p>
    <w:p w14:paraId="5DE21277">
      <w:pPr>
        <w:pStyle w:val="31"/>
        <w:keepNext w:val="0"/>
        <w:keepLines w:val="0"/>
        <w:pageBreakBefore w:val="0"/>
        <w:widowControl w:val="0"/>
        <w:numPr>
          <w:ilvl w:val="0"/>
          <w:numId w:val="0"/>
        </w:numPr>
        <w:kinsoku/>
        <w:overflowPunct/>
        <w:topLinePunct w:val="0"/>
        <w:autoSpaceDE/>
        <w:autoSpaceDN/>
        <w:bidi w:val="0"/>
        <w:adjustRightInd/>
        <w:snapToGrid w:val="0"/>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eastAsia="zh-CN"/>
        </w:rPr>
        <w:t>县公共资源交易有限责任公司</w:t>
      </w:r>
      <w:r>
        <w:rPr>
          <w:rFonts w:hint="eastAsia" w:ascii="宋体" w:hAnsi="宋体" w:eastAsia="宋体" w:cs="宋体"/>
          <w:color w:val="auto"/>
          <w:sz w:val="24"/>
          <w:highlight w:val="none"/>
        </w:rPr>
        <w:t>将以中标通知书形式通知中标人，其投标已被接受。</w:t>
      </w:r>
    </w:p>
    <w:p w14:paraId="40D3C65A">
      <w:pPr>
        <w:pStyle w:val="31"/>
        <w:keepNext w:val="0"/>
        <w:keepLines w:val="0"/>
        <w:pageBreakBefore w:val="0"/>
        <w:widowControl w:val="0"/>
        <w:numPr>
          <w:ilvl w:val="0"/>
          <w:numId w:val="0"/>
        </w:numPr>
        <w:kinsoku/>
        <w:overflowPunct/>
        <w:topLinePunct w:val="0"/>
        <w:autoSpaceDE/>
        <w:autoSpaceDN/>
        <w:bidi w:val="0"/>
        <w:adjustRightInd/>
        <w:snapToGrid w:val="0"/>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eastAsia="zh-CN"/>
        </w:rPr>
        <w:t>县公共资源交易有限责任公司</w:t>
      </w:r>
      <w:r>
        <w:rPr>
          <w:rFonts w:hint="eastAsia" w:ascii="宋体" w:hAnsi="宋体" w:eastAsia="宋体" w:cs="宋体"/>
          <w:color w:val="auto"/>
          <w:sz w:val="24"/>
          <w:highlight w:val="none"/>
        </w:rPr>
        <w:t>对未中标的投标人不做未中标原因的解释。</w:t>
      </w:r>
    </w:p>
    <w:p w14:paraId="07E57B3E">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en-US" w:eastAsia="zh-CN" w:bidi="ar-SA"/>
        </w:rPr>
        <w:t>27.</w:t>
      </w:r>
      <w:r>
        <w:rPr>
          <w:rFonts w:hint="eastAsia" w:ascii="宋体" w:hAnsi="宋体" w:eastAsia="宋体" w:cs="宋体"/>
          <w:color w:val="auto"/>
          <w:sz w:val="24"/>
          <w:highlight w:val="none"/>
        </w:rPr>
        <w:t>3中标结果公告发布后，中标人请在3个工作日</w:t>
      </w:r>
      <w:r>
        <w:rPr>
          <w:rFonts w:hint="eastAsia" w:ascii="宋体" w:hAnsi="宋体" w:eastAsia="宋体" w:cs="宋体"/>
          <w:color w:val="auto"/>
          <w:kern w:val="0"/>
          <w:sz w:val="24"/>
          <w:highlight w:val="none"/>
        </w:rPr>
        <w:t>内领取中标通知书。</w:t>
      </w:r>
    </w:p>
    <w:p w14:paraId="76AC6FCF">
      <w:pPr>
        <w:keepNext w:val="0"/>
        <w:keepLines w:val="0"/>
        <w:pageBreakBefore w:val="0"/>
        <w:widowControl w:val="0"/>
        <w:kinsoku/>
        <w:overflowPunct/>
        <w:topLinePunct w:val="0"/>
        <w:autoSpaceDE/>
        <w:autoSpaceDN/>
        <w:bidi w:val="0"/>
        <w:adjustRightInd/>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8</w:t>
      </w:r>
      <w:r>
        <w:rPr>
          <w:rFonts w:hint="eastAsia" w:ascii="宋体" w:hAnsi="宋体" w:eastAsia="宋体" w:cs="宋体"/>
          <w:b/>
          <w:color w:val="auto"/>
          <w:sz w:val="24"/>
          <w:szCs w:val="24"/>
          <w:highlight w:val="none"/>
        </w:rPr>
        <w:t>.招标代理服务费</w:t>
      </w:r>
    </w:p>
    <w:p w14:paraId="5A327892">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.1中标人在领取中标通知书前须向招标代理机构缴纳招标代理服务费，可以银行转账、银行电汇方式。</w:t>
      </w:r>
    </w:p>
    <w:p w14:paraId="1ECEF2A4">
      <w:pPr>
        <w:spacing w:line="360" w:lineRule="auto"/>
        <w:rPr>
          <w:rFonts w:hint="eastAsia" w:ascii="宋体" w:hAnsi="宋体" w:eastAsia="宋体" w:cs="宋体"/>
          <w:b/>
          <w:bCs/>
          <w:color w:val="auto"/>
          <w:sz w:val="24"/>
          <w:highlight w:val="none"/>
          <w:lang w:val="en-US" w:eastAsia="zh-CN"/>
        </w:rPr>
      </w:pPr>
      <w:r>
        <w:rPr>
          <w:rFonts w:hint="eastAsia" w:ascii="宋体" w:hAnsi="宋体" w:eastAsia="宋体" w:cs="宋体"/>
          <w:b w:val="0"/>
          <w:bCs/>
          <w:color w:val="auto"/>
          <w:sz w:val="24"/>
          <w:highlight w:val="none"/>
        </w:rPr>
        <w:t>中标服务费缴纳账户</w:t>
      </w:r>
      <w:r>
        <w:rPr>
          <w:rFonts w:hint="eastAsia" w:ascii="宋体" w:hAnsi="宋体" w:eastAsia="宋体" w:cs="宋体"/>
          <w:b/>
          <w:bCs/>
          <w:color w:val="auto"/>
          <w:sz w:val="24"/>
          <w:highlight w:val="none"/>
          <w:lang w:val="en-US" w:eastAsia="zh-CN"/>
        </w:rPr>
        <w:t>（选择一家银行进行缴费）</w:t>
      </w:r>
    </w:p>
    <w:p w14:paraId="47213CF1">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drawing>
          <wp:inline distT="0" distB="0" distL="114300" distR="114300">
            <wp:extent cx="2924175" cy="809625"/>
            <wp:effectExtent l="0" t="0" r="9525" b="9525"/>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12"/>
                    <a:stretch>
                      <a:fillRect/>
                    </a:stretch>
                  </pic:blipFill>
                  <pic:spPr>
                    <a:xfrm>
                      <a:off x="0" y="0"/>
                      <a:ext cx="2924175" cy="809625"/>
                    </a:xfrm>
                    <a:prstGeom prst="rect">
                      <a:avLst/>
                    </a:prstGeom>
                    <a:noFill/>
                    <a:ln>
                      <a:noFill/>
                    </a:ln>
                  </pic:spPr>
                </pic:pic>
              </a:graphicData>
            </a:graphic>
          </wp:inline>
        </w:drawing>
      </w:r>
    </w:p>
    <w:p w14:paraId="24B1B15C">
      <w:pPr>
        <w:keepNext w:val="0"/>
        <w:keepLines w:val="0"/>
        <w:widowControl/>
        <w:suppressLineNumbers w:val="0"/>
        <w:jc w:val="left"/>
        <w:rPr>
          <w:rFonts w:hint="eastAsia" w:ascii="宋体" w:hAnsi="宋体" w:eastAsia="宋体" w:cs="宋体"/>
          <w:color w:val="auto"/>
          <w:highlight w:val="none"/>
          <w:lang w:val="en-US" w:eastAsia="zh-CN"/>
        </w:rPr>
      </w:pPr>
      <w:r>
        <w:rPr>
          <w:rFonts w:hint="eastAsia" w:ascii="宋体" w:hAnsi="宋体" w:eastAsia="宋体" w:cs="宋体"/>
          <w:color w:val="auto"/>
          <w:kern w:val="0"/>
          <w:sz w:val="24"/>
          <w:szCs w:val="24"/>
          <w:highlight w:val="none"/>
          <w:lang w:val="en-US" w:eastAsia="zh-CN" w:bidi="ar"/>
        </w:rPr>
        <w:drawing>
          <wp:inline distT="0" distB="0" distL="114300" distR="114300">
            <wp:extent cx="3219450" cy="790575"/>
            <wp:effectExtent l="0" t="0" r="0" b="9525"/>
            <wp:docPr id="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6"/>
                    <pic:cNvPicPr>
                      <a:picLocks noChangeAspect="1"/>
                    </pic:cNvPicPr>
                  </pic:nvPicPr>
                  <pic:blipFill>
                    <a:blip r:embed="rId13"/>
                    <a:stretch>
                      <a:fillRect/>
                    </a:stretch>
                  </pic:blipFill>
                  <pic:spPr>
                    <a:xfrm>
                      <a:off x="0" y="0"/>
                      <a:ext cx="3219450" cy="790575"/>
                    </a:xfrm>
                    <a:prstGeom prst="rect">
                      <a:avLst/>
                    </a:prstGeom>
                    <a:noFill/>
                    <a:ln>
                      <a:noFill/>
                    </a:ln>
                  </pic:spPr>
                </pic:pic>
              </a:graphicData>
            </a:graphic>
          </wp:inline>
        </w:drawing>
      </w:r>
    </w:p>
    <w:p w14:paraId="4228C21E">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中标服务费的收取采用差额定率累进计费方式，</w:t>
      </w:r>
      <w:r>
        <w:rPr>
          <w:rFonts w:hint="eastAsia" w:ascii="宋体" w:hAnsi="宋体" w:eastAsia="宋体" w:cs="宋体"/>
          <w:b w:val="0"/>
          <w:bCs w:val="0"/>
          <w:color w:val="auto"/>
          <w:kern w:val="2"/>
          <w:sz w:val="24"/>
          <w:szCs w:val="20"/>
          <w:highlight w:val="none"/>
          <w:lang w:val="en-US" w:eastAsia="zh-CN" w:bidi="ar-SA"/>
        </w:rPr>
        <w:t>具体收费标准参照关于印发《招标（采购）代理行业服务收费指导意见》的通知（合公协〔2023]03号）文件收取</w:t>
      </w:r>
      <w:r>
        <w:rPr>
          <w:rFonts w:hint="eastAsia" w:ascii="宋体" w:hAnsi="宋体" w:eastAsia="宋体" w:cs="宋体"/>
          <w:color w:val="auto"/>
          <w:sz w:val="24"/>
          <w:highlight w:val="none"/>
        </w:rPr>
        <w:t>。</w:t>
      </w:r>
    </w:p>
    <w:p w14:paraId="145E413B">
      <w:pPr>
        <w:jc w:val="center"/>
        <w:rPr>
          <w:rStyle w:val="23"/>
          <w:rFonts w:hint="eastAsia" w:ascii="宋体" w:hAnsi="宋体" w:eastAsia="宋体" w:cs="宋体"/>
          <w:bCs/>
          <w:color w:val="auto"/>
          <w:sz w:val="24"/>
          <w:highlight w:val="none"/>
        </w:rPr>
      </w:pPr>
      <w:r>
        <w:rPr>
          <w:rStyle w:val="23"/>
          <w:rFonts w:hint="eastAsia" w:ascii="宋体" w:hAnsi="宋体" w:eastAsia="宋体" w:cs="宋体"/>
          <w:bCs/>
          <w:color w:val="auto"/>
          <w:sz w:val="24"/>
          <w:highlight w:val="none"/>
        </w:rPr>
        <w:t>招标代理服务收费标准</w:t>
      </w:r>
    </w:p>
    <w:tbl>
      <w:tblPr>
        <w:tblStyle w:val="20"/>
        <w:tblW w:w="934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94"/>
        <w:gridCol w:w="1817"/>
        <w:gridCol w:w="1817"/>
        <w:gridCol w:w="1817"/>
      </w:tblGrid>
      <w:tr w14:paraId="7B83A5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894" w:type="dxa"/>
            <w:tcBorders>
              <w:top w:val="single" w:color="auto" w:sz="4" w:space="0"/>
              <w:bottom w:val="single" w:color="auto" w:sz="4" w:space="0"/>
              <w:right w:val="single" w:color="auto" w:sz="4" w:space="0"/>
            </w:tcBorders>
            <w:noWrap w:val="0"/>
            <w:vAlign w:val="center"/>
          </w:tcPr>
          <w:p w14:paraId="79DF1B45">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中标金额</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302D059F">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货物招标</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0F798298">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服务招标</w:t>
            </w:r>
          </w:p>
        </w:tc>
        <w:tc>
          <w:tcPr>
            <w:tcW w:w="1817" w:type="dxa"/>
            <w:tcBorders>
              <w:top w:val="single" w:color="auto" w:sz="4" w:space="0"/>
              <w:left w:val="single" w:color="auto" w:sz="4" w:space="0"/>
              <w:bottom w:val="single" w:color="auto" w:sz="4" w:space="0"/>
            </w:tcBorders>
            <w:noWrap w:val="0"/>
            <w:vAlign w:val="center"/>
          </w:tcPr>
          <w:p w14:paraId="70D9C212">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工程招标</w:t>
            </w:r>
          </w:p>
        </w:tc>
      </w:tr>
      <w:tr w14:paraId="48517B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894" w:type="dxa"/>
            <w:tcBorders>
              <w:top w:val="single" w:color="auto" w:sz="4" w:space="0"/>
              <w:bottom w:val="single" w:color="auto" w:sz="4" w:space="0"/>
              <w:right w:val="single" w:color="auto" w:sz="4" w:space="0"/>
            </w:tcBorders>
            <w:noWrap w:val="0"/>
            <w:vAlign w:val="center"/>
          </w:tcPr>
          <w:p w14:paraId="0B20F8AF">
            <w:pPr>
              <w:spacing w:line="360" w:lineRule="auto"/>
              <w:jc w:val="center"/>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rPr>
              <w:t>100万元</w:t>
            </w:r>
            <w:r>
              <w:rPr>
                <w:rFonts w:hint="eastAsia" w:ascii="宋体" w:hAnsi="宋体" w:eastAsia="宋体" w:cs="宋体"/>
                <w:bCs/>
                <w:color w:val="auto"/>
                <w:sz w:val="24"/>
                <w:highlight w:val="none"/>
                <w:lang w:val="en-US" w:eastAsia="zh-CN"/>
              </w:rPr>
              <w:t>以下</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0D3C1FA7">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w:t>
            </w:r>
            <w:r>
              <w:rPr>
                <w:rFonts w:hint="eastAsia" w:ascii="宋体" w:hAnsi="宋体" w:eastAsia="宋体" w:cs="宋体"/>
                <w:bCs/>
                <w:color w:val="auto"/>
                <w:sz w:val="24"/>
                <w:highlight w:val="none"/>
                <w:lang w:val="en-US" w:eastAsia="zh-CN"/>
              </w:rPr>
              <w:t>5</w:t>
            </w:r>
            <w:r>
              <w:rPr>
                <w:rFonts w:hint="eastAsia" w:ascii="宋体" w:hAnsi="宋体" w:eastAsia="宋体" w:cs="宋体"/>
                <w:bCs/>
                <w:color w:val="auto"/>
                <w:sz w:val="24"/>
                <w:highlight w:val="none"/>
              </w:rPr>
              <w:t>%</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40994DA6">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w:t>
            </w:r>
            <w:r>
              <w:rPr>
                <w:rFonts w:hint="eastAsia" w:ascii="宋体" w:hAnsi="宋体" w:eastAsia="宋体" w:cs="宋体"/>
                <w:bCs/>
                <w:color w:val="auto"/>
                <w:sz w:val="24"/>
                <w:highlight w:val="none"/>
                <w:lang w:val="en-US" w:eastAsia="zh-CN"/>
              </w:rPr>
              <w:t>5</w:t>
            </w:r>
            <w:r>
              <w:rPr>
                <w:rFonts w:hint="eastAsia" w:ascii="宋体" w:hAnsi="宋体" w:eastAsia="宋体" w:cs="宋体"/>
                <w:bCs/>
                <w:color w:val="auto"/>
                <w:sz w:val="24"/>
                <w:highlight w:val="none"/>
              </w:rPr>
              <w:t>%</w:t>
            </w:r>
          </w:p>
        </w:tc>
        <w:tc>
          <w:tcPr>
            <w:tcW w:w="1817" w:type="dxa"/>
            <w:tcBorders>
              <w:top w:val="single" w:color="auto" w:sz="4" w:space="0"/>
              <w:left w:val="single" w:color="auto" w:sz="4" w:space="0"/>
              <w:bottom w:val="single" w:color="auto" w:sz="4" w:space="0"/>
            </w:tcBorders>
            <w:noWrap w:val="0"/>
            <w:vAlign w:val="center"/>
          </w:tcPr>
          <w:p w14:paraId="4149FA9B">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1.0</w:t>
            </w:r>
            <w:r>
              <w:rPr>
                <w:rFonts w:hint="eastAsia" w:ascii="宋体" w:hAnsi="宋体" w:eastAsia="宋体" w:cs="宋体"/>
                <w:bCs/>
                <w:color w:val="auto"/>
                <w:sz w:val="24"/>
                <w:highlight w:val="none"/>
              </w:rPr>
              <w:t>%</w:t>
            </w:r>
          </w:p>
        </w:tc>
      </w:tr>
      <w:tr w14:paraId="455F9C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894" w:type="dxa"/>
            <w:tcBorders>
              <w:top w:val="single" w:color="auto" w:sz="4" w:space="0"/>
              <w:bottom w:val="single" w:color="auto" w:sz="4" w:space="0"/>
              <w:right w:val="single" w:color="auto" w:sz="4" w:space="0"/>
            </w:tcBorders>
            <w:noWrap w:val="0"/>
            <w:vAlign w:val="center"/>
          </w:tcPr>
          <w:p w14:paraId="5A0D6EB4">
            <w:pPr>
              <w:spacing w:line="360" w:lineRule="auto"/>
              <w:jc w:val="center"/>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100万元-500万元</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lang w:val="en-US" w:eastAsia="zh-CN"/>
              </w:rPr>
              <w:t>含500</w:t>
            </w:r>
            <w:r>
              <w:rPr>
                <w:rFonts w:hint="eastAsia" w:ascii="宋体" w:hAnsi="宋体" w:eastAsia="宋体" w:cs="宋体"/>
                <w:bCs/>
                <w:color w:val="auto"/>
                <w:sz w:val="24"/>
                <w:highlight w:val="none"/>
              </w:rPr>
              <w:t>万元</w:t>
            </w:r>
            <w:r>
              <w:rPr>
                <w:rFonts w:hint="eastAsia" w:ascii="宋体" w:hAnsi="宋体" w:eastAsia="宋体" w:cs="宋体"/>
                <w:bCs/>
                <w:color w:val="auto"/>
                <w:sz w:val="24"/>
                <w:highlight w:val="none"/>
                <w:lang w:eastAsia="zh-CN"/>
              </w:rPr>
              <w:t>）</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481FE273">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1</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1</w:t>
            </w:r>
            <w:r>
              <w:rPr>
                <w:rFonts w:hint="eastAsia" w:ascii="宋体" w:hAnsi="宋体" w:eastAsia="宋体" w:cs="宋体"/>
                <w:bCs/>
                <w:color w:val="auto"/>
                <w:sz w:val="24"/>
                <w:highlight w:val="none"/>
              </w:rPr>
              <w:t>%</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2F00912D">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0.</w:t>
            </w:r>
            <w:r>
              <w:rPr>
                <w:rFonts w:hint="eastAsia" w:ascii="宋体" w:hAnsi="宋体" w:eastAsia="宋体" w:cs="宋体"/>
                <w:bCs/>
                <w:color w:val="auto"/>
                <w:sz w:val="24"/>
                <w:highlight w:val="none"/>
                <w:lang w:val="en-US" w:eastAsia="zh-CN"/>
              </w:rPr>
              <w:t>8</w:t>
            </w:r>
            <w:r>
              <w:rPr>
                <w:rFonts w:hint="eastAsia" w:ascii="宋体" w:hAnsi="宋体" w:eastAsia="宋体" w:cs="宋体"/>
                <w:bCs/>
                <w:color w:val="auto"/>
                <w:sz w:val="24"/>
                <w:highlight w:val="none"/>
              </w:rPr>
              <w:t>%</w:t>
            </w:r>
          </w:p>
        </w:tc>
        <w:tc>
          <w:tcPr>
            <w:tcW w:w="1817" w:type="dxa"/>
            <w:tcBorders>
              <w:top w:val="single" w:color="auto" w:sz="4" w:space="0"/>
              <w:left w:val="single" w:color="auto" w:sz="4" w:space="0"/>
              <w:bottom w:val="single" w:color="auto" w:sz="4" w:space="0"/>
            </w:tcBorders>
            <w:noWrap w:val="0"/>
            <w:vAlign w:val="center"/>
          </w:tcPr>
          <w:p w14:paraId="00FF1C6B">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0.</w:t>
            </w:r>
            <w:r>
              <w:rPr>
                <w:rFonts w:hint="eastAsia" w:ascii="宋体" w:hAnsi="宋体" w:eastAsia="宋体" w:cs="宋体"/>
                <w:bCs/>
                <w:color w:val="auto"/>
                <w:sz w:val="24"/>
                <w:highlight w:val="none"/>
                <w:lang w:val="en-US" w:eastAsia="zh-CN"/>
              </w:rPr>
              <w:t>7</w:t>
            </w:r>
            <w:r>
              <w:rPr>
                <w:rFonts w:hint="eastAsia" w:ascii="宋体" w:hAnsi="宋体" w:eastAsia="宋体" w:cs="宋体"/>
                <w:bCs/>
                <w:color w:val="auto"/>
                <w:sz w:val="24"/>
                <w:highlight w:val="none"/>
              </w:rPr>
              <w:t>%</w:t>
            </w:r>
          </w:p>
        </w:tc>
      </w:tr>
      <w:tr w14:paraId="50C691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894" w:type="dxa"/>
            <w:tcBorders>
              <w:top w:val="single" w:color="auto" w:sz="4" w:space="0"/>
              <w:bottom w:val="single" w:color="auto" w:sz="4" w:space="0"/>
              <w:right w:val="single" w:color="auto" w:sz="4" w:space="0"/>
            </w:tcBorders>
            <w:noWrap w:val="0"/>
            <w:vAlign w:val="center"/>
          </w:tcPr>
          <w:p w14:paraId="580AA6DF">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500万元-1000万元</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lang w:val="en-US" w:eastAsia="zh-CN"/>
              </w:rPr>
              <w:t>含1000</w:t>
            </w:r>
            <w:r>
              <w:rPr>
                <w:rFonts w:hint="eastAsia" w:ascii="宋体" w:hAnsi="宋体" w:eastAsia="宋体" w:cs="宋体"/>
                <w:bCs/>
                <w:color w:val="auto"/>
                <w:sz w:val="24"/>
                <w:highlight w:val="none"/>
              </w:rPr>
              <w:t>万元</w:t>
            </w:r>
            <w:r>
              <w:rPr>
                <w:rFonts w:hint="eastAsia" w:ascii="宋体" w:hAnsi="宋体" w:eastAsia="宋体" w:cs="宋体"/>
                <w:bCs/>
                <w:color w:val="auto"/>
                <w:sz w:val="24"/>
                <w:highlight w:val="none"/>
                <w:lang w:eastAsia="zh-CN"/>
              </w:rPr>
              <w:t>）</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18A7617D">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0.</w:t>
            </w:r>
            <w:r>
              <w:rPr>
                <w:rFonts w:hint="eastAsia" w:ascii="宋体" w:hAnsi="宋体" w:eastAsia="宋体" w:cs="宋体"/>
                <w:bCs/>
                <w:color w:val="auto"/>
                <w:sz w:val="24"/>
                <w:highlight w:val="none"/>
                <w:lang w:val="en-US" w:eastAsia="zh-CN"/>
              </w:rPr>
              <w:t>8</w:t>
            </w:r>
            <w:r>
              <w:rPr>
                <w:rFonts w:hint="eastAsia" w:ascii="宋体" w:hAnsi="宋体" w:eastAsia="宋体" w:cs="宋体"/>
                <w:bCs/>
                <w:color w:val="auto"/>
                <w:sz w:val="24"/>
                <w:highlight w:val="none"/>
              </w:rPr>
              <w:t>%</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3BCC08D1">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0.</w:t>
            </w:r>
            <w:r>
              <w:rPr>
                <w:rFonts w:hint="eastAsia" w:ascii="宋体" w:hAnsi="宋体" w:eastAsia="宋体" w:cs="宋体"/>
                <w:bCs/>
                <w:color w:val="auto"/>
                <w:sz w:val="24"/>
                <w:highlight w:val="none"/>
                <w:lang w:val="en-US" w:eastAsia="zh-CN"/>
              </w:rPr>
              <w:t>45</w:t>
            </w:r>
            <w:r>
              <w:rPr>
                <w:rFonts w:hint="eastAsia" w:ascii="宋体" w:hAnsi="宋体" w:eastAsia="宋体" w:cs="宋体"/>
                <w:bCs/>
                <w:color w:val="auto"/>
                <w:sz w:val="24"/>
                <w:highlight w:val="none"/>
              </w:rPr>
              <w:t>%</w:t>
            </w:r>
          </w:p>
        </w:tc>
        <w:tc>
          <w:tcPr>
            <w:tcW w:w="1817" w:type="dxa"/>
            <w:tcBorders>
              <w:top w:val="single" w:color="auto" w:sz="4" w:space="0"/>
              <w:left w:val="single" w:color="auto" w:sz="4" w:space="0"/>
              <w:bottom w:val="single" w:color="auto" w:sz="4" w:space="0"/>
            </w:tcBorders>
            <w:noWrap w:val="0"/>
            <w:vAlign w:val="center"/>
          </w:tcPr>
          <w:p w14:paraId="30BAEE7D">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0.</w:t>
            </w:r>
            <w:r>
              <w:rPr>
                <w:rFonts w:hint="eastAsia" w:ascii="宋体" w:hAnsi="宋体" w:eastAsia="宋体" w:cs="宋体"/>
                <w:bCs/>
                <w:color w:val="auto"/>
                <w:sz w:val="24"/>
                <w:highlight w:val="none"/>
                <w:lang w:val="en-US" w:eastAsia="zh-CN"/>
              </w:rPr>
              <w:t>55</w:t>
            </w:r>
            <w:r>
              <w:rPr>
                <w:rFonts w:hint="eastAsia" w:ascii="宋体" w:hAnsi="宋体" w:eastAsia="宋体" w:cs="宋体"/>
                <w:bCs/>
                <w:color w:val="auto"/>
                <w:sz w:val="24"/>
                <w:highlight w:val="none"/>
              </w:rPr>
              <w:t>%</w:t>
            </w:r>
          </w:p>
        </w:tc>
      </w:tr>
      <w:tr w14:paraId="163CAE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894" w:type="dxa"/>
            <w:tcBorders>
              <w:top w:val="single" w:color="auto" w:sz="4" w:space="0"/>
              <w:bottom w:val="single" w:color="auto" w:sz="4" w:space="0"/>
              <w:right w:val="single" w:color="auto" w:sz="4" w:space="0"/>
            </w:tcBorders>
            <w:noWrap w:val="0"/>
            <w:vAlign w:val="center"/>
          </w:tcPr>
          <w:p w14:paraId="18332AAA">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1000万元-5000万元</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lang w:val="en-US" w:eastAsia="zh-CN"/>
              </w:rPr>
              <w:t>含5000</w:t>
            </w:r>
            <w:r>
              <w:rPr>
                <w:rFonts w:hint="eastAsia" w:ascii="宋体" w:hAnsi="宋体" w:eastAsia="宋体" w:cs="宋体"/>
                <w:bCs/>
                <w:color w:val="auto"/>
                <w:sz w:val="24"/>
                <w:highlight w:val="none"/>
              </w:rPr>
              <w:t>万元</w:t>
            </w:r>
            <w:r>
              <w:rPr>
                <w:rFonts w:hint="eastAsia" w:ascii="宋体" w:hAnsi="宋体" w:eastAsia="宋体" w:cs="宋体"/>
                <w:bCs/>
                <w:color w:val="auto"/>
                <w:sz w:val="24"/>
                <w:highlight w:val="none"/>
                <w:lang w:eastAsia="zh-CN"/>
              </w:rPr>
              <w:t>）</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2E2EFBB6">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0.</w:t>
            </w:r>
            <w:r>
              <w:rPr>
                <w:rFonts w:hint="eastAsia" w:ascii="宋体" w:hAnsi="宋体" w:eastAsia="宋体" w:cs="宋体"/>
                <w:bCs/>
                <w:color w:val="auto"/>
                <w:sz w:val="24"/>
                <w:highlight w:val="none"/>
                <w:lang w:val="en-US" w:eastAsia="zh-CN"/>
              </w:rPr>
              <w:t>5</w:t>
            </w:r>
            <w:r>
              <w:rPr>
                <w:rFonts w:hint="eastAsia" w:ascii="宋体" w:hAnsi="宋体" w:eastAsia="宋体" w:cs="宋体"/>
                <w:bCs/>
                <w:color w:val="auto"/>
                <w:sz w:val="24"/>
                <w:highlight w:val="none"/>
              </w:rPr>
              <w:t>%</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21E46D87">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0.2</w:t>
            </w:r>
            <w:r>
              <w:rPr>
                <w:rFonts w:hint="eastAsia" w:ascii="宋体" w:hAnsi="宋体" w:eastAsia="宋体" w:cs="宋体"/>
                <w:bCs/>
                <w:color w:val="auto"/>
                <w:sz w:val="24"/>
                <w:highlight w:val="none"/>
                <w:lang w:val="en-US" w:eastAsia="zh-CN"/>
              </w:rPr>
              <w:t>5</w:t>
            </w:r>
            <w:r>
              <w:rPr>
                <w:rFonts w:hint="eastAsia" w:ascii="宋体" w:hAnsi="宋体" w:eastAsia="宋体" w:cs="宋体"/>
                <w:bCs/>
                <w:color w:val="auto"/>
                <w:sz w:val="24"/>
                <w:highlight w:val="none"/>
              </w:rPr>
              <w:t>%</w:t>
            </w:r>
          </w:p>
        </w:tc>
        <w:tc>
          <w:tcPr>
            <w:tcW w:w="1817" w:type="dxa"/>
            <w:tcBorders>
              <w:top w:val="single" w:color="auto" w:sz="4" w:space="0"/>
              <w:left w:val="single" w:color="auto" w:sz="4" w:space="0"/>
              <w:bottom w:val="single" w:color="auto" w:sz="4" w:space="0"/>
            </w:tcBorders>
            <w:noWrap w:val="0"/>
            <w:vAlign w:val="center"/>
          </w:tcPr>
          <w:p w14:paraId="5E60D9B3">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0.</w:t>
            </w:r>
            <w:r>
              <w:rPr>
                <w:rFonts w:hint="eastAsia" w:ascii="宋体" w:hAnsi="宋体" w:eastAsia="宋体" w:cs="宋体"/>
                <w:bCs/>
                <w:color w:val="auto"/>
                <w:sz w:val="24"/>
                <w:highlight w:val="none"/>
                <w:lang w:val="en-US" w:eastAsia="zh-CN"/>
              </w:rPr>
              <w:t>35</w:t>
            </w:r>
            <w:r>
              <w:rPr>
                <w:rFonts w:hint="eastAsia" w:ascii="宋体" w:hAnsi="宋体" w:eastAsia="宋体" w:cs="宋体"/>
                <w:bCs/>
                <w:color w:val="auto"/>
                <w:sz w:val="24"/>
                <w:highlight w:val="none"/>
              </w:rPr>
              <w:t>%</w:t>
            </w:r>
          </w:p>
        </w:tc>
      </w:tr>
      <w:tr w14:paraId="1DFBAF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894" w:type="dxa"/>
            <w:tcBorders>
              <w:top w:val="single" w:color="auto" w:sz="4" w:space="0"/>
              <w:bottom w:val="single" w:color="auto" w:sz="4" w:space="0"/>
              <w:right w:val="single" w:color="auto" w:sz="4" w:space="0"/>
            </w:tcBorders>
            <w:noWrap w:val="0"/>
            <w:vAlign w:val="center"/>
          </w:tcPr>
          <w:p w14:paraId="7E1F1E9E">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5000万元-1</w:t>
            </w:r>
            <w:r>
              <w:rPr>
                <w:rFonts w:hint="eastAsia" w:ascii="宋体" w:hAnsi="宋体" w:eastAsia="宋体" w:cs="宋体"/>
                <w:bCs/>
                <w:color w:val="auto"/>
                <w:sz w:val="24"/>
                <w:highlight w:val="none"/>
                <w:lang w:val="en-US" w:eastAsia="zh-CN"/>
              </w:rPr>
              <w:t>亿元</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lang w:val="en-US" w:eastAsia="zh-CN"/>
              </w:rPr>
              <w:t>含</w:t>
            </w:r>
            <w:r>
              <w:rPr>
                <w:rFonts w:hint="eastAsia" w:ascii="宋体" w:hAnsi="宋体" w:eastAsia="宋体" w:cs="宋体"/>
                <w:bCs/>
                <w:color w:val="auto"/>
                <w:sz w:val="24"/>
                <w:highlight w:val="none"/>
              </w:rPr>
              <w:t>1</w:t>
            </w:r>
            <w:r>
              <w:rPr>
                <w:rFonts w:hint="eastAsia" w:ascii="宋体" w:hAnsi="宋体" w:eastAsia="宋体" w:cs="宋体"/>
                <w:bCs/>
                <w:color w:val="auto"/>
                <w:sz w:val="24"/>
                <w:highlight w:val="none"/>
                <w:lang w:val="en-US" w:eastAsia="zh-CN"/>
              </w:rPr>
              <w:t>亿元</w:t>
            </w:r>
            <w:r>
              <w:rPr>
                <w:rFonts w:hint="eastAsia" w:ascii="宋体" w:hAnsi="宋体" w:eastAsia="宋体" w:cs="宋体"/>
                <w:bCs/>
                <w:color w:val="auto"/>
                <w:sz w:val="24"/>
                <w:highlight w:val="none"/>
                <w:lang w:eastAsia="zh-CN"/>
              </w:rPr>
              <w:t>）</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2E866DB6">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0.2</w:t>
            </w:r>
            <w:r>
              <w:rPr>
                <w:rFonts w:hint="eastAsia" w:ascii="宋体" w:hAnsi="宋体" w:eastAsia="宋体" w:cs="宋体"/>
                <w:bCs/>
                <w:color w:val="auto"/>
                <w:sz w:val="24"/>
                <w:highlight w:val="none"/>
                <w:lang w:val="en-US" w:eastAsia="zh-CN"/>
              </w:rPr>
              <w:t>5</w:t>
            </w:r>
            <w:r>
              <w:rPr>
                <w:rFonts w:hint="eastAsia" w:ascii="宋体" w:hAnsi="宋体" w:eastAsia="宋体" w:cs="宋体"/>
                <w:bCs/>
                <w:color w:val="auto"/>
                <w:sz w:val="24"/>
                <w:highlight w:val="none"/>
              </w:rPr>
              <w:t>%</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7B647F38">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0.</w:t>
            </w:r>
            <w:r>
              <w:rPr>
                <w:rFonts w:hint="eastAsia" w:ascii="宋体" w:hAnsi="宋体" w:eastAsia="宋体" w:cs="宋体"/>
                <w:bCs/>
                <w:color w:val="auto"/>
                <w:sz w:val="24"/>
                <w:highlight w:val="none"/>
                <w:lang w:val="en-US" w:eastAsia="zh-CN"/>
              </w:rPr>
              <w:t>1</w:t>
            </w:r>
            <w:r>
              <w:rPr>
                <w:rFonts w:hint="eastAsia" w:ascii="宋体" w:hAnsi="宋体" w:eastAsia="宋体" w:cs="宋体"/>
                <w:bCs/>
                <w:color w:val="auto"/>
                <w:sz w:val="24"/>
                <w:highlight w:val="none"/>
              </w:rPr>
              <w:t>%</w:t>
            </w:r>
          </w:p>
        </w:tc>
        <w:tc>
          <w:tcPr>
            <w:tcW w:w="1817" w:type="dxa"/>
            <w:tcBorders>
              <w:top w:val="single" w:color="auto" w:sz="4" w:space="0"/>
              <w:left w:val="single" w:color="auto" w:sz="4" w:space="0"/>
              <w:bottom w:val="single" w:color="auto" w:sz="4" w:space="0"/>
            </w:tcBorders>
            <w:noWrap w:val="0"/>
            <w:vAlign w:val="center"/>
          </w:tcPr>
          <w:p w14:paraId="16C502CB">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0.</w:t>
            </w:r>
            <w:r>
              <w:rPr>
                <w:rFonts w:hint="eastAsia" w:ascii="宋体" w:hAnsi="宋体" w:eastAsia="宋体" w:cs="宋体"/>
                <w:bCs/>
                <w:color w:val="auto"/>
                <w:sz w:val="24"/>
                <w:highlight w:val="none"/>
                <w:lang w:val="en-US" w:eastAsia="zh-CN"/>
              </w:rPr>
              <w:t>2</w:t>
            </w:r>
            <w:r>
              <w:rPr>
                <w:rFonts w:hint="eastAsia" w:ascii="宋体" w:hAnsi="宋体" w:eastAsia="宋体" w:cs="宋体"/>
                <w:bCs/>
                <w:color w:val="auto"/>
                <w:sz w:val="24"/>
                <w:highlight w:val="none"/>
              </w:rPr>
              <w:t>%</w:t>
            </w:r>
          </w:p>
        </w:tc>
      </w:tr>
      <w:tr w14:paraId="42814E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894" w:type="dxa"/>
            <w:tcBorders>
              <w:top w:val="single" w:color="auto" w:sz="4" w:space="0"/>
              <w:bottom w:val="single" w:color="auto" w:sz="4" w:space="0"/>
              <w:right w:val="single" w:color="auto" w:sz="4" w:space="0"/>
            </w:tcBorders>
            <w:noWrap w:val="0"/>
            <w:vAlign w:val="center"/>
          </w:tcPr>
          <w:p w14:paraId="38AD64D8">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w:t>
            </w:r>
            <w:r>
              <w:rPr>
                <w:rFonts w:hint="eastAsia" w:ascii="宋体" w:hAnsi="宋体" w:eastAsia="宋体" w:cs="宋体"/>
                <w:bCs/>
                <w:color w:val="auto"/>
                <w:sz w:val="24"/>
                <w:highlight w:val="none"/>
                <w:lang w:val="en-US" w:eastAsia="zh-CN"/>
              </w:rPr>
              <w:t>亿元</w:t>
            </w:r>
            <w:r>
              <w:rPr>
                <w:rFonts w:hint="eastAsia" w:ascii="宋体" w:hAnsi="宋体" w:eastAsia="宋体" w:cs="宋体"/>
                <w:bCs/>
                <w:color w:val="auto"/>
                <w:sz w:val="24"/>
                <w:highlight w:val="none"/>
              </w:rPr>
              <w:t>-10</w:t>
            </w:r>
            <w:r>
              <w:rPr>
                <w:rFonts w:hint="eastAsia" w:ascii="宋体" w:hAnsi="宋体" w:eastAsia="宋体" w:cs="宋体"/>
                <w:bCs/>
                <w:color w:val="auto"/>
                <w:sz w:val="24"/>
                <w:highlight w:val="none"/>
                <w:lang w:val="en-US" w:eastAsia="zh-CN"/>
              </w:rPr>
              <w:t>亿元</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231C2901">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0.0</w:t>
            </w:r>
            <w:r>
              <w:rPr>
                <w:rFonts w:hint="eastAsia" w:ascii="宋体" w:hAnsi="宋体" w:eastAsia="宋体" w:cs="宋体"/>
                <w:bCs/>
                <w:color w:val="auto"/>
                <w:sz w:val="24"/>
                <w:highlight w:val="none"/>
                <w:lang w:val="en-US" w:eastAsia="zh-CN"/>
              </w:rPr>
              <w:t>5</w:t>
            </w:r>
            <w:r>
              <w:rPr>
                <w:rFonts w:hint="eastAsia" w:ascii="宋体" w:hAnsi="宋体" w:eastAsia="宋体" w:cs="宋体"/>
                <w:bCs/>
                <w:color w:val="auto"/>
                <w:sz w:val="24"/>
                <w:highlight w:val="none"/>
              </w:rPr>
              <w:t>%</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6E5379A4">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0.0</w:t>
            </w:r>
            <w:r>
              <w:rPr>
                <w:rFonts w:hint="eastAsia" w:ascii="宋体" w:hAnsi="宋体" w:eastAsia="宋体" w:cs="宋体"/>
                <w:bCs/>
                <w:color w:val="auto"/>
                <w:sz w:val="24"/>
                <w:highlight w:val="none"/>
                <w:lang w:val="en-US" w:eastAsia="zh-CN"/>
              </w:rPr>
              <w:t>5</w:t>
            </w:r>
            <w:r>
              <w:rPr>
                <w:rFonts w:hint="eastAsia" w:ascii="宋体" w:hAnsi="宋体" w:eastAsia="宋体" w:cs="宋体"/>
                <w:bCs/>
                <w:color w:val="auto"/>
                <w:sz w:val="24"/>
                <w:highlight w:val="none"/>
              </w:rPr>
              <w:t>%</w:t>
            </w:r>
          </w:p>
        </w:tc>
        <w:tc>
          <w:tcPr>
            <w:tcW w:w="1817" w:type="dxa"/>
            <w:tcBorders>
              <w:top w:val="single" w:color="auto" w:sz="4" w:space="0"/>
              <w:left w:val="single" w:color="auto" w:sz="4" w:space="0"/>
              <w:bottom w:val="single" w:color="auto" w:sz="4" w:space="0"/>
            </w:tcBorders>
            <w:noWrap w:val="0"/>
            <w:vAlign w:val="center"/>
          </w:tcPr>
          <w:p w14:paraId="405835C8">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0.0</w:t>
            </w:r>
            <w:r>
              <w:rPr>
                <w:rFonts w:hint="eastAsia" w:ascii="宋体" w:hAnsi="宋体" w:eastAsia="宋体" w:cs="宋体"/>
                <w:bCs/>
                <w:color w:val="auto"/>
                <w:sz w:val="24"/>
                <w:highlight w:val="none"/>
                <w:lang w:val="en-US" w:eastAsia="zh-CN"/>
              </w:rPr>
              <w:t>5</w:t>
            </w:r>
            <w:r>
              <w:rPr>
                <w:rFonts w:hint="eastAsia" w:ascii="宋体" w:hAnsi="宋体" w:eastAsia="宋体" w:cs="宋体"/>
                <w:bCs/>
                <w:color w:val="auto"/>
                <w:sz w:val="24"/>
                <w:highlight w:val="none"/>
              </w:rPr>
              <w:t>%</w:t>
            </w:r>
          </w:p>
        </w:tc>
      </w:tr>
      <w:tr w14:paraId="4AE0CC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894" w:type="dxa"/>
            <w:tcBorders>
              <w:top w:val="single" w:color="auto" w:sz="4" w:space="0"/>
              <w:bottom w:val="single" w:color="auto" w:sz="4" w:space="0"/>
              <w:right w:val="single" w:color="auto" w:sz="4" w:space="0"/>
            </w:tcBorders>
            <w:noWrap w:val="0"/>
            <w:vAlign w:val="center"/>
          </w:tcPr>
          <w:p w14:paraId="4B0237D9">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10</w:t>
            </w:r>
            <w:r>
              <w:rPr>
                <w:rFonts w:hint="eastAsia" w:ascii="宋体" w:hAnsi="宋体" w:eastAsia="宋体" w:cs="宋体"/>
                <w:bCs/>
                <w:color w:val="auto"/>
                <w:sz w:val="24"/>
                <w:highlight w:val="none"/>
                <w:lang w:val="en-US" w:eastAsia="zh-CN"/>
              </w:rPr>
              <w:t>亿</w:t>
            </w:r>
            <w:r>
              <w:rPr>
                <w:rFonts w:hint="eastAsia" w:ascii="宋体" w:hAnsi="宋体" w:eastAsia="宋体" w:cs="宋体"/>
                <w:bCs/>
                <w:color w:val="auto"/>
                <w:sz w:val="24"/>
                <w:highlight w:val="none"/>
              </w:rPr>
              <w:t>以上</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6ED996C2">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0.0</w:t>
            </w:r>
            <w:r>
              <w:rPr>
                <w:rFonts w:hint="eastAsia" w:ascii="宋体" w:hAnsi="宋体" w:eastAsia="宋体" w:cs="宋体"/>
                <w:bCs/>
                <w:color w:val="auto"/>
                <w:sz w:val="24"/>
                <w:highlight w:val="none"/>
                <w:lang w:val="en-US" w:eastAsia="zh-CN"/>
              </w:rPr>
              <w:t>1</w:t>
            </w:r>
            <w:r>
              <w:rPr>
                <w:rFonts w:hint="eastAsia" w:ascii="宋体" w:hAnsi="宋体" w:eastAsia="宋体" w:cs="宋体"/>
                <w:bCs/>
                <w:color w:val="auto"/>
                <w:sz w:val="24"/>
                <w:highlight w:val="none"/>
              </w:rPr>
              <w:t>%</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4ED3ED43">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0.0</w:t>
            </w:r>
            <w:r>
              <w:rPr>
                <w:rFonts w:hint="eastAsia" w:ascii="宋体" w:hAnsi="宋体" w:eastAsia="宋体" w:cs="宋体"/>
                <w:bCs/>
                <w:color w:val="auto"/>
                <w:sz w:val="24"/>
                <w:highlight w:val="none"/>
                <w:lang w:val="en-US" w:eastAsia="zh-CN"/>
              </w:rPr>
              <w:t>1</w:t>
            </w:r>
            <w:r>
              <w:rPr>
                <w:rFonts w:hint="eastAsia" w:ascii="宋体" w:hAnsi="宋体" w:eastAsia="宋体" w:cs="宋体"/>
                <w:bCs/>
                <w:color w:val="auto"/>
                <w:sz w:val="24"/>
                <w:highlight w:val="none"/>
              </w:rPr>
              <w:t>%</w:t>
            </w:r>
          </w:p>
        </w:tc>
        <w:tc>
          <w:tcPr>
            <w:tcW w:w="1817" w:type="dxa"/>
            <w:tcBorders>
              <w:top w:val="single" w:color="auto" w:sz="4" w:space="0"/>
              <w:left w:val="single" w:color="auto" w:sz="4" w:space="0"/>
              <w:bottom w:val="single" w:color="auto" w:sz="4" w:space="0"/>
            </w:tcBorders>
            <w:noWrap w:val="0"/>
            <w:vAlign w:val="center"/>
          </w:tcPr>
          <w:p w14:paraId="79238240">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0.0</w:t>
            </w:r>
            <w:r>
              <w:rPr>
                <w:rFonts w:hint="eastAsia" w:ascii="宋体" w:hAnsi="宋体" w:eastAsia="宋体" w:cs="宋体"/>
                <w:bCs/>
                <w:color w:val="auto"/>
                <w:sz w:val="24"/>
                <w:highlight w:val="none"/>
                <w:lang w:val="en-US" w:eastAsia="zh-CN"/>
              </w:rPr>
              <w:t>1</w:t>
            </w:r>
            <w:r>
              <w:rPr>
                <w:rFonts w:hint="eastAsia" w:ascii="宋体" w:hAnsi="宋体" w:eastAsia="宋体" w:cs="宋体"/>
                <w:bCs/>
                <w:color w:val="auto"/>
                <w:sz w:val="24"/>
                <w:highlight w:val="none"/>
              </w:rPr>
              <w:t>%</w:t>
            </w:r>
          </w:p>
        </w:tc>
      </w:tr>
    </w:tbl>
    <w:p w14:paraId="2E52EC02">
      <w:pPr>
        <w:keepNext w:val="0"/>
        <w:keepLines w:val="0"/>
        <w:pageBreakBefore w:val="0"/>
        <w:widowControl w:val="0"/>
        <w:kinsoku/>
        <w:wordWrap w:val="0"/>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.2投标人须知前附表约定收取定额服务费或免收服务费的，从其规定。</w:t>
      </w:r>
    </w:p>
    <w:p w14:paraId="5DEE81C7">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w:t>
      </w:r>
      <w:r>
        <w:rPr>
          <w:rFonts w:hint="eastAsia" w:ascii="宋体" w:hAnsi="宋体" w:eastAsia="宋体" w:cs="宋体"/>
          <w:color w:val="auto"/>
          <w:sz w:val="24"/>
          <w:highlight w:val="none"/>
        </w:rPr>
        <w:t>如果中标人未按照上条规定交纳招标代理服务费，</w:t>
      </w:r>
      <w:r>
        <w:rPr>
          <w:rFonts w:hint="eastAsia" w:ascii="宋体" w:hAnsi="宋体" w:eastAsia="宋体" w:cs="宋体"/>
          <w:color w:val="auto"/>
          <w:sz w:val="24"/>
          <w:highlight w:val="none"/>
          <w:lang w:eastAsia="zh-CN"/>
        </w:rPr>
        <w:t>县公共资源交易有限责任公司</w:t>
      </w:r>
      <w:r>
        <w:rPr>
          <w:rFonts w:hint="eastAsia" w:ascii="宋体" w:hAnsi="宋体" w:eastAsia="宋体" w:cs="宋体"/>
          <w:color w:val="auto"/>
          <w:sz w:val="24"/>
          <w:highlight w:val="none"/>
        </w:rPr>
        <w:t>可从其磋商保证金中抵扣。</w:t>
      </w:r>
    </w:p>
    <w:p w14:paraId="57D66C26">
      <w:pPr>
        <w:keepNext w:val="0"/>
        <w:keepLines w:val="0"/>
        <w:pageBreakBefore w:val="0"/>
        <w:widowControl w:val="0"/>
        <w:kinsoku/>
        <w:overflowPunct/>
        <w:topLinePunct w:val="0"/>
        <w:autoSpaceDE/>
        <w:autoSpaceDN/>
        <w:bidi w:val="0"/>
        <w:adjustRightInd/>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29</w:t>
      </w:r>
      <w:r>
        <w:rPr>
          <w:rFonts w:hint="eastAsia" w:ascii="宋体" w:hAnsi="宋体" w:eastAsia="宋体" w:cs="宋体"/>
          <w:b/>
          <w:color w:val="auto"/>
          <w:sz w:val="24"/>
          <w:szCs w:val="24"/>
          <w:highlight w:val="none"/>
        </w:rPr>
        <w:t>.履约保证金</w:t>
      </w:r>
    </w:p>
    <w:p w14:paraId="5317327D">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.1签订合同前，投标人应提交履约保证金。履约保证金金额、收受方式及收受人见投标人须知前附表规定。</w:t>
      </w:r>
    </w:p>
    <w:p w14:paraId="1031DB12">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.2投标人须知前附表约定收取定额履约保证金或免收履约保证金的，从其规定。</w:t>
      </w:r>
    </w:p>
    <w:p w14:paraId="7C09B434">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.3</w:t>
      </w:r>
      <w:r>
        <w:rPr>
          <w:rFonts w:hint="eastAsia" w:ascii="宋体" w:hAnsi="宋体" w:eastAsia="宋体" w:cs="宋体"/>
          <w:color w:val="auto"/>
          <w:sz w:val="24"/>
          <w:highlight w:val="none"/>
        </w:rPr>
        <w:t>如果中标人未按规定交纳履约保证金的，视为放弃中标，其磋商保证金不予退还，给招标人造成的损失超过磋商保证金数额的，中标人还应当对超过部分予以赔偿。在此情况下招标人可以按照</w:t>
      </w:r>
      <w:r>
        <w:rPr>
          <w:rFonts w:hint="eastAsia" w:ascii="宋体" w:hAnsi="宋体" w:eastAsia="宋体" w:cs="宋体"/>
          <w:color w:val="auto"/>
          <w:kern w:val="0"/>
          <w:sz w:val="24"/>
          <w:highlight w:val="none"/>
        </w:rPr>
        <w:t>磋商小组</w:t>
      </w:r>
      <w:r>
        <w:rPr>
          <w:rFonts w:hint="eastAsia" w:ascii="宋体" w:hAnsi="宋体" w:eastAsia="宋体" w:cs="宋体"/>
          <w:color w:val="auto"/>
          <w:sz w:val="24"/>
          <w:highlight w:val="none"/>
        </w:rPr>
        <w:t>提出的中标候选人名单排序依次确定其他中标候选人为中标人，也可以重新招标。</w:t>
      </w:r>
    </w:p>
    <w:p w14:paraId="4ACD7EC2">
      <w:pPr>
        <w:keepNext w:val="0"/>
        <w:keepLines w:val="0"/>
        <w:pageBreakBefore w:val="0"/>
        <w:widowControl w:val="0"/>
        <w:kinsoku/>
        <w:overflowPunct/>
        <w:topLinePunct w:val="0"/>
        <w:autoSpaceDE/>
        <w:autoSpaceDN/>
        <w:bidi w:val="0"/>
        <w:adjustRightInd/>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30</w:t>
      </w:r>
      <w:r>
        <w:rPr>
          <w:rFonts w:hint="eastAsia" w:ascii="宋体" w:hAnsi="宋体" w:eastAsia="宋体" w:cs="宋体"/>
          <w:b/>
          <w:color w:val="auto"/>
          <w:sz w:val="24"/>
          <w:szCs w:val="24"/>
          <w:highlight w:val="none"/>
        </w:rPr>
        <w:t>.签订合同</w:t>
      </w:r>
    </w:p>
    <w:p w14:paraId="4A6385D7">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.1中标人应在中标通知书发出之日起三十日内（具体时间、地点见中标通知书）与招标人签订合同。磋商文件、中标人的响应文件及澄清文件等，均作为合同的附件。</w:t>
      </w:r>
      <w:r>
        <w:rPr>
          <w:rFonts w:hint="eastAsia" w:ascii="宋体" w:hAnsi="宋体" w:eastAsia="宋体" w:cs="宋体"/>
          <w:color w:val="auto"/>
          <w:sz w:val="24"/>
          <w:szCs w:val="24"/>
          <w:highlight w:val="none"/>
        </w:rPr>
        <w:t>合同签订前中标人应出示</w:t>
      </w:r>
      <w:r>
        <w:rPr>
          <w:rFonts w:hint="eastAsia" w:ascii="宋体" w:hAnsi="宋体" w:eastAsia="宋体" w:cs="宋体"/>
          <w:color w:val="auto"/>
          <w:sz w:val="24"/>
          <w:szCs w:val="24"/>
          <w:highlight w:val="none"/>
          <w:lang w:eastAsia="zh-CN"/>
        </w:rPr>
        <w:t>中标通知书和</w:t>
      </w:r>
      <w:r>
        <w:rPr>
          <w:rFonts w:hint="eastAsia" w:ascii="宋体" w:hAnsi="宋体" w:eastAsia="宋体" w:cs="宋体"/>
          <w:color w:val="auto"/>
          <w:sz w:val="24"/>
          <w:szCs w:val="24"/>
          <w:highlight w:val="none"/>
        </w:rPr>
        <w:t>履约保证金交纳证明。</w:t>
      </w:r>
    </w:p>
    <w:p w14:paraId="23D41E3C">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2招标双方必须严格按照磋商文件、响应文件及有关承诺签订合同，不得擅自变更。合同的标的、价款、质量、履行期限等主要条款应当与磋商文件和中标人的响应文件的内容一致，招标人和中标人不得再行订立背离合同实质性内容的其他协议。对任何因双方擅自变更合同引起的问题</w:t>
      </w:r>
      <w:r>
        <w:rPr>
          <w:rFonts w:hint="eastAsia" w:ascii="宋体" w:hAnsi="宋体" w:eastAsia="宋体" w:cs="宋体"/>
          <w:color w:val="auto"/>
          <w:sz w:val="24"/>
          <w:szCs w:val="24"/>
          <w:highlight w:val="none"/>
          <w:lang w:eastAsia="zh-CN"/>
        </w:rPr>
        <w:t>县公共资源交易有限责任公司</w:t>
      </w:r>
      <w:r>
        <w:rPr>
          <w:rFonts w:hint="eastAsia" w:ascii="宋体" w:hAnsi="宋体" w:eastAsia="宋体" w:cs="宋体"/>
          <w:color w:val="auto"/>
          <w:sz w:val="24"/>
          <w:szCs w:val="24"/>
          <w:highlight w:val="none"/>
        </w:rPr>
        <w:t>概不负责，合同风险由双方自行承担。</w:t>
      </w:r>
    </w:p>
    <w:p w14:paraId="2E4C02C7">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.3招标人保留以书面形式要求合同的卖方对其所投服务的方式、地点及服务细则等作适当调整的权利。</w:t>
      </w:r>
    </w:p>
    <w:p w14:paraId="75D9C9F8">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.4</w:t>
      </w:r>
      <w:r>
        <w:rPr>
          <w:rFonts w:hint="eastAsia" w:ascii="宋体" w:hAnsi="宋体" w:eastAsia="宋体" w:cs="宋体"/>
          <w:bCs/>
          <w:color w:val="auto"/>
          <w:sz w:val="24"/>
          <w:szCs w:val="24"/>
          <w:highlight w:val="none"/>
        </w:rPr>
        <w:t>无论基于何种原因，各项本应作拒绝处理的情形即便未被及时发现而使该投标人进入初审、详细评审或其它后续程序，包括已经签约的情形，一旦在任何时间被发现，招标人或</w:t>
      </w:r>
      <w:r>
        <w:rPr>
          <w:rFonts w:hint="eastAsia" w:ascii="宋体" w:hAnsi="宋体" w:eastAsia="宋体" w:cs="宋体"/>
          <w:bCs/>
          <w:color w:val="auto"/>
          <w:sz w:val="24"/>
          <w:szCs w:val="24"/>
          <w:highlight w:val="none"/>
          <w:lang w:eastAsia="zh-CN"/>
        </w:rPr>
        <w:t>县公共资源交易有限责任公司</w:t>
      </w:r>
      <w:r>
        <w:rPr>
          <w:rFonts w:hint="eastAsia" w:ascii="宋体" w:hAnsi="宋体" w:eastAsia="宋体" w:cs="宋体"/>
          <w:bCs/>
          <w:color w:val="auto"/>
          <w:sz w:val="24"/>
          <w:szCs w:val="24"/>
          <w:highlight w:val="none"/>
        </w:rPr>
        <w:t>均有权决定是否取消该投标人此前评议的结果或是否对该报价予以拒绝，并有权采取相应的补救或纠正措施。一旦该投标人被拒绝或被取消此前评议结果，其现有的位置将被其他投标人依序替代或重新组织招标，相关的一切损失均由该投标人自行承担。</w:t>
      </w:r>
    </w:p>
    <w:p w14:paraId="78C171F9">
      <w:pPr>
        <w:keepNext w:val="0"/>
        <w:keepLines w:val="0"/>
        <w:pageBreakBefore w:val="0"/>
        <w:widowControl w:val="0"/>
        <w:kinsoku/>
        <w:overflowPunct/>
        <w:topLinePunct w:val="0"/>
        <w:autoSpaceDE/>
        <w:autoSpaceDN/>
        <w:bidi w:val="0"/>
        <w:adjustRightInd/>
        <w:spacing w:line="360" w:lineRule="auto"/>
        <w:ind w:left="0" w:leftChars="0"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31.</w:t>
      </w:r>
      <w:r>
        <w:rPr>
          <w:rFonts w:hint="eastAsia" w:ascii="宋体" w:hAnsi="宋体" w:eastAsia="宋体" w:cs="宋体"/>
          <w:b/>
          <w:bCs/>
          <w:color w:val="auto"/>
          <w:sz w:val="24"/>
          <w:szCs w:val="24"/>
          <w:highlight w:val="none"/>
          <w:lang w:eastAsia="zh-CN"/>
        </w:rPr>
        <w:t>验收</w:t>
      </w:r>
    </w:p>
    <w:p w14:paraId="5832645A">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检测、验收费用均由合同乙方（成交供应商）承担</w:t>
      </w:r>
    </w:p>
    <w:p w14:paraId="72958E5F">
      <w:pPr>
        <w:keepNext w:val="0"/>
        <w:keepLines w:val="0"/>
        <w:pageBreakBefore w:val="0"/>
        <w:widowControl w:val="0"/>
        <w:kinsoku/>
        <w:overflowPunct/>
        <w:topLinePunct w:val="0"/>
        <w:autoSpaceDE/>
        <w:autoSpaceDN/>
        <w:bidi w:val="0"/>
        <w:adjustRightInd/>
        <w:spacing w:line="360" w:lineRule="auto"/>
        <w:ind w:left="0" w:lef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32</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rPr>
        <w:t>异议</w:t>
      </w:r>
    </w:p>
    <w:p w14:paraId="58B97BF8">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highlight w:val="none"/>
        </w:rPr>
        <w:t>.1</w:t>
      </w:r>
      <w:r>
        <w:rPr>
          <w:rFonts w:hint="eastAsia" w:ascii="宋体" w:hAnsi="宋体" w:eastAsia="宋体" w:cs="宋体"/>
          <w:bCs/>
          <w:color w:val="auto"/>
          <w:sz w:val="24"/>
          <w:highlight w:val="none"/>
        </w:rPr>
        <w:t>若投标人对评标结果有异议，可在中标候选人公示期内以书面形式在工作时间向</w:t>
      </w:r>
      <w:r>
        <w:rPr>
          <w:rFonts w:hint="eastAsia" w:ascii="宋体" w:hAnsi="宋体" w:eastAsia="宋体" w:cs="宋体"/>
          <w:bCs/>
          <w:color w:val="auto"/>
          <w:sz w:val="24"/>
          <w:highlight w:val="none"/>
          <w:lang w:eastAsia="zh-CN"/>
        </w:rPr>
        <w:t>肥西县公共资源交易有限责任公司</w:t>
      </w:r>
      <w:r>
        <w:rPr>
          <w:rFonts w:hint="eastAsia" w:ascii="宋体" w:hAnsi="宋体" w:eastAsia="宋体" w:cs="宋体"/>
          <w:bCs/>
          <w:color w:val="auto"/>
          <w:sz w:val="24"/>
          <w:highlight w:val="none"/>
        </w:rPr>
        <w:t>提出。</w:t>
      </w:r>
    </w:p>
    <w:p w14:paraId="6A43372F">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highlight w:val="none"/>
        </w:rPr>
        <w:t>.</w:t>
      </w:r>
      <w:r>
        <w:rPr>
          <w:rFonts w:hint="eastAsia" w:ascii="宋体" w:hAnsi="宋体" w:eastAsia="宋体" w:cs="宋体"/>
          <w:bCs/>
          <w:color w:val="auto"/>
          <w:sz w:val="24"/>
          <w:highlight w:val="none"/>
        </w:rPr>
        <w:t>2异议应以书面形式实名提出，书面异议材料应当包括以下内容：</w:t>
      </w:r>
    </w:p>
    <w:p w14:paraId="199084B1">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w:t>
      </w:r>
      <w:r>
        <w:rPr>
          <w:rFonts w:hint="eastAsia" w:ascii="宋体" w:hAnsi="宋体" w:eastAsia="宋体" w:cs="宋体"/>
          <w:bCs/>
          <w:color w:val="auto"/>
          <w:sz w:val="24"/>
          <w:highlight w:val="none"/>
          <w:lang w:val="en-US" w:eastAsia="zh-CN"/>
        </w:rPr>
        <w:t>2</w:t>
      </w:r>
      <w:r>
        <w:rPr>
          <w:rFonts w:hint="eastAsia" w:ascii="宋体" w:hAnsi="宋体" w:eastAsia="宋体" w:cs="宋体"/>
          <w:bCs/>
          <w:color w:val="auto"/>
          <w:sz w:val="24"/>
          <w:highlight w:val="none"/>
        </w:rPr>
        <w:t>.2.1异议人的名称、地址、有效联系方式；</w:t>
      </w:r>
    </w:p>
    <w:p w14:paraId="322D2A2F">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w:t>
      </w:r>
      <w:r>
        <w:rPr>
          <w:rFonts w:hint="eastAsia" w:ascii="宋体" w:hAnsi="宋体" w:eastAsia="宋体" w:cs="宋体"/>
          <w:bCs/>
          <w:color w:val="auto"/>
          <w:sz w:val="24"/>
          <w:highlight w:val="none"/>
          <w:lang w:val="en-US" w:eastAsia="zh-CN"/>
        </w:rPr>
        <w:t>2</w:t>
      </w:r>
      <w:r>
        <w:rPr>
          <w:rFonts w:hint="eastAsia" w:ascii="宋体" w:hAnsi="宋体" w:eastAsia="宋体" w:cs="宋体"/>
          <w:bCs/>
          <w:color w:val="auto"/>
          <w:sz w:val="24"/>
          <w:highlight w:val="none"/>
        </w:rPr>
        <w:t>.2.2项目名称、项目编号、标段号（如有）；</w:t>
      </w:r>
    </w:p>
    <w:p w14:paraId="0318D23B">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w:t>
      </w:r>
      <w:r>
        <w:rPr>
          <w:rFonts w:hint="eastAsia" w:ascii="宋体" w:hAnsi="宋体" w:eastAsia="宋体" w:cs="宋体"/>
          <w:bCs/>
          <w:color w:val="auto"/>
          <w:sz w:val="24"/>
          <w:highlight w:val="none"/>
          <w:lang w:val="en-US" w:eastAsia="zh-CN"/>
        </w:rPr>
        <w:t>2</w:t>
      </w:r>
      <w:r>
        <w:rPr>
          <w:rFonts w:hint="eastAsia" w:ascii="宋体" w:hAnsi="宋体" w:eastAsia="宋体" w:cs="宋体"/>
          <w:bCs/>
          <w:color w:val="auto"/>
          <w:sz w:val="24"/>
          <w:highlight w:val="none"/>
        </w:rPr>
        <w:t>.2.3被异议人名称；</w:t>
      </w:r>
    </w:p>
    <w:p w14:paraId="26D92233">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w:t>
      </w:r>
      <w:r>
        <w:rPr>
          <w:rFonts w:hint="eastAsia" w:ascii="宋体" w:hAnsi="宋体" w:eastAsia="宋体" w:cs="宋体"/>
          <w:bCs/>
          <w:color w:val="auto"/>
          <w:sz w:val="24"/>
          <w:highlight w:val="none"/>
          <w:lang w:val="en-US" w:eastAsia="zh-CN"/>
        </w:rPr>
        <w:t>2</w:t>
      </w:r>
      <w:r>
        <w:rPr>
          <w:rFonts w:hint="eastAsia" w:ascii="宋体" w:hAnsi="宋体" w:eastAsia="宋体" w:cs="宋体"/>
          <w:bCs/>
          <w:color w:val="auto"/>
          <w:sz w:val="24"/>
          <w:highlight w:val="none"/>
        </w:rPr>
        <w:t>.2.4具体的异议事项、基本事实及必要的证明材料；</w:t>
      </w:r>
    </w:p>
    <w:p w14:paraId="16F5947F">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w:t>
      </w:r>
      <w:r>
        <w:rPr>
          <w:rFonts w:hint="eastAsia" w:ascii="宋体" w:hAnsi="宋体" w:eastAsia="宋体" w:cs="宋体"/>
          <w:bCs/>
          <w:color w:val="auto"/>
          <w:sz w:val="24"/>
          <w:highlight w:val="none"/>
          <w:lang w:val="en-US" w:eastAsia="zh-CN"/>
        </w:rPr>
        <w:t>2</w:t>
      </w:r>
      <w:r>
        <w:rPr>
          <w:rFonts w:hint="eastAsia" w:ascii="宋体" w:hAnsi="宋体" w:eastAsia="宋体" w:cs="宋体"/>
          <w:bCs/>
          <w:color w:val="auto"/>
          <w:sz w:val="24"/>
          <w:highlight w:val="none"/>
        </w:rPr>
        <w:t>.2.5明确的请求及主张；</w:t>
      </w:r>
    </w:p>
    <w:p w14:paraId="2658134D">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w:t>
      </w:r>
      <w:r>
        <w:rPr>
          <w:rFonts w:hint="eastAsia" w:ascii="宋体" w:hAnsi="宋体" w:eastAsia="宋体" w:cs="宋体"/>
          <w:bCs/>
          <w:color w:val="auto"/>
          <w:sz w:val="24"/>
          <w:highlight w:val="none"/>
          <w:lang w:val="en-US" w:eastAsia="zh-CN"/>
        </w:rPr>
        <w:t>2</w:t>
      </w:r>
      <w:r>
        <w:rPr>
          <w:rFonts w:hint="eastAsia" w:ascii="宋体" w:hAnsi="宋体" w:eastAsia="宋体" w:cs="宋体"/>
          <w:bCs/>
          <w:color w:val="auto"/>
          <w:sz w:val="24"/>
          <w:highlight w:val="none"/>
        </w:rPr>
        <w:t>.2.6提起异议的日期。</w:t>
      </w:r>
    </w:p>
    <w:p w14:paraId="01973095">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异议人为法人或者其他组织的，应当由法定代表人或其委托代理人（需有委托授权书）签字并加盖公章。</w:t>
      </w:r>
    </w:p>
    <w:p w14:paraId="15615637">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bCs/>
          <w:color w:val="auto"/>
          <w:sz w:val="24"/>
          <w:highlight w:val="none"/>
        </w:rPr>
        <w:t>异议人需要修改、补充异议材料的，应当在异议期内提交修改或补充材料。</w:t>
      </w:r>
    </w:p>
    <w:p w14:paraId="51266B68">
      <w:pPr>
        <w:keepNext w:val="0"/>
        <w:keepLines w:val="0"/>
        <w:pageBreakBefore w:val="0"/>
        <w:widowControl w:val="0"/>
        <w:kinsoku/>
        <w:overflowPunct/>
        <w:topLinePunct w:val="0"/>
        <w:autoSpaceDE/>
        <w:autoSpaceDN/>
        <w:bidi w:val="0"/>
        <w:adjustRightInd/>
        <w:spacing w:line="360" w:lineRule="auto"/>
        <w:ind w:left="0" w:leftChars="0" w:firstLine="482" w:firstLineChars="200"/>
        <w:textAlignment w:val="auto"/>
        <w:rPr>
          <w:rFonts w:hint="eastAsia" w:ascii="宋体" w:hAnsi="宋体" w:eastAsia="宋体" w:cs="宋体"/>
          <w:bCs/>
          <w:color w:val="auto"/>
          <w:sz w:val="24"/>
          <w:highlight w:val="none"/>
        </w:rPr>
      </w:pPr>
      <w:r>
        <w:rPr>
          <w:rFonts w:hint="eastAsia" w:ascii="宋体" w:hAnsi="宋体" w:eastAsia="宋体" w:cs="宋体"/>
          <w:b/>
          <w:color w:val="auto"/>
          <w:sz w:val="24"/>
          <w:highlight w:val="none"/>
          <w:lang w:val="en-US" w:eastAsia="zh-CN"/>
        </w:rPr>
        <w:t>33</w:t>
      </w:r>
      <w:r>
        <w:rPr>
          <w:rFonts w:hint="eastAsia" w:ascii="宋体" w:hAnsi="宋体" w:eastAsia="宋体" w:cs="宋体"/>
          <w:b/>
          <w:color w:val="auto"/>
          <w:sz w:val="24"/>
          <w:highlight w:val="none"/>
        </w:rPr>
        <w:t>.解释权</w:t>
      </w:r>
    </w:p>
    <w:p w14:paraId="3A9542FC">
      <w:pPr>
        <w:keepNext w:val="0"/>
        <w:keepLines w:val="0"/>
        <w:pageBreakBefore w:val="0"/>
        <w:widowControl w:val="0"/>
        <w:kinsoku/>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highlight w:val="none"/>
        </w:rPr>
        <w:t>本磋商文件的解释权属于招标人和</w:t>
      </w:r>
      <w:r>
        <w:rPr>
          <w:rFonts w:hint="eastAsia" w:ascii="宋体" w:hAnsi="宋体" w:eastAsia="宋体" w:cs="宋体"/>
          <w:bCs/>
          <w:color w:val="auto"/>
          <w:sz w:val="24"/>
          <w:highlight w:val="none"/>
          <w:lang w:eastAsia="zh-CN"/>
        </w:rPr>
        <w:t>肥西县公共资源交易有限责任公司</w:t>
      </w:r>
      <w:r>
        <w:rPr>
          <w:rFonts w:hint="eastAsia" w:ascii="宋体" w:hAnsi="宋体" w:eastAsia="宋体" w:cs="宋体"/>
          <w:bCs/>
          <w:color w:val="auto"/>
          <w:sz w:val="24"/>
          <w:highlight w:val="none"/>
        </w:rPr>
        <w:t>。</w:t>
      </w:r>
    </w:p>
    <w:p w14:paraId="20F4ED1E">
      <w:pPr>
        <w:autoSpaceDE w:val="0"/>
        <w:autoSpaceDN w:val="0"/>
        <w:adjustRightInd w:val="0"/>
        <w:spacing w:line="240" w:lineRule="exact"/>
        <w:jc w:val="left"/>
        <w:rPr>
          <w:rFonts w:hint="eastAsia" w:ascii="宋体" w:hAnsi="宋体" w:eastAsia="宋体" w:cs="宋体"/>
          <w:bCs/>
          <w:color w:val="auto"/>
          <w:sz w:val="24"/>
          <w:szCs w:val="24"/>
          <w:highlight w:val="none"/>
        </w:rPr>
      </w:pPr>
    </w:p>
    <w:p w14:paraId="17EB03CA">
      <w:pPr>
        <w:widowControl/>
        <w:jc w:val="center"/>
        <w:rPr>
          <w:rFonts w:hint="eastAsia" w:ascii="宋体" w:hAnsi="宋体" w:eastAsia="宋体" w:cs="宋体"/>
          <w:b/>
          <w:bCs/>
          <w:color w:val="auto"/>
          <w:kern w:val="0"/>
          <w:sz w:val="28"/>
          <w:szCs w:val="28"/>
          <w:highlight w:val="none"/>
          <w:lang w:val="en-US" w:eastAsia="zh-CN" w:bidi="ar-SA"/>
        </w:rPr>
      </w:pPr>
      <w:bookmarkStart w:id="44" w:name="_Toc220232390"/>
      <w:r>
        <w:rPr>
          <w:rFonts w:hint="eastAsia" w:ascii="宋体" w:hAnsi="宋体" w:eastAsia="宋体" w:cs="宋体"/>
          <w:color w:val="auto"/>
          <w:highlight w:val="none"/>
        </w:rPr>
        <w:br w:type="page"/>
      </w:r>
      <w:bookmarkStart w:id="45" w:name="_Toc10800"/>
      <w:r>
        <w:rPr>
          <w:rFonts w:hint="eastAsia" w:ascii="宋体" w:hAnsi="宋体" w:eastAsia="宋体" w:cs="宋体"/>
          <w:b/>
          <w:bCs/>
          <w:color w:val="auto"/>
          <w:kern w:val="0"/>
          <w:sz w:val="28"/>
          <w:szCs w:val="28"/>
          <w:highlight w:val="none"/>
          <w:lang w:val="en-US" w:eastAsia="zh-CN" w:bidi="ar-SA"/>
        </w:rPr>
        <w:t xml:space="preserve">第四章 </w:t>
      </w:r>
      <w:bookmarkEnd w:id="44"/>
      <w:r>
        <w:rPr>
          <w:rFonts w:hint="eastAsia" w:ascii="宋体" w:hAnsi="宋体" w:eastAsia="宋体" w:cs="宋体"/>
          <w:b/>
          <w:bCs/>
          <w:color w:val="auto"/>
          <w:kern w:val="0"/>
          <w:sz w:val="28"/>
          <w:szCs w:val="28"/>
          <w:highlight w:val="none"/>
          <w:lang w:val="en-US" w:eastAsia="zh-CN" w:bidi="ar-SA"/>
        </w:rPr>
        <w:t>磋商需求</w:t>
      </w:r>
      <w:bookmarkEnd w:id="45"/>
    </w:p>
    <w:p w14:paraId="38C30FC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bookmarkStart w:id="46" w:name="_Hlt509716920"/>
      <w:bookmarkEnd w:id="46"/>
      <w:r>
        <w:rPr>
          <w:rFonts w:hint="eastAsia" w:ascii="宋体" w:hAnsi="宋体" w:eastAsia="宋体" w:cs="宋体"/>
          <w:color w:val="auto"/>
          <w:sz w:val="24"/>
          <w:szCs w:val="24"/>
          <w:highlight w:val="none"/>
        </w:rPr>
        <w:t>前注：</w:t>
      </w:r>
    </w:p>
    <w:p w14:paraId="3F4FB93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本采购需求中提出的服务方案仅为参考，如无明确限制，投标人可以进行优化，提供满足采购人实际需要的更优（或者性能实质上不低于的）服务方案，且此方案须经</w:t>
      </w:r>
      <w:r>
        <w:rPr>
          <w:rFonts w:hint="eastAsia" w:ascii="宋体" w:hAnsi="宋体" w:cs="宋体"/>
          <w:color w:val="auto"/>
          <w:sz w:val="24"/>
          <w:szCs w:val="24"/>
          <w:highlight w:val="none"/>
          <w:lang w:val="en-US" w:eastAsia="zh-CN"/>
        </w:rPr>
        <w:t>磋商小组</w:t>
      </w:r>
      <w:r>
        <w:rPr>
          <w:rFonts w:hint="eastAsia" w:ascii="宋体" w:hAnsi="宋体" w:eastAsia="宋体" w:cs="宋体"/>
          <w:color w:val="auto"/>
          <w:sz w:val="24"/>
          <w:szCs w:val="24"/>
          <w:highlight w:val="none"/>
        </w:rPr>
        <w:t>评审认可。</w:t>
      </w:r>
    </w:p>
    <w:p w14:paraId="6B51B966">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bookmarkStart w:id="47" w:name="_Toc497405173"/>
      <w:bookmarkStart w:id="48" w:name="_Toc398799167"/>
      <w:r>
        <w:rPr>
          <w:rFonts w:hint="eastAsia" w:ascii="宋体" w:hAnsi="宋体" w:eastAsia="宋体" w:cs="宋体"/>
          <w:b/>
          <w:bCs/>
          <w:color w:val="auto"/>
          <w:sz w:val="24"/>
          <w:szCs w:val="24"/>
          <w:highlight w:val="none"/>
          <w:lang w:val="en-US" w:eastAsia="zh-CN"/>
        </w:rPr>
        <w:t>一、采购需求前附表：</w:t>
      </w:r>
    </w:p>
    <w:tbl>
      <w:tblPr>
        <w:tblStyle w:val="20"/>
        <w:tblW w:w="50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1967"/>
        <w:gridCol w:w="6916"/>
      </w:tblGrid>
      <w:tr w14:paraId="4BAE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23" w:type="pct"/>
            <w:vAlign w:val="center"/>
          </w:tcPr>
          <w:p w14:paraId="091AB5E2">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013" w:type="pct"/>
            <w:vAlign w:val="center"/>
          </w:tcPr>
          <w:p w14:paraId="261F4E28">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条款名称</w:t>
            </w:r>
          </w:p>
        </w:tc>
        <w:tc>
          <w:tcPr>
            <w:tcW w:w="3562" w:type="pct"/>
            <w:vAlign w:val="center"/>
          </w:tcPr>
          <w:p w14:paraId="6D1F5CFF">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内容、说明与要求</w:t>
            </w:r>
          </w:p>
        </w:tc>
      </w:tr>
      <w:tr w14:paraId="50A8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23" w:type="pct"/>
            <w:vAlign w:val="center"/>
          </w:tcPr>
          <w:p w14:paraId="4DEBDE62">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013" w:type="pct"/>
            <w:vAlign w:val="center"/>
          </w:tcPr>
          <w:p w14:paraId="35682B31">
            <w:pPr>
              <w:spacing w:line="360" w:lineRule="auto"/>
              <w:rPr>
                <w:rFonts w:ascii="宋体" w:hAnsi="宋体" w:eastAsia="宋体" w:cs="宋体"/>
                <w:b/>
                <w:color w:val="auto"/>
                <w:sz w:val="24"/>
                <w:szCs w:val="24"/>
                <w:highlight w:val="none"/>
              </w:rPr>
            </w:pPr>
            <w:r>
              <w:rPr>
                <w:rFonts w:hint="eastAsia" w:ascii="宋体" w:hAnsi="宋体" w:eastAsia="宋体" w:cs="宋体"/>
                <w:color w:val="auto"/>
                <w:sz w:val="24"/>
                <w:szCs w:val="24"/>
                <w:highlight w:val="none"/>
              </w:rPr>
              <w:t>付款方式</w:t>
            </w:r>
          </w:p>
        </w:tc>
        <w:tc>
          <w:tcPr>
            <w:tcW w:w="3562" w:type="pct"/>
            <w:vAlign w:val="center"/>
          </w:tcPr>
          <w:p w14:paraId="5F23A77E">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考核合格每季度上旬支付中标人上季度服务费用</w:t>
            </w:r>
          </w:p>
        </w:tc>
      </w:tr>
      <w:tr w14:paraId="7AB4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23" w:type="pct"/>
            <w:vAlign w:val="center"/>
          </w:tcPr>
          <w:p w14:paraId="2AD4C486">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013" w:type="pct"/>
            <w:vAlign w:val="center"/>
          </w:tcPr>
          <w:p w14:paraId="1B680462">
            <w:pPr>
              <w:spacing w:line="360" w:lineRule="auto"/>
              <w:rPr>
                <w:rFonts w:ascii="宋体" w:hAnsi="宋体" w:eastAsia="宋体" w:cs="宋体"/>
                <w:b/>
                <w:color w:val="auto"/>
                <w:sz w:val="24"/>
                <w:szCs w:val="24"/>
                <w:highlight w:val="none"/>
              </w:rPr>
            </w:pPr>
            <w:r>
              <w:rPr>
                <w:rFonts w:hint="eastAsia" w:ascii="宋体" w:hAnsi="宋体" w:eastAsia="宋体" w:cs="宋体"/>
                <w:color w:val="auto"/>
                <w:sz w:val="24"/>
                <w:szCs w:val="24"/>
                <w:highlight w:val="none"/>
              </w:rPr>
              <w:t>服务地点</w:t>
            </w:r>
          </w:p>
        </w:tc>
        <w:tc>
          <w:tcPr>
            <w:tcW w:w="3562" w:type="pct"/>
            <w:vAlign w:val="center"/>
          </w:tcPr>
          <w:p w14:paraId="61BC63B7">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招标人指定地点</w:t>
            </w:r>
          </w:p>
        </w:tc>
      </w:tr>
      <w:tr w14:paraId="67D6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10DA8840">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013" w:type="pct"/>
            <w:tcBorders>
              <w:top w:val="single" w:color="auto" w:sz="4" w:space="0"/>
              <w:left w:val="single" w:color="auto" w:sz="4" w:space="0"/>
              <w:bottom w:val="single" w:color="auto" w:sz="4" w:space="0"/>
              <w:right w:val="single" w:color="auto" w:sz="4" w:space="0"/>
            </w:tcBorders>
            <w:vAlign w:val="center"/>
          </w:tcPr>
          <w:p w14:paraId="0C67EEF1">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服务期限</w:t>
            </w:r>
          </w:p>
        </w:tc>
        <w:tc>
          <w:tcPr>
            <w:tcW w:w="3562" w:type="pct"/>
            <w:tcBorders>
              <w:top w:val="single" w:color="auto" w:sz="4" w:space="0"/>
              <w:left w:val="single" w:color="auto" w:sz="4" w:space="0"/>
              <w:bottom w:val="single" w:color="auto" w:sz="4" w:space="0"/>
              <w:right w:val="single" w:color="auto" w:sz="4" w:space="0"/>
            </w:tcBorders>
            <w:vAlign w:val="center"/>
          </w:tcPr>
          <w:p w14:paraId="15031DC2">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合同签订之日起1年</w:t>
            </w:r>
          </w:p>
        </w:tc>
      </w:tr>
      <w:bookmarkEnd w:id="47"/>
      <w:bookmarkEnd w:id="48"/>
    </w:tbl>
    <w:p w14:paraId="13989055">
      <w:pPr>
        <w:spacing w:line="360" w:lineRule="auto"/>
        <w:ind w:firstLine="482" w:firstLineChars="200"/>
        <w:rPr>
          <w:rFonts w:hint="eastAsia" w:ascii="宋体" w:hAnsi="宋体" w:eastAsia="宋体" w:cs="宋体"/>
          <w:b/>
          <w:bCs/>
          <w:color w:val="auto"/>
          <w:sz w:val="24"/>
          <w:szCs w:val="24"/>
          <w:highlight w:val="none"/>
        </w:rPr>
      </w:pPr>
    </w:p>
    <w:p w14:paraId="093EB4F4">
      <w:pPr>
        <w:spacing w:line="36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二、项目概况</w:t>
      </w:r>
    </w:p>
    <w:p w14:paraId="21CFB69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1、维保范围：</w:t>
      </w:r>
    </w:p>
    <w:p w14:paraId="6130BF6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合肥市肥西县中医院新区位于青龙潭大道与站下路交口，占地面积112亩，建筑面积</w:t>
      </w:r>
      <w:r>
        <w:rPr>
          <w:rFonts w:hint="eastAsia" w:ascii="宋体" w:hAnsi="宋体" w:eastAsia="宋体" w:cs="宋体"/>
          <w:color w:val="auto"/>
          <w:sz w:val="24"/>
          <w:szCs w:val="24"/>
          <w:highlight w:val="none"/>
          <w:lang w:val="en-US" w:eastAsia="zh-CN"/>
        </w:rPr>
        <w:t>约</w:t>
      </w:r>
      <w:r>
        <w:rPr>
          <w:rFonts w:hint="eastAsia" w:ascii="宋体" w:hAnsi="宋体" w:eastAsia="宋体" w:cs="宋体"/>
          <w:color w:val="auto"/>
          <w:sz w:val="24"/>
          <w:szCs w:val="24"/>
          <w:highlight w:val="none"/>
        </w:rPr>
        <w:t>12万平方米，由门诊医技楼、住院楼、行政楼后勤楼、食堂、高压氧治疗中心以及高低压配电房、人防地下室及泵房等建筑组成，共有1个消防控制室。</w:t>
      </w:r>
    </w:p>
    <w:p w14:paraId="37C9D90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派河</w:t>
      </w:r>
      <w:r>
        <w:rPr>
          <w:rFonts w:hint="eastAsia" w:ascii="宋体" w:hAnsi="宋体" w:eastAsia="宋体" w:cs="宋体"/>
          <w:color w:val="auto"/>
          <w:sz w:val="24"/>
          <w:szCs w:val="24"/>
          <w:highlight w:val="none"/>
        </w:rPr>
        <w:t>路老门诊部位于</w:t>
      </w:r>
      <w:r>
        <w:rPr>
          <w:rFonts w:hint="eastAsia" w:ascii="宋体" w:hAnsi="宋体" w:eastAsia="宋体" w:cs="宋体"/>
          <w:color w:val="auto"/>
          <w:sz w:val="24"/>
          <w:szCs w:val="24"/>
          <w:highlight w:val="none"/>
          <w:lang w:val="en-US" w:eastAsia="zh-CN"/>
        </w:rPr>
        <w:t>三河</w:t>
      </w:r>
      <w:r>
        <w:rPr>
          <w:rFonts w:hint="eastAsia" w:ascii="宋体" w:hAnsi="宋体" w:eastAsia="宋体" w:cs="宋体"/>
          <w:color w:val="auto"/>
          <w:sz w:val="24"/>
          <w:szCs w:val="24"/>
          <w:highlight w:val="none"/>
        </w:rPr>
        <w:t>路和派河路交口，占地约3亩，建筑面积约47</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0平</w:t>
      </w:r>
      <w:r>
        <w:rPr>
          <w:rFonts w:hint="eastAsia" w:ascii="宋体" w:hAnsi="宋体" w:cs="宋体"/>
          <w:color w:val="auto"/>
          <w:sz w:val="24"/>
          <w:szCs w:val="24"/>
          <w:highlight w:val="none"/>
          <w:lang w:val="en-US" w:eastAsia="zh-CN"/>
        </w:rPr>
        <w:t>方</w:t>
      </w:r>
      <w:r>
        <w:rPr>
          <w:rFonts w:hint="eastAsia" w:ascii="宋体" w:hAnsi="宋体" w:eastAsia="宋体" w:cs="宋体"/>
          <w:color w:val="auto"/>
          <w:sz w:val="24"/>
          <w:szCs w:val="24"/>
          <w:highlight w:val="none"/>
        </w:rPr>
        <w:t>米，有1个消防控制室。</w:t>
      </w:r>
    </w:p>
    <w:p w14:paraId="1619F11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采购内容为肥西县中医院消防设备设施及火灾联动监控系统维保服务，服务期1年。主要消防系统包括消防应急广播和火灾自动报警系统、自动喷水灭火系统、七氟丙烷气体灭火系统、室内外消火栓系统、机械防排烟系统、机械加压送风系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防火门、应急照明与指示标志系统、防火卷帘门系统；火灾联动监控系统、消防</w:t>
      </w:r>
      <w:r>
        <w:rPr>
          <w:rFonts w:hint="eastAsia" w:ascii="宋体" w:hAnsi="宋体" w:eastAsia="宋体" w:cs="宋体"/>
          <w:color w:val="auto"/>
          <w:sz w:val="24"/>
          <w:szCs w:val="24"/>
          <w:highlight w:val="none"/>
          <w:lang w:val="en-US" w:eastAsia="zh-CN"/>
        </w:rPr>
        <w:t>水</w:t>
      </w:r>
      <w:r>
        <w:rPr>
          <w:rFonts w:hint="eastAsia" w:ascii="宋体" w:hAnsi="宋体" w:eastAsia="宋体" w:cs="宋体"/>
          <w:color w:val="auto"/>
          <w:sz w:val="24"/>
          <w:szCs w:val="24"/>
          <w:highlight w:val="none"/>
        </w:rPr>
        <w:t>炮灭火系统、消防专用电话、消防控制室图形显示装置设备设施等所有消防设施、设备。</w:t>
      </w:r>
    </w:p>
    <w:p w14:paraId="36BF4BFE">
      <w:pPr>
        <w:spacing w:line="360" w:lineRule="auto"/>
        <w:ind w:firstLine="480" w:firstLineChars="200"/>
        <w:rPr>
          <w:rFonts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rPr>
        <w:t>3、维保服务费包</w:t>
      </w:r>
      <w:r>
        <w:rPr>
          <w:rFonts w:hint="eastAsia" w:ascii="宋体" w:hAnsi="宋体" w:eastAsia="宋体" w:cs="宋体"/>
          <w:color w:val="auto"/>
          <w:kern w:val="0"/>
          <w:sz w:val="24"/>
          <w:szCs w:val="24"/>
          <w:highlight w:val="none"/>
          <w:lang w:val="en-US" w:eastAsia="zh-CN"/>
        </w:rPr>
        <w:t>括</w:t>
      </w:r>
      <w:r>
        <w:rPr>
          <w:rFonts w:hint="eastAsia" w:ascii="宋体" w:hAnsi="宋体" w:eastAsia="宋体" w:cs="宋体"/>
          <w:color w:val="auto"/>
          <w:kern w:val="0"/>
          <w:sz w:val="24"/>
          <w:szCs w:val="24"/>
          <w:highlight w:val="none"/>
        </w:rPr>
        <w:t>但不限于：消防及火灾联动监控系统的维护（含局部改造）</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维修</w:t>
      </w:r>
      <w:r>
        <w:rPr>
          <w:rFonts w:hint="eastAsia" w:ascii="宋体" w:hAnsi="宋体" w:eastAsia="宋体" w:cs="宋体"/>
          <w:color w:val="auto"/>
          <w:kern w:val="0"/>
          <w:sz w:val="24"/>
          <w:szCs w:val="24"/>
          <w:highlight w:val="none"/>
        </w:rPr>
        <w:t>、保养、检查、调试、消防系统及监控系统检测费、月度维保报告</w:t>
      </w:r>
      <w:r>
        <w:rPr>
          <w:rFonts w:hint="eastAsia" w:ascii="宋体" w:hAnsi="宋体" w:eastAsia="宋体" w:cs="宋体"/>
          <w:color w:val="auto"/>
          <w:sz w:val="24"/>
          <w:szCs w:val="24"/>
          <w:highlight w:val="none"/>
        </w:rPr>
        <w:t>及</w:t>
      </w:r>
      <w:r>
        <w:rPr>
          <w:rFonts w:hint="eastAsia" w:ascii="宋体" w:hAnsi="宋体" w:eastAsia="宋体" w:cs="宋体"/>
          <w:color w:val="auto"/>
          <w:kern w:val="0"/>
          <w:sz w:val="24"/>
          <w:szCs w:val="24"/>
          <w:highlight w:val="none"/>
        </w:rPr>
        <w:t>消防年检并出具年检报告，每年</w:t>
      </w:r>
      <w:r>
        <w:rPr>
          <w:rFonts w:hint="eastAsia" w:ascii="宋体" w:hAnsi="宋体" w:eastAsia="宋体" w:cs="宋体"/>
          <w:color w:val="auto"/>
          <w:sz w:val="24"/>
          <w:szCs w:val="24"/>
          <w:highlight w:val="none"/>
        </w:rPr>
        <w:t>消防设施安全评估报告</w:t>
      </w:r>
      <w:r>
        <w:rPr>
          <w:rFonts w:hint="eastAsia" w:ascii="宋体" w:hAnsi="宋体" w:eastAsia="宋体" w:cs="宋体"/>
          <w:color w:val="auto"/>
          <w:kern w:val="0"/>
          <w:sz w:val="24"/>
          <w:szCs w:val="24"/>
          <w:highlight w:val="none"/>
        </w:rPr>
        <w:t>等</w:t>
      </w:r>
      <w:r>
        <w:rPr>
          <w:rFonts w:hint="eastAsia" w:ascii="宋体" w:hAnsi="宋体" w:eastAsia="宋体" w:cs="宋体"/>
          <w:color w:val="auto"/>
          <w:sz w:val="24"/>
          <w:szCs w:val="24"/>
          <w:highlight w:val="none"/>
        </w:rPr>
        <w:t>所有费用：火灾自动报警系统维护保养、自动喷水灭火系统维护保养、室内外消火栓系统维护保养、防排烟系统维护保养检测、防火门维护保养、应急照明与指示标识系统维护保养检测、防火卷帘门系统维护保养检测、七氟丙烷气体灭火系统维护保养检测、消防标识标牌，</w:t>
      </w:r>
      <w:r>
        <w:rPr>
          <w:rFonts w:hint="eastAsia" w:ascii="宋体" w:hAnsi="宋体" w:eastAsia="宋体" w:cs="宋体"/>
          <w:color w:val="auto"/>
          <w:sz w:val="24"/>
          <w:szCs w:val="24"/>
          <w:highlight w:val="none"/>
        </w:rPr>
        <w:t>以及驻点人员工资及生活费用</w:t>
      </w:r>
      <w:r>
        <w:rPr>
          <w:rFonts w:hint="eastAsia" w:ascii="宋体" w:hAnsi="宋体" w:eastAsia="宋体" w:cs="宋体"/>
          <w:color w:val="auto"/>
          <w:sz w:val="24"/>
          <w:szCs w:val="24"/>
          <w:highlight w:val="none"/>
        </w:rPr>
        <w:t>。</w:t>
      </w:r>
    </w:p>
    <w:p w14:paraId="49FEAF8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4、维保单位应自行勘察服务现场，</w:t>
      </w:r>
      <w:r>
        <w:rPr>
          <w:rFonts w:hint="eastAsia" w:ascii="宋体" w:hAnsi="宋体" w:eastAsia="宋体" w:cs="宋体"/>
          <w:bCs/>
          <w:color w:val="auto"/>
          <w:sz w:val="24"/>
          <w:szCs w:val="24"/>
          <w:highlight w:val="none"/>
        </w:rPr>
        <w:t>按</w:t>
      </w:r>
      <w:r>
        <w:rPr>
          <w:rFonts w:hint="eastAsia" w:ascii="宋体" w:hAnsi="宋体" w:eastAsia="宋体" w:cs="宋体"/>
          <w:color w:val="auto"/>
          <w:sz w:val="24"/>
          <w:szCs w:val="24"/>
          <w:highlight w:val="none"/>
        </w:rPr>
        <w:t>维保货物清单</w:t>
      </w:r>
      <w:r>
        <w:rPr>
          <w:rFonts w:hint="eastAsia" w:ascii="宋体" w:hAnsi="宋体" w:eastAsia="宋体" w:cs="宋体"/>
          <w:color w:val="auto"/>
          <w:sz w:val="24"/>
          <w:szCs w:val="24"/>
          <w:highlight w:val="none"/>
          <w:lang w:val="en-US" w:eastAsia="zh-CN"/>
        </w:rPr>
        <w:t>报</w:t>
      </w:r>
      <w:r>
        <w:rPr>
          <w:rFonts w:hint="eastAsia" w:ascii="宋体" w:hAnsi="宋体" w:eastAsia="宋体" w:cs="宋体"/>
          <w:color w:val="auto"/>
          <w:sz w:val="24"/>
          <w:szCs w:val="24"/>
          <w:highlight w:val="none"/>
        </w:rPr>
        <w:t>综合总价</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投标人须自行考虑履约过程中存在的价格因素及相关风险，如因未及时勘察现场而导致的报价缺项漏项废标或中标后无法完成维保服务，投标人自行承担一切后果。建筑消防设施设备及火灾联动监控系统的维护、保养、检查、调试、消防系统及监控系统检测费、月度维保报告、消防设施年度检测报告、消防设施安全评估报告等所有各项费用由投标人承担。</w:t>
      </w:r>
    </w:p>
    <w:p w14:paraId="12CD1AE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维保单位应对消防监控设施进行检查、调试、维护保养，使整个消防系统具备报警、联动、自动灭火等应有的消防功能，各项运行状态正常，整个系统时刻处于良好工作状态。如发生火灾，消防设备不能发挥报警、灭火功能，消防维保单位应负全部责任。</w:t>
      </w:r>
    </w:p>
    <w:p w14:paraId="6465517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6、维保单位须安排消防部门认可的消防检测公司按照《建筑消防设施检测技术规程》每年对肥西县中医院消防设施进行消防检测并出具年检报告，维保单位确保年检通过。    </w:t>
      </w:r>
    </w:p>
    <w:p w14:paraId="3C34705B">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维保单位巡检发现消防设施需维修更换的，单品单价200元（含）以内零配件，中标单位免费提供配件并承担维修人工，不额外收费；单品单价超200元主材，须书面报甲方审批同意后方可采购更换。维保单位建立隐患台账，按时限闭环整改，留存维修资料，确保顺利通过消防年检及各类监督检查，维保处置不到位引发的处罚及损失由中标单位承担。</w:t>
      </w:r>
    </w:p>
    <w:p w14:paraId="20F04F9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向安保及管理人员提供操作培训与技术咨询服务。负责医院所有消防设施、设备以及楼层、地面消防标识标牌等制作、张贴，以及户外消防设施的防冻措施（不仅限于安全疏散示意图、楼层疏散通道标识制定、张贴）。</w:t>
      </w:r>
    </w:p>
    <w:p w14:paraId="1E8381EA">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．维护保养工作方案</w:t>
      </w:r>
    </w:p>
    <w:p w14:paraId="2BB0218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（一）火灾自动报警及消防联动系统</w:t>
      </w:r>
    </w:p>
    <w:p w14:paraId="77143D6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每月对火灾自动报警控制器自检功能、消音复位功能、故障报警功能、火灾优先功能、楼层显示功能、联动控制器功能、报警记忆功能、火灾广播功能、打印功能和主备电源自动转化功能进行检查，保证处于正常良好状态。</w:t>
      </w:r>
    </w:p>
    <w:p w14:paraId="3CDF59E2">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2、每月按安装总量的30%采用专用检测设备对火灾探测器、手动报警器按钮、警铃、声光报警器进行模拟火灾响应实验和故障报警实验。</w:t>
      </w:r>
    </w:p>
    <w:p w14:paraId="34F47D2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3、每月进行报警及控制线路维修检查；每季对消防系统进行一次全面检查，对烟感探测器进行吹烟模拟实验（抽检率不得低于50%）。</w:t>
      </w:r>
    </w:p>
    <w:p w14:paraId="68338C98">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4、每月对联动控制设备进行手动和自动试验，保证控制器应有控制和显示功能，打印、显示部位编号应一致。</w:t>
      </w:r>
    </w:p>
    <w:p w14:paraId="5A2F17E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（二）自动喷水灭火系统</w:t>
      </w:r>
    </w:p>
    <w:p w14:paraId="24DC6A48">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1、每周对喷淋泵房的工作环境、喷淋泵、电源控制柜、湿式报警阀、管网、阀门、喷头、水泵接合器、储水设备等进行检查，保证处于完好状态。</w:t>
      </w:r>
    </w:p>
    <w:p w14:paraId="488BD5F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2、每周利用报警阀上的放水实验阀进行放水，试验系统供水情况；测试水力警铃工作是否正常，压力开关电信号是否正确。</w:t>
      </w:r>
    </w:p>
    <w:p w14:paraId="699F30E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3、每月利用末端放水装置进行放水实验，检查水流指示器和压力开关报警功能、自动启泵功能和信号显示是否正常。</w:t>
      </w:r>
    </w:p>
    <w:p w14:paraId="1E8E4CD2">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4、每月手动启动喷淋泵，模拟自动控制条件下进行自动启动喷淋泵，进行主、备泵切换功能实验。</w:t>
      </w:r>
    </w:p>
    <w:p w14:paraId="0490731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每周检查试验湿式报警阀、水力警铃动作是否灵敏，喷淋泵是否启动，消防中心显示是否准确。</w:t>
      </w:r>
    </w:p>
    <w:p w14:paraId="0C414298">
      <w:pPr>
        <w:spacing w:line="360"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每月定期对消防栓系统管网进行全面检查，对腐蚀严重的管道予与更换，对油漆脱落的管道及时除锈刷防锈漆和标志漆。</w:t>
      </w:r>
    </w:p>
    <w:p w14:paraId="465D64B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7、每月实验测试消防控制联动功能，检查信号反馈是否正常。</w:t>
      </w:r>
    </w:p>
    <w:p w14:paraId="0C027BD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（三）消火栓灭火系统</w:t>
      </w:r>
    </w:p>
    <w:p w14:paraId="7092801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1、每周对消防泵房的工作环境、消防泵、电源控制柜、管网、阀门、喷淋头、水泵接合器、储水设备等进行检查，保证其处于完好状态。</w:t>
      </w:r>
    </w:p>
    <w:p w14:paraId="56385FA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2、每月检查室内消火栓、消防水带、水枪等是否完好；每月对屋顶消火栓或最不利点消火栓进行出水试验和压力检测。</w:t>
      </w:r>
    </w:p>
    <w:p w14:paraId="7F04423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3、每月按安装总量的30%对消火栓远程启动按钮进行启泵抽查试验，检查自动启泵功能和信号显示是否正常；每月模拟自动控制条件下进行自动启动消防泵和主、备泵切换试验。</w:t>
      </w:r>
    </w:p>
    <w:p w14:paraId="111DD49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4、每月对室外消火栓系统进行放水试验，保持消防水源的清洁。对不能使用或损坏的阀门进行维修、更换。</w:t>
      </w:r>
    </w:p>
    <w:p w14:paraId="5F705FD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（四）气体灭火系统</w:t>
      </w:r>
    </w:p>
    <w:p w14:paraId="4BD533C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每月检查储气瓶间及防护区工作环境、储气瓶、阀驱动装置、管网、喷嘴、紧急启动按钮、放气灯、声光报警装置等是否正常。</w:t>
      </w:r>
    </w:p>
    <w:p w14:paraId="588AB59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2、每周检查保养每台气体灭火控制器，测试其功能是否正常。</w:t>
      </w:r>
    </w:p>
    <w:p w14:paraId="56476A1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3、每周检查启动瓶药剂贮瓶的压力是否符合出厂充装压力和设计要求（压力表指针是否在绿区），有无泄漏现象。</w:t>
      </w:r>
    </w:p>
    <w:p w14:paraId="0D08401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4、每周检查试验手动、自动紧急启、停放气装置功能是否正常。</w:t>
      </w:r>
    </w:p>
    <w:p w14:paraId="382EDC9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5、每月对电磁阀、瓶头阀解体清洗，加硅油润滑。</w:t>
      </w:r>
    </w:p>
    <w:p w14:paraId="46B8CB1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每月模拟自动报警系统中的烟、温感探测器同时动作，通风空调是否停止，防火阀是否关闭，检查气瓶的电磁阀是否在规定的时间内动作，控制屏是否有放气信号，消防控制中心是否有信号，警铃、蜂鸣器是否动作。</w:t>
      </w:r>
    </w:p>
    <w:p w14:paraId="2EEE3B4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 、每周检查气体灭火系统启动瓶、药剂瓶有无变形，有无腐蚀、脱漆。</w:t>
      </w:r>
    </w:p>
    <w:p w14:paraId="6F2D8ED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 、每周检查控制气管有无变形或松脱，检查高压软管有无变形、生锈或老化。</w:t>
      </w:r>
    </w:p>
    <w:p w14:paraId="010EB76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 、每月检查气体保护区域（防护区）内的围护结构、开口等是否符合要求。</w:t>
      </w:r>
    </w:p>
    <w:p w14:paraId="5435992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10、每季年对灭火剂储存容器进行承重检查，灭火剂净重不得少于设计量的5%。</w:t>
      </w:r>
    </w:p>
    <w:p w14:paraId="62758DA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11、每半年对每个防护区进行一次模拟自动启动试验。</w:t>
      </w:r>
    </w:p>
    <w:p w14:paraId="5CC30B6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（五）防排烟系统</w:t>
      </w:r>
    </w:p>
    <w:p w14:paraId="54575D1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1、每周检查送风、排烟风机机房的工作环境，送风、排烟风机的电源控制箱、送风口、排风口，防火阀、排烟阀等是否处于正常完好状态。</w:t>
      </w:r>
    </w:p>
    <w:p w14:paraId="68F6141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2、每月按安装总量的20%和30%，分别试验手动方式和自动方式启动排烟阀，检查动作及反馈信号是否正常。</w:t>
      </w:r>
    </w:p>
    <w:p w14:paraId="3D0E7242">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3、每月与火灾报警控制器和消防控制室进行联动试验，检查送风机、排烟机、防火阀等动作及反馈信号是否正常（包括远程启停送、排风一次，）。</w:t>
      </w:r>
    </w:p>
    <w:p w14:paraId="63871B93">
      <w:pPr>
        <w:spacing w:line="360"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4、每月</w:t>
      </w:r>
      <w:r>
        <w:rPr>
          <w:rFonts w:hint="eastAsia" w:ascii="宋体" w:hAnsi="宋体" w:eastAsia="宋体" w:cs="宋体"/>
          <w:color w:val="auto"/>
          <w:sz w:val="24"/>
          <w:szCs w:val="24"/>
          <w:highlight w:val="none"/>
        </w:rPr>
        <w:t>定期对正压送风机（排烟风机和电机）、正压送风阀（排烟阀）进行保养，对转动部位加润滑油并调整风机皮带松紧度等。</w:t>
      </w:r>
    </w:p>
    <w:p w14:paraId="2BC4D7D2">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5、每半年按安装总量的30%试验自动方式打开排烟口，启动送风机、排烟机；每半年按安装总量的20%试验手动方式关闭防火阀；每半年试验自动方式关闭电动防火阀。</w:t>
      </w:r>
    </w:p>
    <w:p w14:paraId="688D9EB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（六）防火卷帘系统</w:t>
      </w:r>
    </w:p>
    <w:p w14:paraId="23467372">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1、每月试验手动按钮启动防火卷帘门能否正常升降。</w:t>
      </w:r>
    </w:p>
    <w:p w14:paraId="619F178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2、每季度按安装总量的30%进行抽检防火门的启闭功能，检查闭门器及顺序器是否完好。</w:t>
      </w:r>
    </w:p>
    <w:p w14:paraId="17996D9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3、每季度通过消防控制室进行联动试验，检查防火卷帘门联动功能和反馈信号是否正常。</w:t>
      </w:r>
    </w:p>
    <w:p w14:paraId="34CE312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（七）应急照明及疏散指示系统</w:t>
      </w:r>
    </w:p>
    <w:p w14:paraId="2F78F90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每周检查应急照明灯和疏散指示标志是否处于正常完好状态（维护保养）。</w:t>
      </w:r>
    </w:p>
    <w:p w14:paraId="2823A39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2、每月按安装总量的30%试验应急照明和疏散指示灯的工作、照度和疏散照度是否正常和达到要求。</w:t>
      </w:r>
    </w:p>
    <w:p w14:paraId="6878D33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3、每月检查应急照明系统和EPS系统电源工作是否正常，对电池组放电时间进行检查。</w:t>
      </w:r>
    </w:p>
    <w:p w14:paraId="028A0BD2">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4、每月</w:t>
      </w:r>
      <w:r>
        <w:rPr>
          <w:rFonts w:hint="eastAsia" w:ascii="宋体" w:hAnsi="宋体" w:eastAsia="宋体" w:cs="宋体"/>
          <w:color w:val="auto"/>
          <w:sz w:val="24"/>
          <w:szCs w:val="24"/>
          <w:highlight w:val="none"/>
        </w:rPr>
        <w:t>检查防火门的密封性是否良好，钢质防火门有无生锈、脱漆现象防火门的开启力度是否适中，闭门器有无漏油或松动。</w:t>
      </w:r>
    </w:p>
    <w:p w14:paraId="47C5805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（八）消防通讯及广播系统</w:t>
      </w:r>
    </w:p>
    <w:p w14:paraId="7040531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1、每月检查电话插孔、电梯对讲电话、播音设备、扬声器等是否正常。</w:t>
      </w:r>
    </w:p>
    <w:p w14:paraId="63684CE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2、每月</w:t>
      </w:r>
      <w:r>
        <w:rPr>
          <w:rFonts w:hint="eastAsia" w:ascii="宋体" w:hAnsi="宋体" w:eastAsia="宋体" w:cs="宋体"/>
          <w:color w:val="auto"/>
          <w:sz w:val="24"/>
          <w:szCs w:val="24"/>
          <w:highlight w:val="none"/>
        </w:rPr>
        <w:t>定期对消防广播主机进行一次检测维护保养。</w:t>
      </w:r>
    </w:p>
    <w:p w14:paraId="0F97E2E7">
      <w:pPr>
        <w:spacing w:line="360"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试验消防广播的选层广播功能是否正常。</w:t>
      </w:r>
    </w:p>
    <w:p w14:paraId="41B23B0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5、每月进行从背景音乐状态下强切至事故广播状态的功能试验和进行线路维修检查。</w:t>
      </w:r>
    </w:p>
    <w:p w14:paraId="79F356C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（九）灭火器</w:t>
      </w:r>
    </w:p>
    <w:p w14:paraId="53B3EBA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1、每周检查灭火器的种类、数量、设置位置、标志、（手提式、推车式）压力指针是否在绿区等是否符合规范要求。</w:t>
      </w:r>
    </w:p>
    <w:p w14:paraId="1FEA706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2、每季度对按照总数的50%检查灭火器压力、重量、有效期等是否合格，不合格的予以更换。</w:t>
      </w:r>
    </w:p>
    <w:p w14:paraId="5F9D5F0B">
      <w:pPr>
        <w:spacing w:line="360"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sz w:val="24"/>
          <w:szCs w:val="24"/>
          <w:highlight w:val="none"/>
        </w:rPr>
        <w:t>检查移动式灭火器药剂贮瓶有无过期失效</w:t>
      </w:r>
      <w:r>
        <w:rPr>
          <w:rFonts w:hint="eastAsia" w:ascii="宋体" w:hAnsi="宋体" w:eastAsia="宋体" w:cs="宋体"/>
          <w:color w:val="auto"/>
          <w:kern w:val="0"/>
          <w:sz w:val="24"/>
          <w:szCs w:val="24"/>
          <w:highlight w:val="none"/>
        </w:rPr>
        <w:t>必要时进行喷射试验。</w:t>
      </w:r>
    </w:p>
    <w:p w14:paraId="6C59B5FF">
      <w:pPr>
        <w:spacing w:line="360"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（十）</w:t>
      </w:r>
      <w:r>
        <w:rPr>
          <w:rFonts w:hint="eastAsia" w:ascii="宋体" w:hAnsi="宋体" w:eastAsia="宋体" w:cs="宋体"/>
          <w:color w:val="auto"/>
          <w:sz w:val="24"/>
          <w:szCs w:val="24"/>
          <w:highlight w:val="none"/>
        </w:rPr>
        <w:t>水泵、恒压泵、控制柜、联动柜</w:t>
      </w:r>
    </w:p>
    <w:p w14:paraId="3A8534E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每周检查试验自动和手动启动消防水泵，观察流量、压力、运行电流是否正常，并做好记录存档。</w:t>
      </w:r>
    </w:p>
    <w:p w14:paraId="7A49A0E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每周检查各控制柜到消防中心信号是否正常，控制柜各指示灯各功能是否正常。</w:t>
      </w:r>
    </w:p>
    <w:p w14:paraId="23C1591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每月检查联动柜内部电路，测试其功能是否正常，并进行吸尘、紧固接线保养工作。</w:t>
      </w:r>
    </w:p>
    <w:p w14:paraId="15A75EE8">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每月检查消防水泵主备电源自动切换装置是否正常。打开水泵出水管上的放水试验阀，用主电源启动消防水泵，消防水泵启动应正常；关掉主电源，主、备电源切换正常，试验1-3次。</w:t>
      </w:r>
    </w:p>
    <w:p w14:paraId="02FA04D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每月测试水泵的相间及对地电阻是否符合要求，并做好记录。</w:t>
      </w:r>
    </w:p>
    <w:p w14:paraId="7A13567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每月测试消防水泵的故障自启功能是否正常。</w:t>
      </w:r>
    </w:p>
    <w:p w14:paraId="4B774DD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定期添加或更换水泵的润滑油。</w:t>
      </w:r>
    </w:p>
    <w:p w14:paraId="5A665CA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（十一）其它消防设备设施</w:t>
      </w:r>
    </w:p>
    <w:p w14:paraId="3C62276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1、每月检查安全出口、疏散通道是否畅通。</w:t>
      </w:r>
    </w:p>
    <w:p w14:paraId="4547FAF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2、每月系统检查消防水池、消防水箱能否满足正常工作需要，技术参数是否在正常范围内。并检查消防补水泵工作情况。满足正常补水要求。</w:t>
      </w:r>
    </w:p>
    <w:p w14:paraId="6F6EC10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3、每季度检查并试验消防电梯的迫降功能是否正常；检查并试验消防电源的末端切换功能是否正常；检查并试验切断非消防电源功能是否正常。</w:t>
      </w:r>
    </w:p>
    <w:p w14:paraId="08F74CA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4、每半年检查并试验消防设备自备发电或储电设施能否正常切换和发电。</w:t>
      </w:r>
    </w:p>
    <w:p w14:paraId="678A8145">
      <w:pPr>
        <w:spacing w:line="360" w:lineRule="auto"/>
        <w:ind w:firstLine="482"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、其它要求</w:t>
      </w:r>
    </w:p>
    <w:p w14:paraId="50194FE6">
      <w:pPr>
        <w:pStyle w:val="7"/>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1、投标人资格要求 </w:t>
      </w:r>
    </w:p>
    <w:p w14:paraId="6D0FD0E5">
      <w:pPr>
        <w:pStyle w:val="8"/>
        <w:ind w:left="0" w:leftChars="0" w:firstLine="960" w:firstLineChars="4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（详见公告）</w:t>
      </w:r>
    </w:p>
    <w:p w14:paraId="6DB27CBE">
      <w:pPr>
        <w:rPr>
          <w:rFonts w:hint="default"/>
          <w:color w:val="auto"/>
          <w:highlight w:val="none"/>
          <w:lang w:val="en-US" w:eastAsia="zh-CN"/>
        </w:rPr>
      </w:pPr>
    </w:p>
    <w:p w14:paraId="6B1686D2">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、在节假日及医院有重大活动前做好消防系统的检查及安全预案。确保消防系统安全可靠运行，并安排专人值班。</w:t>
      </w:r>
    </w:p>
    <w:p w14:paraId="0C5F6B5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、维修保养单位每次维修保养后应提交书面维修保养报告给采购人存档；维修保养合同期满后，维修保养公司应向采购人提交详细的维修保养报告、维修保养月、季、年报表，检测、试验记录和统计资料等。</w:t>
      </w:r>
    </w:p>
    <w:p w14:paraId="5F95117B">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维保单位每月维保、</w:t>
      </w:r>
      <w:r>
        <w:rPr>
          <w:rFonts w:hint="eastAsia" w:ascii="宋体" w:hAnsi="宋体" w:eastAsia="宋体" w:cs="宋体"/>
          <w:color w:val="auto"/>
          <w:sz w:val="24"/>
          <w:szCs w:val="24"/>
          <w:highlight w:val="none"/>
        </w:rPr>
        <w:t>检测、检查、试验必须采购人和</w:t>
      </w:r>
      <w:r>
        <w:rPr>
          <w:rFonts w:hint="eastAsia" w:ascii="宋体" w:hAnsi="宋体" w:eastAsia="宋体" w:cs="宋体"/>
          <w:color w:val="auto"/>
          <w:sz w:val="24"/>
          <w:szCs w:val="24"/>
          <w:highlight w:val="none"/>
          <w:lang w:val="en-US" w:eastAsia="zh-CN"/>
        </w:rPr>
        <w:t>消防维保单位</w:t>
      </w:r>
      <w:r>
        <w:rPr>
          <w:rFonts w:hint="eastAsia" w:ascii="宋体" w:hAnsi="宋体" w:eastAsia="宋体" w:cs="宋体"/>
          <w:color w:val="auto"/>
          <w:sz w:val="24"/>
          <w:szCs w:val="24"/>
          <w:highlight w:val="none"/>
        </w:rPr>
        <w:t>双方代表签字方能认可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并登录社会消防技术服务信息系统完成信息上传工作。</w:t>
      </w:r>
    </w:p>
    <w:p w14:paraId="42F7A0C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、每年至少对医院做一次系统全面的消防演练。</w:t>
      </w:r>
    </w:p>
    <w:p w14:paraId="712988DA">
      <w:pPr>
        <w:spacing w:line="360"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维保单位做好消防验收、年底考核及各种消防工作及安全检查，并保证采购人能够验收、考核通过</w:t>
      </w:r>
      <w:r>
        <w:rPr>
          <w:rFonts w:hint="eastAsia" w:ascii="宋体" w:hAnsi="宋体" w:eastAsia="宋体" w:cs="宋体"/>
          <w:color w:val="auto"/>
          <w:kern w:val="0"/>
          <w:sz w:val="24"/>
          <w:szCs w:val="24"/>
          <w:highlight w:val="none"/>
        </w:rPr>
        <w:t>。</w:t>
      </w:r>
    </w:p>
    <w:p w14:paraId="3E453E1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所有维保人员需按照有关部门要求持证上岗。</w:t>
      </w:r>
    </w:p>
    <w:p w14:paraId="1797428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负责我院职工的消防安全教育和消防知识的培训，每年集中培训2次。</w:t>
      </w:r>
    </w:p>
    <w:p w14:paraId="669133B2">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kern w:val="0"/>
          <w:sz w:val="24"/>
          <w:szCs w:val="24"/>
          <w:highlight w:val="none"/>
          <w:lang w:val="en-US" w:eastAsia="zh-CN" w:bidi="ar"/>
        </w:rPr>
        <w:t>维保内容严格按采购单位方案进行，不得有任何减少项目的行为。</w:t>
      </w:r>
    </w:p>
    <w:p w14:paraId="46DD76E3">
      <w:pPr>
        <w:keepNext w:val="0"/>
        <w:keepLines w:val="0"/>
        <w:widowControl/>
        <w:suppressLineNumbers w:val="0"/>
        <w:ind w:firstLine="480" w:firstLineChars="200"/>
        <w:jc w:val="left"/>
        <w:rPr>
          <w:color w:val="auto"/>
          <w:highlight w:val="none"/>
        </w:rPr>
      </w:pPr>
      <w:r>
        <w:rPr>
          <w:rFonts w:hint="eastAsia" w:ascii="宋体" w:hAnsi="宋体" w:eastAsia="宋体" w:cs="宋体"/>
          <w:color w:val="auto"/>
          <w:kern w:val="0"/>
          <w:sz w:val="24"/>
          <w:szCs w:val="24"/>
          <w:highlight w:val="none"/>
          <w:lang w:val="en-US" w:eastAsia="zh-CN" w:bidi="ar"/>
        </w:rPr>
        <w:t xml:space="preserve">10、供应商须为本项目配备不少于 3 人维保的项目团队，包括项目负责人 1 人，维保人员 2 人，技术负责人 1 人不驻场，按照要求开展技术指导、消防培训、消防演练等工作，本项目需配备驻场维保人员1名，驻场人员按照投标文件履约，全年无休（包括节假日），成交供应商需安排备班人员 1—2 人左右进行轮换休息，不得随意更换，备班人员费用不在合同内，供应商自行解决，成交供应商的项目负责人和技术负责人、维保人员不得随意更换，如有人员更换需经采购人同意方可更换，否则采购人将追究成交供应商违约责任。 </w:t>
      </w:r>
    </w:p>
    <w:p w14:paraId="53EFB0E1">
      <w:pPr>
        <w:keepNext w:val="0"/>
        <w:keepLines w:val="0"/>
        <w:pageBreakBefore w:val="0"/>
        <w:widowControl/>
        <w:suppressLineNumbers w:val="0"/>
        <w:kinsoku/>
        <w:wordWrap/>
        <w:overflowPunct/>
        <w:topLinePunct w:val="0"/>
        <w:autoSpaceDE/>
        <w:autoSpaceDN/>
        <w:bidi w:val="0"/>
        <w:adjustRightInd/>
        <w:snapToGrid/>
        <w:ind w:firstLine="240" w:firstLineChars="1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（1）项目负责人（1 人）：须具备消防相关相符职业技能和工作经验。 </w:t>
      </w:r>
    </w:p>
    <w:p w14:paraId="00062CD3">
      <w:pPr>
        <w:keepNext w:val="0"/>
        <w:keepLines w:val="0"/>
        <w:pageBreakBefore w:val="0"/>
        <w:widowControl/>
        <w:suppressLineNumbers w:val="0"/>
        <w:kinsoku/>
        <w:wordWrap/>
        <w:overflowPunct/>
        <w:topLinePunct w:val="0"/>
        <w:autoSpaceDE/>
        <w:autoSpaceDN/>
        <w:bidi w:val="0"/>
        <w:adjustRightInd/>
        <w:snapToGrid/>
        <w:ind w:firstLine="240" w:firstLineChars="1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（2）维保人员（2 人）：必须熟悉维保业务，有消防维保、维修工作经验。 </w:t>
      </w:r>
    </w:p>
    <w:p w14:paraId="34D0DA89">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维保人员必须填写每日工作台账，工作日进行日常考勤由保卫科监督负责。 </w:t>
      </w:r>
    </w:p>
    <w:p w14:paraId="1A499904">
      <w:pPr>
        <w:keepNext w:val="0"/>
        <w:keepLines w:val="0"/>
        <w:pageBreakBefore w:val="0"/>
        <w:widowControl/>
        <w:suppressLineNumbers w:val="0"/>
        <w:kinsoku/>
        <w:wordWrap/>
        <w:overflowPunct/>
        <w:topLinePunct w:val="0"/>
        <w:autoSpaceDE/>
        <w:autoSpaceDN/>
        <w:bidi w:val="0"/>
        <w:adjustRightInd/>
        <w:snapToGrid/>
        <w:ind w:firstLine="240" w:firstLineChars="1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（3）技术负责人（1 人）：须具备消防相关相符职业技能，须具备消防相关 </w:t>
      </w:r>
    </w:p>
    <w:p w14:paraId="68FD9FB6">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相符职业技能。</w:t>
      </w:r>
    </w:p>
    <w:p w14:paraId="01118581">
      <w:pPr>
        <w:pStyle w:val="7"/>
        <w:rPr>
          <w:rFonts w:hint="default"/>
          <w:color w:val="auto"/>
          <w:highlight w:val="none"/>
          <w:lang w:val="en-US" w:eastAsia="zh-CN"/>
        </w:rPr>
      </w:pPr>
      <w:r>
        <w:rPr>
          <w:rFonts w:hint="eastAsia" w:ascii="宋体" w:hAnsi="宋体" w:eastAsia="宋体" w:cs="宋体"/>
          <w:color w:val="auto"/>
          <w:kern w:val="0"/>
          <w:sz w:val="24"/>
          <w:szCs w:val="24"/>
          <w:highlight w:val="none"/>
          <w:lang w:val="en-US" w:eastAsia="zh-CN" w:bidi="ar"/>
        </w:rPr>
        <w:t>（4）维保人员实行打卡制度，纳入月度履约考核，作为服务费支付依据。</w:t>
      </w:r>
    </w:p>
    <w:p w14:paraId="556F02DB">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11、考核措施： </w:t>
      </w:r>
    </w:p>
    <w:p w14:paraId="53EC0735">
      <w:pPr>
        <w:keepNext w:val="0"/>
        <w:keepLines w:val="0"/>
        <w:pageBreakBefore w:val="0"/>
        <w:widowControl/>
        <w:suppressLineNumbers w:val="0"/>
        <w:kinsoku/>
        <w:wordWrap/>
        <w:overflowPunct/>
        <w:topLinePunct w:val="0"/>
        <w:autoSpaceDE/>
        <w:autoSpaceDN/>
        <w:bidi w:val="0"/>
        <w:adjustRightInd/>
        <w:snapToGrid/>
        <w:ind w:firstLine="240" w:firstLineChars="100"/>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（1）对未按要求及时维修而导致采购人消防系统故障扩大，应承担维修并 </w:t>
      </w:r>
    </w:p>
    <w:p w14:paraId="0DE69C72">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恢复正常使用的责任，采购人对此不予支付任何费用。 </w:t>
      </w:r>
    </w:p>
    <w:p w14:paraId="6B143304">
      <w:pPr>
        <w:keepNext w:val="0"/>
        <w:keepLines w:val="0"/>
        <w:pageBreakBefore w:val="0"/>
        <w:widowControl/>
        <w:suppressLineNumbers w:val="0"/>
        <w:kinsoku/>
        <w:wordWrap/>
        <w:overflowPunct/>
        <w:topLinePunct w:val="0"/>
        <w:autoSpaceDE/>
        <w:autoSpaceDN/>
        <w:bidi w:val="0"/>
        <w:adjustRightInd/>
        <w:snapToGrid/>
        <w:ind w:firstLine="240" w:firstLineChars="100"/>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（2）对未按要求派驻符合要求的工作人员，经采购人书面通知仍不整改的， </w:t>
      </w:r>
    </w:p>
    <w:p w14:paraId="2C80ED51">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一次性扣除当期维护费的 2%，超过三次，成交供应商将承担由此给采购人造成的一切损失。 </w:t>
      </w:r>
    </w:p>
    <w:p w14:paraId="6445EC2D">
      <w:pPr>
        <w:keepNext w:val="0"/>
        <w:keepLines w:val="0"/>
        <w:pageBreakBefore w:val="0"/>
        <w:widowControl/>
        <w:suppressLineNumbers w:val="0"/>
        <w:kinsoku/>
        <w:wordWrap/>
        <w:overflowPunct/>
        <w:topLinePunct w:val="0"/>
        <w:autoSpaceDE/>
        <w:autoSpaceDN/>
        <w:bidi w:val="0"/>
        <w:adjustRightInd/>
        <w:snapToGrid/>
        <w:ind w:firstLine="240" w:firstLineChars="100"/>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（3）月巡查维修情况书及季度维修工作台账未按规定时间上报或内容造假 </w:t>
      </w:r>
    </w:p>
    <w:p w14:paraId="53B5AC67">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超 过一次，成交供应商将承担由此给采购人造成的一切损失。 </w:t>
      </w:r>
    </w:p>
    <w:p w14:paraId="3179141F">
      <w:pPr>
        <w:keepNext w:val="0"/>
        <w:keepLines w:val="0"/>
        <w:pageBreakBefore w:val="0"/>
        <w:widowControl/>
        <w:suppressLineNumbers w:val="0"/>
        <w:kinsoku/>
        <w:wordWrap/>
        <w:overflowPunct/>
        <w:topLinePunct w:val="0"/>
        <w:autoSpaceDE/>
        <w:autoSpaceDN/>
        <w:bidi w:val="0"/>
        <w:adjustRightInd/>
        <w:snapToGrid/>
        <w:ind w:firstLine="240" w:firstLineChars="100"/>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（4）成交供应商每月需向采购人提供日常维护记录本（包含维护时间、维 </w:t>
      </w:r>
    </w:p>
    <w:p w14:paraId="15E2ED27">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护内容维护人签字和现场照片等详细记录） </w:t>
      </w:r>
    </w:p>
    <w:p w14:paraId="474918C0">
      <w:pPr>
        <w:keepNext w:val="0"/>
        <w:keepLines w:val="0"/>
        <w:pageBreakBefore w:val="0"/>
        <w:widowControl/>
        <w:suppressLineNumbers w:val="0"/>
        <w:kinsoku/>
        <w:wordWrap/>
        <w:overflowPunct/>
        <w:topLinePunct w:val="0"/>
        <w:autoSpaceDE/>
        <w:autoSpaceDN/>
        <w:bidi w:val="0"/>
        <w:adjustRightInd/>
        <w:snapToGrid/>
        <w:ind w:firstLine="240" w:firstLineChars="100"/>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（5）每月采购人组织人员对供应商进行考核。考核分 80 分以上为合格； </w:t>
      </w:r>
    </w:p>
    <w:p w14:paraId="782F7889">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color w:val="auto"/>
          <w:highlight w:val="none"/>
          <w:lang w:val="en-US" w:eastAsia="zh-CN"/>
        </w:rPr>
      </w:pPr>
      <w:r>
        <w:rPr>
          <w:rFonts w:hint="eastAsia" w:ascii="宋体" w:hAnsi="宋体" w:eastAsia="宋体" w:cs="宋体"/>
          <w:color w:val="auto"/>
          <w:kern w:val="0"/>
          <w:sz w:val="24"/>
          <w:szCs w:val="24"/>
          <w:highlight w:val="none"/>
          <w:lang w:val="en-US" w:eastAsia="zh-CN" w:bidi="ar"/>
        </w:rPr>
        <w:t>70-79分扣除当期维保费 2%；60-69 分扣除当期维保费 4%；60 分以下扣除当期维保费5%；连续两个月考核评分低于 60 分，</w:t>
      </w:r>
      <w:r>
        <w:rPr>
          <w:rFonts w:hint="eastAsia" w:ascii="宋体" w:hAnsi="宋体" w:cs="宋体"/>
          <w:color w:val="auto"/>
          <w:kern w:val="0"/>
          <w:sz w:val="24"/>
          <w:szCs w:val="24"/>
          <w:highlight w:val="none"/>
          <w:lang w:val="en-US" w:eastAsia="zh-CN" w:bidi="ar"/>
        </w:rPr>
        <w:t>采购人有权解除合同并扣除履约保证金</w:t>
      </w:r>
      <w:r>
        <w:rPr>
          <w:rFonts w:hint="eastAsia" w:ascii="宋体" w:hAnsi="宋体" w:eastAsia="宋体" w:cs="宋体"/>
          <w:color w:val="auto"/>
          <w:kern w:val="0"/>
          <w:sz w:val="24"/>
          <w:szCs w:val="24"/>
          <w:highlight w:val="none"/>
          <w:lang w:val="en-US" w:eastAsia="zh-CN" w:bidi="ar"/>
        </w:rPr>
        <w:t xml:space="preserve">。 </w:t>
      </w:r>
    </w:p>
    <w:p w14:paraId="305408F9">
      <w:pPr>
        <w:spacing w:line="360" w:lineRule="auto"/>
        <w:ind w:firstLine="482" w:firstLineChars="20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五、设备配置</w:t>
      </w:r>
    </w:p>
    <w:p w14:paraId="0A53CAB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中标服务商能够提供维保专用的秒表、声级计、万用表、接地电阻测试仪、风速仪、坡度仪、激光测距仪、消火栓压力测试装置、喷淋末端试水装置、烟温枪</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必须配置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中标服务商拟为本项目配备如下设备：</w:t>
      </w:r>
    </w:p>
    <w:p w14:paraId="5000DE8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1.秒表；</w:t>
      </w:r>
    </w:p>
    <w:p w14:paraId="53FA2F8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2.声级计；</w:t>
      </w:r>
    </w:p>
    <w:p w14:paraId="67A545E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3.万用表；</w:t>
      </w:r>
    </w:p>
    <w:p w14:paraId="2D8BB39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4.接地电阻测试仪；</w:t>
      </w:r>
    </w:p>
    <w:p w14:paraId="6AE419F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5.风速仪；</w:t>
      </w:r>
    </w:p>
    <w:p w14:paraId="6253FEB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6.坡度仪；</w:t>
      </w:r>
    </w:p>
    <w:p w14:paraId="2B19FEA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7.激光测距仪；</w:t>
      </w:r>
    </w:p>
    <w:p w14:paraId="0CC1EC7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8.消火栓压力测试装置；</w:t>
      </w:r>
    </w:p>
    <w:p w14:paraId="452300C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9.喷淋末端试水装置；</w:t>
      </w:r>
    </w:p>
    <w:p w14:paraId="0A7C5297">
      <w:pPr>
        <w:spacing w:line="360" w:lineRule="auto"/>
        <w:ind w:firstLine="480" w:firstLineChars="200"/>
        <w:rPr>
          <w:rFonts w:ascii="宋体" w:hAnsi="宋体" w:eastAsia="宋体" w:cs="宋体"/>
          <w:color w:val="auto"/>
          <w:highlight w:val="none"/>
        </w:rPr>
      </w:pPr>
      <w:r>
        <w:rPr>
          <w:rFonts w:hint="eastAsia" w:ascii="宋体" w:hAnsi="宋体" w:eastAsia="宋体" w:cs="宋体"/>
          <w:color w:val="auto"/>
          <w:sz w:val="24"/>
          <w:szCs w:val="24"/>
          <w:highlight w:val="none"/>
        </w:rPr>
        <w:t>10烟温枪。</w:t>
      </w:r>
      <w:r>
        <w:rPr>
          <w:rFonts w:hint="eastAsia" w:ascii="宋体" w:hAnsi="宋体" w:eastAsia="宋体" w:cs="宋体"/>
          <w:color w:val="auto"/>
          <w:sz w:val="24"/>
          <w:szCs w:val="24"/>
          <w:highlight w:val="none"/>
        </w:rPr>
        <w:br w:type="page"/>
      </w: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、肥西县中医院新区消防设施设备清单</w:t>
      </w:r>
    </w:p>
    <w:tbl>
      <w:tblPr>
        <w:tblStyle w:val="20"/>
        <w:tblW w:w="72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4"/>
        <w:gridCol w:w="1992"/>
        <w:gridCol w:w="1794"/>
        <w:gridCol w:w="708"/>
        <w:gridCol w:w="709"/>
        <w:gridCol w:w="1417"/>
      </w:tblGrid>
      <w:tr w14:paraId="1AB86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04" w:type="dxa"/>
            <w:vAlign w:val="center"/>
          </w:tcPr>
          <w:p w14:paraId="3B2151EA">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992" w:type="dxa"/>
            <w:vAlign w:val="center"/>
          </w:tcPr>
          <w:p w14:paraId="0141B1C4">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p>
        </w:tc>
        <w:tc>
          <w:tcPr>
            <w:tcW w:w="1794" w:type="dxa"/>
            <w:vAlign w:val="center"/>
          </w:tcPr>
          <w:p w14:paraId="07909B9C">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规格、型号</w:t>
            </w:r>
          </w:p>
        </w:tc>
        <w:tc>
          <w:tcPr>
            <w:tcW w:w="708" w:type="dxa"/>
            <w:vAlign w:val="center"/>
          </w:tcPr>
          <w:p w14:paraId="24F51F63">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709" w:type="dxa"/>
            <w:vAlign w:val="center"/>
          </w:tcPr>
          <w:p w14:paraId="163D825E">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417" w:type="dxa"/>
            <w:vAlign w:val="center"/>
          </w:tcPr>
          <w:p w14:paraId="2DF0F029">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备注（生产厂家）</w:t>
            </w:r>
          </w:p>
        </w:tc>
      </w:tr>
      <w:tr w14:paraId="56FF9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1" w:hRule="atLeast"/>
          <w:jc w:val="center"/>
        </w:trPr>
        <w:tc>
          <w:tcPr>
            <w:tcW w:w="604" w:type="dxa"/>
          </w:tcPr>
          <w:p w14:paraId="3A30550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92" w:type="dxa"/>
          </w:tcPr>
          <w:p w14:paraId="3F5115C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火灾显示盘</w:t>
            </w:r>
          </w:p>
        </w:tc>
        <w:tc>
          <w:tcPr>
            <w:tcW w:w="1794" w:type="dxa"/>
          </w:tcPr>
          <w:p w14:paraId="7571F24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JBF5060</w:t>
            </w:r>
          </w:p>
        </w:tc>
        <w:tc>
          <w:tcPr>
            <w:tcW w:w="708" w:type="dxa"/>
          </w:tcPr>
          <w:p w14:paraId="740352D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3F5888C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90</w:t>
            </w:r>
          </w:p>
        </w:tc>
        <w:tc>
          <w:tcPr>
            <w:tcW w:w="1417" w:type="dxa"/>
          </w:tcPr>
          <w:p w14:paraId="63B597A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66BAD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27A5238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92" w:type="dxa"/>
          </w:tcPr>
          <w:p w14:paraId="12A4DBB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点型光电感烟火灾探测器</w:t>
            </w:r>
          </w:p>
        </w:tc>
        <w:tc>
          <w:tcPr>
            <w:tcW w:w="1794" w:type="dxa"/>
          </w:tcPr>
          <w:p w14:paraId="2208E01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JTY-GD-JBF5100</w:t>
            </w:r>
          </w:p>
        </w:tc>
        <w:tc>
          <w:tcPr>
            <w:tcW w:w="708" w:type="dxa"/>
          </w:tcPr>
          <w:p w14:paraId="1B4F319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0381A90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4189</w:t>
            </w:r>
          </w:p>
        </w:tc>
        <w:tc>
          <w:tcPr>
            <w:tcW w:w="1417" w:type="dxa"/>
          </w:tcPr>
          <w:p w14:paraId="2B6A7AD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65DFA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7226B36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992" w:type="dxa"/>
          </w:tcPr>
          <w:p w14:paraId="174BEAE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点型感温火灾探测器（A2R)）</w:t>
            </w:r>
          </w:p>
        </w:tc>
        <w:tc>
          <w:tcPr>
            <w:tcW w:w="1794" w:type="dxa"/>
          </w:tcPr>
          <w:p w14:paraId="50F519B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JBF4111-Ex</w:t>
            </w:r>
          </w:p>
        </w:tc>
        <w:tc>
          <w:tcPr>
            <w:tcW w:w="708" w:type="dxa"/>
          </w:tcPr>
          <w:p w14:paraId="25D2907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4C64296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417" w:type="dxa"/>
          </w:tcPr>
          <w:p w14:paraId="7AF8FE0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6AC54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04" w:type="dxa"/>
          </w:tcPr>
          <w:p w14:paraId="0CF3D21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992" w:type="dxa"/>
          </w:tcPr>
          <w:p w14:paraId="7B1EC40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手动火灾报警按钮</w:t>
            </w:r>
          </w:p>
        </w:tc>
        <w:tc>
          <w:tcPr>
            <w:tcW w:w="1794" w:type="dxa"/>
          </w:tcPr>
          <w:p w14:paraId="5835F4F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JBF4121B-P</w:t>
            </w:r>
          </w:p>
        </w:tc>
        <w:tc>
          <w:tcPr>
            <w:tcW w:w="708" w:type="dxa"/>
          </w:tcPr>
          <w:p w14:paraId="55CC225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09" w:type="dxa"/>
          </w:tcPr>
          <w:p w14:paraId="5AC20D8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459</w:t>
            </w:r>
          </w:p>
        </w:tc>
        <w:tc>
          <w:tcPr>
            <w:tcW w:w="1417" w:type="dxa"/>
          </w:tcPr>
          <w:p w14:paraId="1915617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5DC0D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638F338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92" w:type="dxa"/>
          </w:tcPr>
          <w:p w14:paraId="3E9AB3C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消火栓按钮</w:t>
            </w:r>
          </w:p>
        </w:tc>
        <w:tc>
          <w:tcPr>
            <w:tcW w:w="1794" w:type="dxa"/>
          </w:tcPr>
          <w:p w14:paraId="5B9E9BC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J-SAM-GST9123</w:t>
            </w:r>
          </w:p>
        </w:tc>
        <w:tc>
          <w:tcPr>
            <w:tcW w:w="708" w:type="dxa"/>
          </w:tcPr>
          <w:p w14:paraId="7567CB8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09" w:type="dxa"/>
          </w:tcPr>
          <w:p w14:paraId="4533C42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508</w:t>
            </w:r>
          </w:p>
        </w:tc>
        <w:tc>
          <w:tcPr>
            <w:tcW w:w="1417" w:type="dxa"/>
          </w:tcPr>
          <w:p w14:paraId="5AC4DD6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35B15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73CD577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92" w:type="dxa"/>
          </w:tcPr>
          <w:p w14:paraId="3D39E6F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输入模块</w:t>
            </w:r>
          </w:p>
        </w:tc>
        <w:tc>
          <w:tcPr>
            <w:tcW w:w="1794" w:type="dxa"/>
          </w:tcPr>
          <w:p w14:paraId="3C7214C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JBF5131</w:t>
            </w:r>
          </w:p>
        </w:tc>
        <w:tc>
          <w:tcPr>
            <w:tcW w:w="708" w:type="dxa"/>
          </w:tcPr>
          <w:p w14:paraId="23A3637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508590F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523</w:t>
            </w:r>
          </w:p>
        </w:tc>
        <w:tc>
          <w:tcPr>
            <w:tcW w:w="1417" w:type="dxa"/>
          </w:tcPr>
          <w:p w14:paraId="0EF5C05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556BD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04" w:type="dxa"/>
          </w:tcPr>
          <w:p w14:paraId="7F9C67E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92" w:type="dxa"/>
          </w:tcPr>
          <w:p w14:paraId="7A2118F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输入/输出模块</w:t>
            </w:r>
          </w:p>
        </w:tc>
        <w:tc>
          <w:tcPr>
            <w:tcW w:w="1794" w:type="dxa"/>
          </w:tcPr>
          <w:p w14:paraId="2DF578A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JBF5142</w:t>
            </w:r>
          </w:p>
        </w:tc>
        <w:tc>
          <w:tcPr>
            <w:tcW w:w="708" w:type="dxa"/>
          </w:tcPr>
          <w:p w14:paraId="119DF21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056C99B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443</w:t>
            </w:r>
          </w:p>
        </w:tc>
        <w:tc>
          <w:tcPr>
            <w:tcW w:w="1417" w:type="dxa"/>
          </w:tcPr>
          <w:p w14:paraId="7AE509B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4836B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2357F97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992" w:type="dxa"/>
          </w:tcPr>
          <w:p w14:paraId="03EFE36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输入输出模块</w:t>
            </w:r>
          </w:p>
        </w:tc>
        <w:tc>
          <w:tcPr>
            <w:tcW w:w="1794" w:type="dxa"/>
          </w:tcPr>
          <w:p w14:paraId="0CDE66E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JBF5141</w:t>
            </w:r>
          </w:p>
        </w:tc>
        <w:tc>
          <w:tcPr>
            <w:tcW w:w="708" w:type="dxa"/>
          </w:tcPr>
          <w:p w14:paraId="23FE345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765C224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234</w:t>
            </w:r>
          </w:p>
        </w:tc>
        <w:tc>
          <w:tcPr>
            <w:tcW w:w="1417" w:type="dxa"/>
          </w:tcPr>
          <w:p w14:paraId="7B87D18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2E66F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98BD7E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992" w:type="dxa"/>
          </w:tcPr>
          <w:p w14:paraId="492C6D6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隔离模块</w:t>
            </w:r>
          </w:p>
        </w:tc>
        <w:tc>
          <w:tcPr>
            <w:tcW w:w="1794" w:type="dxa"/>
          </w:tcPr>
          <w:p w14:paraId="4F761B7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JBF-4171</w:t>
            </w:r>
          </w:p>
        </w:tc>
        <w:tc>
          <w:tcPr>
            <w:tcW w:w="708" w:type="dxa"/>
          </w:tcPr>
          <w:p w14:paraId="38FD788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2B37902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253</w:t>
            </w:r>
          </w:p>
        </w:tc>
        <w:tc>
          <w:tcPr>
            <w:tcW w:w="1417" w:type="dxa"/>
          </w:tcPr>
          <w:p w14:paraId="3E9D38F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1F8C4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0949699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992" w:type="dxa"/>
          </w:tcPr>
          <w:p w14:paraId="2A95E2C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消防电话分机</w:t>
            </w:r>
          </w:p>
        </w:tc>
        <w:tc>
          <w:tcPr>
            <w:tcW w:w="1794" w:type="dxa"/>
          </w:tcPr>
          <w:p w14:paraId="125983F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HY5716C</w:t>
            </w:r>
          </w:p>
        </w:tc>
        <w:tc>
          <w:tcPr>
            <w:tcW w:w="708" w:type="dxa"/>
          </w:tcPr>
          <w:p w14:paraId="4C2E66D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5EC11DB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235</w:t>
            </w:r>
          </w:p>
        </w:tc>
        <w:tc>
          <w:tcPr>
            <w:tcW w:w="1417" w:type="dxa"/>
          </w:tcPr>
          <w:p w14:paraId="77647A1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5C1FB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6A9A5CD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992" w:type="dxa"/>
          </w:tcPr>
          <w:p w14:paraId="0A86DA9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消防电话总机</w:t>
            </w:r>
          </w:p>
        </w:tc>
        <w:tc>
          <w:tcPr>
            <w:tcW w:w="1794" w:type="dxa"/>
          </w:tcPr>
          <w:p w14:paraId="466B1D6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HY6311B</w:t>
            </w:r>
          </w:p>
        </w:tc>
        <w:tc>
          <w:tcPr>
            <w:tcW w:w="708" w:type="dxa"/>
          </w:tcPr>
          <w:p w14:paraId="495448D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6844B26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417" w:type="dxa"/>
          </w:tcPr>
          <w:p w14:paraId="33DA764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17AEB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04" w:type="dxa"/>
          </w:tcPr>
          <w:p w14:paraId="0ABB134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992" w:type="dxa"/>
          </w:tcPr>
          <w:p w14:paraId="63F2515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消防广播主机</w:t>
            </w:r>
          </w:p>
        </w:tc>
        <w:tc>
          <w:tcPr>
            <w:tcW w:w="1794" w:type="dxa"/>
          </w:tcPr>
          <w:p w14:paraId="17C3806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GRT-GB11-KZ</w:t>
            </w:r>
          </w:p>
        </w:tc>
        <w:tc>
          <w:tcPr>
            <w:tcW w:w="708" w:type="dxa"/>
          </w:tcPr>
          <w:p w14:paraId="3D7EC72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5E4B0B1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17" w:type="dxa"/>
          </w:tcPr>
          <w:p w14:paraId="0A6D6F6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1D384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579F97B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992" w:type="dxa"/>
          </w:tcPr>
          <w:p w14:paraId="1FD7EFB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点型感温火灾探测器（A2R）</w:t>
            </w:r>
          </w:p>
        </w:tc>
        <w:tc>
          <w:tcPr>
            <w:tcW w:w="1794" w:type="dxa"/>
          </w:tcPr>
          <w:p w14:paraId="7E5B8CF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JTY-ZD-JBF5110</w:t>
            </w:r>
          </w:p>
        </w:tc>
        <w:tc>
          <w:tcPr>
            <w:tcW w:w="708" w:type="dxa"/>
          </w:tcPr>
          <w:p w14:paraId="0D54326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2D91EF9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284</w:t>
            </w:r>
          </w:p>
        </w:tc>
        <w:tc>
          <w:tcPr>
            <w:tcW w:w="1417" w:type="dxa"/>
          </w:tcPr>
          <w:p w14:paraId="0BF0A72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05A3D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262F1E3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992" w:type="dxa"/>
          </w:tcPr>
          <w:p w14:paraId="3187077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点型光电感烟火灾探测器</w:t>
            </w:r>
          </w:p>
        </w:tc>
        <w:tc>
          <w:tcPr>
            <w:tcW w:w="1794" w:type="dxa"/>
          </w:tcPr>
          <w:p w14:paraId="7402DAF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JBF4101-Ex</w:t>
            </w:r>
          </w:p>
        </w:tc>
        <w:tc>
          <w:tcPr>
            <w:tcW w:w="708" w:type="dxa"/>
          </w:tcPr>
          <w:p w14:paraId="2A2572F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71FDB32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17" w:type="dxa"/>
          </w:tcPr>
          <w:p w14:paraId="1A696EA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1D6EE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700D819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992" w:type="dxa"/>
          </w:tcPr>
          <w:p w14:paraId="3CCB15A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立式机柜</w:t>
            </w:r>
          </w:p>
        </w:tc>
        <w:tc>
          <w:tcPr>
            <w:tcW w:w="1794" w:type="dxa"/>
          </w:tcPr>
          <w:p w14:paraId="71AE593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JBF-11SF/G</w:t>
            </w:r>
          </w:p>
        </w:tc>
        <w:tc>
          <w:tcPr>
            <w:tcW w:w="708" w:type="dxa"/>
          </w:tcPr>
          <w:p w14:paraId="5A15BC7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149EB60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90</w:t>
            </w:r>
          </w:p>
        </w:tc>
        <w:tc>
          <w:tcPr>
            <w:tcW w:w="1417" w:type="dxa"/>
          </w:tcPr>
          <w:p w14:paraId="775982D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6C5F6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733A778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992" w:type="dxa"/>
          </w:tcPr>
          <w:p w14:paraId="5CB52D7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消防设备电源状态监控器</w:t>
            </w:r>
          </w:p>
        </w:tc>
        <w:tc>
          <w:tcPr>
            <w:tcW w:w="1794" w:type="dxa"/>
          </w:tcPr>
          <w:p w14:paraId="070BD0C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JBF-62S60</w:t>
            </w:r>
          </w:p>
        </w:tc>
        <w:tc>
          <w:tcPr>
            <w:tcW w:w="708" w:type="dxa"/>
          </w:tcPr>
          <w:p w14:paraId="659DCD0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7B5E61A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417" w:type="dxa"/>
          </w:tcPr>
          <w:p w14:paraId="27D22AD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4AD68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77C4116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992" w:type="dxa"/>
          </w:tcPr>
          <w:p w14:paraId="55F309B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电源电流信号传感器</w:t>
            </w:r>
          </w:p>
        </w:tc>
        <w:tc>
          <w:tcPr>
            <w:tcW w:w="1794" w:type="dxa"/>
          </w:tcPr>
          <w:p w14:paraId="20F3107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JBF62P-ATV2</w:t>
            </w:r>
          </w:p>
        </w:tc>
        <w:tc>
          <w:tcPr>
            <w:tcW w:w="708" w:type="dxa"/>
          </w:tcPr>
          <w:p w14:paraId="6FAECBB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18A43B4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417" w:type="dxa"/>
          </w:tcPr>
          <w:p w14:paraId="71BA551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1FCCC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275AFA0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992" w:type="dxa"/>
          </w:tcPr>
          <w:p w14:paraId="547A506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火焰探测器</w:t>
            </w:r>
          </w:p>
        </w:tc>
        <w:tc>
          <w:tcPr>
            <w:tcW w:w="1794" w:type="dxa"/>
          </w:tcPr>
          <w:p w14:paraId="73F024C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YJTC-SZGA</w:t>
            </w:r>
          </w:p>
        </w:tc>
        <w:tc>
          <w:tcPr>
            <w:tcW w:w="708" w:type="dxa"/>
          </w:tcPr>
          <w:p w14:paraId="0EC2149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30E2A93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417" w:type="dxa"/>
          </w:tcPr>
          <w:p w14:paraId="298DA76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0E9AF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236BDDF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992" w:type="dxa"/>
          </w:tcPr>
          <w:p w14:paraId="74CF88B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立式机柜</w:t>
            </w:r>
          </w:p>
        </w:tc>
        <w:tc>
          <w:tcPr>
            <w:tcW w:w="1794" w:type="dxa"/>
          </w:tcPr>
          <w:p w14:paraId="113FA4F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JBF-11SF/G</w:t>
            </w:r>
          </w:p>
        </w:tc>
        <w:tc>
          <w:tcPr>
            <w:tcW w:w="708" w:type="dxa"/>
          </w:tcPr>
          <w:p w14:paraId="063C3EF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15F41FA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417" w:type="dxa"/>
          </w:tcPr>
          <w:p w14:paraId="338271C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05277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CFC580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992" w:type="dxa"/>
          </w:tcPr>
          <w:p w14:paraId="1103F23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消防控制室图形显示装置（单琴台式）</w:t>
            </w:r>
          </w:p>
        </w:tc>
        <w:tc>
          <w:tcPr>
            <w:tcW w:w="1794" w:type="dxa"/>
          </w:tcPr>
          <w:p w14:paraId="4C55BFD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JBF5202</w:t>
            </w:r>
          </w:p>
        </w:tc>
        <w:tc>
          <w:tcPr>
            <w:tcW w:w="708" w:type="dxa"/>
          </w:tcPr>
          <w:p w14:paraId="7C8E44A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3BA69AD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17" w:type="dxa"/>
          </w:tcPr>
          <w:p w14:paraId="5E9DAC7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72421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56D93B6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992" w:type="dxa"/>
          </w:tcPr>
          <w:p w14:paraId="10E2D45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电气火灾监控设备</w:t>
            </w:r>
          </w:p>
        </w:tc>
        <w:tc>
          <w:tcPr>
            <w:tcW w:w="1794" w:type="dxa"/>
          </w:tcPr>
          <w:p w14:paraId="0A63E5F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JBF-61S30</w:t>
            </w:r>
          </w:p>
        </w:tc>
        <w:tc>
          <w:tcPr>
            <w:tcW w:w="708" w:type="dxa"/>
          </w:tcPr>
          <w:p w14:paraId="4C0C39A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296B468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17" w:type="dxa"/>
          </w:tcPr>
          <w:p w14:paraId="69E4251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2869A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7389FBD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992" w:type="dxa"/>
          </w:tcPr>
          <w:p w14:paraId="112DCBD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组合式电气火灾监控探测器</w:t>
            </w:r>
          </w:p>
        </w:tc>
        <w:tc>
          <w:tcPr>
            <w:tcW w:w="1794" w:type="dxa"/>
          </w:tcPr>
          <w:p w14:paraId="3654FE8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JBF62E-100</w:t>
            </w:r>
          </w:p>
        </w:tc>
        <w:tc>
          <w:tcPr>
            <w:tcW w:w="708" w:type="dxa"/>
          </w:tcPr>
          <w:p w14:paraId="6334E1A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468BA47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p w14:paraId="30160458">
            <w:pPr>
              <w:rPr>
                <w:rFonts w:ascii="宋体" w:hAnsi="宋体" w:eastAsia="宋体" w:cs="宋体"/>
                <w:color w:val="auto"/>
                <w:sz w:val="24"/>
                <w:szCs w:val="24"/>
                <w:highlight w:val="none"/>
              </w:rPr>
            </w:pPr>
          </w:p>
        </w:tc>
        <w:tc>
          <w:tcPr>
            <w:tcW w:w="1417" w:type="dxa"/>
          </w:tcPr>
          <w:p w14:paraId="42C38FB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165B5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3834F12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1992" w:type="dxa"/>
          </w:tcPr>
          <w:p w14:paraId="395456B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组合式电气火灾监控探测器</w:t>
            </w:r>
          </w:p>
        </w:tc>
        <w:tc>
          <w:tcPr>
            <w:tcW w:w="1794" w:type="dxa"/>
          </w:tcPr>
          <w:p w14:paraId="4387FEF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JBF62E-100C</w:t>
            </w:r>
          </w:p>
        </w:tc>
        <w:tc>
          <w:tcPr>
            <w:tcW w:w="708" w:type="dxa"/>
          </w:tcPr>
          <w:p w14:paraId="5813D13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183EA65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91</w:t>
            </w:r>
          </w:p>
        </w:tc>
        <w:tc>
          <w:tcPr>
            <w:tcW w:w="1417" w:type="dxa"/>
          </w:tcPr>
          <w:p w14:paraId="561A7A3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599B1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203983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1992" w:type="dxa"/>
          </w:tcPr>
          <w:p w14:paraId="5BF55E8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功率放大器</w:t>
            </w:r>
          </w:p>
        </w:tc>
        <w:tc>
          <w:tcPr>
            <w:tcW w:w="1794" w:type="dxa"/>
          </w:tcPr>
          <w:p w14:paraId="60273EB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GRT-GB11-600</w:t>
            </w:r>
          </w:p>
        </w:tc>
        <w:tc>
          <w:tcPr>
            <w:tcW w:w="708" w:type="dxa"/>
          </w:tcPr>
          <w:p w14:paraId="79C2954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3700A3C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17" w:type="dxa"/>
          </w:tcPr>
          <w:p w14:paraId="404E63D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71D64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2BBD4BC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1992" w:type="dxa"/>
          </w:tcPr>
          <w:p w14:paraId="172A1D2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明装吸顶音箱</w:t>
            </w:r>
          </w:p>
        </w:tc>
        <w:tc>
          <w:tcPr>
            <w:tcW w:w="1794" w:type="dxa"/>
          </w:tcPr>
          <w:p w14:paraId="632E3CF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GRT3XM-01</w:t>
            </w:r>
          </w:p>
        </w:tc>
        <w:tc>
          <w:tcPr>
            <w:tcW w:w="708" w:type="dxa"/>
          </w:tcPr>
          <w:p w14:paraId="37DDE4D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1A3FFDE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715</w:t>
            </w:r>
          </w:p>
        </w:tc>
        <w:tc>
          <w:tcPr>
            <w:tcW w:w="1417" w:type="dxa"/>
          </w:tcPr>
          <w:p w14:paraId="671D529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44B48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B3B2B4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1992" w:type="dxa"/>
          </w:tcPr>
          <w:p w14:paraId="0073F31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组合式电气火灾监控探测器</w:t>
            </w:r>
          </w:p>
        </w:tc>
        <w:tc>
          <w:tcPr>
            <w:tcW w:w="1794" w:type="dxa"/>
          </w:tcPr>
          <w:p w14:paraId="67FDF0D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JBF62E-250C</w:t>
            </w:r>
          </w:p>
        </w:tc>
        <w:tc>
          <w:tcPr>
            <w:tcW w:w="708" w:type="dxa"/>
          </w:tcPr>
          <w:p w14:paraId="7688FA7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7257B43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48</w:t>
            </w:r>
          </w:p>
        </w:tc>
        <w:tc>
          <w:tcPr>
            <w:tcW w:w="1417" w:type="dxa"/>
          </w:tcPr>
          <w:p w14:paraId="25DF9BA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131F0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386FE33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1992" w:type="dxa"/>
          </w:tcPr>
          <w:p w14:paraId="1D68124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组合式电气火灾监控探测器</w:t>
            </w:r>
          </w:p>
        </w:tc>
        <w:tc>
          <w:tcPr>
            <w:tcW w:w="1794" w:type="dxa"/>
          </w:tcPr>
          <w:p w14:paraId="043E948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JBF62E-400C</w:t>
            </w:r>
          </w:p>
        </w:tc>
        <w:tc>
          <w:tcPr>
            <w:tcW w:w="708" w:type="dxa"/>
          </w:tcPr>
          <w:p w14:paraId="100E21C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1336970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1417" w:type="dxa"/>
          </w:tcPr>
          <w:p w14:paraId="5F21484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15DFE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EEE960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1992" w:type="dxa"/>
          </w:tcPr>
          <w:p w14:paraId="76B9F7E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双门一体式门磁开关</w:t>
            </w:r>
          </w:p>
        </w:tc>
        <w:tc>
          <w:tcPr>
            <w:tcW w:w="1794" w:type="dxa"/>
          </w:tcPr>
          <w:p w14:paraId="106E139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JBF62D-33P</w:t>
            </w:r>
          </w:p>
        </w:tc>
        <w:tc>
          <w:tcPr>
            <w:tcW w:w="708" w:type="dxa"/>
          </w:tcPr>
          <w:p w14:paraId="3E21937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3DAD61D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202</w:t>
            </w:r>
          </w:p>
        </w:tc>
        <w:tc>
          <w:tcPr>
            <w:tcW w:w="1417" w:type="dxa"/>
          </w:tcPr>
          <w:p w14:paraId="5E9B275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7BE57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73E75B5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1992" w:type="dxa"/>
          </w:tcPr>
          <w:p w14:paraId="5475D1D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联动闭门器（65KG）</w:t>
            </w:r>
          </w:p>
        </w:tc>
        <w:tc>
          <w:tcPr>
            <w:tcW w:w="1794" w:type="dxa"/>
          </w:tcPr>
          <w:p w14:paraId="50B2CB3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JBF-BM04</w:t>
            </w:r>
          </w:p>
        </w:tc>
        <w:tc>
          <w:tcPr>
            <w:tcW w:w="708" w:type="dxa"/>
          </w:tcPr>
          <w:p w14:paraId="22AC948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7AB1086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310</w:t>
            </w:r>
          </w:p>
        </w:tc>
        <w:tc>
          <w:tcPr>
            <w:tcW w:w="1417" w:type="dxa"/>
          </w:tcPr>
          <w:p w14:paraId="30FE63D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1FD3C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15D530D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1992" w:type="dxa"/>
          </w:tcPr>
          <w:p w14:paraId="07804D3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防火门监控器</w:t>
            </w:r>
          </w:p>
        </w:tc>
        <w:tc>
          <w:tcPr>
            <w:tcW w:w="1794" w:type="dxa"/>
          </w:tcPr>
          <w:p w14:paraId="046B59F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JBF-61S20-G(62协议）</w:t>
            </w:r>
          </w:p>
        </w:tc>
        <w:tc>
          <w:tcPr>
            <w:tcW w:w="708" w:type="dxa"/>
          </w:tcPr>
          <w:p w14:paraId="5429980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4599C5F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17" w:type="dxa"/>
          </w:tcPr>
          <w:p w14:paraId="7227DBE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2C34C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2505627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1992" w:type="dxa"/>
          </w:tcPr>
          <w:p w14:paraId="3546B1B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线型光束感烟火灾探测器</w:t>
            </w:r>
          </w:p>
        </w:tc>
        <w:tc>
          <w:tcPr>
            <w:tcW w:w="1794" w:type="dxa"/>
          </w:tcPr>
          <w:p w14:paraId="508161F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JTY-H-JBF4382</w:t>
            </w:r>
          </w:p>
        </w:tc>
        <w:tc>
          <w:tcPr>
            <w:tcW w:w="708" w:type="dxa"/>
          </w:tcPr>
          <w:p w14:paraId="517F97F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470B011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417" w:type="dxa"/>
          </w:tcPr>
          <w:p w14:paraId="183DCBF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01C29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230A39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92" w:type="dxa"/>
          </w:tcPr>
          <w:p w14:paraId="178E4EB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湿式报警阀</w:t>
            </w:r>
          </w:p>
        </w:tc>
        <w:tc>
          <w:tcPr>
            <w:tcW w:w="1794" w:type="dxa"/>
          </w:tcPr>
          <w:p w14:paraId="54B4241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ZXFZ150</w:t>
            </w:r>
          </w:p>
        </w:tc>
        <w:tc>
          <w:tcPr>
            <w:tcW w:w="708" w:type="dxa"/>
          </w:tcPr>
          <w:p w14:paraId="6E76BB7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709" w:type="dxa"/>
          </w:tcPr>
          <w:p w14:paraId="15F8E8A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417" w:type="dxa"/>
          </w:tcPr>
          <w:p w14:paraId="2E38BD3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泉州市沪航</w:t>
            </w:r>
          </w:p>
        </w:tc>
      </w:tr>
      <w:tr w14:paraId="1F226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0192DA6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92" w:type="dxa"/>
          </w:tcPr>
          <w:p w14:paraId="59F16F5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水流指示器</w:t>
            </w:r>
          </w:p>
        </w:tc>
        <w:tc>
          <w:tcPr>
            <w:tcW w:w="1794" w:type="dxa"/>
          </w:tcPr>
          <w:p w14:paraId="1B15FFF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ZSJZ100、ZSJZ150</w:t>
            </w:r>
          </w:p>
        </w:tc>
        <w:tc>
          <w:tcPr>
            <w:tcW w:w="708" w:type="dxa"/>
          </w:tcPr>
          <w:p w14:paraId="06A3FF6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709" w:type="dxa"/>
          </w:tcPr>
          <w:p w14:paraId="45DD9A6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64</w:t>
            </w:r>
          </w:p>
        </w:tc>
        <w:tc>
          <w:tcPr>
            <w:tcW w:w="1417" w:type="dxa"/>
          </w:tcPr>
          <w:p w14:paraId="3C2C5FE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泉州市沪航</w:t>
            </w:r>
          </w:p>
        </w:tc>
      </w:tr>
      <w:tr w14:paraId="31B1F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1FD63C4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992" w:type="dxa"/>
          </w:tcPr>
          <w:p w14:paraId="46EE314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喷淋水泵接合器</w:t>
            </w:r>
          </w:p>
        </w:tc>
        <w:tc>
          <w:tcPr>
            <w:tcW w:w="1794" w:type="dxa"/>
          </w:tcPr>
          <w:p w14:paraId="33BD0D3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SQD150-1.6</w:t>
            </w:r>
          </w:p>
        </w:tc>
        <w:tc>
          <w:tcPr>
            <w:tcW w:w="708" w:type="dxa"/>
          </w:tcPr>
          <w:p w14:paraId="3ABD61E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77AA13C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417" w:type="dxa"/>
          </w:tcPr>
          <w:p w14:paraId="2C38264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上海凯泉</w:t>
            </w:r>
          </w:p>
        </w:tc>
      </w:tr>
      <w:tr w14:paraId="345C8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291F86E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992" w:type="dxa"/>
          </w:tcPr>
          <w:p w14:paraId="1B03039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喷淋水泵</w:t>
            </w:r>
          </w:p>
        </w:tc>
        <w:tc>
          <w:tcPr>
            <w:tcW w:w="1794" w:type="dxa"/>
          </w:tcPr>
          <w:p w14:paraId="21510B4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XBD10.9/40-125-300〔W〕YE3</w:t>
            </w:r>
          </w:p>
        </w:tc>
        <w:tc>
          <w:tcPr>
            <w:tcW w:w="708" w:type="dxa"/>
          </w:tcPr>
          <w:p w14:paraId="4E8E5EE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6727DCF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17" w:type="dxa"/>
          </w:tcPr>
          <w:p w14:paraId="42BE097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上海凯泉</w:t>
            </w:r>
          </w:p>
        </w:tc>
      </w:tr>
      <w:tr w14:paraId="2CF96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0ECEDB8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92" w:type="dxa"/>
          </w:tcPr>
          <w:p w14:paraId="1C65CCD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喷淋稳压泵</w:t>
            </w:r>
          </w:p>
        </w:tc>
        <w:tc>
          <w:tcPr>
            <w:tcW w:w="1794" w:type="dxa"/>
          </w:tcPr>
          <w:p w14:paraId="229AE3B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XBD3.1/2W-40DP-YE3</w:t>
            </w:r>
          </w:p>
        </w:tc>
        <w:tc>
          <w:tcPr>
            <w:tcW w:w="708" w:type="dxa"/>
          </w:tcPr>
          <w:p w14:paraId="031C5AE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7667319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17" w:type="dxa"/>
          </w:tcPr>
          <w:p w14:paraId="5CB5952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上海凯泉</w:t>
            </w:r>
          </w:p>
        </w:tc>
      </w:tr>
      <w:tr w14:paraId="56E62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11B34F1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92" w:type="dxa"/>
          </w:tcPr>
          <w:p w14:paraId="23322B5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上喷头</w:t>
            </w:r>
          </w:p>
        </w:tc>
        <w:tc>
          <w:tcPr>
            <w:tcW w:w="1794" w:type="dxa"/>
          </w:tcPr>
          <w:p w14:paraId="48B7B11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T-ZSTZ80-68℃ Q5</w:t>
            </w:r>
          </w:p>
        </w:tc>
        <w:tc>
          <w:tcPr>
            <w:tcW w:w="708" w:type="dxa"/>
          </w:tcPr>
          <w:p w14:paraId="750238A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709" w:type="dxa"/>
          </w:tcPr>
          <w:p w14:paraId="7F6A908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3961</w:t>
            </w:r>
          </w:p>
        </w:tc>
        <w:tc>
          <w:tcPr>
            <w:tcW w:w="1417" w:type="dxa"/>
          </w:tcPr>
          <w:p w14:paraId="0167C5B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上海金盾</w:t>
            </w:r>
          </w:p>
        </w:tc>
      </w:tr>
      <w:tr w14:paraId="76B4A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58DAECA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92" w:type="dxa"/>
          </w:tcPr>
          <w:p w14:paraId="2022650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下喷头</w:t>
            </w:r>
          </w:p>
        </w:tc>
        <w:tc>
          <w:tcPr>
            <w:tcW w:w="1794" w:type="dxa"/>
          </w:tcPr>
          <w:p w14:paraId="127B433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T-ZSTZ80-68℃ Q5</w:t>
            </w:r>
          </w:p>
        </w:tc>
        <w:tc>
          <w:tcPr>
            <w:tcW w:w="708" w:type="dxa"/>
          </w:tcPr>
          <w:p w14:paraId="17438BE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709" w:type="dxa"/>
          </w:tcPr>
          <w:p w14:paraId="3B1C05D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8247</w:t>
            </w:r>
          </w:p>
        </w:tc>
        <w:tc>
          <w:tcPr>
            <w:tcW w:w="1417" w:type="dxa"/>
          </w:tcPr>
          <w:p w14:paraId="185E68C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上海金盾</w:t>
            </w:r>
          </w:p>
        </w:tc>
      </w:tr>
      <w:tr w14:paraId="6E8BD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7E3A446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992" w:type="dxa"/>
          </w:tcPr>
          <w:p w14:paraId="1CE9D20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压力开关</w:t>
            </w:r>
          </w:p>
        </w:tc>
        <w:tc>
          <w:tcPr>
            <w:tcW w:w="1794" w:type="dxa"/>
          </w:tcPr>
          <w:p w14:paraId="6123382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ZSJY1.6BP</w:t>
            </w:r>
          </w:p>
        </w:tc>
        <w:tc>
          <w:tcPr>
            <w:tcW w:w="708" w:type="dxa"/>
          </w:tcPr>
          <w:p w14:paraId="40D57A6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709" w:type="dxa"/>
          </w:tcPr>
          <w:p w14:paraId="7579987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417" w:type="dxa"/>
          </w:tcPr>
          <w:p w14:paraId="6DE0129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泉州市沪航</w:t>
            </w:r>
          </w:p>
        </w:tc>
      </w:tr>
      <w:tr w14:paraId="0C983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793EA53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992" w:type="dxa"/>
          </w:tcPr>
          <w:p w14:paraId="722C9C7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信号蝶阀</w:t>
            </w:r>
          </w:p>
        </w:tc>
        <w:tc>
          <w:tcPr>
            <w:tcW w:w="1794" w:type="dxa"/>
          </w:tcPr>
          <w:p w14:paraId="175CF16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ZSXF100、ZSXF150</w:t>
            </w:r>
          </w:p>
        </w:tc>
        <w:tc>
          <w:tcPr>
            <w:tcW w:w="708" w:type="dxa"/>
          </w:tcPr>
          <w:p w14:paraId="0A90E56E">
            <w:pPr>
              <w:rPr>
                <w:rFonts w:ascii="宋体" w:hAnsi="宋体" w:eastAsia="宋体" w:cs="宋体"/>
                <w:color w:val="auto"/>
                <w:sz w:val="24"/>
                <w:szCs w:val="24"/>
                <w:highlight w:val="none"/>
              </w:rPr>
            </w:pPr>
          </w:p>
        </w:tc>
        <w:tc>
          <w:tcPr>
            <w:tcW w:w="709" w:type="dxa"/>
          </w:tcPr>
          <w:p w14:paraId="20B49EC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108</w:t>
            </w:r>
          </w:p>
        </w:tc>
        <w:tc>
          <w:tcPr>
            <w:tcW w:w="1417" w:type="dxa"/>
          </w:tcPr>
          <w:p w14:paraId="63ADDF4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泉州市沪航</w:t>
            </w:r>
          </w:p>
        </w:tc>
      </w:tr>
      <w:tr w14:paraId="6B22F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14F1509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92" w:type="dxa"/>
          </w:tcPr>
          <w:p w14:paraId="200A55E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消火栓箱</w:t>
            </w:r>
          </w:p>
        </w:tc>
        <w:tc>
          <w:tcPr>
            <w:tcW w:w="1794" w:type="dxa"/>
          </w:tcPr>
          <w:p w14:paraId="0699393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SG24A65</w:t>
            </w:r>
          </w:p>
        </w:tc>
        <w:tc>
          <w:tcPr>
            <w:tcW w:w="708" w:type="dxa"/>
          </w:tcPr>
          <w:p w14:paraId="4086E5B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6A14300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507</w:t>
            </w:r>
          </w:p>
        </w:tc>
        <w:tc>
          <w:tcPr>
            <w:tcW w:w="1417" w:type="dxa"/>
          </w:tcPr>
          <w:p w14:paraId="406FBDD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合肥市玉兰消防</w:t>
            </w:r>
          </w:p>
        </w:tc>
      </w:tr>
      <w:tr w14:paraId="107D1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3807E27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92" w:type="dxa"/>
          </w:tcPr>
          <w:p w14:paraId="2AAB4F6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水枪</w:t>
            </w:r>
          </w:p>
        </w:tc>
        <w:tc>
          <w:tcPr>
            <w:tcW w:w="1794" w:type="dxa"/>
          </w:tcPr>
          <w:p w14:paraId="3D83D54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QZ3.5/7.5</w:t>
            </w:r>
          </w:p>
        </w:tc>
        <w:tc>
          <w:tcPr>
            <w:tcW w:w="708" w:type="dxa"/>
          </w:tcPr>
          <w:p w14:paraId="3892B62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08554CE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507</w:t>
            </w:r>
          </w:p>
        </w:tc>
        <w:tc>
          <w:tcPr>
            <w:tcW w:w="1417" w:type="dxa"/>
          </w:tcPr>
          <w:p w14:paraId="3BAA2EC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扬州一帆</w:t>
            </w:r>
          </w:p>
        </w:tc>
      </w:tr>
      <w:tr w14:paraId="35477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350984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992" w:type="dxa"/>
          </w:tcPr>
          <w:p w14:paraId="50DEB58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水带</w:t>
            </w:r>
          </w:p>
        </w:tc>
        <w:tc>
          <w:tcPr>
            <w:tcW w:w="1794" w:type="dxa"/>
          </w:tcPr>
          <w:p w14:paraId="6366401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8-65-25</w:t>
            </w:r>
          </w:p>
        </w:tc>
        <w:tc>
          <w:tcPr>
            <w:tcW w:w="708" w:type="dxa"/>
          </w:tcPr>
          <w:p w14:paraId="4B81A6D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25C9B8C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507</w:t>
            </w:r>
          </w:p>
        </w:tc>
        <w:tc>
          <w:tcPr>
            <w:tcW w:w="1417" w:type="dxa"/>
          </w:tcPr>
          <w:p w14:paraId="66A5117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扬州一帆</w:t>
            </w:r>
          </w:p>
        </w:tc>
      </w:tr>
      <w:tr w14:paraId="05E00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1E24C2E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992" w:type="dxa"/>
          </w:tcPr>
          <w:p w14:paraId="7AA6683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消防软卷盘</w:t>
            </w:r>
          </w:p>
        </w:tc>
        <w:tc>
          <w:tcPr>
            <w:tcW w:w="1794" w:type="dxa"/>
          </w:tcPr>
          <w:p w14:paraId="499E979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JPS0.8-19/25</w:t>
            </w:r>
          </w:p>
        </w:tc>
        <w:tc>
          <w:tcPr>
            <w:tcW w:w="708" w:type="dxa"/>
          </w:tcPr>
          <w:p w14:paraId="5F62C5F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33CFEEC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416</w:t>
            </w:r>
          </w:p>
        </w:tc>
        <w:tc>
          <w:tcPr>
            <w:tcW w:w="1417" w:type="dxa"/>
          </w:tcPr>
          <w:p w14:paraId="1D44995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扬州一帆</w:t>
            </w:r>
          </w:p>
        </w:tc>
      </w:tr>
      <w:tr w14:paraId="50E7C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7E12488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92" w:type="dxa"/>
          </w:tcPr>
          <w:p w14:paraId="5600D54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消火栓水泵接合器</w:t>
            </w:r>
          </w:p>
        </w:tc>
        <w:tc>
          <w:tcPr>
            <w:tcW w:w="1794" w:type="dxa"/>
          </w:tcPr>
          <w:p w14:paraId="54B7085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SQD150-1.6</w:t>
            </w:r>
          </w:p>
        </w:tc>
        <w:tc>
          <w:tcPr>
            <w:tcW w:w="708" w:type="dxa"/>
          </w:tcPr>
          <w:p w14:paraId="2E70729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5F0CD9E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417" w:type="dxa"/>
          </w:tcPr>
          <w:p w14:paraId="45DB562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福建三鲸</w:t>
            </w:r>
          </w:p>
        </w:tc>
      </w:tr>
      <w:tr w14:paraId="2D555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6B449FD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92" w:type="dxa"/>
          </w:tcPr>
          <w:p w14:paraId="621212D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室外消火栓</w:t>
            </w:r>
          </w:p>
        </w:tc>
        <w:tc>
          <w:tcPr>
            <w:tcW w:w="1794" w:type="dxa"/>
          </w:tcPr>
          <w:p w14:paraId="50A243D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SS100/65-1.6</w:t>
            </w:r>
          </w:p>
        </w:tc>
        <w:tc>
          <w:tcPr>
            <w:tcW w:w="708" w:type="dxa"/>
          </w:tcPr>
          <w:p w14:paraId="19D80EE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709" w:type="dxa"/>
          </w:tcPr>
          <w:p w14:paraId="39D5FD7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417" w:type="dxa"/>
          </w:tcPr>
          <w:p w14:paraId="559734A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泉州市沪航</w:t>
            </w:r>
          </w:p>
        </w:tc>
      </w:tr>
      <w:tr w14:paraId="5E4F8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FD0506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92" w:type="dxa"/>
          </w:tcPr>
          <w:p w14:paraId="3F58186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消火栓水泵</w:t>
            </w:r>
          </w:p>
        </w:tc>
        <w:tc>
          <w:tcPr>
            <w:tcW w:w="1794" w:type="dxa"/>
          </w:tcPr>
          <w:p w14:paraId="14544C6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XBD10.9/40-125-300［W］YE3</w:t>
            </w:r>
          </w:p>
        </w:tc>
        <w:tc>
          <w:tcPr>
            <w:tcW w:w="708" w:type="dxa"/>
          </w:tcPr>
          <w:p w14:paraId="50533CA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09" w:type="dxa"/>
          </w:tcPr>
          <w:p w14:paraId="15A21E4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17" w:type="dxa"/>
          </w:tcPr>
          <w:p w14:paraId="55B0BEA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上海凯泉</w:t>
            </w:r>
          </w:p>
        </w:tc>
      </w:tr>
      <w:tr w14:paraId="5C457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7F24EE6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992" w:type="dxa"/>
          </w:tcPr>
          <w:p w14:paraId="549B14F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消防稳压泵</w:t>
            </w:r>
          </w:p>
        </w:tc>
        <w:tc>
          <w:tcPr>
            <w:tcW w:w="1794" w:type="dxa"/>
          </w:tcPr>
          <w:p w14:paraId="31D27B8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XBD3.1/2W-40DP-YE3</w:t>
            </w:r>
          </w:p>
        </w:tc>
        <w:tc>
          <w:tcPr>
            <w:tcW w:w="708" w:type="dxa"/>
          </w:tcPr>
          <w:p w14:paraId="5062852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7EFCF0E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17" w:type="dxa"/>
          </w:tcPr>
          <w:p w14:paraId="7B26616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上海凯泉</w:t>
            </w:r>
          </w:p>
        </w:tc>
      </w:tr>
      <w:tr w14:paraId="41E9E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3E17124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992" w:type="dxa"/>
          </w:tcPr>
          <w:p w14:paraId="1460EBF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气压给水装置</w:t>
            </w:r>
          </w:p>
        </w:tc>
        <w:tc>
          <w:tcPr>
            <w:tcW w:w="1794" w:type="dxa"/>
          </w:tcPr>
          <w:p w14:paraId="05CB123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W1.5/0.30-JY</w:t>
            </w:r>
          </w:p>
        </w:tc>
        <w:tc>
          <w:tcPr>
            <w:tcW w:w="708" w:type="dxa"/>
          </w:tcPr>
          <w:p w14:paraId="53400D0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09" w:type="dxa"/>
          </w:tcPr>
          <w:p w14:paraId="2EA3EEA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417" w:type="dxa"/>
          </w:tcPr>
          <w:p w14:paraId="4275B1D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上海凯泉</w:t>
            </w:r>
          </w:p>
        </w:tc>
      </w:tr>
      <w:tr w14:paraId="38983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1ACD78C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992" w:type="dxa"/>
          </w:tcPr>
          <w:p w14:paraId="0FF1C7D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消防水池</w:t>
            </w:r>
          </w:p>
        </w:tc>
        <w:tc>
          <w:tcPr>
            <w:tcW w:w="1794" w:type="dxa"/>
          </w:tcPr>
          <w:p w14:paraId="3BCF817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1008m³</w:t>
            </w:r>
          </w:p>
        </w:tc>
        <w:tc>
          <w:tcPr>
            <w:tcW w:w="708" w:type="dxa"/>
          </w:tcPr>
          <w:p w14:paraId="7FEC143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09" w:type="dxa"/>
          </w:tcPr>
          <w:p w14:paraId="7F0E104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17" w:type="dxa"/>
          </w:tcPr>
          <w:p w14:paraId="7A5F60FC">
            <w:pPr>
              <w:rPr>
                <w:rFonts w:ascii="宋体" w:hAnsi="宋体" w:eastAsia="宋体" w:cs="宋体"/>
                <w:color w:val="auto"/>
                <w:sz w:val="24"/>
                <w:szCs w:val="24"/>
                <w:highlight w:val="none"/>
              </w:rPr>
            </w:pPr>
          </w:p>
        </w:tc>
      </w:tr>
      <w:tr w14:paraId="2C1D9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565E4ED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992" w:type="dxa"/>
          </w:tcPr>
          <w:p w14:paraId="02B6399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消防水箱</w:t>
            </w:r>
          </w:p>
        </w:tc>
        <w:tc>
          <w:tcPr>
            <w:tcW w:w="1794" w:type="dxa"/>
          </w:tcPr>
          <w:p w14:paraId="3DEB711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36m³</w:t>
            </w:r>
          </w:p>
        </w:tc>
        <w:tc>
          <w:tcPr>
            <w:tcW w:w="708" w:type="dxa"/>
          </w:tcPr>
          <w:p w14:paraId="39222AA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09" w:type="dxa"/>
          </w:tcPr>
          <w:p w14:paraId="28DE33F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17" w:type="dxa"/>
          </w:tcPr>
          <w:p w14:paraId="4DDFC9FB">
            <w:pPr>
              <w:rPr>
                <w:rFonts w:ascii="宋体" w:hAnsi="宋体" w:eastAsia="宋体" w:cs="宋体"/>
                <w:color w:val="auto"/>
                <w:sz w:val="24"/>
                <w:szCs w:val="24"/>
                <w:highlight w:val="none"/>
              </w:rPr>
            </w:pPr>
          </w:p>
        </w:tc>
      </w:tr>
      <w:tr w14:paraId="29E38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1E8ABF9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992" w:type="dxa"/>
          </w:tcPr>
          <w:p w14:paraId="405347E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室外消火栓水泵</w:t>
            </w:r>
          </w:p>
        </w:tc>
        <w:tc>
          <w:tcPr>
            <w:tcW w:w="1794" w:type="dxa"/>
          </w:tcPr>
          <w:p w14:paraId="5A57225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XBD4.4/40-125-185［W］YE3</w:t>
            </w:r>
          </w:p>
        </w:tc>
        <w:tc>
          <w:tcPr>
            <w:tcW w:w="708" w:type="dxa"/>
          </w:tcPr>
          <w:p w14:paraId="4F9BEA3D">
            <w:pPr>
              <w:rPr>
                <w:rFonts w:ascii="宋体" w:hAnsi="宋体" w:eastAsia="宋体" w:cs="宋体"/>
                <w:color w:val="auto"/>
                <w:sz w:val="24"/>
                <w:szCs w:val="24"/>
                <w:highlight w:val="none"/>
              </w:rPr>
            </w:pPr>
          </w:p>
        </w:tc>
        <w:tc>
          <w:tcPr>
            <w:tcW w:w="709" w:type="dxa"/>
          </w:tcPr>
          <w:p w14:paraId="576681A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17" w:type="dxa"/>
          </w:tcPr>
          <w:p w14:paraId="65A5F4E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上海凯泉</w:t>
            </w:r>
          </w:p>
        </w:tc>
      </w:tr>
      <w:tr w14:paraId="03726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783832D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992" w:type="dxa"/>
          </w:tcPr>
          <w:p w14:paraId="4ADD9A3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室外消防稳压泵</w:t>
            </w:r>
          </w:p>
        </w:tc>
        <w:tc>
          <w:tcPr>
            <w:tcW w:w="1794" w:type="dxa"/>
          </w:tcPr>
          <w:p w14:paraId="1A8C641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XBD3.1/2W-40DP-YE3</w:t>
            </w:r>
          </w:p>
        </w:tc>
        <w:tc>
          <w:tcPr>
            <w:tcW w:w="708" w:type="dxa"/>
          </w:tcPr>
          <w:p w14:paraId="22D0C681">
            <w:pPr>
              <w:rPr>
                <w:rFonts w:ascii="宋体" w:hAnsi="宋体" w:eastAsia="宋体" w:cs="宋体"/>
                <w:color w:val="auto"/>
                <w:sz w:val="24"/>
                <w:szCs w:val="24"/>
                <w:highlight w:val="none"/>
              </w:rPr>
            </w:pPr>
          </w:p>
        </w:tc>
        <w:tc>
          <w:tcPr>
            <w:tcW w:w="709" w:type="dxa"/>
          </w:tcPr>
          <w:p w14:paraId="29263BE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17" w:type="dxa"/>
          </w:tcPr>
          <w:p w14:paraId="6FAE7D6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上海凯泉</w:t>
            </w:r>
          </w:p>
        </w:tc>
      </w:tr>
      <w:tr w14:paraId="63B6D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03A55FB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992" w:type="dxa"/>
          </w:tcPr>
          <w:p w14:paraId="025ADB6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接扣</w:t>
            </w:r>
          </w:p>
        </w:tc>
        <w:tc>
          <w:tcPr>
            <w:tcW w:w="1794" w:type="dxa"/>
          </w:tcPr>
          <w:p w14:paraId="27D7531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KD65</w:t>
            </w:r>
          </w:p>
        </w:tc>
        <w:tc>
          <w:tcPr>
            <w:tcW w:w="708" w:type="dxa"/>
          </w:tcPr>
          <w:p w14:paraId="585FFCF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5B17DC3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507</w:t>
            </w:r>
          </w:p>
        </w:tc>
        <w:tc>
          <w:tcPr>
            <w:tcW w:w="1417" w:type="dxa"/>
          </w:tcPr>
          <w:p w14:paraId="015C13E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扬州一帆</w:t>
            </w:r>
          </w:p>
        </w:tc>
      </w:tr>
      <w:tr w14:paraId="6DFA9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199D129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992" w:type="dxa"/>
          </w:tcPr>
          <w:p w14:paraId="2BC1263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压力开关</w:t>
            </w:r>
          </w:p>
        </w:tc>
        <w:tc>
          <w:tcPr>
            <w:tcW w:w="1794" w:type="dxa"/>
          </w:tcPr>
          <w:p w14:paraId="60AA41F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ZSJY1.6BP</w:t>
            </w:r>
          </w:p>
        </w:tc>
        <w:tc>
          <w:tcPr>
            <w:tcW w:w="708" w:type="dxa"/>
          </w:tcPr>
          <w:p w14:paraId="722B5538">
            <w:pPr>
              <w:rPr>
                <w:rFonts w:ascii="宋体" w:hAnsi="宋体" w:eastAsia="宋体" w:cs="宋体"/>
                <w:color w:val="auto"/>
                <w:sz w:val="24"/>
                <w:szCs w:val="24"/>
                <w:highlight w:val="none"/>
              </w:rPr>
            </w:pPr>
          </w:p>
        </w:tc>
        <w:tc>
          <w:tcPr>
            <w:tcW w:w="709" w:type="dxa"/>
          </w:tcPr>
          <w:p w14:paraId="03BD410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17" w:type="dxa"/>
          </w:tcPr>
          <w:p w14:paraId="4C8307B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上海凯泉</w:t>
            </w:r>
          </w:p>
        </w:tc>
      </w:tr>
      <w:tr w14:paraId="5EB96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398E209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992" w:type="dxa"/>
          </w:tcPr>
          <w:p w14:paraId="17D5ED7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减压阀</w:t>
            </w:r>
          </w:p>
        </w:tc>
        <w:tc>
          <w:tcPr>
            <w:tcW w:w="1794" w:type="dxa"/>
          </w:tcPr>
          <w:p w14:paraId="77D8D90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200X-16Q</w:t>
            </w:r>
          </w:p>
        </w:tc>
        <w:tc>
          <w:tcPr>
            <w:tcW w:w="708" w:type="dxa"/>
          </w:tcPr>
          <w:p w14:paraId="7727072C">
            <w:pPr>
              <w:rPr>
                <w:rFonts w:ascii="宋体" w:hAnsi="宋体" w:eastAsia="宋体" w:cs="宋体"/>
                <w:color w:val="auto"/>
                <w:sz w:val="24"/>
                <w:szCs w:val="24"/>
                <w:highlight w:val="none"/>
              </w:rPr>
            </w:pPr>
          </w:p>
        </w:tc>
        <w:tc>
          <w:tcPr>
            <w:tcW w:w="709" w:type="dxa"/>
          </w:tcPr>
          <w:p w14:paraId="0620A21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17" w:type="dxa"/>
          </w:tcPr>
          <w:p w14:paraId="7BF500C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上海良工</w:t>
            </w:r>
          </w:p>
        </w:tc>
      </w:tr>
      <w:tr w14:paraId="78EC6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75E73A8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92" w:type="dxa"/>
          </w:tcPr>
          <w:p w14:paraId="2736E4C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火灾报警控制器（联动型）</w:t>
            </w:r>
          </w:p>
        </w:tc>
        <w:tc>
          <w:tcPr>
            <w:tcW w:w="1794" w:type="dxa"/>
          </w:tcPr>
          <w:p w14:paraId="4B59ABD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JB-TG-JBF-11SF</w:t>
            </w:r>
          </w:p>
        </w:tc>
        <w:tc>
          <w:tcPr>
            <w:tcW w:w="708" w:type="dxa"/>
          </w:tcPr>
          <w:p w14:paraId="11674CA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09" w:type="dxa"/>
          </w:tcPr>
          <w:p w14:paraId="2F8781C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417" w:type="dxa"/>
          </w:tcPr>
          <w:p w14:paraId="35DFB58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合肥青鸟消防</w:t>
            </w:r>
          </w:p>
        </w:tc>
      </w:tr>
      <w:tr w14:paraId="7D637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7BCEB24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92" w:type="dxa"/>
          </w:tcPr>
          <w:p w14:paraId="1504A83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点型光电感烟火灾探测器</w:t>
            </w:r>
          </w:p>
        </w:tc>
        <w:tc>
          <w:tcPr>
            <w:tcW w:w="1794" w:type="dxa"/>
          </w:tcPr>
          <w:p w14:paraId="75A0C60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JTY-GD-JBF5100</w:t>
            </w:r>
          </w:p>
        </w:tc>
        <w:tc>
          <w:tcPr>
            <w:tcW w:w="708" w:type="dxa"/>
          </w:tcPr>
          <w:p w14:paraId="059BD61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734B6EA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96</w:t>
            </w:r>
          </w:p>
        </w:tc>
        <w:tc>
          <w:tcPr>
            <w:tcW w:w="1417" w:type="dxa"/>
          </w:tcPr>
          <w:p w14:paraId="6B802CA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6C402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54AFB33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992" w:type="dxa"/>
          </w:tcPr>
          <w:p w14:paraId="63B6477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电型感温火灾探测器（A2R)）</w:t>
            </w:r>
          </w:p>
        </w:tc>
        <w:tc>
          <w:tcPr>
            <w:tcW w:w="1794" w:type="dxa"/>
          </w:tcPr>
          <w:p w14:paraId="4B90751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JTW-ZD-JBF5110 JBF4111-Ex</w:t>
            </w:r>
          </w:p>
        </w:tc>
        <w:tc>
          <w:tcPr>
            <w:tcW w:w="708" w:type="dxa"/>
          </w:tcPr>
          <w:p w14:paraId="1769BD6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4B3BDEE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76</w:t>
            </w:r>
          </w:p>
        </w:tc>
        <w:tc>
          <w:tcPr>
            <w:tcW w:w="1417" w:type="dxa"/>
          </w:tcPr>
          <w:p w14:paraId="1026656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67356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 w:hRule="atLeast"/>
          <w:jc w:val="center"/>
        </w:trPr>
        <w:tc>
          <w:tcPr>
            <w:tcW w:w="604" w:type="dxa"/>
          </w:tcPr>
          <w:p w14:paraId="5523E63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992" w:type="dxa"/>
          </w:tcPr>
          <w:p w14:paraId="377D7C6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紧急启停按钮</w:t>
            </w:r>
          </w:p>
        </w:tc>
        <w:tc>
          <w:tcPr>
            <w:tcW w:w="1794" w:type="dxa"/>
          </w:tcPr>
          <w:p w14:paraId="30FB394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JBF-5184</w:t>
            </w:r>
          </w:p>
        </w:tc>
        <w:tc>
          <w:tcPr>
            <w:tcW w:w="708" w:type="dxa"/>
          </w:tcPr>
          <w:p w14:paraId="3E31728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29B560E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34</w:t>
            </w:r>
          </w:p>
        </w:tc>
        <w:tc>
          <w:tcPr>
            <w:tcW w:w="1417" w:type="dxa"/>
          </w:tcPr>
          <w:p w14:paraId="0CEBC14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47901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0192FF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92" w:type="dxa"/>
          </w:tcPr>
          <w:p w14:paraId="3CF5E54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火灾声光报警器</w:t>
            </w:r>
          </w:p>
        </w:tc>
        <w:tc>
          <w:tcPr>
            <w:tcW w:w="1794" w:type="dxa"/>
          </w:tcPr>
          <w:p w14:paraId="7B039CB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JBF5172</w:t>
            </w:r>
          </w:p>
        </w:tc>
        <w:tc>
          <w:tcPr>
            <w:tcW w:w="708" w:type="dxa"/>
          </w:tcPr>
          <w:p w14:paraId="2BBFE30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63E16AF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502</w:t>
            </w:r>
          </w:p>
        </w:tc>
        <w:tc>
          <w:tcPr>
            <w:tcW w:w="1417" w:type="dxa"/>
          </w:tcPr>
          <w:p w14:paraId="6E84C08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186C0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696A82F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92" w:type="dxa"/>
          </w:tcPr>
          <w:p w14:paraId="17C6394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火灾声报警器</w:t>
            </w:r>
          </w:p>
        </w:tc>
        <w:tc>
          <w:tcPr>
            <w:tcW w:w="1794" w:type="dxa"/>
          </w:tcPr>
          <w:p w14:paraId="0A94711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HY2114</w:t>
            </w:r>
          </w:p>
        </w:tc>
        <w:tc>
          <w:tcPr>
            <w:tcW w:w="708" w:type="dxa"/>
          </w:tcPr>
          <w:p w14:paraId="745B756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4A66710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1417" w:type="dxa"/>
          </w:tcPr>
          <w:p w14:paraId="6586C69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1FF4A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7715C2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92" w:type="dxa"/>
          </w:tcPr>
          <w:p w14:paraId="37FCC58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气体释放警报器</w:t>
            </w:r>
          </w:p>
        </w:tc>
        <w:tc>
          <w:tcPr>
            <w:tcW w:w="1794" w:type="dxa"/>
          </w:tcPr>
          <w:p w14:paraId="3D33575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JBF5180</w:t>
            </w:r>
          </w:p>
        </w:tc>
        <w:tc>
          <w:tcPr>
            <w:tcW w:w="708" w:type="dxa"/>
          </w:tcPr>
          <w:p w14:paraId="5F27D7E6">
            <w:pPr>
              <w:rPr>
                <w:rFonts w:ascii="宋体" w:hAnsi="宋体" w:eastAsia="宋体" w:cs="宋体"/>
                <w:color w:val="auto"/>
                <w:sz w:val="24"/>
                <w:szCs w:val="24"/>
                <w:highlight w:val="none"/>
              </w:rPr>
            </w:pPr>
          </w:p>
        </w:tc>
        <w:tc>
          <w:tcPr>
            <w:tcW w:w="709" w:type="dxa"/>
          </w:tcPr>
          <w:p w14:paraId="2E8F52D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34</w:t>
            </w:r>
          </w:p>
        </w:tc>
        <w:tc>
          <w:tcPr>
            <w:tcW w:w="1417" w:type="dxa"/>
          </w:tcPr>
          <w:p w14:paraId="2730EA81">
            <w:pPr>
              <w:rPr>
                <w:rFonts w:ascii="宋体" w:hAnsi="宋体" w:eastAsia="宋体" w:cs="宋体"/>
                <w:color w:val="auto"/>
                <w:sz w:val="24"/>
                <w:szCs w:val="24"/>
                <w:highlight w:val="none"/>
              </w:rPr>
            </w:pPr>
          </w:p>
        </w:tc>
      </w:tr>
      <w:tr w14:paraId="67EBD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5582614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992" w:type="dxa"/>
          </w:tcPr>
          <w:p w14:paraId="0DBCBD3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启动装置（电磁阀）</w:t>
            </w:r>
          </w:p>
        </w:tc>
        <w:tc>
          <w:tcPr>
            <w:tcW w:w="1794" w:type="dxa"/>
          </w:tcPr>
          <w:p w14:paraId="40DFEEB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JAFJQDQ90N</w:t>
            </w:r>
          </w:p>
        </w:tc>
        <w:tc>
          <w:tcPr>
            <w:tcW w:w="708" w:type="dxa"/>
          </w:tcPr>
          <w:p w14:paraId="598471DE">
            <w:pPr>
              <w:rPr>
                <w:rFonts w:ascii="宋体" w:hAnsi="宋体" w:eastAsia="宋体" w:cs="宋体"/>
                <w:color w:val="auto"/>
                <w:sz w:val="24"/>
                <w:szCs w:val="24"/>
                <w:highlight w:val="none"/>
              </w:rPr>
            </w:pPr>
          </w:p>
        </w:tc>
        <w:tc>
          <w:tcPr>
            <w:tcW w:w="709" w:type="dxa"/>
          </w:tcPr>
          <w:p w14:paraId="2815518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63</w:t>
            </w:r>
          </w:p>
        </w:tc>
        <w:tc>
          <w:tcPr>
            <w:tcW w:w="1417" w:type="dxa"/>
          </w:tcPr>
          <w:p w14:paraId="0387E79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吉安富捷</w:t>
            </w:r>
          </w:p>
        </w:tc>
      </w:tr>
      <w:tr w14:paraId="6ECF9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13DB94D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992" w:type="dxa"/>
          </w:tcPr>
          <w:p w14:paraId="28218AB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贮存容器</w:t>
            </w:r>
          </w:p>
        </w:tc>
        <w:tc>
          <w:tcPr>
            <w:tcW w:w="1794" w:type="dxa"/>
          </w:tcPr>
          <w:p w14:paraId="5FA7186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GQQ180/2.5</w:t>
            </w:r>
          </w:p>
          <w:p w14:paraId="0F408DD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GQQ150/2.5</w:t>
            </w:r>
          </w:p>
          <w:p w14:paraId="76E5ED8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GQQ120/2.5</w:t>
            </w:r>
          </w:p>
          <w:p w14:paraId="1496AB2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GQQ100/2.5</w:t>
            </w:r>
          </w:p>
          <w:p w14:paraId="1D091EE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GQQ70/2.5</w:t>
            </w:r>
          </w:p>
          <w:p w14:paraId="7DC5947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GQQ40/2.4</w:t>
            </w:r>
          </w:p>
          <w:p w14:paraId="76C51E9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XQQC30/1.6</w:t>
            </w:r>
          </w:p>
        </w:tc>
        <w:tc>
          <w:tcPr>
            <w:tcW w:w="708" w:type="dxa"/>
          </w:tcPr>
          <w:p w14:paraId="4DECD39A">
            <w:pPr>
              <w:rPr>
                <w:rFonts w:ascii="宋体" w:hAnsi="宋体" w:eastAsia="宋体" w:cs="宋体"/>
                <w:color w:val="auto"/>
                <w:sz w:val="24"/>
                <w:szCs w:val="24"/>
                <w:highlight w:val="none"/>
              </w:rPr>
            </w:pPr>
          </w:p>
        </w:tc>
        <w:tc>
          <w:tcPr>
            <w:tcW w:w="709" w:type="dxa"/>
          </w:tcPr>
          <w:p w14:paraId="55423E1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64</w:t>
            </w:r>
          </w:p>
        </w:tc>
        <w:tc>
          <w:tcPr>
            <w:tcW w:w="1417" w:type="dxa"/>
          </w:tcPr>
          <w:p w14:paraId="1E662F2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吉安富捷</w:t>
            </w:r>
          </w:p>
        </w:tc>
      </w:tr>
      <w:tr w14:paraId="35C8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4BEB91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992" w:type="dxa"/>
          </w:tcPr>
          <w:p w14:paraId="5427C14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喷嘴</w:t>
            </w:r>
          </w:p>
        </w:tc>
        <w:tc>
          <w:tcPr>
            <w:tcW w:w="1794" w:type="dxa"/>
          </w:tcPr>
          <w:p w14:paraId="556954C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JAFJ PT50/40</w:t>
            </w:r>
          </w:p>
        </w:tc>
        <w:tc>
          <w:tcPr>
            <w:tcW w:w="708" w:type="dxa"/>
          </w:tcPr>
          <w:p w14:paraId="676ECD5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09" w:type="dxa"/>
          </w:tcPr>
          <w:p w14:paraId="0CBBE36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62</w:t>
            </w:r>
          </w:p>
        </w:tc>
        <w:tc>
          <w:tcPr>
            <w:tcW w:w="1417" w:type="dxa"/>
          </w:tcPr>
          <w:p w14:paraId="3B8DC55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吉安富捷</w:t>
            </w:r>
          </w:p>
        </w:tc>
      </w:tr>
      <w:tr w14:paraId="4AE24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0F0C13E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92" w:type="dxa"/>
          </w:tcPr>
          <w:p w14:paraId="1226A3D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自动跟踪定位射流灭火装置</w:t>
            </w:r>
          </w:p>
        </w:tc>
        <w:tc>
          <w:tcPr>
            <w:tcW w:w="1794" w:type="dxa"/>
          </w:tcPr>
          <w:p w14:paraId="341969C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ZDMS0.6/5S-GA</w:t>
            </w:r>
          </w:p>
        </w:tc>
        <w:tc>
          <w:tcPr>
            <w:tcW w:w="708" w:type="dxa"/>
          </w:tcPr>
          <w:p w14:paraId="6E9B416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71ADEE0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417" w:type="dxa"/>
          </w:tcPr>
          <w:p w14:paraId="2C4524E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深圳市共安</w:t>
            </w:r>
          </w:p>
        </w:tc>
      </w:tr>
      <w:tr w14:paraId="12FB6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2454DF4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92" w:type="dxa"/>
          </w:tcPr>
          <w:p w14:paraId="02CCA50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现场控制盘</w:t>
            </w:r>
          </w:p>
        </w:tc>
        <w:tc>
          <w:tcPr>
            <w:tcW w:w="1794" w:type="dxa"/>
          </w:tcPr>
          <w:p w14:paraId="6BB4F01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GAN-KZ-5</w:t>
            </w:r>
          </w:p>
        </w:tc>
        <w:tc>
          <w:tcPr>
            <w:tcW w:w="708" w:type="dxa"/>
          </w:tcPr>
          <w:p w14:paraId="20C3E42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709" w:type="dxa"/>
          </w:tcPr>
          <w:p w14:paraId="7CEFFF4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417" w:type="dxa"/>
          </w:tcPr>
          <w:p w14:paraId="64B0FA8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深圳市共安</w:t>
            </w:r>
          </w:p>
        </w:tc>
      </w:tr>
      <w:tr w14:paraId="3DD9D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1E7534F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992" w:type="dxa"/>
          </w:tcPr>
          <w:p w14:paraId="03E4B6C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智能灭火装置控制器</w:t>
            </w:r>
          </w:p>
        </w:tc>
        <w:tc>
          <w:tcPr>
            <w:tcW w:w="1794" w:type="dxa"/>
          </w:tcPr>
          <w:p w14:paraId="58D658A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GA-JQTL-201</w:t>
            </w:r>
          </w:p>
        </w:tc>
        <w:tc>
          <w:tcPr>
            <w:tcW w:w="708" w:type="dxa"/>
          </w:tcPr>
          <w:p w14:paraId="6565EB3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569F52A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17" w:type="dxa"/>
          </w:tcPr>
          <w:p w14:paraId="603E716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深圳市共安</w:t>
            </w:r>
          </w:p>
        </w:tc>
      </w:tr>
      <w:tr w14:paraId="7B965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1280F6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992" w:type="dxa"/>
          </w:tcPr>
          <w:p w14:paraId="1284722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硬盘录像机</w:t>
            </w:r>
          </w:p>
        </w:tc>
        <w:tc>
          <w:tcPr>
            <w:tcW w:w="1794" w:type="dxa"/>
          </w:tcPr>
          <w:p w14:paraId="02EDBDB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HLK/DS-7804HW</w:t>
            </w:r>
          </w:p>
        </w:tc>
        <w:tc>
          <w:tcPr>
            <w:tcW w:w="708" w:type="dxa"/>
          </w:tcPr>
          <w:p w14:paraId="3EE0D6E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709" w:type="dxa"/>
          </w:tcPr>
          <w:p w14:paraId="0D942B4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17" w:type="dxa"/>
          </w:tcPr>
          <w:p w14:paraId="297E560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杭州海康威视数字</w:t>
            </w:r>
          </w:p>
        </w:tc>
      </w:tr>
      <w:tr w14:paraId="4D40E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0F3ADC5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92" w:type="dxa"/>
          </w:tcPr>
          <w:p w14:paraId="3CEC7F4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自动跟踪定位射流灭火装置</w:t>
            </w:r>
          </w:p>
        </w:tc>
        <w:tc>
          <w:tcPr>
            <w:tcW w:w="1794" w:type="dxa"/>
          </w:tcPr>
          <w:p w14:paraId="5C6921C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ZDMS0.6/5S-GA</w:t>
            </w:r>
          </w:p>
        </w:tc>
        <w:tc>
          <w:tcPr>
            <w:tcW w:w="708" w:type="dxa"/>
          </w:tcPr>
          <w:p w14:paraId="7E0327C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2F3AF45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417" w:type="dxa"/>
          </w:tcPr>
          <w:p w14:paraId="3D7A8B3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深圳市共安</w:t>
            </w:r>
          </w:p>
        </w:tc>
      </w:tr>
      <w:tr w14:paraId="3E13C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091DA9F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92" w:type="dxa"/>
          </w:tcPr>
          <w:p w14:paraId="1946637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水炮泵</w:t>
            </w:r>
          </w:p>
        </w:tc>
        <w:tc>
          <w:tcPr>
            <w:tcW w:w="1794" w:type="dxa"/>
          </w:tcPr>
          <w:p w14:paraId="5A3EE66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XBD11/10-80L-KQYE3</w:t>
            </w:r>
          </w:p>
        </w:tc>
        <w:tc>
          <w:tcPr>
            <w:tcW w:w="708" w:type="dxa"/>
          </w:tcPr>
          <w:p w14:paraId="0D19331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4049F8D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17" w:type="dxa"/>
          </w:tcPr>
          <w:p w14:paraId="394D90A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上海凯泉</w:t>
            </w:r>
          </w:p>
        </w:tc>
      </w:tr>
      <w:tr w14:paraId="63CD6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3FD313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92" w:type="dxa"/>
          </w:tcPr>
          <w:p w14:paraId="18B43F2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消防水炮稳压泵</w:t>
            </w:r>
          </w:p>
        </w:tc>
        <w:tc>
          <w:tcPr>
            <w:tcW w:w="1794" w:type="dxa"/>
          </w:tcPr>
          <w:p w14:paraId="76435A9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XBD11.6/2W-40DP-YE3</w:t>
            </w:r>
          </w:p>
        </w:tc>
        <w:tc>
          <w:tcPr>
            <w:tcW w:w="708" w:type="dxa"/>
          </w:tcPr>
          <w:p w14:paraId="2EA38DD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4AF719A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17" w:type="dxa"/>
          </w:tcPr>
          <w:p w14:paraId="4E494CB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上海凯泉</w:t>
            </w:r>
          </w:p>
        </w:tc>
      </w:tr>
      <w:tr w14:paraId="1C841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5E169E9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92" w:type="dxa"/>
          </w:tcPr>
          <w:p w14:paraId="17842A2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正压送风机</w:t>
            </w:r>
          </w:p>
        </w:tc>
        <w:tc>
          <w:tcPr>
            <w:tcW w:w="1794" w:type="dxa"/>
          </w:tcPr>
          <w:p w14:paraId="2C73BAA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SWF-(A)-I-12#</w:t>
            </w:r>
          </w:p>
          <w:p w14:paraId="2D4C47F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风量68368m³/h</w:t>
            </w:r>
          </w:p>
          <w:p w14:paraId="4722D92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全压781pa</w:t>
            </w:r>
          </w:p>
          <w:p w14:paraId="4B75A64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功率22KW</w:t>
            </w:r>
          </w:p>
        </w:tc>
        <w:tc>
          <w:tcPr>
            <w:tcW w:w="708" w:type="dxa"/>
          </w:tcPr>
          <w:p w14:paraId="4B71D1C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6ECBCC7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417" w:type="dxa"/>
          </w:tcPr>
          <w:p w14:paraId="5CB740A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湖南鑫宏源</w:t>
            </w:r>
          </w:p>
        </w:tc>
      </w:tr>
      <w:tr w14:paraId="0B249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2D751F2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92" w:type="dxa"/>
          </w:tcPr>
          <w:p w14:paraId="5D74C25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正压送风口</w:t>
            </w:r>
          </w:p>
        </w:tc>
        <w:tc>
          <w:tcPr>
            <w:tcW w:w="1794" w:type="dxa"/>
          </w:tcPr>
          <w:p w14:paraId="10514CB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600*（2500+250）</w:t>
            </w:r>
          </w:p>
        </w:tc>
        <w:tc>
          <w:tcPr>
            <w:tcW w:w="708" w:type="dxa"/>
          </w:tcPr>
          <w:p w14:paraId="5C0E2B8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7BE7C41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1417" w:type="dxa"/>
          </w:tcPr>
          <w:p w14:paraId="193BDD5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合肥振泰</w:t>
            </w:r>
          </w:p>
        </w:tc>
      </w:tr>
      <w:tr w14:paraId="54289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03FD7BC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992" w:type="dxa"/>
          </w:tcPr>
          <w:p w14:paraId="23C1B34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送风阀</w:t>
            </w:r>
          </w:p>
        </w:tc>
        <w:tc>
          <w:tcPr>
            <w:tcW w:w="1794" w:type="dxa"/>
          </w:tcPr>
          <w:p w14:paraId="12D1747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1200X1200</w:t>
            </w:r>
          </w:p>
        </w:tc>
        <w:tc>
          <w:tcPr>
            <w:tcW w:w="708" w:type="dxa"/>
          </w:tcPr>
          <w:p w14:paraId="5E1B5E0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7FE87B5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417" w:type="dxa"/>
          </w:tcPr>
          <w:p w14:paraId="098E6E0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合肥振泰</w:t>
            </w:r>
          </w:p>
        </w:tc>
      </w:tr>
      <w:tr w14:paraId="5051B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72D20D7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992" w:type="dxa"/>
          </w:tcPr>
          <w:p w14:paraId="5DA2728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防火阀</w:t>
            </w:r>
          </w:p>
        </w:tc>
        <w:tc>
          <w:tcPr>
            <w:tcW w:w="1794" w:type="dxa"/>
          </w:tcPr>
          <w:p w14:paraId="7F74C52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1000X400</w:t>
            </w:r>
          </w:p>
        </w:tc>
        <w:tc>
          <w:tcPr>
            <w:tcW w:w="708" w:type="dxa"/>
          </w:tcPr>
          <w:p w14:paraId="37CD643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746DCDC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417" w:type="dxa"/>
          </w:tcPr>
          <w:p w14:paraId="7D7646B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合肥振泰</w:t>
            </w:r>
          </w:p>
        </w:tc>
      </w:tr>
      <w:tr w14:paraId="71165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6EE49D0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92" w:type="dxa"/>
          </w:tcPr>
          <w:p w14:paraId="5DB90A1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单面疏散标志灯（右向）</w:t>
            </w:r>
          </w:p>
        </w:tc>
        <w:tc>
          <w:tcPr>
            <w:tcW w:w="1794" w:type="dxa"/>
          </w:tcPr>
          <w:p w14:paraId="7DF58EE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ZX-BLTC-1LROEII1W-A06</w:t>
            </w:r>
          </w:p>
        </w:tc>
        <w:tc>
          <w:tcPr>
            <w:tcW w:w="708" w:type="dxa"/>
          </w:tcPr>
          <w:p w14:paraId="1384F9B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500EB7A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420</w:t>
            </w:r>
          </w:p>
        </w:tc>
        <w:tc>
          <w:tcPr>
            <w:tcW w:w="1417" w:type="dxa"/>
          </w:tcPr>
          <w:p w14:paraId="0100BF6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安徽中星</w:t>
            </w:r>
          </w:p>
        </w:tc>
      </w:tr>
      <w:tr w14:paraId="2972D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256690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92" w:type="dxa"/>
          </w:tcPr>
          <w:p w14:paraId="614027F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双面疏散标志灯（单向）</w:t>
            </w:r>
          </w:p>
        </w:tc>
        <w:tc>
          <w:tcPr>
            <w:tcW w:w="1794" w:type="dxa"/>
          </w:tcPr>
          <w:p w14:paraId="4425F02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ZX-BLJC-2LROEII1W-A06</w:t>
            </w:r>
          </w:p>
        </w:tc>
        <w:tc>
          <w:tcPr>
            <w:tcW w:w="708" w:type="dxa"/>
          </w:tcPr>
          <w:p w14:paraId="7829BE6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4A3FCF2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67</w:t>
            </w:r>
          </w:p>
        </w:tc>
        <w:tc>
          <w:tcPr>
            <w:tcW w:w="1417" w:type="dxa"/>
          </w:tcPr>
          <w:p w14:paraId="190F34B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安徽中星</w:t>
            </w:r>
          </w:p>
        </w:tc>
      </w:tr>
      <w:tr w14:paraId="64006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75EA6AF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92" w:type="dxa"/>
          </w:tcPr>
          <w:p w14:paraId="527145E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双面疏散标志灯（多信息复合）</w:t>
            </w:r>
          </w:p>
        </w:tc>
        <w:tc>
          <w:tcPr>
            <w:tcW w:w="1794" w:type="dxa"/>
          </w:tcPr>
          <w:p w14:paraId="75CD926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ZX-BLTC-1LROEII1W-A06</w:t>
            </w:r>
          </w:p>
        </w:tc>
        <w:tc>
          <w:tcPr>
            <w:tcW w:w="708" w:type="dxa"/>
          </w:tcPr>
          <w:p w14:paraId="0CE39A9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7464A34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63</w:t>
            </w:r>
          </w:p>
        </w:tc>
        <w:tc>
          <w:tcPr>
            <w:tcW w:w="1417" w:type="dxa"/>
          </w:tcPr>
          <w:p w14:paraId="0F84F9F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安徽中星</w:t>
            </w:r>
          </w:p>
        </w:tc>
      </w:tr>
      <w:tr w14:paraId="5107A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3ECA107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992" w:type="dxa"/>
          </w:tcPr>
          <w:p w14:paraId="0CB4D8A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荧光型应急照明灯（IP65）</w:t>
            </w:r>
          </w:p>
        </w:tc>
        <w:tc>
          <w:tcPr>
            <w:tcW w:w="1794" w:type="dxa"/>
          </w:tcPr>
          <w:p w14:paraId="193E7EF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ZX-ZFJC-E18W-T8</w:t>
            </w:r>
          </w:p>
        </w:tc>
        <w:tc>
          <w:tcPr>
            <w:tcW w:w="708" w:type="dxa"/>
          </w:tcPr>
          <w:p w14:paraId="5238B53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4B22CE1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207</w:t>
            </w:r>
          </w:p>
        </w:tc>
        <w:tc>
          <w:tcPr>
            <w:tcW w:w="1417" w:type="dxa"/>
          </w:tcPr>
          <w:p w14:paraId="29BAF51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安徽中星</w:t>
            </w:r>
          </w:p>
        </w:tc>
      </w:tr>
      <w:tr w14:paraId="0406C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757B29F">
            <w:pPr>
              <w:rPr>
                <w:rFonts w:ascii="宋体" w:hAnsi="宋体" w:eastAsia="宋体" w:cs="宋体"/>
                <w:color w:val="auto"/>
                <w:sz w:val="24"/>
                <w:szCs w:val="24"/>
                <w:highlight w:val="none"/>
              </w:rPr>
            </w:pPr>
          </w:p>
          <w:p w14:paraId="12EFA68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92" w:type="dxa"/>
          </w:tcPr>
          <w:p w14:paraId="5977D50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排烟风机</w:t>
            </w:r>
          </w:p>
        </w:tc>
        <w:tc>
          <w:tcPr>
            <w:tcW w:w="1794" w:type="dxa"/>
          </w:tcPr>
          <w:p w14:paraId="44B01FF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XPZ-I-No7.5</w:t>
            </w:r>
          </w:p>
          <w:p w14:paraId="34D045A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风量36070m³/h</w:t>
            </w:r>
          </w:p>
          <w:p w14:paraId="7145537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全压723pa</w:t>
            </w:r>
          </w:p>
          <w:p w14:paraId="1CD29B1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功率11KW</w:t>
            </w:r>
          </w:p>
        </w:tc>
        <w:tc>
          <w:tcPr>
            <w:tcW w:w="708" w:type="dxa"/>
          </w:tcPr>
          <w:p w14:paraId="40DA0D2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26E5C54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417" w:type="dxa"/>
          </w:tcPr>
          <w:p w14:paraId="35C3C12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湖南鑫宏源</w:t>
            </w:r>
          </w:p>
        </w:tc>
      </w:tr>
      <w:tr w14:paraId="05D2D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0644A67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92" w:type="dxa"/>
          </w:tcPr>
          <w:p w14:paraId="5BD586F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排烟风机</w:t>
            </w:r>
          </w:p>
        </w:tc>
        <w:tc>
          <w:tcPr>
            <w:tcW w:w="1794" w:type="dxa"/>
          </w:tcPr>
          <w:p w14:paraId="6D9191E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HTF(A)-10</w:t>
            </w:r>
          </w:p>
          <w:p w14:paraId="24AF495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风量37000m³/h</w:t>
            </w:r>
          </w:p>
          <w:p w14:paraId="117710C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全压700pa</w:t>
            </w:r>
          </w:p>
          <w:p w14:paraId="4B40E4D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功率11KW</w:t>
            </w:r>
          </w:p>
        </w:tc>
        <w:tc>
          <w:tcPr>
            <w:tcW w:w="708" w:type="dxa"/>
          </w:tcPr>
          <w:p w14:paraId="1824EC6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0C48312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417" w:type="dxa"/>
          </w:tcPr>
          <w:p w14:paraId="2F44B46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湖南鑫宏源</w:t>
            </w:r>
          </w:p>
        </w:tc>
      </w:tr>
      <w:tr w14:paraId="41B22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6C56FC8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992" w:type="dxa"/>
          </w:tcPr>
          <w:p w14:paraId="22A5D4E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排烟口</w:t>
            </w:r>
          </w:p>
        </w:tc>
        <w:tc>
          <w:tcPr>
            <w:tcW w:w="1794" w:type="dxa"/>
          </w:tcPr>
          <w:p w14:paraId="50BB966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1000X500</w:t>
            </w:r>
          </w:p>
        </w:tc>
        <w:tc>
          <w:tcPr>
            <w:tcW w:w="708" w:type="dxa"/>
          </w:tcPr>
          <w:p w14:paraId="6C6C5CA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76366A5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417" w:type="dxa"/>
          </w:tcPr>
          <w:p w14:paraId="452CF75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合肥振泰</w:t>
            </w:r>
          </w:p>
        </w:tc>
      </w:tr>
      <w:tr w14:paraId="42171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5A3EDCE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992" w:type="dxa"/>
          </w:tcPr>
          <w:p w14:paraId="04759B9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排烟阀</w:t>
            </w:r>
          </w:p>
        </w:tc>
        <w:tc>
          <w:tcPr>
            <w:tcW w:w="1794" w:type="dxa"/>
          </w:tcPr>
          <w:p w14:paraId="22A41F1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1000X400</w:t>
            </w:r>
          </w:p>
        </w:tc>
        <w:tc>
          <w:tcPr>
            <w:tcW w:w="708" w:type="dxa"/>
          </w:tcPr>
          <w:p w14:paraId="5FCF242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49AB809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48</w:t>
            </w:r>
          </w:p>
        </w:tc>
        <w:tc>
          <w:tcPr>
            <w:tcW w:w="1417" w:type="dxa"/>
          </w:tcPr>
          <w:p w14:paraId="0A95587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合肥振泰</w:t>
            </w:r>
          </w:p>
        </w:tc>
      </w:tr>
      <w:tr w14:paraId="3F638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775D33C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92" w:type="dxa"/>
          </w:tcPr>
          <w:p w14:paraId="6D4FE19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防火阀</w:t>
            </w:r>
          </w:p>
        </w:tc>
        <w:tc>
          <w:tcPr>
            <w:tcW w:w="1794" w:type="dxa"/>
          </w:tcPr>
          <w:p w14:paraId="6ED544A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1600X400</w:t>
            </w:r>
          </w:p>
        </w:tc>
        <w:tc>
          <w:tcPr>
            <w:tcW w:w="708" w:type="dxa"/>
          </w:tcPr>
          <w:p w14:paraId="7D4E32B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2499AF3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417" w:type="dxa"/>
          </w:tcPr>
          <w:p w14:paraId="4D05FFB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合肥振泰</w:t>
            </w:r>
          </w:p>
        </w:tc>
      </w:tr>
      <w:tr w14:paraId="2252B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1A2D3B8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92" w:type="dxa"/>
          </w:tcPr>
          <w:p w14:paraId="2C5F2C6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补风风机</w:t>
            </w:r>
          </w:p>
        </w:tc>
        <w:tc>
          <w:tcPr>
            <w:tcW w:w="1794" w:type="dxa"/>
          </w:tcPr>
          <w:p w14:paraId="7C2CDCB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HTF(A)-I-8#</w:t>
            </w:r>
          </w:p>
          <w:p w14:paraId="75E7334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风量20800m³/h</w:t>
            </w:r>
          </w:p>
          <w:p w14:paraId="46A9737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全压263pa</w:t>
            </w:r>
          </w:p>
          <w:p w14:paraId="3CCB887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功率3KW</w:t>
            </w:r>
          </w:p>
        </w:tc>
        <w:tc>
          <w:tcPr>
            <w:tcW w:w="708" w:type="dxa"/>
          </w:tcPr>
          <w:p w14:paraId="7C9016A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18B8308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17" w:type="dxa"/>
          </w:tcPr>
          <w:p w14:paraId="2E876C0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湖南鑫宏源</w:t>
            </w:r>
          </w:p>
        </w:tc>
      </w:tr>
      <w:tr w14:paraId="4F69D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299545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92" w:type="dxa"/>
          </w:tcPr>
          <w:p w14:paraId="06C48DF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补风口</w:t>
            </w:r>
          </w:p>
        </w:tc>
        <w:tc>
          <w:tcPr>
            <w:tcW w:w="1794" w:type="dxa"/>
          </w:tcPr>
          <w:p w14:paraId="7F03B2A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1000X1800</w:t>
            </w:r>
          </w:p>
        </w:tc>
        <w:tc>
          <w:tcPr>
            <w:tcW w:w="708" w:type="dxa"/>
          </w:tcPr>
          <w:p w14:paraId="322791B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3A65E96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17" w:type="dxa"/>
          </w:tcPr>
          <w:p w14:paraId="56002AC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湖南鑫宏源</w:t>
            </w:r>
          </w:p>
        </w:tc>
      </w:tr>
      <w:tr w14:paraId="2CE26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8A07B2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992" w:type="dxa"/>
          </w:tcPr>
          <w:p w14:paraId="5B1E25E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活动式柔性挡烟垂壁</w:t>
            </w:r>
          </w:p>
        </w:tc>
        <w:tc>
          <w:tcPr>
            <w:tcW w:w="1794" w:type="dxa"/>
          </w:tcPr>
          <w:p w14:paraId="181B983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YCB-1000*600 HR-wz2</w:t>
            </w:r>
          </w:p>
        </w:tc>
        <w:tc>
          <w:tcPr>
            <w:tcW w:w="708" w:type="dxa"/>
          </w:tcPr>
          <w:p w14:paraId="606E7078">
            <w:pPr>
              <w:rPr>
                <w:rFonts w:ascii="宋体" w:hAnsi="宋体" w:eastAsia="宋体" w:cs="宋体"/>
                <w:color w:val="auto"/>
                <w:sz w:val="24"/>
                <w:szCs w:val="24"/>
                <w:highlight w:val="none"/>
              </w:rPr>
            </w:pPr>
          </w:p>
        </w:tc>
        <w:tc>
          <w:tcPr>
            <w:tcW w:w="709" w:type="dxa"/>
          </w:tcPr>
          <w:p w14:paraId="510AFA8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265</w:t>
            </w:r>
          </w:p>
        </w:tc>
        <w:tc>
          <w:tcPr>
            <w:tcW w:w="1417" w:type="dxa"/>
          </w:tcPr>
          <w:p w14:paraId="792C8CB9">
            <w:pPr>
              <w:rPr>
                <w:rFonts w:ascii="宋体" w:hAnsi="宋体" w:eastAsia="宋体" w:cs="宋体"/>
                <w:color w:val="auto"/>
                <w:sz w:val="24"/>
                <w:szCs w:val="24"/>
                <w:highlight w:val="none"/>
              </w:rPr>
            </w:pPr>
          </w:p>
        </w:tc>
      </w:tr>
      <w:tr w14:paraId="35D4D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7B3E550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92" w:type="dxa"/>
          </w:tcPr>
          <w:p w14:paraId="5B9B291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应急照明集中电源</w:t>
            </w:r>
          </w:p>
        </w:tc>
        <w:tc>
          <w:tcPr>
            <w:tcW w:w="1794" w:type="dxa"/>
          </w:tcPr>
          <w:p w14:paraId="5AF4E40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ZX-D-0.3KVA-05</w:t>
            </w:r>
          </w:p>
        </w:tc>
        <w:tc>
          <w:tcPr>
            <w:tcW w:w="708" w:type="dxa"/>
          </w:tcPr>
          <w:p w14:paraId="3C467B9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Pr>
          <w:p w14:paraId="11A3ED7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53</w:t>
            </w:r>
          </w:p>
        </w:tc>
        <w:tc>
          <w:tcPr>
            <w:tcW w:w="1417" w:type="dxa"/>
          </w:tcPr>
          <w:p w14:paraId="0ECA05B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安徽中星</w:t>
            </w:r>
          </w:p>
        </w:tc>
      </w:tr>
      <w:tr w14:paraId="79557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944A02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92" w:type="dxa"/>
          </w:tcPr>
          <w:p w14:paraId="291A022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消防应急照明灯具（吸顶）</w:t>
            </w:r>
          </w:p>
        </w:tc>
        <w:tc>
          <w:tcPr>
            <w:tcW w:w="1794" w:type="dxa"/>
          </w:tcPr>
          <w:p w14:paraId="6039CBE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ZX-ZFJC-E5W-L10</w:t>
            </w:r>
          </w:p>
          <w:p w14:paraId="4B9B76BB">
            <w:pPr>
              <w:rPr>
                <w:rFonts w:ascii="宋体" w:hAnsi="宋体" w:eastAsia="宋体" w:cs="宋体"/>
                <w:color w:val="auto"/>
                <w:sz w:val="24"/>
                <w:szCs w:val="24"/>
                <w:highlight w:val="none"/>
              </w:rPr>
            </w:pPr>
          </w:p>
        </w:tc>
        <w:tc>
          <w:tcPr>
            <w:tcW w:w="708" w:type="dxa"/>
          </w:tcPr>
          <w:p w14:paraId="4333885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0053A6C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1999</w:t>
            </w:r>
          </w:p>
        </w:tc>
        <w:tc>
          <w:tcPr>
            <w:tcW w:w="1417" w:type="dxa"/>
          </w:tcPr>
          <w:p w14:paraId="65A7AA5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安徽中星</w:t>
            </w:r>
          </w:p>
        </w:tc>
      </w:tr>
      <w:tr w14:paraId="343A6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352277D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992" w:type="dxa"/>
          </w:tcPr>
          <w:p w14:paraId="235D702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单面疏散标志灯（安全出口）</w:t>
            </w:r>
          </w:p>
        </w:tc>
        <w:tc>
          <w:tcPr>
            <w:tcW w:w="1794" w:type="dxa"/>
          </w:tcPr>
          <w:p w14:paraId="3A695A7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ZX-BLJC-1LROEII1W-A06</w:t>
            </w:r>
          </w:p>
        </w:tc>
        <w:tc>
          <w:tcPr>
            <w:tcW w:w="708" w:type="dxa"/>
          </w:tcPr>
          <w:p w14:paraId="1ABF80F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4697BFA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651</w:t>
            </w:r>
          </w:p>
        </w:tc>
        <w:tc>
          <w:tcPr>
            <w:tcW w:w="1417" w:type="dxa"/>
          </w:tcPr>
          <w:p w14:paraId="22E307F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安徽中星</w:t>
            </w:r>
          </w:p>
        </w:tc>
      </w:tr>
      <w:tr w14:paraId="333E2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5C53F86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992" w:type="dxa"/>
          </w:tcPr>
          <w:p w14:paraId="3482EDD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单面疏散标志灯（楼层）</w:t>
            </w:r>
          </w:p>
        </w:tc>
        <w:tc>
          <w:tcPr>
            <w:tcW w:w="1794" w:type="dxa"/>
          </w:tcPr>
          <w:p w14:paraId="562E135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ZX-BLTC-1LROEII1W-A06</w:t>
            </w:r>
          </w:p>
        </w:tc>
        <w:tc>
          <w:tcPr>
            <w:tcW w:w="708" w:type="dxa"/>
          </w:tcPr>
          <w:p w14:paraId="714AAC7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6E76E8D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157</w:t>
            </w:r>
          </w:p>
        </w:tc>
        <w:tc>
          <w:tcPr>
            <w:tcW w:w="1417" w:type="dxa"/>
          </w:tcPr>
          <w:p w14:paraId="4D14878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安徽中星</w:t>
            </w:r>
          </w:p>
        </w:tc>
      </w:tr>
      <w:tr w14:paraId="0E62D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1ADCC39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92" w:type="dxa"/>
          </w:tcPr>
          <w:p w14:paraId="5FE4C97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双面疏散标志灯（多信息复合）</w:t>
            </w:r>
          </w:p>
        </w:tc>
        <w:tc>
          <w:tcPr>
            <w:tcW w:w="1794" w:type="dxa"/>
          </w:tcPr>
          <w:p w14:paraId="2CDAFDA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ZX-BLJC-2LROEII1W-A06</w:t>
            </w:r>
          </w:p>
        </w:tc>
        <w:tc>
          <w:tcPr>
            <w:tcW w:w="708" w:type="dxa"/>
          </w:tcPr>
          <w:p w14:paraId="08E1D18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4FA32E1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127</w:t>
            </w:r>
          </w:p>
        </w:tc>
        <w:tc>
          <w:tcPr>
            <w:tcW w:w="1417" w:type="dxa"/>
          </w:tcPr>
          <w:p w14:paraId="34AEC20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安徽中星</w:t>
            </w:r>
          </w:p>
        </w:tc>
      </w:tr>
      <w:tr w14:paraId="6264C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2718D15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92" w:type="dxa"/>
          </w:tcPr>
          <w:p w14:paraId="7BCF42E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单面疏散标志灯（左向）</w:t>
            </w:r>
          </w:p>
        </w:tc>
        <w:tc>
          <w:tcPr>
            <w:tcW w:w="1794" w:type="dxa"/>
          </w:tcPr>
          <w:p w14:paraId="737C523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ZX-BLTC-1LROEII1W-A06</w:t>
            </w:r>
          </w:p>
        </w:tc>
        <w:tc>
          <w:tcPr>
            <w:tcW w:w="708" w:type="dxa"/>
          </w:tcPr>
          <w:p w14:paraId="1909989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7C1BBFB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418</w:t>
            </w:r>
          </w:p>
        </w:tc>
        <w:tc>
          <w:tcPr>
            <w:tcW w:w="1417" w:type="dxa"/>
          </w:tcPr>
          <w:p w14:paraId="7A44970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安徽中星</w:t>
            </w:r>
          </w:p>
        </w:tc>
      </w:tr>
      <w:tr w14:paraId="3229B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604" w:type="dxa"/>
          </w:tcPr>
          <w:p w14:paraId="2412BD4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92" w:type="dxa"/>
          </w:tcPr>
          <w:p w14:paraId="4C3BA1C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单面疏散标志灯（前）</w:t>
            </w:r>
          </w:p>
        </w:tc>
        <w:tc>
          <w:tcPr>
            <w:tcW w:w="1794" w:type="dxa"/>
          </w:tcPr>
          <w:p w14:paraId="1045AA6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ZX-BLJC-1LROEII1W-A06</w:t>
            </w:r>
          </w:p>
        </w:tc>
        <w:tc>
          <w:tcPr>
            <w:tcW w:w="708" w:type="dxa"/>
          </w:tcPr>
          <w:p w14:paraId="7CFE865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54E7B99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17" w:type="dxa"/>
          </w:tcPr>
          <w:p w14:paraId="046A07E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安徽中星</w:t>
            </w:r>
          </w:p>
        </w:tc>
      </w:tr>
      <w:tr w14:paraId="4639F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5900446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992" w:type="dxa"/>
          </w:tcPr>
          <w:p w14:paraId="448C44A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双面疏散标志（前/后）</w:t>
            </w:r>
          </w:p>
        </w:tc>
        <w:tc>
          <w:tcPr>
            <w:tcW w:w="1794" w:type="dxa"/>
          </w:tcPr>
          <w:p w14:paraId="58B65DA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ZX-BLJC-2LROEII1W-A06</w:t>
            </w:r>
          </w:p>
        </w:tc>
        <w:tc>
          <w:tcPr>
            <w:tcW w:w="708" w:type="dxa"/>
          </w:tcPr>
          <w:p w14:paraId="6E90430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2620E85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17" w:type="dxa"/>
          </w:tcPr>
          <w:p w14:paraId="53575F6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安徽中星</w:t>
            </w:r>
          </w:p>
        </w:tc>
      </w:tr>
      <w:tr w14:paraId="762D0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2B29D0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992" w:type="dxa"/>
          </w:tcPr>
          <w:p w14:paraId="734F25B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消防应急照明灯具（挂壁）</w:t>
            </w:r>
          </w:p>
        </w:tc>
        <w:tc>
          <w:tcPr>
            <w:tcW w:w="1794" w:type="dxa"/>
          </w:tcPr>
          <w:p w14:paraId="3C46E08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ZX-ZFJC-E3W-L7A</w:t>
            </w:r>
          </w:p>
        </w:tc>
        <w:tc>
          <w:tcPr>
            <w:tcW w:w="708" w:type="dxa"/>
          </w:tcPr>
          <w:p w14:paraId="378514A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2284CEC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67</w:t>
            </w:r>
          </w:p>
        </w:tc>
        <w:tc>
          <w:tcPr>
            <w:tcW w:w="1417" w:type="dxa"/>
          </w:tcPr>
          <w:p w14:paraId="0C99AA4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安徽中星</w:t>
            </w:r>
          </w:p>
        </w:tc>
      </w:tr>
      <w:tr w14:paraId="0BF66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55FCE40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992" w:type="dxa"/>
          </w:tcPr>
          <w:p w14:paraId="00416D8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单面疏散标志灯（双向）</w:t>
            </w:r>
          </w:p>
        </w:tc>
        <w:tc>
          <w:tcPr>
            <w:tcW w:w="1794" w:type="dxa"/>
          </w:tcPr>
          <w:p w14:paraId="33666FC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ZX-BLJC-1LROEII1W-A06</w:t>
            </w:r>
          </w:p>
        </w:tc>
        <w:tc>
          <w:tcPr>
            <w:tcW w:w="708" w:type="dxa"/>
          </w:tcPr>
          <w:p w14:paraId="0B7F15A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0CE308D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54</w:t>
            </w:r>
          </w:p>
        </w:tc>
        <w:tc>
          <w:tcPr>
            <w:tcW w:w="1417" w:type="dxa"/>
          </w:tcPr>
          <w:p w14:paraId="32C0050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安徽中星</w:t>
            </w:r>
          </w:p>
        </w:tc>
      </w:tr>
      <w:tr w14:paraId="46885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67BAF88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992" w:type="dxa"/>
          </w:tcPr>
          <w:p w14:paraId="76B504C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双面疏散标志灯（双向）</w:t>
            </w:r>
          </w:p>
        </w:tc>
        <w:tc>
          <w:tcPr>
            <w:tcW w:w="1794" w:type="dxa"/>
          </w:tcPr>
          <w:p w14:paraId="1C59A22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ZX-BLJC-2LROEII1W-A06</w:t>
            </w:r>
          </w:p>
        </w:tc>
        <w:tc>
          <w:tcPr>
            <w:tcW w:w="708" w:type="dxa"/>
          </w:tcPr>
          <w:p w14:paraId="40FE590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2E17FD9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417" w:type="dxa"/>
          </w:tcPr>
          <w:p w14:paraId="4335D7C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安徽中星</w:t>
            </w:r>
          </w:p>
        </w:tc>
      </w:tr>
      <w:tr w14:paraId="14FEE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2E2B071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992" w:type="dxa"/>
          </w:tcPr>
          <w:p w14:paraId="15FB8FF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单面疏散标志灯（避难间）</w:t>
            </w:r>
          </w:p>
        </w:tc>
        <w:tc>
          <w:tcPr>
            <w:tcW w:w="1794" w:type="dxa"/>
          </w:tcPr>
          <w:p w14:paraId="51AEEF3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ZX-BLJC-1LROEII1W-A06</w:t>
            </w:r>
          </w:p>
        </w:tc>
        <w:tc>
          <w:tcPr>
            <w:tcW w:w="708" w:type="dxa"/>
          </w:tcPr>
          <w:p w14:paraId="27F401A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709" w:type="dxa"/>
          </w:tcPr>
          <w:p w14:paraId="2E8D07C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72</w:t>
            </w:r>
          </w:p>
        </w:tc>
        <w:tc>
          <w:tcPr>
            <w:tcW w:w="1417" w:type="dxa"/>
          </w:tcPr>
          <w:p w14:paraId="5D5D447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安徽中星</w:t>
            </w:r>
          </w:p>
        </w:tc>
      </w:tr>
      <w:tr w14:paraId="2450B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3AA8314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92" w:type="dxa"/>
          </w:tcPr>
          <w:p w14:paraId="25B50F1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防火门</w:t>
            </w:r>
          </w:p>
        </w:tc>
        <w:tc>
          <w:tcPr>
            <w:tcW w:w="1794" w:type="dxa"/>
          </w:tcPr>
          <w:p w14:paraId="005E610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FM丙级</w:t>
            </w:r>
          </w:p>
        </w:tc>
        <w:tc>
          <w:tcPr>
            <w:tcW w:w="708" w:type="dxa"/>
          </w:tcPr>
          <w:p w14:paraId="4669CAB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樘</w:t>
            </w:r>
          </w:p>
        </w:tc>
        <w:tc>
          <w:tcPr>
            <w:tcW w:w="709" w:type="dxa"/>
          </w:tcPr>
          <w:p w14:paraId="7B6BD8F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302</w:t>
            </w:r>
          </w:p>
        </w:tc>
        <w:tc>
          <w:tcPr>
            <w:tcW w:w="1417" w:type="dxa"/>
          </w:tcPr>
          <w:p w14:paraId="5E190ED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安徽省浦菲尔</w:t>
            </w:r>
          </w:p>
        </w:tc>
      </w:tr>
      <w:tr w14:paraId="2FE47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4087326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992" w:type="dxa"/>
          </w:tcPr>
          <w:p w14:paraId="4AAFB2C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防火门</w:t>
            </w:r>
          </w:p>
        </w:tc>
        <w:tc>
          <w:tcPr>
            <w:tcW w:w="1794" w:type="dxa"/>
          </w:tcPr>
          <w:p w14:paraId="2A9D3DD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FM乙级</w:t>
            </w:r>
          </w:p>
        </w:tc>
        <w:tc>
          <w:tcPr>
            <w:tcW w:w="708" w:type="dxa"/>
          </w:tcPr>
          <w:p w14:paraId="332AD0C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樘</w:t>
            </w:r>
          </w:p>
        </w:tc>
        <w:tc>
          <w:tcPr>
            <w:tcW w:w="709" w:type="dxa"/>
          </w:tcPr>
          <w:p w14:paraId="219742C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433</w:t>
            </w:r>
          </w:p>
        </w:tc>
        <w:tc>
          <w:tcPr>
            <w:tcW w:w="1417" w:type="dxa"/>
          </w:tcPr>
          <w:p w14:paraId="75137E3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安徽省浦菲尔</w:t>
            </w:r>
          </w:p>
        </w:tc>
      </w:tr>
      <w:tr w14:paraId="77659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12C0CEA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992" w:type="dxa"/>
          </w:tcPr>
          <w:p w14:paraId="6EC06E7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防火门</w:t>
            </w:r>
          </w:p>
        </w:tc>
        <w:tc>
          <w:tcPr>
            <w:tcW w:w="1794" w:type="dxa"/>
          </w:tcPr>
          <w:p w14:paraId="6D671B8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FM甲级</w:t>
            </w:r>
          </w:p>
        </w:tc>
        <w:tc>
          <w:tcPr>
            <w:tcW w:w="708" w:type="dxa"/>
          </w:tcPr>
          <w:p w14:paraId="39E82D2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樘</w:t>
            </w:r>
          </w:p>
        </w:tc>
        <w:tc>
          <w:tcPr>
            <w:tcW w:w="709" w:type="dxa"/>
          </w:tcPr>
          <w:p w14:paraId="7750178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230</w:t>
            </w:r>
          </w:p>
        </w:tc>
        <w:tc>
          <w:tcPr>
            <w:tcW w:w="1417" w:type="dxa"/>
          </w:tcPr>
          <w:p w14:paraId="3F4A377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安徽省浦菲尔</w:t>
            </w:r>
          </w:p>
        </w:tc>
      </w:tr>
      <w:tr w14:paraId="627C6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085DD66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92" w:type="dxa"/>
          </w:tcPr>
          <w:p w14:paraId="039F3FF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防火卷帘</w:t>
            </w:r>
          </w:p>
        </w:tc>
        <w:tc>
          <w:tcPr>
            <w:tcW w:w="1794" w:type="dxa"/>
          </w:tcPr>
          <w:p w14:paraId="5F68F9CC">
            <w:pPr>
              <w:rPr>
                <w:rFonts w:ascii="宋体" w:hAnsi="宋体" w:eastAsia="宋体" w:cs="宋体"/>
                <w:color w:val="auto"/>
                <w:sz w:val="24"/>
                <w:szCs w:val="24"/>
                <w:highlight w:val="none"/>
              </w:rPr>
            </w:pPr>
          </w:p>
        </w:tc>
        <w:tc>
          <w:tcPr>
            <w:tcW w:w="708" w:type="dxa"/>
          </w:tcPr>
          <w:p w14:paraId="0941230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樘</w:t>
            </w:r>
          </w:p>
        </w:tc>
        <w:tc>
          <w:tcPr>
            <w:tcW w:w="709" w:type="dxa"/>
          </w:tcPr>
          <w:p w14:paraId="5FE5400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71</w:t>
            </w:r>
          </w:p>
        </w:tc>
        <w:tc>
          <w:tcPr>
            <w:tcW w:w="1417" w:type="dxa"/>
          </w:tcPr>
          <w:p w14:paraId="6AC0CC1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安徽新盾</w:t>
            </w:r>
          </w:p>
        </w:tc>
      </w:tr>
      <w:tr w14:paraId="10C81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2AD21C3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92" w:type="dxa"/>
          </w:tcPr>
          <w:p w14:paraId="73B1322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可燃气探测器</w:t>
            </w:r>
          </w:p>
        </w:tc>
        <w:tc>
          <w:tcPr>
            <w:tcW w:w="1794" w:type="dxa"/>
          </w:tcPr>
          <w:p w14:paraId="6AA0399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JB-TB-JBF-51S4</w:t>
            </w:r>
          </w:p>
        </w:tc>
        <w:tc>
          <w:tcPr>
            <w:tcW w:w="708" w:type="dxa"/>
          </w:tcPr>
          <w:p w14:paraId="46D9498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709" w:type="dxa"/>
          </w:tcPr>
          <w:p w14:paraId="6F49F2A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1417" w:type="dxa"/>
          </w:tcPr>
          <w:p w14:paraId="4A5F2BB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r w14:paraId="10908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4" w:type="dxa"/>
          </w:tcPr>
          <w:p w14:paraId="2B09CE6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92" w:type="dxa"/>
          </w:tcPr>
          <w:p w14:paraId="2747CDF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机房气体灭火系统</w:t>
            </w:r>
          </w:p>
        </w:tc>
        <w:tc>
          <w:tcPr>
            <w:tcW w:w="1794" w:type="dxa"/>
          </w:tcPr>
          <w:p w14:paraId="5B18C04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JBF5013</w:t>
            </w:r>
          </w:p>
        </w:tc>
        <w:tc>
          <w:tcPr>
            <w:tcW w:w="708" w:type="dxa"/>
          </w:tcPr>
          <w:p w14:paraId="4822ED5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709" w:type="dxa"/>
          </w:tcPr>
          <w:p w14:paraId="7E4A3C6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417" w:type="dxa"/>
          </w:tcPr>
          <w:p w14:paraId="6E1A3D8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青鸟消防</w:t>
            </w:r>
          </w:p>
        </w:tc>
      </w:tr>
    </w:tbl>
    <w:p w14:paraId="10D97E82">
      <w:pPr>
        <w:rPr>
          <w:rFonts w:ascii="宋体" w:hAnsi="宋体" w:eastAsia="宋体" w:cs="宋体"/>
          <w:color w:val="auto"/>
          <w:highlight w:val="none"/>
        </w:rPr>
      </w:pPr>
    </w:p>
    <w:p w14:paraId="3FE74DD5">
      <w:pPr>
        <w:rPr>
          <w:rFonts w:ascii="宋体" w:hAnsi="宋体" w:eastAsia="宋体" w:cs="宋体"/>
          <w:color w:val="auto"/>
          <w:highlight w:val="none"/>
        </w:rPr>
      </w:pPr>
    </w:p>
    <w:p w14:paraId="2037A94E">
      <w:pPr>
        <w:rPr>
          <w:rFonts w:ascii="宋体" w:hAnsi="宋体" w:eastAsia="宋体" w:cs="宋体"/>
          <w:color w:val="auto"/>
          <w:highlight w:val="none"/>
        </w:rPr>
      </w:pPr>
    </w:p>
    <w:p w14:paraId="393A1A12">
      <w:pPr>
        <w:rPr>
          <w:rFonts w:ascii="宋体" w:hAnsi="宋体" w:eastAsia="宋体" w:cs="宋体"/>
          <w:color w:val="auto"/>
          <w:highlight w:val="none"/>
        </w:rPr>
      </w:pPr>
    </w:p>
    <w:p w14:paraId="16721BED">
      <w:pPr>
        <w:rPr>
          <w:rFonts w:ascii="宋体" w:hAnsi="宋体" w:eastAsia="宋体" w:cs="宋体"/>
          <w:color w:val="auto"/>
          <w:highlight w:val="none"/>
        </w:rPr>
      </w:pPr>
    </w:p>
    <w:p w14:paraId="1C34DCC0">
      <w:pPr>
        <w:rPr>
          <w:rFonts w:ascii="宋体" w:hAnsi="宋体" w:eastAsia="宋体" w:cs="宋体"/>
          <w:color w:val="auto"/>
          <w:highlight w:val="none"/>
        </w:rPr>
      </w:pPr>
    </w:p>
    <w:p w14:paraId="394EB57A">
      <w:pPr>
        <w:rPr>
          <w:rFonts w:ascii="宋体" w:hAnsi="宋体" w:eastAsia="宋体" w:cs="宋体"/>
          <w:color w:val="auto"/>
          <w:highlight w:val="none"/>
        </w:rPr>
      </w:pPr>
    </w:p>
    <w:p w14:paraId="776683BE">
      <w:pPr>
        <w:rPr>
          <w:rFonts w:ascii="宋体" w:hAnsi="宋体" w:eastAsia="宋体" w:cs="宋体"/>
          <w:color w:val="auto"/>
          <w:highlight w:val="none"/>
        </w:rPr>
      </w:pPr>
    </w:p>
    <w:p w14:paraId="143F3563">
      <w:pPr>
        <w:pStyle w:val="32"/>
        <w:numPr>
          <w:ilvl w:val="0"/>
          <w:numId w:val="0"/>
        </w:numP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七、肥西县中医院老区门诊消防设施设备清单</w:t>
      </w:r>
    </w:p>
    <w:tbl>
      <w:tblPr>
        <w:tblStyle w:val="20"/>
        <w:tblW w:w="7120"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1843"/>
        <w:gridCol w:w="1417"/>
        <w:gridCol w:w="709"/>
        <w:gridCol w:w="709"/>
        <w:gridCol w:w="1596"/>
      </w:tblGrid>
      <w:tr w14:paraId="4A235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846" w:type="dxa"/>
            <w:tcBorders>
              <w:tl2br w:val="nil"/>
              <w:tr2bl w:val="nil"/>
            </w:tcBorders>
          </w:tcPr>
          <w:p w14:paraId="795664F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43" w:type="dxa"/>
            <w:tcBorders>
              <w:tl2br w:val="nil"/>
              <w:tr2bl w:val="nil"/>
            </w:tcBorders>
          </w:tcPr>
          <w:p w14:paraId="0342083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p>
        </w:tc>
        <w:tc>
          <w:tcPr>
            <w:tcW w:w="1417" w:type="dxa"/>
            <w:tcBorders>
              <w:tl2br w:val="nil"/>
              <w:tr2bl w:val="nil"/>
            </w:tcBorders>
          </w:tcPr>
          <w:p w14:paraId="69D3BCE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规格、型号</w:t>
            </w:r>
          </w:p>
        </w:tc>
        <w:tc>
          <w:tcPr>
            <w:tcW w:w="709" w:type="dxa"/>
            <w:tcBorders>
              <w:tl2br w:val="nil"/>
              <w:tr2bl w:val="nil"/>
            </w:tcBorders>
          </w:tcPr>
          <w:p w14:paraId="7D7F87B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709" w:type="dxa"/>
            <w:tcBorders>
              <w:tl2br w:val="nil"/>
              <w:tr2bl w:val="nil"/>
            </w:tcBorders>
          </w:tcPr>
          <w:p w14:paraId="2E032B6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596" w:type="dxa"/>
            <w:tcBorders>
              <w:tl2br w:val="nil"/>
              <w:tr2bl w:val="nil"/>
            </w:tcBorders>
          </w:tcPr>
          <w:p w14:paraId="66F009F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（生产厂家）</w:t>
            </w:r>
          </w:p>
        </w:tc>
      </w:tr>
      <w:tr w14:paraId="0EB8A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846" w:type="dxa"/>
            <w:tcBorders>
              <w:tl2br w:val="nil"/>
              <w:tr2bl w:val="nil"/>
            </w:tcBorders>
          </w:tcPr>
          <w:p w14:paraId="463EEF1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43" w:type="dxa"/>
            <w:tcBorders>
              <w:tl2br w:val="nil"/>
              <w:tr2bl w:val="nil"/>
            </w:tcBorders>
          </w:tcPr>
          <w:p w14:paraId="1B750C5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喷淋头</w:t>
            </w:r>
          </w:p>
        </w:tc>
        <w:tc>
          <w:tcPr>
            <w:tcW w:w="1417" w:type="dxa"/>
            <w:tcBorders>
              <w:tl2br w:val="nil"/>
              <w:tr2bl w:val="nil"/>
            </w:tcBorders>
          </w:tcPr>
          <w:p w14:paraId="41CD1645">
            <w:pPr>
              <w:rPr>
                <w:rFonts w:ascii="宋体" w:hAnsi="宋体" w:eastAsia="宋体" w:cs="宋体"/>
                <w:color w:val="auto"/>
                <w:sz w:val="24"/>
                <w:szCs w:val="24"/>
                <w:highlight w:val="none"/>
              </w:rPr>
            </w:pPr>
          </w:p>
        </w:tc>
        <w:tc>
          <w:tcPr>
            <w:tcW w:w="709" w:type="dxa"/>
            <w:tcBorders>
              <w:tl2br w:val="nil"/>
              <w:tr2bl w:val="nil"/>
            </w:tcBorders>
          </w:tcPr>
          <w:p w14:paraId="519DB78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709" w:type="dxa"/>
            <w:tcBorders>
              <w:tl2br w:val="nil"/>
              <w:tr2bl w:val="nil"/>
            </w:tcBorders>
          </w:tcPr>
          <w:p w14:paraId="454D307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129</w:t>
            </w:r>
          </w:p>
        </w:tc>
        <w:tc>
          <w:tcPr>
            <w:tcW w:w="1596" w:type="dxa"/>
            <w:tcBorders>
              <w:tl2br w:val="nil"/>
              <w:tr2bl w:val="nil"/>
            </w:tcBorders>
          </w:tcPr>
          <w:p w14:paraId="26A13C58">
            <w:pPr>
              <w:rPr>
                <w:rFonts w:ascii="宋体" w:hAnsi="宋体" w:eastAsia="宋体" w:cs="宋体"/>
                <w:color w:val="auto"/>
                <w:sz w:val="24"/>
                <w:szCs w:val="24"/>
                <w:highlight w:val="none"/>
              </w:rPr>
            </w:pPr>
          </w:p>
        </w:tc>
      </w:tr>
      <w:tr w14:paraId="158C3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846" w:type="dxa"/>
            <w:tcBorders>
              <w:tl2br w:val="nil"/>
              <w:tr2bl w:val="nil"/>
            </w:tcBorders>
          </w:tcPr>
          <w:p w14:paraId="5366BAF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43" w:type="dxa"/>
            <w:tcBorders>
              <w:tl2br w:val="nil"/>
              <w:tr2bl w:val="nil"/>
            </w:tcBorders>
          </w:tcPr>
          <w:p w14:paraId="37B200B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烟感探测器</w:t>
            </w:r>
          </w:p>
        </w:tc>
        <w:tc>
          <w:tcPr>
            <w:tcW w:w="1417" w:type="dxa"/>
            <w:tcBorders>
              <w:tl2br w:val="nil"/>
              <w:tr2bl w:val="nil"/>
            </w:tcBorders>
          </w:tcPr>
          <w:p w14:paraId="1577F587">
            <w:pPr>
              <w:rPr>
                <w:rFonts w:ascii="宋体" w:hAnsi="宋体" w:eastAsia="宋体" w:cs="宋体"/>
                <w:color w:val="auto"/>
                <w:sz w:val="24"/>
                <w:szCs w:val="24"/>
                <w:highlight w:val="none"/>
              </w:rPr>
            </w:pPr>
          </w:p>
        </w:tc>
        <w:tc>
          <w:tcPr>
            <w:tcW w:w="709" w:type="dxa"/>
            <w:tcBorders>
              <w:tl2br w:val="nil"/>
              <w:tr2bl w:val="nil"/>
            </w:tcBorders>
          </w:tcPr>
          <w:p w14:paraId="436DCB7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709" w:type="dxa"/>
            <w:tcBorders>
              <w:tl2br w:val="nil"/>
              <w:tr2bl w:val="nil"/>
            </w:tcBorders>
          </w:tcPr>
          <w:p w14:paraId="1E87E99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137</w:t>
            </w:r>
          </w:p>
        </w:tc>
        <w:tc>
          <w:tcPr>
            <w:tcW w:w="1596" w:type="dxa"/>
            <w:tcBorders>
              <w:tl2br w:val="nil"/>
              <w:tr2bl w:val="nil"/>
            </w:tcBorders>
          </w:tcPr>
          <w:p w14:paraId="2C09E6BA">
            <w:pPr>
              <w:rPr>
                <w:rFonts w:ascii="宋体" w:hAnsi="宋体" w:eastAsia="宋体" w:cs="宋体"/>
                <w:color w:val="auto"/>
                <w:sz w:val="24"/>
                <w:szCs w:val="24"/>
                <w:highlight w:val="none"/>
              </w:rPr>
            </w:pPr>
          </w:p>
        </w:tc>
      </w:tr>
      <w:tr w14:paraId="122A3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846" w:type="dxa"/>
            <w:tcBorders>
              <w:tl2br w:val="nil"/>
              <w:tr2bl w:val="nil"/>
            </w:tcBorders>
          </w:tcPr>
          <w:p w14:paraId="7EDDC32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843" w:type="dxa"/>
            <w:tcBorders>
              <w:tl2br w:val="nil"/>
              <w:tr2bl w:val="nil"/>
            </w:tcBorders>
          </w:tcPr>
          <w:p w14:paraId="33C60AF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手动报警器</w:t>
            </w:r>
          </w:p>
        </w:tc>
        <w:tc>
          <w:tcPr>
            <w:tcW w:w="1417" w:type="dxa"/>
            <w:tcBorders>
              <w:tl2br w:val="nil"/>
              <w:tr2bl w:val="nil"/>
            </w:tcBorders>
          </w:tcPr>
          <w:p w14:paraId="33E12AB2">
            <w:pPr>
              <w:rPr>
                <w:rFonts w:ascii="宋体" w:hAnsi="宋体" w:eastAsia="宋体" w:cs="宋体"/>
                <w:color w:val="auto"/>
                <w:sz w:val="24"/>
                <w:szCs w:val="24"/>
                <w:highlight w:val="none"/>
              </w:rPr>
            </w:pPr>
          </w:p>
        </w:tc>
        <w:tc>
          <w:tcPr>
            <w:tcW w:w="709" w:type="dxa"/>
            <w:tcBorders>
              <w:tl2br w:val="nil"/>
              <w:tr2bl w:val="nil"/>
            </w:tcBorders>
          </w:tcPr>
          <w:p w14:paraId="1EDB5FB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709" w:type="dxa"/>
            <w:tcBorders>
              <w:tl2br w:val="nil"/>
              <w:tr2bl w:val="nil"/>
            </w:tcBorders>
          </w:tcPr>
          <w:p w14:paraId="7C50BA2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1596" w:type="dxa"/>
            <w:tcBorders>
              <w:tl2br w:val="nil"/>
              <w:tr2bl w:val="nil"/>
            </w:tcBorders>
          </w:tcPr>
          <w:p w14:paraId="47FD82D7">
            <w:pPr>
              <w:rPr>
                <w:rFonts w:ascii="宋体" w:hAnsi="宋体" w:eastAsia="宋体" w:cs="宋体"/>
                <w:color w:val="auto"/>
                <w:sz w:val="24"/>
                <w:szCs w:val="24"/>
                <w:highlight w:val="none"/>
              </w:rPr>
            </w:pPr>
          </w:p>
        </w:tc>
      </w:tr>
      <w:tr w14:paraId="712DD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846" w:type="dxa"/>
            <w:tcBorders>
              <w:tl2br w:val="nil"/>
              <w:tr2bl w:val="nil"/>
            </w:tcBorders>
          </w:tcPr>
          <w:p w14:paraId="6D707A5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843" w:type="dxa"/>
            <w:tcBorders>
              <w:tl2br w:val="nil"/>
              <w:tr2bl w:val="nil"/>
            </w:tcBorders>
          </w:tcPr>
          <w:p w14:paraId="598FE8C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消火栓</w:t>
            </w:r>
          </w:p>
        </w:tc>
        <w:tc>
          <w:tcPr>
            <w:tcW w:w="1417" w:type="dxa"/>
            <w:tcBorders>
              <w:tl2br w:val="nil"/>
              <w:tr2bl w:val="nil"/>
            </w:tcBorders>
          </w:tcPr>
          <w:p w14:paraId="660E6F98">
            <w:pPr>
              <w:rPr>
                <w:rFonts w:ascii="宋体" w:hAnsi="宋体" w:eastAsia="宋体" w:cs="宋体"/>
                <w:color w:val="auto"/>
                <w:sz w:val="24"/>
                <w:szCs w:val="24"/>
                <w:highlight w:val="none"/>
              </w:rPr>
            </w:pPr>
          </w:p>
        </w:tc>
        <w:tc>
          <w:tcPr>
            <w:tcW w:w="709" w:type="dxa"/>
            <w:tcBorders>
              <w:tl2br w:val="nil"/>
              <w:tr2bl w:val="nil"/>
            </w:tcBorders>
          </w:tcPr>
          <w:p w14:paraId="5E31EBB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709" w:type="dxa"/>
            <w:tcBorders>
              <w:tl2br w:val="nil"/>
              <w:tr2bl w:val="nil"/>
            </w:tcBorders>
          </w:tcPr>
          <w:p w14:paraId="78A34F6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596" w:type="dxa"/>
            <w:tcBorders>
              <w:tl2br w:val="nil"/>
              <w:tr2bl w:val="nil"/>
            </w:tcBorders>
          </w:tcPr>
          <w:p w14:paraId="04400ED2">
            <w:pPr>
              <w:rPr>
                <w:rFonts w:ascii="宋体" w:hAnsi="宋体" w:eastAsia="宋体" w:cs="宋体"/>
                <w:color w:val="auto"/>
                <w:sz w:val="24"/>
                <w:szCs w:val="24"/>
                <w:highlight w:val="none"/>
              </w:rPr>
            </w:pPr>
          </w:p>
        </w:tc>
      </w:tr>
      <w:tr w14:paraId="25F8E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846" w:type="dxa"/>
            <w:tcBorders>
              <w:tl2br w:val="nil"/>
              <w:tr2bl w:val="nil"/>
            </w:tcBorders>
          </w:tcPr>
          <w:p w14:paraId="7B3DDD8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843" w:type="dxa"/>
            <w:tcBorders>
              <w:tl2br w:val="nil"/>
              <w:tr2bl w:val="nil"/>
            </w:tcBorders>
          </w:tcPr>
          <w:p w14:paraId="0944A00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灭火器</w:t>
            </w:r>
          </w:p>
        </w:tc>
        <w:tc>
          <w:tcPr>
            <w:tcW w:w="1417" w:type="dxa"/>
            <w:tcBorders>
              <w:tl2br w:val="nil"/>
              <w:tr2bl w:val="nil"/>
            </w:tcBorders>
          </w:tcPr>
          <w:p w14:paraId="5E68BED6">
            <w:pPr>
              <w:rPr>
                <w:rFonts w:ascii="宋体" w:hAnsi="宋体" w:eastAsia="宋体" w:cs="宋体"/>
                <w:color w:val="auto"/>
                <w:sz w:val="24"/>
                <w:szCs w:val="24"/>
                <w:highlight w:val="none"/>
              </w:rPr>
            </w:pPr>
          </w:p>
        </w:tc>
        <w:tc>
          <w:tcPr>
            <w:tcW w:w="709" w:type="dxa"/>
            <w:tcBorders>
              <w:tl2br w:val="nil"/>
              <w:tr2bl w:val="nil"/>
            </w:tcBorders>
          </w:tcPr>
          <w:p w14:paraId="23501D0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709" w:type="dxa"/>
            <w:tcBorders>
              <w:tl2br w:val="nil"/>
              <w:tr2bl w:val="nil"/>
            </w:tcBorders>
          </w:tcPr>
          <w:p w14:paraId="21803F2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81</w:t>
            </w:r>
          </w:p>
        </w:tc>
        <w:tc>
          <w:tcPr>
            <w:tcW w:w="1596" w:type="dxa"/>
            <w:tcBorders>
              <w:tl2br w:val="nil"/>
              <w:tr2bl w:val="nil"/>
            </w:tcBorders>
          </w:tcPr>
          <w:p w14:paraId="15EB93D6">
            <w:pPr>
              <w:rPr>
                <w:rFonts w:ascii="宋体" w:hAnsi="宋体" w:eastAsia="宋体" w:cs="宋体"/>
                <w:color w:val="auto"/>
                <w:sz w:val="24"/>
                <w:szCs w:val="24"/>
                <w:highlight w:val="none"/>
              </w:rPr>
            </w:pPr>
          </w:p>
        </w:tc>
      </w:tr>
      <w:tr w14:paraId="63C71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846" w:type="dxa"/>
            <w:tcBorders>
              <w:tl2br w:val="nil"/>
              <w:tr2bl w:val="nil"/>
            </w:tcBorders>
          </w:tcPr>
          <w:p w14:paraId="67D0C83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843" w:type="dxa"/>
            <w:tcBorders>
              <w:tl2br w:val="nil"/>
              <w:tr2bl w:val="nil"/>
            </w:tcBorders>
          </w:tcPr>
          <w:p w14:paraId="1CFABA2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喷淋泵</w:t>
            </w:r>
          </w:p>
        </w:tc>
        <w:tc>
          <w:tcPr>
            <w:tcW w:w="1417" w:type="dxa"/>
            <w:tcBorders>
              <w:tl2br w:val="nil"/>
              <w:tr2bl w:val="nil"/>
            </w:tcBorders>
          </w:tcPr>
          <w:p w14:paraId="72A75AE7">
            <w:pPr>
              <w:rPr>
                <w:rFonts w:ascii="宋体" w:hAnsi="宋体" w:eastAsia="宋体" w:cs="宋体"/>
                <w:color w:val="auto"/>
                <w:sz w:val="24"/>
                <w:szCs w:val="24"/>
                <w:highlight w:val="none"/>
              </w:rPr>
            </w:pPr>
          </w:p>
        </w:tc>
        <w:tc>
          <w:tcPr>
            <w:tcW w:w="709" w:type="dxa"/>
            <w:tcBorders>
              <w:tl2br w:val="nil"/>
              <w:tr2bl w:val="nil"/>
            </w:tcBorders>
          </w:tcPr>
          <w:p w14:paraId="541557A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Borders>
              <w:tl2br w:val="nil"/>
              <w:tr2bl w:val="nil"/>
            </w:tcBorders>
          </w:tcPr>
          <w:p w14:paraId="711EB24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596" w:type="dxa"/>
            <w:tcBorders>
              <w:tl2br w:val="nil"/>
              <w:tr2bl w:val="nil"/>
            </w:tcBorders>
          </w:tcPr>
          <w:p w14:paraId="504AB81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上海胜泉</w:t>
            </w:r>
          </w:p>
        </w:tc>
      </w:tr>
      <w:tr w14:paraId="3B983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846" w:type="dxa"/>
            <w:tcBorders>
              <w:tl2br w:val="nil"/>
              <w:tr2bl w:val="nil"/>
            </w:tcBorders>
          </w:tcPr>
          <w:p w14:paraId="358258E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843" w:type="dxa"/>
            <w:tcBorders>
              <w:tl2br w:val="nil"/>
              <w:tr2bl w:val="nil"/>
            </w:tcBorders>
          </w:tcPr>
          <w:p w14:paraId="1A06064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稳压泵</w:t>
            </w:r>
          </w:p>
        </w:tc>
        <w:tc>
          <w:tcPr>
            <w:tcW w:w="1417" w:type="dxa"/>
            <w:tcBorders>
              <w:tl2br w:val="nil"/>
              <w:tr2bl w:val="nil"/>
            </w:tcBorders>
          </w:tcPr>
          <w:p w14:paraId="4DFEF9AA">
            <w:pPr>
              <w:rPr>
                <w:rFonts w:ascii="宋体" w:hAnsi="宋体" w:eastAsia="宋体" w:cs="宋体"/>
                <w:color w:val="auto"/>
                <w:sz w:val="24"/>
                <w:szCs w:val="24"/>
                <w:highlight w:val="none"/>
              </w:rPr>
            </w:pPr>
          </w:p>
        </w:tc>
        <w:tc>
          <w:tcPr>
            <w:tcW w:w="709" w:type="dxa"/>
            <w:tcBorders>
              <w:tl2br w:val="nil"/>
              <w:tr2bl w:val="nil"/>
            </w:tcBorders>
          </w:tcPr>
          <w:p w14:paraId="0618FF8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Borders>
              <w:tl2br w:val="nil"/>
              <w:tr2bl w:val="nil"/>
            </w:tcBorders>
          </w:tcPr>
          <w:p w14:paraId="08799E0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596" w:type="dxa"/>
            <w:tcBorders>
              <w:tl2br w:val="nil"/>
              <w:tr2bl w:val="nil"/>
            </w:tcBorders>
          </w:tcPr>
          <w:p w14:paraId="33F489DB">
            <w:pPr>
              <w:rPr>
                <w:rFonts w:ascii="宋体" w:hAnsi="宋体" w:eastAsia="宋体" w:cs="宋体"/>
                <w:color w:val="auto"/>
                <w:sz w:val="24"/>
                <w:szCs w:val="24"/>
                <w:highlight w:val="none"/>
              </w:rPr>
            </w:pPr>
          </w:p>
        </w:tc>
      </w:tr>
      <w:tr w14:paraId="190A0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846" w:type="dxa"/>
            <w:tcBorders>
              <w:tl2br w:val="nil"/>
              <w:tr2bl w:val="nil"/>
            </w:tcBorders>
          </w:tcPr>
          <w:p w14:paraId="3B375C3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843" w:type="dxa"/>
            <w:tcBorders>
              <w:tl2br w:val="nil"/>
              <w:tr2bl w:val="nil"/>
            </w:tcBorders>
          </w:tcPr>
          <w:p w14:paraId="7C274BD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增压泵</w:t>
            </w:r>
          </w:p>
        </w:tc>
        <w:tc>
          <w:tcPr>
            <w:tcW w:w="1417" w:type="dxa"/>
            <w:tcBorders>
              <w:tl2br w:val="nil"/>
              <w:tr2bl w:val="nil"/>
            </w:tcBorders>
          </w:tcPr>
          <w:p w14:paraId="20B88CC2">
            <w:pPr>
              <w:rPr>
                <w:rFonts w:ascii="宋体" w:hAnsi="宋体" w:eastAsia="宋体" w:cs="宋体"/>
                <w:color w:val="auto"/>
                <w:sz w:val="24"/>
                <w:szCs w:val="24"/>
                <w:highlight w:val="none"/>
              </w:rPr>
            </w:pPr>
          </w:p>
        </w:tc>
        <w:tc>
          <w:tcPr>
            <w:tcW w:w="709" w:type="dxa"/>
            <w:tcBorders>
              <w:tl2br w:val="nil"/>
              <w:tr2bl w:val="nil"/>
            </w:tcBorders>
          </w:tcPr>
          <w:p w14:paraId="24D4CEF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Borders>
              <w:tl2br w:val="nil"/>
              <w:tr2bl w:val="nil"/>
            </w:tcBorders>
          </w:tcPr>
          <w:p w14:paraId="7894572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596" w:type="dxa"/>
            <w:tcBorders>
              <w:tl2br w:val="nil"/>
              <w:tr2bl w:val="nil"/>
            </w:tcBorders>
          </w:tcPr>
          <w:p w14:paraId="3889AFA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沪杰电机</w:t>
            </w:r>
          </w:p>
        </w:tc>
      </w:tr>
      <w:tr w14:paraId="2DD73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846" w:type="dxa"/>
            <w:tcBorders>
              <w:tl2br w:val="nil"/>
              <w:tr2bl w:val="nil"/>
            </w:tcBorders>
          </w:tcPr>
          <w:p w14:paraId="0F5CB0F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843" w:type="dxa"/>
            <w:tcBorders>
              <w:tl2br w:val="nil"/>
              <w:tr2bl w:val="nil"/>
            </w:tcBorders>
          </w:tcPr>
          <w:p w14:paraId="2640DF4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水泵接合器</w:t>
            </w:r>
          </w:p>
        </w:tc>
        <w:tc>
          <w:tcPr>
            <w:tcW w:w="1417" w:type="dxa"/>
            <w:tcBorders>
              <w:tl2br w:val="nil"/>
              <w:tr2bl w:val="nil"/>
            </w:tcBorders>
          </w:tcPr>
          <w:p w14:paraId="6C2BB40E">
            <w:pPr>
              <w:rPr>
                <w:rFonts w:ascii="宋体" w:hAnsi="宋体" w:eastAsia="宋体" w:cs="宋体"/>
                <w:color w:val="auto"/>
                <w:sz w:val="24"/>
                <w:szCs w:val="24"/>
                <w:highlight w:val="none"/>
              </w:rPr>
            </w:pPr>
          </w:p>
        </w:tc>
        <w:tc>
          <w:tcPr>
            <w:tcW w:w="709" w:type="dxa"/>
            <w:tcBorders>
              <w:tl2br w:val="nil"/>
              <w:tr2bl w:val="nil"/>
            </w:tcBorders>
          </w:tcPr>
          <w:p w14:paraId="5AD68F3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709" w:type="dxa"/>
            <w:tcBorders>
              <w:tl2br w:val="nil"/>
              <w:tr2bl w:val="nil"/>
            </w:tcBorders>
          </w:tcPr>
          <w:p w14:paraId="4335D42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596" w:type="dxa"/>
            <w:tcBorders>
              <w:tl2br w:val="nil"/>
              <w:tr2bl w:val="nil"/>
            </w:tcBorders>
          </w:tcPr>
          <w:p w14:paraId="36646979">
            <w:pPr>
              <w:rPr>
                <w:rFonts w:ascii="宋体" w:hAnsi="宋体" w:eastAsia="宋体" w:cs="宋体"/>
                <w:color w:val="auto"/>
                <w:sz w:val="24"/>
                <w:szCs w:val="24"/>
                <w:highlight w:val="none"/>
              </w:rPr>
            </w:pPr>
          </w:p>
        </w:tc>
      </w:tr>
      <w:tr w14:paraId="55826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846" w:type="dxa"/>
            <w:tcBorders>
              <w:tl2br w:val="nil"/>
              <w:tr2bl w:val="nil"/>
            </w:tcBorders>
          </w:tcPr>
          <w:p w14:paraId="1276EE6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843" w:type="dxa"/>
            <w:tcBorders>
              <w:tl2br w:val="nil"/>
              <w:tr2bl w:val="nil"/>
            </w:tcBorders>
          </w:tcPr>
          <w:p w14:paraId="56B9505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喷淋接合器</w:t>
            </w:r>
          </w:p>
        </w:tc>
        <w:tc>
          <w:tcPr>
            <w:tcW w:w="1417" w:type="dxa"/>
            <w:tcBorders>
              <w:tl2br w:val="nil"/>
              <w:tr2bl w:val="nil"/>
            </w:tcBorders>
          </w:tcPr>
          <w:p w14:paraId="10489CCB">
            <w:pPr>
              <w:rPr>
                <w:rFonts w:ascii="宋体" w:hAnsi="宋体" w:eastAsia="宋体" w:cs="宋体"/>
                <w:color w:val="auto"/>
                <w:sz w:val="24"/>
                <w:szCs w:val="24"/>
                <w:highlight w:val="none"/>
              </w:rPr>
            </w:pPr>
          </w:p>
        </w:tc>
        <w:tc>
          <w:tcPr>
            <w:tcW w:w="709" w:type="dxa"/>
            <w:tcBorders>
              <w:tl2br w:val="nil"/>
              <w:tr2bl w:val="nil"/>
            </w:tcBorders>
          </w:tcPr>
          <w:p w14:paraId="10515AD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709" w:type="dxa"/>
            <w:tcBorders>
              <w:tl2br w:val="nil"/>
              <w:tr2bl w:val="nil"/>
            </w:tcBorders>
          </w:tcPr>
          <w:p w14:paraId="07B178D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596" w:type="dxa"/>
            <w:tcBorders>
              <w:tl2br w:val="nil"/>
              <w:tr2bl w:val="nil"/>
            </w:tcBorders>
          </w:tcPr>
          <w:p w14:paraId="53CE5FF1">
            <w:pPr>
              <w:rPr>
                <w:rFonts w:ascii="宋体" w:hAnsi="宋体" w:eastAsia="宋体" w:cs="宋体"/>
                <w:color w:val="auto"/>
                <w:sz w:val="24"/>
                <w:szCs w:val="24"/>
                <w:highlight w:val="none"/>
              </w:rPr>
            </w:pPr>
          </w:p>
        </w:tc>
      </w:tr>
      <w:tr w14:paraId="0C88E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846" w:type="dxa"/>
            <w:tcBorders>
              <w:tl2br w:val="nil"/>
              <w:tr2bl w:val="nil"/>
            </w:tcBorders>
          </w:tcPr>
          <w:p w14:paraId="1955507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843" w:type="dxa"/>
            <w:tcBorders>
              <w:tl2br w:val="nil"/>
              <w:tr2bl w:val="nil"/>
            </w:tcBorders>
          </w:tcPr>
          <w:p w14:paraId="1706E24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室外消火栓</w:t>
            </w:r>
          </w:p>
        </w:tc>
        <w:tc>
          <w:tcPr>
            <w:tcW w:w="1417" w:type="dxa"/>
            <w:tcBorders>
              <w:tl2br w:val="nil"/>
              <w:tr2bl w:val="nil"/>
            </w:tcBorders>
          </w:tcPr>
          <w:p w14:paraId="6B82E6A0">
            <w:pPr>
              <w:rPr>
                <w:rFonts w:ascii="宋体" w:hAnsi="宋体" w:eastAsia="宋体" w:cs="宋体"/>
                <w:color w:val="auto"/>
                <w:sz w:val="24"/>
                <w:szCs w:val="24"/>
                <w:highlight w:val="none"/>
              </w:rPr>
            </w:pPr>
          </w:p>
        </w:tc>
        <w:tc>
          <w:tcPr>
            <w:tcW w:w="709" w:type="dxa"/>
            <w:tcBorders>
              <w:tl2br w:val="nil"/>
              <w:tr2bl w:val="nil"/>
            </w:tcBorders>
          </w:tcPr>
          <w:p w14:paraId="06A892B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709" w:type="dxa"/>
            <w:tcBorders>
              <w:tl2br w:val="nil"/>
              <w:tr2bl w:val="nil"/>
            </w:tcBorders>
          </w:tcPr>
          <w:p w14:paraId="746EA6B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596" w:type="dxa"/>
            <w:tcBorders>
              <w:tl2br w:val="nil"/>
              <w:tr2bl w:val="nil"/>
            </w:tcBorders>
          </w:tcPr>
          <w:p w14:paraId="3C2674E5">
            <w:pPr>
              <w:rPr>
                <w:rFonts w:ascii="宋体" w:hAnsi="宋体" w:eastAsia="宋体" w:cs="宋体"/>
                <w:color w:val="auto"/>
                <w:sz w:val="24"/>
                <w:szCs w:val="24"/>
                <w:highlight w:val="none"/>
              </w:rPr>
            </w:pPr>
          </w:p>
        </w:tc>
      </w:tr>
      <w:tr w14:paraId="5E66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 w:hRule="atLeast"/>
        </w:trPr>
        <w:tc>
          <w:tcPr>
            <w:tcW w:w="846" w:type="dxa"/>
            <w:tcBorders>
              <w:tl2br w:val="nil"/>
              <w:tr2bl w:val="nil"/>
            </w:tcBorders>
          </w:tcPr>
          <w:p w14:paraId="626803E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843" w:type="dxa"/>
            <w:tcBorders>
              <w:tl2br w:val="nil"/>
              <w:tr2bl w:val="nil"/>
            </w:tcBorders>
          </w:tcPr>
          <w:p w14:paraId="5A83740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火灾报警控制器（联动型）</w:t>
            </w:r>
          </w:p>
        </w:tc>
        <w:tc>
          <w:tcPr>
            <w:tcW w:w="1417" w:type="dxa"/>
            <w:tcBorders>
              <w:tl2br w:val="nil"/>
              <w:tr2bl w:val="nil"/>
            </w:tcBorders>
          </w:tcPr>
          <w:p w14:paraId="7300CA9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JB-QGL-9000</w:t>
            </w:r>
          </w:p>
        </w:tc>
        <w:tc>
          <w:tcPr>
            <w:tcW w:w="709" w:type="dxa"/>
            <w:tcBorders>
              <w:tl2br w:val="nil"/>
              <w:tr2bl w:val="nil"/>
            </w:tcBorders>
          </w:tcPr>
          <w:p w14:paraId="373E575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Borders>
              <w:tl2br w:val="nil"/>
              <w:tr2bl w:val="nil"/>
            </w:tcBorders>
          </w:tcPr>
          <w:p w14:paraId="55E6BEF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596" w:type="dxa"/>
            <w:tcBorders>
              <w:tl2br w:val="nil"/>
              <w:tr2bl w:val="nil"/>
            </w:tcBorders>
          </w:tcPr>
          <w:p w14:paraId="78451C6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深圳市泛海三江</w:t>
            </w:r>
          </w:p>
        </w:tc>
      </w:tr>
      <w:tr w14:paraId="2E0CC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846" w:type="dxa"/>
            <w:tcBorders>
              <w:tl2br w:val="nil"/>
              <w:tr2bl w:val="nil"/>
            </w:tcBorders>
          </w:tcPr>
          <w:p w14:paraId="12ACDEB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843" w:type="dxa"/>
            <w:tcBorders>
              <w:tl2br w:val="nil"/>
              <w:tr2bl w:val="nil"/>
            </w:tcBorders>
          </w:tcPr>
          <w:p w14:paraId="1667763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火灾显示盘</w:t>
            </w:r>
          </w:p>
        </w:tc>
        <w:tc>
          <w:tcPr>
            <w:tcW w:w="1417" w:type="dxa"/>
            <w:tcBorders>
              <w:tl2br w:val="nil"/>
              <w:tr2bl w:val="nil"/>
            </w:tcBorders>
          </w:tcPr>
          <w:p w14:paraId="518542DE">
            <w:pPr>
              <w:rPr>
                <w:rFonts w:ascii="宋体" w:hAnsi="宋体" w:eastAsia="宋体" w:cs="宋体"/>
                <w:color w:val="auto"/>
                <w:sz w:val="24"/>
                <w:szCs w:val="24"/>
                <w:highlight w:val="none"/>
              </w:rPr>
            </w:pPr>
          </w:p>
        </w:tc>
        <w:tc>
          <w:tcPr>
            <w:tcW w:w="709" w:type="dxa"/>
            <w:tcBorders>
              <w:tl2br w:val="nil"/>
              <w:tr2bl w:val="nil"/>
            </w:tcBorders>
          </w:tcPr>
          <w:p w14:paraId="5BAA530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709" w:type="dxa"/>
            <w:tcBorders>
              <w:tl2br w:val="nil"/>
              <w:tr2bl w:val="nil"/>
            </w:tcBorders>
          </w:tcPr>
          <w:p w14:paraId="1124AA2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596" w:type="dxa"/>
            <w:tcBorders>
              <w:tl2br w:val="nil"/>
              <w:tr2bl w:val="nil"/>
            </w:tcBorders>
          </w:tcPr>
          <w:p w14:paraId="1652DBE2">
            <w:pPr>
              <w:rPr>
                <w:rFonts w:ascii="宋体" w:hAnsi="宋体" w:eastAsia="宋体" w:cs="宋体"/>
                <w:color w:val="auto"/>
                <w:sz w:val="24"/>
                <w:szCs w:val="24"/>
                <w:highlight w:val="none"/>
              </w:rPr>
            </w:pPr>
          </w:p>
        </w:tc>
      </w:tr>
      <w:tr w14:paraId="30043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846" w:type="dxa"/>
            <w:tcBorders>
              <w:tl2br w:val="nil"/>
              <w:tr2bl w:val="nil"/>
            </w:tcBorders>
          </w:tcPr>
          <w:p w14:paraId="4CBE39A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843" w:type="dxa"/>
            <w:tcBorders>
              <w:tl2br w:val="nil"/>
              <w:tr2bl w:val="nil"/>
            </w:tcBorders>
          </w:tcPr>
          <w:p w14:paraId="14B3E7D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机械排烟系统</w:t>
            </w:r>
          </w:p>
        </w:tc>
        <w:tc>
          <w:tcPr>
            <w:tcW w:w="1417" w:type="dxa"/>
            <w:tcBorders>
              <w:tl2br w:val="nil"/>
              <w:tr2bl w:val="nil"/>
            </w:tcBorders>
          </w:tcPr>
          <w:p w14:paraId="09CDB4D5">
            <w:pPr>
              <w:rPr>
                <w:rFonts w:ascii="宋体" w:hAnsi="宋体" w:eastAsia="宋体" w:cs="宋体"/>
                <w:color w:val="auto"/>
                <w:sz w:val="24"/>
                <w:szCs w:val="24"/>
                <w:highlight w:val="none"/>
              </w:rPr>
            </w:pPr>
          </w:p>
        </w:tc>
        <w:tc>
          <w:tcPr>
            <w:tcW w:w="709" w:type="dxa"/>
            <w:tcBorders>
              <w:tl2br w:val="nil"/>
              <w:tr2bl w:val="nil"/>
            </w:tcBorders>
          </w:tcPr>
          <w:p w14:paraId="1CD27CA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09" w:type="dxa"/>
            <w:tcBorders>
              <w:tl2br w:val="nil"/>
              <w:tr2bl w:val="nil"/>
            </w:tcBorders>
          </w:tcPr>
          <w:p w14:paraId="33356A7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596" w:type="dxa"/>
            <w:tcBorders>
              <w:tl2br w:val="nil"/>
              <w:tr2bl w:val="nil"/>
            </w:tcBorders>
          </w:tcPr>
          <w:p w14:paraId="59E5CFFF">
            <w:pPr>
              <w:rPr>
                <w:rFonts w:ascii="宋体" w:hAnsi="宋体" w:eastAsia="宋体" w:cs="宋体"/>
                <w:color w:val="auto"/>
                <w:sz w:val="24"/>
                <w:szCs w:val="24"/>
                <w:highlight w:val="none"/>
              </w:rPr>
            </w:pPr>
          </w:p>
        </w:tc>
      </w:tr>
      <w:tr w14:paraId="42FAC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846" w:type="dxa"/>
            <w:tcBorders>
              <w:tl2br w:val="nil"/>
              <w:tr2bl w:val="nil"/>
            </w:tcBorders>
          </w:tcPr>
          <w:p w14:paraId="40D6D23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843" w:type="dxa"/>
            <w:tcBorders>
              <w:tl2br w:val="nil"/>
              <w:tr2bl w:val="nil"/>
            </w:tcBorders>
          </w:tcPr>
          <w:p w14:paraId="70A8EB2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补风系统</w:t>
            </w:r>
          </w:p>
        </w:tc>
        <w:tc>
          <w:tcPr>
            <w:tcW w:w="1417" w:type="dxa"/>
            <w:tcBorders>
              <w:tl2br w:val="nil"/>
              <w:tr2bl w:val="nil"/>
            </w:tcBorders>
          </w:tcPr>
          <w:p w14:paraId="0C7B846E">
            <w:pPr>
              <w:rPr>
                <w:rFonts w:ascii="宋体" w:hAnsi="宋体" w:eastAsia="宋体" w:cs="宋体"/>
                <w:color w:val="auto"/>
                <w:sz w:val="24"/>
                <w:szCs w:val="24"/>
                <w:highlight w:val="none"/>
              </w:rPr>
            </w:pPr>
          </w:p>
        </w:tc>
        <w:tc>
          <w:tcPr>
            <w:tcW w:w="709" w:type="dxa"/>
            <w:tcBorders>
              <w:tl2br w:val="nil"/>
              <w:tr2bl w:val="nil"/>
            </w:tcBorders>
          </w:tcPr>
          <w:p w14:paraId="02B5AED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09" w:type="dxa"/>
            <w:tcBorders>
              <w:tl2br w:val="nil"/>
              <w:tr2bl w:val="nil"/>
            </w:tcBorders>
          </w:tcPr>
          <w:p w14:paraId="6AE2CE1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596" w:type="dxa"/>
            <w:tcBorders>
              <w:tl2br w:val="nil"/>
              <w:tr2bl w:val="nil"/>
            </w:tcBorders>
          </w:tcPr>
          <w:p w14:paraId="55B2533F">
            <w:pPr>
              <w:rPr>
                <w:rFonts w:ascii="宋体" w:hAnsi="宋体" w:eastAsia="宋体" w:cs="宋体"/>
                <w:color w:val="auto"/>
                <w:sz w:val="24"/>
                <w:szCs w:val="24"/>
                <w:highlight w:val="none"/>
              </w:rPr>
            </w:pPr>
          </w:p>
        </w:tc>
      </w:tr>
      <w:tr w14:paraId="3655F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 w:hRule="atLeast"/>
        </w:trPr>
        <w:tc>
          <w:tcPr>
            <w:tcW w:w="846" w:type="dxa"/>
            <w:tcBorders>
              <w:tl2br w:val="nil"/>
              <w:tr2bl w:val="nil"/>
            </w:tcBorders>
          </w:tcPr>
          <w:p w14:paraId="24F0681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843" w:type="dxa"/>
            <w:tcBorders>
              <w:tl2br w:val="nil"/>
              <w:tr2bl w:val="nil"/>
            </w:tcBorders>
          </w:tcPr>
          <w:p w14:paraId="69685B5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机械正压送风系统</w:t>
            </w:r>
          </w:p>
        </w:tc>
        <w:tc>
          <w:tcPr>
            <w:tcW w:w="1417" w:type="dxa"/>
            <w:tcBorders>
              <w:tl2br w:val="nil"/>
              <w:tr2bl w:val="nil"/>
            </w:tcBorders>
          </w:tcPr>
          <w:p w14:paraId="1DE5F33D">
            <w:pPr>
              <w:rPr>
                <w:rFonts w:ascii="宋体" w:hAnsi="宋体" w:eastAsia="宋体" w:cs="宋体"/>
                <w:color w:val="auto"/>
                <w:sz w:val="24"/>
                <w:szCs w:val="24"/>
                <w:highlight w:val="none"/>
              </w:rPr>
            </w:pPr>
          </w:p>
        </w:tc>
        <w:tc>
          <w:tcPr>
            <w:tcW w:w="709" w:type="dxa"/>
            <w:tcBorders>
              <w:tl2br w:val="nil"/>
              <w:tr2bl w:val="nil"/>
            </w:tcBorders>
          </w:tcPr>
          <w:p w14:paraId="0E205D7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09" w:type="dxa"/>
            <w:tcBorders>
              <w:tl2br w:val="nil"/>
              <w:tr2bl w:val="nil"/>
            </w:tcBorders>
          </w:tcPr>
          <w:p w14:paraId="1C21FD57">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596" w:type="dxa"/>
            <w:tcBorders>
              <w:tl2br w:val="nil"/>
              <w:tr2bl w:val="nil"/>
            </w:tcBorders>
          </w:tcPr>
          <w:p w14:paraId="5EA35B0F">
            <w:pPr>
              <w:rPr>
                <w:rFonts w:ascii="宋体" w:hAnsi="宋体" w:eastAsia="宋体" w:cs="宋体"/>
                <w:color w:val="auto"/>
                <w:sz w:val="24"/>
                <w:szCs w:val="24"/>
                <w:highlight w:val="none"/>
              </w:rPr>
            </w:pPr>
          </w:p>
        </w:tc>
      </w:tr>
    </w:tbl>
    <w:p w14:paraId="0C016CD2">
      <w:pPr>
        <w:rPr>
          <w:rFonts w:ascii="宋体" w:hAnsi="宋体" w:eastAsia="宋体" w:cs="宋体"/>
          <w:color w:val="auto"/>
          <w:highlight w:val="none"/>
        </w:rPr>
      </w:pPr>
    </w:p>
    <w:p w14:paraId="4BDCC448">
      <w:pPr>
        <w:spacing w:line="520" w:lineRule="exact"/>
        <w:ind w:firstLine="480" w:firstLineChars="200"/>
        <w:rPr>
          <w:rFonts w:ascii="宋体" w:hAnsi="宋体" w:eastAsia="宋体" w:cs="宋体"/>
          <w:color w:val="auto"/>
          <w:sz w:val="24"/>
          <w:szCs w:val="24"/>
          <w:highlight w:val="none"/>
        </w:rPr>
      </w:pPr>
    </w:p>
    <w:p w14:paraId="402006F6">
      <w:pPr>
        <w:spacing w:line="520" w:lineRule="exact"/>
        <w:ind w:firstLine="480" w:firstLineChars="200"/>
        <w:rPr>
          <w:rFonts w:ascii="宋体" w:hAnsi="宋体" w:eastAsia="宋体" w:cs="宋体"/>
          <w:color w:val="auto"/>
          <w:sz w:val="24"/>
          <w:szCs w:val="24"/>
          <w:highlight w:val="none"/>
        </w:rPr>
      </w:pPr>
    </w:p>
    <w:p w14:paraId="1CB3CA68">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highlight w:val="none"/>
        </w:rPr>
        <w:br w:type="page"/>
      </w:r>
      <w:bookmarkStart w:id="49" w:name="_Toc4179"/>
      <w:r>
        <w:rPr>
          <w:rFonts w:hint="eastAsia" w:ascii="宋体" w:hAnsi="宋体" w:eastAsia="宋体" w:cs="宋体"/>
          <w:b/>
          <w:bCs/>
          <w:color w:val="auto"/>
          <w:kern w:val="0"/>
          <w:sz w:val="28"/>
          <w:szCs w:val="28"/>
          <w:highlight w:val="none"/>
          <w:lang w:val="en-US" w:eastAsia="zh-CN" w:bidi="ar-SA"/>
        </w:rPr>
        <w:t>第</w:t>
      </w:r>
      <w:bookmarkStart w:id="50" w:name="_Hlt240110027"/>
      <w:bookmarkEnd w:id="50"/>
      <w:r>
        <w:rPr>
          <w:rFonts w:hint="eastAsia" w:ascii="宋体" w:hAnsi="宋体" w:eastAsia="宋体" w:cs="宋体"/>
          <w:b/>
          <w:bCs/>
          <w:color w:val="auto"/>
          <w:kern w:val="0"/>
          <w:sz w:val="28"/>
          <w:szCs w:val="28"/>
          <w:highlight w:val="none"/>
          <w:lang w:val="en-US" w:eastAsia="zh-CN" w:bidi="ar-SA"/>
        </w:rPr>
        <w:t>五章 磋商与评审办法</w:t>
      </w:r>
      <w:bookmarkEnd w:id="49"/>
    </w:p>
    <w:p w14:paraId="6B4BCAC7">
      <w:pPr>
        <w:adjustRightInd w:val="0"/>
        <w:snapToGrid w:val="0"/>
        <w:spacing w:line="360" w:lineRule="auto"/>
        <w:ind w:right="-10" w:firstLine="420" w:firstLineChars="175"/>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1.为了做好</w:t>
      </w:r>
      <w:r>
        <w:rPr>
          <w:rFonts w:hint="eastAsia" w:ascii="宋体" w:hAnsi="宋体" w:cs="宋体"/>
          <w:b w:val="0"/>
          <w:bCs w:val="0"/>
          <w:color w:val="auto"/>
          <w:sz w:val="24"/>
          <w:highlight w:val="none"/>
          <w:lang w:eastAsia="zh-CN"/>
        </w:rPr>
        <w:t>肥西县中医院消防维保（2026-2027）</w:t>
      </w:r>
      <w:r>
        <w:rPr>
          <w:rFonts w:hint="eastAsia" w:ascii="宋体" w:hAnsi="宋体" w:eastAsia="宋体" w:cs="宋体"/>
          <w:b w:val="0"/>
          <w:bCs w:val="0"/>
          <w:color w:val="auto"/>
          <w:sz w:val="24"/>
          <w:highlight w:val="none"/>
        </w:rPr>
        <w:t>（项目编号：</w:t>
      </w:r>
      <w:r>
        <w:rPr>
          <w:rFonts w:hint="eastAsia" w:ascii="宋体" w:hAnsi="宋体" w:cs="宋体"/>
          <w:b w:val="0"/>
          <w:bCs w:val="0"/>
          <w:color w:val="auto"/>
          <w:sz w:val="24"/>
          <w:highlight w:val="none"/>
          <w:lang w:eastAsia="zh-CN"/>
        </w:rPr>
        <w:t>2026GSBN0011</w:t>
      </w:r>
      <w:r>
        <w:rPr>
          <w:rFonts w:hint="eastAsia" w:ascii="宋体" w:hAnsi="宋体" w:eastAsia="宋体" w:cs="宋体"/>
          <w:b w:val="0"/>
          <w:bCs w:val="0"/>
          <w:color w:val="auto"/>
          <w:sz w:val="24"/>
          <w:highlight w:val="none"/>
        </w:rPr>
        <w:t>）的磋商与评审工作，保证项目评审工作的正常有序进行，维护招标人、投标人的合法权益，遵循公平、公正、科学和择优的原则，制定磋商与评审办法。</w:t>
      </w:r>
    </w:p>
    <w:p w14:paraId="7A2E6820">
      <w:pPr>
        <w:adjustRightInd w:val="0"/>
        <w:snapToGrid w:val="0"/>
        <w:spacing w:line="360" w:lineRule="auto"/>
        <w:ind w:right="-10" w:firstLine="420" w:firstLineChars="175"/>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2.本次项目磋商与评审采用综合评分法作为对投标人响应文件的比较方法。</w:t>
      </w:r>
    </w:p>
    <w:p w14:paraId="3D99AAA8">
      <w:pPr>
        <w:adjustRightInd w:val="0"/>
        <w:snapToGrid w:val="0"/>
        <w:spacing w:line="360" w:lineRule="auto"/>
        <w:ind w:left="-61" w:leftChars="-29" w:right="-10" w:firstLine="480" w:firstLineChars="20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3.本项目将依法组建磋商小组，负责本项目的磋商与评审工作。</w:t>
      </w:r>
    </w:p>
    <w:p w14:paraId="40BEC061">
      <w:pPr>
        <w:adjustRightInd w:val="0"/>
        <w:snapToGrid w:val="0"/>
        <w:spacing w:line="360" w:lineRule="auto"/>
        <w:ind w:left="-61" w:leftChars="-29" w:right="-10" w:firstLine="480" w:firstLineChars="20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4.磋商小组按照“客观公正，实事求是”的原则，评价参加本次磋商的投标人所提供的产品或服务价格、性能、质量、服务及对磋商文件的符合性及响应性。</w:t>
      </w:r>
    </w:p>
    <w:p w14:paraId="2448BD6B">
      <w:pPr>
        <w:adjustRightInd w:val="0"/>
        <w:snapToGrid w:val="0"/>
        <w:spacing w:line="360" w:lineRule="auto"/>
        <w:ind w:right="-10" w:firstLine="48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5.磋商小组应认真研究磋商文件，至少应了解和熟悉以下内容：</w:t>
      </w:r>
    </w:p>
    <w:p w14:paraId="1CD01075">
      <w:pPr>
        <w:spacing w:line="360" w:lineRule="auto"/>
        <w:ind w:left="480" w:right="-1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5.1磋商的目标；</w:t>
      </w:r>
    </w:p>
    <w:p w14:paraId="3F77914B">
      <w:pPr>
        <w:spacing w:line="360" w:lineRule="auto"/>
        <w:ind w:left="480" w:right="-1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5.2磋商项目的范围和性质；</w:t>
      </w:r>
    </w:p>
    <w:p w14:paraId="046A514D">
      <w:pPr>
        <w:spacing w:line="360" w:lineRule="auto"/>
        <w:ind w:left="480" w:right="-1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5.3磋商文件中规定的主要技术要求、标准和商务条款；</w:t>
      </w:r>
    </w:p>
    <w:p w14:paraId="445DC171">
      <w:pPr>
        <w:spacing w:line="360" w:lineRule="auto"/>
        <w:ind w:left="480" w:right="-1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5.4磋商文件规定的评审标准、评审方法和在评审过程中考虑的相关因素。</w:t>
      </w:r>
    </w:p>
    <w:p w14:paraId="12B771CC">
      <w:pPr>
        <w:adjustRightInd w:val="0"/>
        <w:snapToGrid w:val="0"/>
        <w:spacing w:line="360" w:lineRule="auto"/>
        <w:ind w:right="-10" w:firstLine="480" w:firstLineChars="20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6.有效投标应符合以下原则：</w:t>
      </w:r>
    </w:p>
    <w:p w14:paraId="4F003E39">
      <w:pPr>
        <w:spacing w:line="360" w:lineRule="auto"/>
        <w:ind w:left="480" w:right="-1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6.1满足磋商文件的实质性要求；</w:t>
      </w:r>
    </w:p>
    <w:p w14:paraId="6D0C84C0">
      <w:pPr>
        <w:spacing w:line="360" w:lineRule="auto"/>
        <w:ind w:left="480" w:right="-1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6.2无重大偏离、保留或招标人不能接受的附加条件；</w:t>
      </w:r>
    </w:p>
    <w:p w14:paraId="65F0BEB7">
      <w:pPr>
        <w:spacing w:line="360" w:lineRule="auto"/>
        <w:ind w:left="480" w:right="-1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6.3通过投标有效性评审；</w:t>
      </w:r>
    </w:p>
    <w:p w14:paraId="0F58EEC7">
      <w:pPr>
        <w:adjustRightInd w:val="0"/>
        <w:snapToGrid w:val="0"/>
        <w:spacing w:line="360" w:lineRule="auto"/>
        <w:ind w:right="-10" w:firstLine="480" w:firstLineChars="20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6.4磋商小组依据磋商文件认定的其他原则。</w:t>
      </w:r>
    </w:p>
    <w:p w14:paraId="7046625E">
      <w:pPr>
        <w:adjustRightInd w:val="0"/>
        <w:snapToGrid w:val="0"/>
        <w:spacing w:line="360" w:lineRule="auto"/>
        <w:ind w:right="-10" w:firstLine="48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7.磋商小组对所有响应文件均采用相同程序和标准，进行评定。</w:t>
      </w:r>
    </w:p>
    <w:p w14:paraId="42673607">
      <w:pPr>
        <w:adjustRightInd w:val="0"/>
        <w:snapToGrid w:val="0"/>
        <w:spacing w:line="360" w:lineRule="auto"/>
        <w:ind w:right="-10"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8.磋商小组发现投标人的响应文件中对同类问题表述不一致、前后矛盾、有明显文字和计算错误的内容、有可能不符合磋商文件规定等情况需要澄清时，磋商小组将以询标的方式告知并要求投标人进行必要的澄清、说明或补正。</w:t>
      </w:r>
    </w:p>
    <w:p w14:paraId="5B891E3E">
      <w:pPr>
        <w:adjustRightInd w:val="0"/>
        <w:snapToGrid w:val="0"/>
        <w:spacing w:line="360" w:lineRule="auto"/>
        <w:ind w:right="-10" w:firstLine="420" w:firstLineChars="17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对于询标后判定的结论（如通过或不通过），磋商小组应提出充足的理由，根据磋商文件给定的评审指标进行判定，并予以书面记录。</w:t>
      </w:r>
    </w:p>
    <w:p w14:paraId="737EC44C">
      <w:pPr>
        <w:adjustRightInd w:val="0"/>
        <w:snapToGrid w:val="0"/>
        <w:spacing w:line="360" w:lineRule="auto"/>
        <w:ind w:right="-10" w:firstLine="480" w:firstLineChars="20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szCs w:val="24"/>
          <w:highlight w:val="none"/>
        </w:rPr>
        <w:t>磋商小组独立评审后，对投标人某项评审指标如有不同意见，按照少数服从多数的原则，确定该项评审指标的最终结论。</w:t>
      </w:r>
    </w:p>
    <w:p w14:paraId="1C9F51C8">
      <w:pPr>
        <w:adjustRightInd w:val="0"/>
        <w:snapToGrid w:val="0"/>
        <w:spacing w:line="360" w:lineRule="auto"/>
        <w:ind w:right="-10"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9.磋商与评审程序</w:t>
      </w:r>
    </w:p>
    <w:p w14:paraId="16AB2E5C">
      <w:pPr>
        <w:adjustRightInd w:val="0"/>
        <w:snapToGrid w:val="0"/>
        <w:spacing w:line="360" w:lineRule="auto"/>
        <w:ind w:right="-10"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szCs w:val="24"/>
          <w:highlight w:val="none"/>
        </w:rPr>
        <w:t>本项目采用</w:t>
      </w:r>
      <w:r>
        <w:rPr>
          <w:rFonts w:hint="eastAsia" w:ascii="宋体" w:hAnsi="宋体" w:eastAsia="宋体" w:cs="宋体"/>
          <w:bCs/>
          <w:color w:val="auto"/>
          <w:sz w:val="24"/>
          <w:highlight w:val="none"/>
        </w:rPr>
        <w:t>综合评分法</w:t>
      </w:r>
      <w:r>
        <w:rPr>
          <w:rFonts w:hint="eastAsia" w:ascii="宋体" w:hAnsi="宋体" w:eastAsia="宋体" w:cs="宋体"/>
          <w:bCs/>
          <w:color w:val="auto"/>
          <w:sz w:val="24"/>
          <w:szCs w:val="24"/>
          <w:highlight w:val="none"/>
        </w:rPr>
        <w:t>进行评审，</w:t>
      </w:r>
      <w:r>
        <w:rPr>
          <w:rFonts w:hint="eastAsia" w:ascii="宋体" w:hAnsi="宋体" w:eastAsia="宋体" w:cs="宋体"/>
          <w:bCs/>
          <w:color w:val="auto"/>
          <w:sz w:val="24"/>
          <w:highlight w:val="none"/>
        </w:rPr>
        <w:t>在最大限度地满足磋商文件实质性要求前提下，按照磋商文件中规定的各项因素进行综合评审。综合评分法的主要因素是：技术部分、商务部分以及相应的比重。</w:t>
      </w:r>
    </w:p>
    <w:p w14:paraId="4EE3BF4A">
      <w:pPr>
        <w:adjustRightInd w:val="0"/>
        <w:snapToGrid w:val="0"/>
        <w:spacing w:line="360" w:lineRule="auto"/>
        <w:ind w:right="-10" w:firstLine="420" w:firstLineChars="175"/>
        <w:rPr>
          <w:rFonts w:hint="eastAsia" w:ascii="宋体" w:hAnsi="宋体" w:eastAsia="宋体" w:cs="宋体"/>
          <w:bCs/>
          <w:color w:val="auto"/>
          <w:sz w:val="24"/>
          <w:highlight w:val="none"/>
        </w:rPr>
      </w:pPr>
      <w:r>
        <w:rPr>
          <w:rFonts w:hint="eastAsia" w:ascii="宋体" w:hAnsi="宋体" w:eastAsia="宋体" w:cs="宋体"/>
          <w:color w:val="auto"/>
          <w:kern w:val="0"/>
          <w:sz w:val="24"/>
          <w:highlight w:val="none"/>
        </w:rPr>
        <w:t>磋商小组</w:t>
      </w:r>
      <w:r>
        <w:rPr>
          <w:rFonts w:hint="eastAsia" w:ascii="宋体" w:hAnsi="宋体" w:eastAsia="宋体" w:cs="宋体"/>
          <w:bCs/>
          <w:color w:val="auto"/>
          <w:sz w:val="24"/>
          <w:szCs w:val="24"/>
          <w:highlight w:val="none"/>
        </w:rPr>
        <w:t>遵循规定的评审原则，对投标人进行初审、详细评审、商务部分得分计算和确定中标候选人。</w:t>
      </w:r>
    </w:p>
    <w:p w14:paraId="7CB2FDC7">
      <w:pPr>
        <w:spacing w:line="360" w:lineRule="auto"/>
        <w:ind w:firstLine="54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9.1初审</w:t>
      </w:r>
    </w:p>
    <w:p w14:paraId="664F2B35">
      <w:pPr>
        <w:adjustRightInd w:val="0"/>
        <w:snapToGrid w:val="0"/>
        <w:spacing w:line="360" w:lineRule="auto"/>
        <w:ind w:right="-10" w:firstLine="420" w:firstLineChars="175"/>
        <w:rPr>
          <w:rFonts w:hint="eastAsia" w:ascii="宋体" w:hAnsi="宋体" w:eastAsia="宋体" w:cs="宋体"/>
          <w:bCs/>
          <w:color w:val="auto"/>
          <w:sz w:val="24"/>
          <w:szCs w:val="24"/>
          <w:highlight w:val="none"/>
        </w:rPr>
      </w:pPr>
      <w:r>
        <w:rPr>
          <w:rFonts w:hint="eastAsia" w:ascii="宋体" w:hAnsi="宋体" w:eastAsia="宋体" w:cs="宋体"/>
          <w:color w:val="auto"/>
          <w:kern w:val="0"/>
          <w:sz w:val="24"/>
          <w:highlight w:val="none"/>
        </w:rPr>
        <w:t>磋商小组</w:t>
      </w:r>
      <w:r>
        <w:rPr>
          <w:rFonts w:hint="eastAsia" w:ascii="宋体" w:hAnsi="宋体" w:eastAsia="宋体" w:cs="宋体"/>
          <w:bCs/>
          <w:color w:val="auto"/>
          <w:sz w:val="24"/>
          <w:szCs w:val="24"/>
          <w:highlight w:val="none"/>
        </w:rPr>
        <w:t>按下表内容对所有投标人进行初审：</w:t>
      </w:r>
    </w:p>
    <w:tbl>
      <w:tblPr>
        <w:tblStyle w:val="20"/>
        <w:tblW w:w="9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2606"/>
        <w:gridCol w:w="2408"/>
        <w:gridCol w:w="710"/>
        <w:gridCol w:w="3264"/>
      </w:tblGrid>
      <w:tr w14:paraId="5386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08" w:type="dxa"/>
            <w:gridSpan w:val="5"/>
            <w:noWrap w:val="0"/>
            <w:vAlign w:val="center"/>
          </w:tcPr>
          <w:p w14:paraId="602C0B4D">
            <w:pPr>
              <w:pStyle w:val="29"/>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b/>
                <w:color w:val="auto"/>
                <w:spacing w:val="0"/>
                <w:kern w:val="21"/>
                <w:sz w:val="24"/>
                <w:szCs w:val="24"/>
                <w:highlight w:val="none"/>
              </w:rPr>
              <w:t>评审表（有效性评审指标一览表）</w:t>
            </w:r>
          </w:p>
        </w:tc>
      </w:tr>
      <w:tr w14:paraId="31DD6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tcBorders>
              <w:bottom w:val="single" w:color="auto" w:sz="4" w:space="0"/>
            </w:tcBorders>
            <w:noWrap w:val="0"/>
            <w:vAlign w:val="center"/>
          </w:tcPr>
          <w:p w14:paraId="35066C44">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序号</w:t>
            </w:r>
          </w:p>
        </w:tc>
        <w:tc>
          <w:tcPr>
            <w:tcW w:w="2606" w:type="dxa"/>
            <w:tcBorders>
              <w:bottom w:val="single" w:color="auto" w:sz="4" w:space="0"/>
            </w:tcBorders>
            <w:noWrap w:val="0"/>
            <w:vAlign w:val="center"/>
          </w:tcPr>
          <w:p w14:paraId="3C0AE477">
            <w:pPr>
              <w:pStyle w:val="29"/>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ind w:right="0"/>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指标名称</w:t>
            </w:r>
          </w:p>
        </w:tc>
        <w:tc>
          <w:tcPr>
            <w:tcW w:w="2408" w:type="dxa"/>
            <w:tcBorders>
              <w:bottom w:val="single" w:color="auto" w:sz="4" w:space="0"/>
            </w:tcBorders>
            <w:noWrap w:val="0"/>
            <w:vAlign w:val="center"/>
          </w:tcPr>
          <w:p w14:paraId="53E3C00A">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指标要求</w:t>
            </w:r>
          </w:p>
        </w:tc>
        <w:tc>
          <w:tcPr>
            <w:tcW w:w="710" w:type="dxa"/>
            <w:tcBorders>
              <w:bottom w:val="single" w:color="auto" w:sz="4" w:space="0"/>
            </w:tcBorders>
            <w:noWrap w:val="0"/>
            <w:vAlign w:val="center"/>
          </w:tcPr>
          <w:p w14:paraId="71F8308C">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是否通过</w:t>
            </w:r>
          </w:p>
        </w:tc>
        <w:tc>
          <w:tcPr>
            <w:tcW w:w="3264" w:type="dxa"/>
            <w:tcBorders>
              <w:bottom w:val="single" w:color="auto" w:sz="4" w:space="0"/>
            </w:tcBorders>
            <w:noWrap w:val="0"/>
            <w:vAlign w:val="center"/>
          </w:tcPr>
          <w:p w14:paraId="11D6BB4F">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响应文件格式及提交资料要求</w:t>
            </w:r>
          </w:p>
        </w:tc>
      </w:tr>
      <w:tr w14:paraId="0870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tcBorders>
              <w:bottom w:val="single" w:color="auto" w:sz="4" w:space="0"/>
            </w:tcBorders>
            <w:noWrap w:val="0"/>
            <w:vAlign w:val="center"/>
          </w:tcPr>
          <w:p w14:paraId="435AEFB7">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1</w:t>
            </w:r>
          </w:p>
        </w:tc>
        <w:tc>
          <w:tcPr>
            <w:tcW w:w="2606" w:type="dxa"/>
            <w:tcBorders>
              <w:bottom w:val="single" w:color="auto" w:sz="4" w:space="0"/>
            </w:tcBorders>
            <w:noWrap w:val="0"/>
            <w:vAlign w:val="center"/>
          </w:tcPr>
          <w:p w14:paraId="688BAB79">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营业执照</w:t>
            </w:r>
          </w:p>
        </w:tc>
        <w:tc>
          <w:tcPr>
            <w:tcW w:w="2408" w:type="dxa"/>
            <w:tcBorders>
              <w:bottom w:val="single" w:color="auto" w:sz="4" w:space="0"/>
            </w:tcBorders>
            <w:noWrap w:val="0"/>
            <w:vAlign w:val="center"/>
          </w:tcPr>
          <w:p w14:paraId="6B2FBB79">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合法有效</w:t>
            </w:r>
          </w:p>
        </w:tc>
        <w:tc>
          <w:tcPr>
            <w:tcW w:w="710" w:type="dxa"/>
            <w:tcBorders>
              <w:bottom w:val="single" w:color="auto" w:sz="4" w:space="0"/>
            </w:tcBorders>
            <w:noWrap w:val="0"/>
            <w:vAlign w:val="center"/>
          </w:tcPr>
          <w:p w14:paraId="4427AA9C">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p>
        </w:tc>
        <w:tc>
          <w:tcPr>
            <w:tcW w:w="3264" w:type="dxa"/>
            <w:vMerge w:val="restart"/>
            <w:noWrap w:val="0"/>
            <w:vAlign w:val="center"/>
          </w:tcPr>
          <w:p w14:paraId="0B9D14CC">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highlight w:val="none"/>
              </w:rPr>
              <w:t>提供有效的投标人营业执照（或事业单位法人登记证书）</w:t>
            </w:r>
          </w:p>
        </w:tc>
      </w:tr>
      <w:tr w14:paraId="7A32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tcBorders>
              <w:bottom w:val="single" w:color="auto" w:sz="4" w:space="0"/>
            </w:tcBorders>
            <w:noWrap w:val="0"/>
            <w:vAlign w:val="center"/>
          </w:tcPr>
          <w:p w14:paraId="55A175AA">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lang w:val="en-US" w:eastAsia="zh-CN"/>
              </w:rPr>
            </w:pPr>
            <w:r>
              <w:rPr>
                <w:rFonts w:hint="eastAsia" w:ascii="宋体" w:hAnsi="宋体" w:eastAsia="宋体" w:cs="宋体"/>
                <w:color w:val="auto"/>
                <w:spacing w:val="0"/>
                <w:kern w:val="21"/>
                <w:sz w:val="24"/>
                <w:szCs w:val="24"/>
                <w:highlight w:val="none"/>
                <w:lang w:val="en-US" w:eastAsia="zh-CN"/>
              </w:rPr>
              <w:t>2</w:t>
            </w:r>
          </w:p>
        </w:tc>
        <w:tc>
          <w:tcPr>
            <w:tcW w:w="2606" w:type="dxa"/>
            <w:tcBorders>
              <w:bottom w:val="single" w:color="auto" w:sz="4" w:space="0"/>
            </w:tcBorders>
            <w:noWrap w:val="0"/>
            <w:vAlign w:val="center"/>
          </w:tcPr>
          <w:p w14:paraId="6CC0E55D">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color w:val="auto"/>
                <w:spacing w:val="0"/>
                <w:kern w:val="21"/>
                <w:sz w:val="24"/>
                <w:szCs w:val="24"/>
                <w:highlight w:val="none"/>
                <w:lang w:val="en-US" w:eastAsia="zh-CN"/>
              </w:rPr>
            </w:pPr>
            <w:r>
              <w:rPr>
                <w:rFonts w:hint="eastAsia" w:ascii="宋体" w:hAnsi="宋体" w:eastAsia="宋体" w:cs="宋体"/>
                <w:color w:val="auto"/>
                <w:spacing w:val="0"/>
                <w:kern w:val="21"/>
                <w:sz w:val="24"/>
                <w:szCs w:val="24"/>
                <w:highlight w:val="none"/>
              </w:rPr>
              <w:t>磋商公告</w:t>
            </w:r>
            <w:r>
              <w:rPr>
                <w:rFonts w:hint="eastAsia" w:ascii="宋体" w:hAnsi="宋体" w:eastAsia="宋体" w:cs="宋体"/>
                <w:color w:val="auto"/>
                <w:spacing w:val="0"/>
                <w:kern w:val="21"/>
                <w:sz w:val="24"/>
                <w:szCs w:val="24"/>
                <w:highlight w:val="none"/>
                <w:lang w:val="en-US" w:eastAsia="zh-CN"/>
              </w:rPr>
              <w:t>投标人资格要求</w:t>
            </w:r>
          </w:p>
        </w:tc>
        <w:tc>
          <w:tcPr>
            <w:tcW w:w="2408" w:type="dxa"/>
            <w:tcBorders>
              <w:bottom w:val="single" w:color="auto" w:sz="4" w:space="0"/>
            </w:tcBorders>
            <w:noWrap w:val="0"/>
            <w:vAlign w:val="center"/>
          </w:tcPr>
          <w:p w14:paraId="064CC91A">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符合磋商文件要求</w:t>
            </w:r>
          </w:p>
        </w:tc>
        <w:tc>
          <w:tcPr>
            <w:tcW w:w="710" w:type="dxa"/>
            <w:tcBorders>
              <w:bottom w:val="single" w:color="auto" w:sz="4" w:space="0"/>
            </w:tcBorders>
            <w:noWrap w:val="0"/>
            <w:vAlign w:val="center"/>
          </w:tcPr>
          <w:p w14:paraId="7D8FA368">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p>
        </w:tc>
        <w:tc>
          <w:tcPr>
            <w:tcW w:w="3264" w:type="dxa"/>
            <w:vMerge w:val="continue"/>
            <w:tcBorders>
              <w:bottom w:val="single" w:color="auto" w:sz="4" w:space="0"/>
            </w:tcBorders>
            <w:noWrap w:val="0"/>
            <w:vAlign w:val="center"/>
          </w:tcPr>
          <w:p w14:paraId="057E65D2">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highlight w:val="none"/>
              </w:rPr>
            </w:pPr>
          </w:p>
        </w:tc>
      </w:tr>
      <w:tr w14:paraId="5064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noWrap w:val="0"/>
            <w:vAlign w:val="center"/>
          </w:tcPr>
          <w:p w14:paraId="2BEC9B16">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lang w:eastAsia="zh-CN"/>
              </w:rPr>
            </w:pPr>
            <w:r>
              <w:rPr>
                <w:rFonts w:hint="eastAsia" w:ascii="宋体" w:hAnsi="宋体" w:eastAsia="宋体" w:cs="宋体"/>
                <w:color w:val="auto"/>
                <w:spacing w:val="0"/>
                <w:kern w:val="21"/>
                <w:sz w:val="24"/>
                <w:szCs w:val="24"/>
                <w:highlight w:val="none"/>
                <w:lang w:val="en-US" w:eastAsia="zh-CN"/>
              </w:rPr>
              <w:t>3</w:t>
            </w:r>
          </w:p>
        </w:tc>
        <w:tc>
          <w:tcPr>
            <w:tcW w:w="2606" w:type="dxa"/>
            <w:noWrap w:val="0"/>
            <w:vAlign w:val="center"/>
          </w:tcPr>
          <w:p w14:paraId="7D45C133">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投标函</w:t>
            </w:r>
          </w:p>
        </w:tc>
        <w:tc>
          <w:tcPr>
            <w:tcW w:w="2408" w:type="dxa"/>
            <w:noWrap w:val="0"/>
            <w:vAlign w:val="center"/>
          </w:tcPr>
          <w:p w14:paraId="142E13AC">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符合磋商文件要求</w:t>
            </w:r>
          </w:p>
        </w:tc>
        <w:tc>
          <w:tcPr>
            <w:tcW w:w="710" w:type="dxa"/>
            <w:noWrap w:val="0"/>
            <w:vAlign w:val="center"/>
          </w:tcPr>
          <w:p w14:paraId="5C16D762">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p>
        </w:tc>
        <w:tc>
          <w:tcPr>
            <w:tcW w:w="3264" w:type="dxa"/>
            <w:noWrap w:val="0"/>
            <w:vAlign w:val="center"/>
          </w:tcPr>
          <w:p w14:paraId="6A218BC2">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p>
        </w:tc>
      </w:tr>
      <w:tr w14:paraId="3ECC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noWrap w:val="0"/>
            <w:vAlign w:val="center"/>
          </w:tcPr>
          <w:p w14:paraId="135AFAB7">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lang w:eastAsia="zh-CN"/>
              </w:rPr>
            </w:pPr>
            <w:r>
              <w:rPr>
                <w:rFonts w:hint="eastAsia" w:ascii="宋体" w:hAnsi="宋体" w:eastAsia="宋体" w:cs="宋体"/>
                <w:color w:val="auto"/>
                <w:spacing w:val="0"/>
                <w:kern w:val="21"/>
                <w:sz w:val="24"/>
                <w:szCs w:val="24"/>
                <w:highlight w:val="none"/>
                <w:lang w:val="en-US" w:eastAsia="zh-CN"/>
              </w:rPr>
              <w:t>4</w:t>
            </w:r>
          </w:p>
        </w:tc>
        <w:tc>
          <w:tcPr>
            <w:tcW w:w="2606" w:type="dxa"/>
            <w:noWrap w:val="0"/>
            <w:vAlign w:val="center"/>
          </w:tcPr>
          <w:p w14:paraId="251088AA">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8"/>
                <w:highlight w:val="none"/>
                <w:lang w:eastAsia="zh-CN"/>
              </w:rPr>
            </w:pPr>
            <w:r>
              <w:rPr>
                <w:rFonts w:hint="eastAsia" w:ascii="宋体" w:hAnsi="宋体" w:eastAsia="宋体" w:cs="宋体"/>
                <w:color w:val="auto"/>
                <w:spacing w:val="0"/>
                <w:kern w:val="21"/>
                <w:sz w:val="24"/>
                <w:szCs w:val="28"/>
                <w:highlight w:val="none"/>
                <w:lang w:eastAsia="zh-CN"/>
              </w:rPr>
              <w:t>投标授权书</w:t>
            </w:r>
          </w:p>
        </w:tc>
        <w:tc>
          <w:tcPr>
            <w:tcW w:w="2408" w:type="dxa"/>
            <w:noWrap w:val="0"/>
            <w:vAlign w:val="center"/>
          </w:tcPr>
          <w:p w14:paraId="7D5DF716">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8"/>
                <w:highlight w:val="none"/>
                <w:lang w:eastAsia="zh-CN"/>
              </w:rPr>
            </w:pPr>
            <w:r>
              <w:rPr>
                <w:rFonts w:hint="eastAsia" w:ascii="宋体" w:hAnsi="宋体" w:eastAsia="宋体" w:cs="宋体"/>
                <w:color w:val="auto"/>
                <w:spacing w:val="0"/>
                <w:kern w:val="21"/>
                <w:sz w:val="24"/>
                <w:szCs w:val="28"/>
                <w:highlight w:val="none"/>
                <w:lang w:eastAsia="zh-CN"/>
              </w:rPr>
              <w:t>符合磋商文件要求</w:t>
            </w:r>
          </w:p>
        </w:tc>
        <w:tc>
          <w:tcPr>
            <w:tcW w:w="710" w:type="dxa"/>
            <w:noWrap w:val="0"/>
            <w:vAlign w:val="center"/>
          </w:tcPr>
          <w:p w14:paraId="3A8048F7">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p>
        </w:tc>
        <w:tc>
          <w:tcPr>
            <w:tcW w:w="3264" w:type="dxa"/>
            <w:noWrap w:val="0"/>
            <w:vAlign w:val="center"/>
          </w:tcPr>
          <w:p w14:paraId="20D09DC2">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详见第七章响应文件格式“投标授权书”</w:t>
            </w:r>
          </w:p>
        </w:tc>
      </w:tr>
      <w:tr w14:paraId="3478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noWrap w:val="0"/>
            <w:vAlign w:val="center"/>
          </w:tcPr>
          <w:p w14:paraId="674C7EB0">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lang w:val="en-US" w:eastAsia="zh-CN"/>
              </w:rPr>
            </w:pPr>
            <w:r>
              <w:rPr>
                <w:rFonts w:hint="eastAsia" w:ascii="宋体" w:hAnsi="宋体" w:cs="宋体"/>
                <w:color w:val="auto"/>
                <w:spacing w:val="0"/>
                <w:kern w:val="21"/>
                <w:sz w:val="24"/>
                <w:szCs w:val="24"/>
                <w:highlight w:val="none"/>
                <w:lang w:val="en-US" w:eastAsia="zh-CN"/>
              </w:rPr>
              <w:t>5</w:t>
            </w:r>
          </w:p>
        </w:tc>
        <w:tc>
          <w:tcPr>
            <w:tcW w:w="2606" w:type="dxa"/>
            <w:noWrap w:val="0"/>
            <w:vAlign w:val="center"/>
          </w:tcPr>
          <w:p w14:paraId="40E20EA2">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磋商保证金</w:t>
            </w:r>
          </w:p>
        </w:tc>
        <w:tc>
          <w:tcPr>
            <w:tcW w:w="2408" w:type="dxa"/>
            <w:noWrap w:val="0"/>
            <w:vAlign w:val="center"/>
          </w:tcPr>
          <w:p w14:paraId="7EE6FF67">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符合磋商文件要求</w:t>
            </w:r>
          </w:p>
        </w:tc>
        <w:tc>
          <w:tcPr>
            <w:tcW w:w="710" w:type="dxa"/>
            <w:noWrap w:val="0"/>
            <w:vAlign w:val="center"/>
          </w:tcPr>
          <w:p w14:paraId="35BD7743">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p>
        </w:tc>
        <w:tc>
          <w:tcPr>
            <w:tcW w:w="3264" w:type="dxa"/>
            <w:noWrap w:val="0"/>
            <w:vAlign w:val="center"/>
          </w:tcPr>
          <w:p w14:paraId="36D9CC2A">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lang w:val="en-US" w:eastAsia="zh-CN"/>
              </w:rPr>
            </w:pPr>
            <w:r>
              <w:rPr>
                <w:rFonts w:hint="eastAsia" w:ascii="宋体" w:hAnsi="宋体" w:eastAsia="宋体" w:cs="宋体"/>
                <w:color w:val="auto"/>
                <w:spacing w:val="0"/>
                <w:kern w:val="21"/>
                <w:sz w:val="24"/>
                <w:szCs w:val="24"/>
                <w:highlight w:val="none"/>
              </w:rPr>
              <w:t>投标人须知前附表及第三章投标人须知</w:t>
            </w:r>
            <w:r>
              <w:rPr>
                <w:rFonts w:hint="eastAsia" w:ascii="宋体" w:hAnsi="宋体" w:eastAsia="宋体" w:cs="宋体"/>
                <w:color w:val="auto"/>
                <w:spacing w:val="0"/>
                <w:kern w:val="21"/>
                <w:sz w:val="24"/>
                <w:szCs w:val="24"/>
                <w:highlight w:val="none"/>
                <w:lang w:val="en-US" w:eastAsia="zh-CN"/>
              </w:rPr>
              <w:t>18</w:t>
            </w:r>
            <w:r>
              <w:rPr>
                <w:rFonts w:hint="eastAsia" w:ascii="宋体" w:hAnsi="宋体" w:eastAsia="宋体" w:cs="宋体"/>
                <w:color w:val="auto"/>
                <w:spacing w:val="0"/>
                <w:kern w:val="21"/>
                <w:sz w:val="24"/>
                <w:szCs w:val="24"/>
                <w:highlight w:val="none"/>
              </w:rPr>
              <w:t>条</w:t>
            </w:r>
            <w:r>
              <w:rPr>
                <w:rFonts w:hint="eastAsia" w:ascii="宋体" w:hAnsi="宋体" w:eastAsia="宋体" w:cs="宋体"/>
                <w:color w:val="auto"/>
                <w:spacing w:val="0"/>
                <w:kern w:val="21"/>
                <w:sz w:val="24"/>
                <w:szCs w:val="24"/>
                <w:highlight w:val="none"/>
                <w:lang w:eastAsia="zh-CN"/>
              </w:rPr>
              <w:t>（</w:t>
            </w:r>
            <w:r>
              <w:rPr>
                <w:rFonts w:hint="eastAsia" w:ascii="宋体" w:hAnsi="宋体" w:eastAsia="宋体" w:cs="宋体"/>
                <w:color w:val="auto"/>
                <w:spacing w:val="0"/>
                <w:kern w:val="21"/>
                <w:sz w:val="24"/>
                <w:szCs w:val="24"/>
                <w:highlight w:val="none"/>
                <w:lang w:val="en-US" w:eastAsia="zh-CN"/>
              </w:rPr>
              <w:t>以县公共资源交易公司财务查询为准</w:t>
            </w:r>
            <w:r>
              <w:rPr>
                <w:rFonts w:hint="eastAsia" w:ascii="宋体" w:hAnsi="宋体" w:eastAsia="宋体" w:cs="宋体"/>
                <w:color w:val="auto"/>
                <w:spacing w:val="0"/>
                <w:kern w:val="21"/>
                <w:sz w:val="24"/>
                <w:szCs w:val="24"/>
                <w:highlight w:val="none"/>
                <w:lang w:eastAsia="zh-CN"/>
              </w:rPr>
              <w:t>）</w:t>
            </w:r>
          </w:p>
        </w:tc>
      </w:tr>
      <w:tr w14:paraId="0BA1B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noWrap w:val="0"/>
            <w:vAlign w:val="center"/>
          </w:tcPr>
          <w:p w14:paraId="00A66DAE">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lang w:val="en-US" w:eastAsia="zh-CN"/>
              </w:rPr>
            </w:pPr>
            <w:r>
              <w:rPr>
                <w:rFonts w:hint="eastAsia" w:ascii="宋体" w:hAnsi="宋体" w:cs="宋体"/>
                <w:color w:val="auto"/>
                <w:spacing w:val="0"/>
                <w:kern w:val="21"/>
                <w:sz w:val="24"/>
                <w:szCs w:val="24"/>
                <w:highlight w:val="none"/>
                <w:lang w:val="en-US" w:eastAsia="zh-CN"/>
              </w:rPr>
              <w:t>6</w:t>
            </w:r>
          </w:p>
        </w:tc>
        <w:tc>
          <w:tcPr>
            <w:tcW w:w="2606" w:type="dxa"/>
            <w:noWrap w:val="0"/>
            <w:vAlign w:val="center"/>
          </w:tcPr>
          <w:p w14:paraId="524EF046">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8"/>
                <w:highlight w:val="none"/>
                <w:lang w:eastAsia="zh-CN"/>
              </w:rPr>
              <w:t>投标</w:t>
            </w:r>
            <w:r>
              <w:rPr>
                <w:rFonts w:hint="eastAsia" w:ascii="宋体" w:hAnsi="宋体" w:eastAsia="宋体" w:cs="宋体"/>
                <w:color w:val="auto"/>
                <w:spacing w:val="0"/>
                <w:kern w:val="21"/>
                <w:sz w:val="24"/>
                <w:szCs w:val="28"/>
                <w:highlight w:val="none"/>
              </w:rPr>
              <w:t>报价</w:t>
            </w:r>
          </w:p>
        </w:tc>
        <w:tc>
          <w:tcPr>
            <w:tcW w:w="2408" w:type="dxa"/>
            <w:noWrap w:val="0"/>
            <w:vAlign w:val="center"/>
          </w:tcPr>
          <w:p w14:paraId="10F0A8D9">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8"/>
                <w:highlight w:val="none"/>
              </w:rPr>
              <w:t>符合磋商</w:t>
            </w:r>
            <w:r>
              <w:rPr>
                <w:rFonts w:hint="eastAsia" w:ascii="宋体" w:hAnsi="宋体" w:eastAsia="宋体" w:cs="宋体"/>
                <w:color w:val="auto"/>
                <w:spacing w:val="0"/>
                <w:kern w:val="21"/>
                <w:sz w:val="24"/>
                <w:highlight w:val="none"/>
              </w:rPr>
              <w:t>文件要求</w:t>
            </w:r>
          </w:p>
        </w:tc>
        <w:tc>
          <w:tcPr>
            <w:tcW w:w="710" w:type="dxa"/>
            <w:noWrap w:val="0"/>
            <w:vAlign w:val="center"/>
          </w:tcPr>
          <w:p w14:paraId="5EF31180">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p>
        </w:tc>
        <w:tc>
          <w:tcPr>
            <w:tcW w:w="3264" w:type="dxa"/>
            <w:noWrap w:val="0"/>
            <w:vAlign w:val="center"/>
          </w:tcPr>
          <w:p w14:paraId="682C2A65">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p>
        </w:tc>
      </w:tr>
      <w:tr w14:paraId="34FF7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noWrap w:val="0"/>
            <w:vAlign w:val="center"/>
          </w:tcPr>
          <w:p w14:paraId="5A4FED5C">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lang w:eastAsia="zh-CN"/>
              </w:rPr>
            </w:pPr>
            <w:r>
              <w:rPr>
                <w:rFonts w:hint="eastAsia" w:ascii="宋体" w:hAnsi="宋体" w:cs="宋体"/>
                <w:color w:val="auto"/>
                <w:spacing w:val="0"/>
                <w:kern w:val="21"/>
                <w:sz w:val="24"/>
                <w:szCs w:val="24"/>
                <w:highlight w:val="none"/>
                <w:lang w:val="en-US" w:eastAsia="zh-CN"/>
              </w:rPr>
              <w:t>7</w:t>
            </w:r>
          </w:p>
        </w:tc>
        <w:tc>
          <w:tcPr>
            <w:tcW w:w="2606" w:type="dxa"/>
            <w:noWrap w:val="0"/>
            <w:vAlign w:val="center"/>
          </w:tcPr>
          <w:p w14:paraId="0891825F">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投标人信用承诺</w:t>
            </w:r>
          </w:p>
        </w:tc>
        <w:tc>
          <w:tcPr>
            <w:tcW w:w="2408" w:type="dxa"/>
            <w:noWrap w:val="0"/>
            <w:vAlign w:val="center"/>
          </w:tcPr>
          <w:p w14:paraId="5233855D">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符合磋商公告要求</w:t>
            </w:r>
          </w:p>
        </w:tc>
        <w:tc>
          <w:tcPr>
            <w:tcW w:w="710" w:type="dxa"/>
            <w:noWrap w:val="0"/>
            <w:vAlign w:val="center"/>
          </w:tcPr>
          <w:p w14:paraId="68952A05">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p>
        </w:tc>
        <w:tc>
          <w:tcPr>
            <w:tcW w:w="3264" w:type="dxa"/>
            <w:noWrap w:val="0"/>
            <w:vAlign w:val="center"/>
          </w:tcPr>
          <w:p w14:paraId="68283B89">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不存在第一章磋商邀请（磋商公告）“二、投标人资格”中“投标人存在以下不良信用记录情形”规定的任何一种情形。投标人在投标函中承诺，不需要提供相关证明。</w:t>
            </w:r>
          </w:p>
        </w:tc>
      </w:tr>
      <w:tr w14:paraId="2B02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noWrap w:val="0"/>
            <w:vAlign w:val="center"/>
          </w:tcPr>
          <w:p w14:paraId="6B6AF3BC">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strike/>
                <w:dstrike w:val="0"/>
                <w:color w:val="auto"/>
                <w:spacing w:val="0"/>
                <w:kern w:val="21"/>
                <w:sz w:val="24"/>
                <w:szCs w:val="24"/>
                <w:highlight w:val="none"/>
                <w:lang w:eastAsia="zh-CN"/>
              </w:rPr>
            </w:pPr>
            <w:r>
              <w:rPr>
                <w:rFonts w:hint="eastAsia" w:ascii="宋体" w:hAnsi="宋体" w:cs="宋体"/>
                <w:strike w:val="0"/>
                <w:dstrike w:val="0"/>
                <w:color w:val="auto"/>
                <w:spacing w:val="0"/>
                <w:kern w:val="21"/>
                <w:sz w:val="24"/>
                <w:szCs w:val="24"/>
                <w:highlight w:val="none"/>
                <w:lang w:val="en-US" w:eastAsia="zh-CN"/>
              </w:rPr>
              <w:t>8</w:t>
            </w:r>
          </w:p>
        </w:tc>
        <w:tc>
          <w:tcPr>
            <w:tcW w:w="2606" w:type="dxa"/>
            <w:noWrap w:val="0"/>
            <w:vAlign w:val="center"/>
          </w:tcPr>
          <w:p w14:paraId="7A78B21A">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标书响应情况</w:t>
            </w:r>
          </w:p>
        </w:tc>
        <w:tc>
          <w:tcPr>
            <w:tcW w:w="2408" w:type="dxa"/>
            <w:noWrap w:val="0"/>
            <w:vAlign w:val="center"/>
          </w:tcPr>
          <w:p w14:paraId="37768847">
            <w:pPr>
              <w:keepNext w:val="0"/>
              <w:keepLines w:val="0"/>
              <w:pageBreakBefore w:val="0"/>
              <w:widowControl w:val="0"/>
              <w:kinsoku/>
              <w:wordWrap/>
              <w:overflowPunct/>
              <w:topLinePunct w:val="0"/>
              <w:autoSpaceDE/>
              <w:autoSpaceDN/>
              <w:bidi w:val="0"/>
              <w:adjustRightInd/>
              <w:snapToGrid/>
              <w:spacing w:line="360" w:lineRule="auto"/>
              <w:ind w:right="0"/>
              <w:jc w:val="both"/>
              <w:textAlignment w:val="auto"/>
              <w:rPr>
                <w:rFonts w:hint="eastAsia" w:ascii="宋体" w:hAnsi="宋体" w:eastAsia="宋体" w:cs="宋体"/>
                <w:strike/>
                <w:dstrike w:val="0"/>
                <w:color w:val="auto"/>
                <w:spacing w:val="0"/>
                <w:kern w:val="21"/>
                <w:sz w:val="24"/>
                <w:szCs w:val="24"/>
                <w:highlight w:val="none"/>
              </w:rPr>
            </w:pPr>
            <w:r>
              <w:rPr>
                <w:rFonts w:hint="eastAsia" w:ascii="宋体" w:hAnsi="宋体" w:eastAsia="宋体" w:cs="宋体"/>
                <w:color w:val="auto"/>
                <w:spacing w:val="0"/>
                <w:kern w:val="21"/>
                <w:sz w:val="24"/>
                <w:highlight w:val="none"/>
                <w:lang w:eastAsia="zh-CN"/>
              </w:rPr>
              <w:t>服务期限</w:t>
            </w:r>
            <w:r>
              <w:rPr>
                <w:rFonts w:hint="eastAsia" w:ascii="宋体" w:hAnsi="宋体" w:eastAsia="宋体" w:cs="宋体"/>
                <w:color w:val="auto"/>
                <w:spacing w:val="0"/>
                <w:kern w:val="21"/>
                <w:sz w:val="24"/>
                <w:highlight w:val="none"/>
              </w:rPr>
              <w:t>响应、</w:t>
            </w:r>
            <w:r>
              <w:rPr>
                <w:rFonts w:hint="eastAsia" w:ascii="宋体" w:hAnsi="宋体" w:eastAsia="宋体" w:cs="宋体"/>
                <w:color w:val="auto"/>
                <w:spacing w:val="0"/>
                <w:kern w:val="21"/>
                <w:sz w:val="24"/>
                <w:highlight w:val="none"/>
                <w:lang w:eastAsia="zh-CN"/>
              </w:rPr>
              <w:t>服务地点</w:t>
            </w:r>
            <w:r>
              <w:rPr>
                <w:rFonts w:hint="eastAsia" w:ascii="宋体" w:hAnsi="宋体" w:eastAsia="宋体" w:cs="宋体"/>
                <w:color w:val="auto"/>
                <w:spacing w:val="0"/>
                <w:kern w:val="21"/>
                <w:sz w:val="24"/>
                <w:highlight w:val="none"/>
              </w:rPr>
              <w:t>响应</w:t>
            </w:r>
          </w:p>
        </w:tc>
        <w:tc>
          <w:tcPr>
            <w:tcW w:w="710" w:type="dxa"/>
            <w:noWrap w:val="0"/>
            <w:vAlign w:val="center"/>
          </w:tcPr>
          <w:p w14:paraId="1EE36F1E">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strike/>
                <w:dstrike w:val="0"/>
                <w:color w:val="auto"/>
                <w:spacing w:val="0"/>
                <w:kern w:val="21"/>
                <w:sz w:val="24"/>
                <w:szCs w:val="24"/>
                <w:highlight w:val="none"/>
              </w:rPr>
            </w:pPr>
          </w:p>
        </w:tc>
        <w:tc>
          <w:tcPr>
            <w:tcW w:w="3264" w:type="dxa"/>
            <w:noWrap w:val="0"/>
            <w:vAlign w:val="center"/>
          </w:tcPr>
          <w:p w14:paraId="02AC67F6">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strike/>
                <w:dstrike w:val="0"/>
                <w:color w:val="auto"/>
                <w:spacing w:val="0"/>
                <w:kern w:val="21"/>
                <w:sz w:val="24"/>
                <w:szCs w:val="24"/>
                <w:highlight w:val="none"/>
              </w:rPr>
            </w:pPr>
          </w:p>
        </w:tc>
      </w:tr>
      <w:tr w14:paraId="0BC2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noWrap w:val="0"/>
            <w:vAlign w:val="center"/>
          </w:tcPr>
          <w:p w14:paraId="15B7B17A">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lang w:val="en-US" w:eastAsia="zh-CN"/>
              </w:rPr>
            </w:pPr>
            <w:r>
              <w:rPr>
                <w:rFonts w:hint="eastAsia" w:ascii="宋体" w:hAnsi="宋体" w:cs="宋体"/>
                <w:color w:val="auto"/>
                <w:spacing w:val="0"/>
                <w:kern w:val="21"/>
                <w:sz w:val="24"/>
                <w:szCs w:val="24"/>
                <w:highlight w:val="none"/>
                <w:lang w:val="en-US" w:eastAsia="zh-CN"/>
              </w:rPr>
              <w:t>9</w:t>
            </w:r>
          </w:p>
        </w:tc>
        <w:tc>
          <w:tcPr>
            <w:tcW w:w="2606" w:type="dxa"/>
            <w:noWrap w:val="0"/>
            <w:vAlign w:val="center"/>
          </w:tcPr>
          <w:p w14:paraId="00CBF109">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其他要求</w:t>
            </w:r>
          </w:p>
        </w:tc>
        <w:tc>
          <w:tcPr>
            <w:tcW w:w="2408" w:type="dxa"/>
            <w:noWrap w:val="0"/>
            <w:vAlign w:val="center"/>
          </w:tcPr>
          <w:p w14:paraId="1C8E0F11">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r>
              <w:rPr>
                <w:rFonts w:hint="eastAsia" w:ascii="宋体" w:hAnsi="宋体" w:eastAsia="宋体" w:cs="宋体"/>
                <w:color w:val="auto"/>
                <w:spacing w:val="0"/>
                <w:kern w:val="21"/>
                <w:sz w:val="24"/>
                <w:szCs w:val="24"/>
                <w:highlight w:val="none"/>
              </w:rPr>
              <w:t>上述指标中未列出，但国家相关法律法规或磋商文件有明确规定的</w:t>
            </w:r>
          </w:p>
        </w:tc>
        <w:tc>
          <w:tcPr>
            <w:tcW w:w="710" w:type="dxa"/>
            <w:noWrap w:val="0"/>
            <w:vAlign w:val="center"/>
          </w:tcPr>
          <w:p w14:paraId="7968DFBB">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p>
        </w:tc>
        <w:tc>
          <w:tcPr>
            <w:tcW w:w="3264" w:type="dxa"/>
            <w:noWrap w:val="0"/>
            <w:vAlign w:val="center"/>
          </w:tcPr>
          <w:p w14:paraId="278F4F57">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pacing w:val="0"/>
                <w:kern w:val="21"/>
                <w:sz w:val="24"/>
                <w:szCs w:val="24"/>
                <w:highlight w:val="none"/>
              </w:rPr>
            </w:pPr>
          </w:p>
        </w:tc>
      </w:tr>
      <w:tr w14:paraId="2C151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08" w:type="dxa"/>
            <w:gridSpan w:val="5"/>
            <w:noWrap w:val="0"/>
            <w:vAlign w:val="center"/>
          </w:tcPr>
          <w:p w14:paraId="0E716A1B">
            <w:pPr>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宋体" w:hAnsi="宋体" w:eastAsia="宋体" w:cs="宋体"/>
                <w:b/>
                <w:color w:val="auto"/>
                <w:spacing w:val="0"/>
                <w:kern w:val="21"/>
                <w:sz w:val="24"/>
                <w:szCs w:val="24"/>
                <w:highlight w:val="none"/>
              </w:rPr>
            </w:pPr>
            <w:r>
              <w:rPr>
                <w:rFonts w:hint="eastAsia" w:ascii="宋体" w:hAnsi="宋体" w:eastAsia="宋体" w:cs="宋体"/>
                <w:b/>
                <w:color w:val="auto"/>
                <w:spacing w:val="0"/>
                <w:kern w:val="21"/>
                <w:sz w:val="24"/>
                <w:szCs w:val="24"/>
                <w:highlight w:val="none"/>
              </w:rPr>
              <w:t>评审指标通过标准：投标人必须通过上述全部指标。</w:t>
            </w:r>
          </w:p>
          <w:p w14:paraId="0278E443">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宋体" w:hAnsi="宋体" w:eastAsia="宋体" w:cs="宋体"/>
                <w:b/>
                <w:color w:val="auto"/>
                <w:spacing w:val="0"/>
                <w:kern w:val="21"/>
                <w:sz w:val="24"/>
                <w:szCs w:val="24"/>
                <w:highlight w:val="none"/>
              </w:rPr>
            </w:pPr>
            <w:r>
              <w:rPr>
                <w:rFonts w:hint="eastAsia" w:ascii="宋体" w:hAnsi="宋体" w:eastAsia="宋体" w:cs="宋体"/>
                <w:b/>
                <w:color w:val="auto"/>
                <w:spacing w:val="0"/>
                <w:kern w:val="21"/>
                <w:sz w:val="24"/>
                <w:szCs w:val="24"/>
                <w:highlight w:val="none"/>
              </w:rPr>
              <w:t>磋商小组根据表中所列各项指标对投标人是否为有效标进行评审，未列入上表中的指标不得作为否决磋商依据。符合评审指标通过标准的，为有效投标。未通过评审的投标人将不参与磋商。</w:t>
            </w:r>
          </w:p>
        </w:tc>
      </w:tr>
    </w:tbl>
    <w:p w14:paraId="1ED0EC96">
      <w:pPr>
        <w:adjustRightInd w:val="0"/>
        <w:snapToGrid w:val="0"/>
        <w:spacing w:line="360" w:lineRule="auto"/>
        <w:ind w:right="-10" w:firstLine="420" w:firstLineChars="175"/>
        <w:rPr>
          <w:rFonts w:hint="eastAsia" w:ascii="宋体" w:hAnsi="宋体" w:eastAsia="宋体" w:cs="宋体"/>
          <w:bCs/>
          <w:color w:val="auto"/>
          <w:sz w:val="24"/>
          <w:highlight w:val="none"/>
        </w:rPr>
      </w:pPr>
      <w:bookmarkStart w:id="51" w:name="_Hlk514734618"/>
      <w:r>
        <w:rPr>
          <w:rFonts w:hint="eastAsia" w:ascii="宋体" w:hAnsi="宋体" w:eastAsia="宋体" w:cs="宋体"/>
          <w:bCs/>
          <w:color w:val="auto"/>
          <w:sz w:val="24"/>
          <w:highlight w:val="none"/>
        </w:rPr>
        <w:t>9.2详细评审</w:t>
      </w:r>
    </w:p>
    <w:bookmarkEnd w:id="51"/>
    <w:p w14:paraId="65E8BBCC">
      <w:pPr>
        <w:adjustRightInd w:val="0"/>
        <w:snapToGrid w:val="0"/>
        <w:spacing w:line="360" w:lineRule="auto"/>
        <w:ind w:right="-10" w:firstLine="420" w:firstLineChars="17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9.2.1磋商小组将对所有通过初审的响应文件进行详细评审，具体如下：</w:t>
      </w:r>
    </w:p>
    <w:p w14:paraId="287FCECF">
      <w:pPr>
        <w:adjustRightInd w:val="0"/>
        <w:snapToGrid w:val="0"/>
        <w:spacing w:line="360" w:lineRule="auto"/>
        <w:ind w:right="-10" w:firstLine="420" w:firstLineChars="17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根据评分的细则，评委应对进入详细评审的所有响应文件进行评分，并分别填写打分表。</w:t>
      </w:r>
    </w:p>
    <w:p w14:paraId="00A5E265">
      <w:pPr>
        <w:adjustRightInd w:val="0"/>
        <w:snapToGrid w:val="0"/>
        <w:spacing w:line="360" w:lineRule="auto"/>
        <w:ind w:right="-10" w:firstLine="420" w:firstLineChars="17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磋商小组按本章第9.2.2款规定的技术部分详细评审指标对响应文件的技术部分进行打分，并计算出详细评审得分。</w:t>
      </w:r>
    </w:p>
    <w:p w14:paraId="62B51657">
      <w:pPr>
        <w:adjustRightInd w:val="0"/>
        <w:snapToGrid w:val="0"/>
        <w:spacing w:line="360" w:lineRule="auto"/>
        <w:ind w:right="-10" w:firstLine="420" w:firstLineChars="17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将投标人每个分值项得分进行汇总，得到该投标人的技术部分得分。</w:t>
      </w:r>
    </w:p>
    <w:p w14:paraId="61ECE271">
      <w:pPr>
        <w:adjustRightInd w:val="0"/>
        <w:snapToGrid w:val="0"/>
        <w:spacing w:line="360" w:lineRule="auto"/>
        <w:ind w:right="-10" w:firstLine="420" w:firstLineChars="17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投标人的各项得分均保留小数点后两位（小数点后第三位四舍五入）。</w:t>
      </w:r>
    </w:p>
    <w:p w14:paraId="219EA8BC">
      <w:pPr>
        <w:adjustRightInd w:val="0"/>
        <w:snapToGrid w:val="0"/>
        <w:spacing w:line="360" w:lineRule="auto"/>
        <w:ind w:right="-10" w:firstLine="420" w:firstLineChars="175"/>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9.2.2技术部分详细评审</w:t>
      </w:r>
      <w:bookmarkStart w:id="52" w:name="_Hlk514734883"/>
      <w:r>
        <w:rPr>
          <w:rFonts w:hint="eastAsia" w:ascii="宋体" w:hAnsi="宋体" w:eastAsia="宋体" w:cs="宋体"/>
          <w:bCs/>
          <w:color w:val="auto"/>
          <w:sz w:val="24"/>
          <w:highlight w:val="none"/>
        </w:rPr>
        <w:t>指标如下：</w:t>
      </w:r>
      <w:bookmarkEnd w:id="52"/>
    </w:p>
    <w:p w14:paraId="710979D7">
      <w:pPr>
        <w:spacing w:line="360" w:lineRule="auto"/>
        <w:ind w:firstLine="435"/>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本项目综合评分满分为100分，其中：技术资信分值占总分值的权重为</w:t>
      </w:r>
      <w:r>
        <w:rPr>
          <w:rFonts w:hint="eastAsia" w:ascii="宋体" w:hAnsi="宋体" w:cs="宋体"/>
          <w:b/>
          <w:bCs/>
          <w:color w:val="auto"/>
          <w:sz w:val="24"/>
          <w:highlight w:val="none"/>
          <w:u w:val="single"/>
          <w:lang w:val="en-US" w:eastAsia="zh-CN"/>
        </w:rPr>
        <w:t>80</w:t>
      </w:r>
      <w:r>
        <w:rPr>
          <w:rFonts w:hint="eastAsia" w:ascii="宋体" w:hAnsi="宋体" w:eastAsia="宋体" w:cs="宋体"/>
          <w:b/>
          <w:bCs/>
          <w:color w:val="auto"/>
          <w:sz w:val="24"/>
          <w:highlight w:val="none"/>
        </w:rPr>
        <w:t>%，价格分值占总分值的权重为</w:t>
      </w:r>
      <w:r>
        <w:rPr>
          <w:rFonts w:hint="eastAsia" w:ascii="宋体" w:hAnsi="宋体" w:cs="宋体"/>
          <w:b/>
          <w:bCs/>
          <w:color w:val="auto"/>
          <w:sz w:val="24"/>
          <w:highlight w:val="none"/>
          <w:u w:val="single"/>
          <w:lang w:val="en-US" w:eastAsia="zh-CN"/>
        </w:rPr>
        <w:t>20</w:t>
      </w:r>
      <w:r>
        <w:rPr>
          <w:rFonts w:hint="eastAsia" w:ascii="宋体" w:hAnsi="宋体" w:eastAsia="宋体" w:cs="宋体"/>
          <w:b/>
          <w:bCs/>
          <w:color w:val="auto"/>
          <w:sz w:val="24"/>
          <w:highlight w:val="none"/>
        </w:rPr>
        <w:t>%。具体评分细则如下：</w:t>
      </w:r>
    </w:p>
    <w:tbl>
      <w:tblPr>
        <w:tblStyle w:val="21"/>
        <w:tblW w:w="9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3"/>
        <w:gridCol w:w="1530"/>
        <w:gridCol w:w="5560"/>
        <w:gridCol w:w="1223"/>
      </w:tblGrid>
      <w:tr w14:paraId="11CF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Align w:val="center"/>
          </w:tcPr>
          <w:p w14:paraId="3361C54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1530" w:type="dxa"/>
            <w:vAlign w:val="center"/>
          </w:tcPr>
          <w:p w14:paraId="418B9B7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c>
          <w:tcPr>
            <w:tcW w:w="5560" w:type="dxa"/>
            <w:vAlign w:val="center"/>
          </w:tcPr>
          <w:p w14:paraId="66DA32C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c>
          <w:tcPr>
            <w:tcW w:w="1223" w:type="dxa"/>
            <w:vAlign w:val="center"/>
          </w:tcPr>
          <w:p w14:paraId="1FE80C0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w:t>
            </w:r>
          </w:p>
        </w:tc>
      </w:tr>
      <w:tr w14:paraId="692A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jc w:val="center"/>
        </w:trPr>
        <w:tc>
          <w:tcPr>
            <w:tcW w:w="1423" w:type="dxa"/>
            <w:vMerge w:val="restart"/>
            <w:vAlign w:val="center"/>
          </w:tcPr>
          <w:p w14:paraId="3C81286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技术资信分（</w:t>
            </w:r>
            <w:r>
              <w:rPr>
                <w:rFonts w:hint="eastAsia" w:ascii="宋体" w:hAnsi="宋体" w:eastAsia="宋体" w:cs="宋体"/>
                <w:color w:val="auto"/>
                <w:sz w:val="24"/>
                <w:szCs w:val="24"/>
                <w:highlight w:val="none"/>
                <w:lang w:val="en-US" w:eastAsia="zh-CN"/>
              </w:rPr>
              <w:t>80</w:t>
            </w:r>
            <w:r>
              <w:rPr>
                <w:rFonts w:hint="eastAsia" w:ascii="宋体" w:hAnsi="宋体" w:eastAsia="宋体" w:cs="宋体"/>
                <w:color w:val="auto"/>
                <w:sz w:val="24"/>
                <w:szCs w:val="24"/>
                <w:highlight w:val="none"/>
              </w:rPr>
              <w:t>分）</w:t>
            </w:r>
          </w:p>
        </w:tc>
        <w:tc>
          <w:tcPr>
            <w:tcW w:w="1530" w:type="dxa"/>
            <w:vAlign w:val="center"/>
          </w:tcPr>
          <w:p w14:paraId="6CB1B4A8">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服务方案</w:t>
            </w:r>
          </w:p>
        </w:tc>
        <w:tc>
          <w:tcPr>
            <w:tcW w:w="5560" w:type="dxa"/>
            <w:vAlign w:val="center"/>
          </w:tcPr>
          <w:p w14:paraId="49F0A5BA">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根据投标人响应文件中提供的服务方案，</w:t>
            </w:r>
            <w:r>
              <w:rPr>
                <w:rFonts w:hint="eastAsia" w:ascii="宋体" w:hAnsi="宋体" w:eastAsia="宋体" w:cs="宋体"/>
                <w:b/>
                <w:bCs/>
                <w:color w:val="auto"/>
                <w:kern w:val="0"/>
                <w:sz w:val="24"/>
                <w:szCs w:val="24"/>
                <w:highlight w:val="none"/>
              </w:rPr>
              <w:t>包括但不限于：</w:t>
            </w:r>
          </w:p>
          <w:p w14:paraId="715093FD">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1.月度、季度、半年度具体维保方案；</w:t>
            </w:r>
          </w:p>
          <w:p w14:paraId="71D3F84E">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2.消防维保应急响应方案</w:t>
            </w:r>
            <w:r>
              <w:rPr>
                <w:rFonts w:hint="eastAsia" w:ascii="宋体" w:hAnsi="宋体" w:eastAsia="宋体" w:cs="宋体"/>
                <w:b/>
                <w:bCs/>
                <w:color w:val="auto"/>
                <w:sz w:val="24"/>
                <w:szCs w:val="24"/>
                <w:highlight w:val="none"/>
              </w:rPr>
              <w:t>及节假日重大活动保证措施；</w:t>
            </w:r>
          </w:p>
          <w:p w14:paraId="1CBD6EC7">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3.重</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难点服务方案及合理化建议。</w:t>
            </w:r>
          </w:p>
          <w:p w14:paraId="558B74BE">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由磋商小组进行综合评审：</w:t>
            </w:r>
          </w:p>
          <w:p w14:paraId="3D48FB2D">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1）以上每项内容完整、思路清晰、结构合理、重点突出、针对性强的得4分；</w:t>
            </w:r>
          </w:p>
          <w:p w14:paraId="0E82D621">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2）以上每项内容基本符合项目要求并具有一定可行性的得2分；</w:t>
            </w:r>
          </w:p>
          <w:p w14:paraId="0C92DE48">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3）以上每项内容可行性不强，有待完善的得1分；</w:t>
            </w:r>
          </w:p>
          <w:p w14:paraId="1C46C1A6">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4）未提供相关内容，不得分</w:t>
            </w:r>
            <w:r>
              <w:rPr>
                <w:rFonts w:hint="eastAsia" w:ascii="宋体" w:hAnsi="宋体" w:eastAsia="宋体" w:cs="宋体"/>
                <w:color w:val="auto"/>
                <w:sz w:val="24"/>
                <w:szCs w:val="24"/>
                <w:highlight w:val="none"/>
                <w:lang w:eastAsia="zh-CN"/>
              </w:rPr>
              <w:t>。</w:t>
            </w:r>
          </w:p>
          <w:p w14:paraId="47B20D2B">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本项</w:t>
            </w:r>
            <w:r>
              <w:rPr>
                <w:rFonts w:hint="eastAsia" w:ascii="宋体" w:hAnsi="宋体" w:eastAsia="宋体" w:cs="宋体"/>
                <w:color w:val="auto"/>
                <w:sz w:val="24"/>
                <w:szCs w:val="24"/>
                <w:highlight w:val="none"/>
              </w:rPr>
              <w:t>最高</w:t>
            </w:r>
            <w:r>
              <w:rPr>
                <w:rFonts w:hint="eastAsia" w:ascii="宋体" w:hAnsi="宋体" w:eastAsia="宋体" w:cs="宋体"/>
                <w:color w:val="auto"/>
                <w:sz w:val="24"/>
                <w:szCs w:val="24"/>
                <w:highlight w:val="none"/>
                <w:lang w:val="en-US" w:eastAsia="zh-CN"/>
              </w:rPr>
              <w:t>得</w:t>
            </w:r>
            <w:r>
              <w:rPr>
                <w:rFonts w:hint="eastAsia" w:ascii="宋体" w:hAnsi="宋体" w:eastAsia="宋体" w:cs="宋体"/>
                <w:color w:val="auto"/>
                <w:sz w:val="24"/>
                <w:szCs w:val="24"/>
                <w:highlight w:val="none"/>
              </w:rPr>
              <w:t>12分。</w:t>
            </w:r>
          </w:p>
        </w:tc>
        <w:tc>
          <w:tcPr>
            <w:tcW w:w="1223" w:type="dxa"/>
            <w:vAlign w:val="center"/>
          </w:tcPr>
          <w:p w14:paraId="27827C5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0-12分</w:t>
            </w:r>
          </w:p>
        </w:tc>
      </w:tr>
      <w:tr w14:paraId="0942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423" w:type="dxa"/>
            <w:vMerge w:val="continue"/>
            <w:vAlign w:val="center"/>
          </w:tcPr>
          <w:p w14:paraId="29FA93F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p>
        </w:tc>
        <w:tc>
          <w:tcPr>
            <w:tcW w:w="1530" w:type="dxa"/>
            <w:vAlign w:val="center"/>
          </w:tcPr>
          <w:p w14:paraId="5A40700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服务措施</w:t>
            </w:r>
          </w:p>
        </w:tc>
        <w:tc>
          <w:tcPr>
            <w:tcW w:w="5560" w:type="dxa"/>
            <w:vAlign w:val="center"/>
          </w:tcPr>
          <w:p w14:paraId="6A057DDF">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根据投标人响应文件中提供的服务措施，</w:t>
            </w:r>
            <w:r>
              <w:rPr>
                <w:rFonts w:hint="eastAsia" w:ascii="宋体" w:hAnsi="宋体" w:eastAsia="宋体" w:cs="宋体"/>
                <w:b/>
                <w:bCs/>
                <w:color w:val="auto"/>
                <w:sz w:val="24"/>
                <w:szCs w:val="24"/>
                <w:highlight w:val="none"/>
              </w:rPr>
              <w:t>包括但不限于：</w:t>
            </w:r>
          </w:p>
          <w:p w14:paraId="238B1BDC">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1.服务</w:t>
            </w:r>
            <w:r>
              <w:rPr>
                <w:rFonts w:hint="eastAsia" w:ascii="宋体" w:hAnsi="宋体" w:eastAsia="宋体" w:cs="宋体"/>
                <w:b/>
                <w:bCs/>
                <w:color w:val="auto"/>
                <w:sz w:val="24"/>
                <w:szCs w:val="24"/>
                <w:highlight w:val="none"/>
              </w:rPr>
              <w:t>组织</w:t>
            </w:r>
            <w:r>
              <w:rPr>
                <w:rFonts w:hint="eastAsia" w:ascii="宋体" w:hAnsi="宋体" w:eastAsia="宋体" w:cs="宋体"/>
                <w:b/>
                <w:bCs/>
                <w:color w:val="auto"/>
                <w:sz w:val="24"/>
                <w:szCs w:val="24"/>
                <w:highlight w:val="none"/>
                <w:lang w:val="en-US" w:eastAsia="zh-CN"/>
              </w:rPr>
              <w:t>架构</w:t>
            </w:r>
            <w:r>
              <w:rPr>
                <w:rFonts w:hint="eastAsia" w:ascii="宋体" w:hAnsi="宋体" w:eastAsia="宋体" w:cs="宋体"/>
                <w:b/>
                <w:bCs/>
                <w:color w:val="auto"/>
                <w:sz w:val="24"/>
                <w:szCs w:val="24"/>
                <w:highlight w:val="none"/>
                <w:lang w:eastAsia="zh-CN"/>
              </w:rPr>
              <w:t>；</w:t>
            </w:r>
          </w:p>
          <w:p w14:paraId="41CA1E48">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驻场人员服务措施；</w:t>
            </w:r>
          </w:p>
          <w:p w14:paraId="1716D1DA">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消防四个能力</w:t>
            </w:r>
            <w:r>
              <w:rPr>
                <w:rFonts w:hint="eastAsia" w:ascii="宋体" w:hAnsi="宋体" w:eastAsia="宋体" w:cs="宋体"/>
                <w:b/>
                <w:bCs/>
                <w:color w:val="auto"/>
                <w:sz w:val="24"/>
                <w:szCs w:val="24"/>
                <w:highlight w:val="none"/>
                <w:lang w:val="en-US" w:eastAsia="zh-CN"/>
              </w:rPr>
              <w:t>及消防知识</w:t>
            </w:r>
            <w:r>
              <w:rPr>
                <w:rFonts w:hint="eastAsia" w:ascii="宋体" w:hAnsi="宋体" w:eastAsia="宋体" w:cs="宋体"/>
                <w:b/>
                <w:bCs/>
                <w:color w:val="auto"/>
                <w:sz w:val="24"/>
                <w:szCs w:val="24"/>
                <w:highlight w:val="none"/>
              </w:rPr>
              <w:t>培训方案</w:t>
            </w:r>
            <w:r>
              <w:rPr>
                <w:rFonts w:hint="eastAsia" w:ascii="宋体" w:hAnsi="宋体" w:eastAsia="宋体" w:cs="宋体"/>
                <w:b/>
                <w:bCs/>
                <w:color w:val="auto"/>
                <w:sz w:val="24"/>
                <w:szCs w:val="24"/>
                <w:highlight w:val="none"/>
                <w:lang w:eastAsia="zh-CN"/>
              </w:rPr>
              <w:t>；</w:t>
            </w:r>
          </w:p>
          <w:p w14:paraId="5715E315">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消防演练方案。</w:t>
            </w:r>
          </w:p>
          <w:p w14:paraId="3EB8A10A">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由磋商小组进行综合评审：</w:t>
            </w:r>
          </w:p>
          <w:p w14:paraId="58F24473">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1）以上每项内容完整、思路清晰、结构合理、重点突出、针对性强的得3分；</w:t>
            </w:r>
          </w:p>
          <w:p w14:paraId="7F12B671">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2）以上每项内容基本符合项目要求并具有一定可行性的得2分；</w:t>
            </w:r>
          </w:p>
          <w:p w14:paraId="3C7D85D8">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3）以上每项内容可行性不强，有待完善的得1分；</w:t>
            </w:r>
          </w:p>
          <w:p w14:paraId="42860835">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4）未提供相关内容，不得分；</w:t>
            </w:r>
          </w:p>
          <w:p w14:paraId="392AD564">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本项最高得12分。</w:t>
            </w:r>
          </w:p>
        </w:tc>
        <w:tc>
          <w:tcPr>
            <w:tcW w:w="1223" w:type="dxa"/>
            <w:vAlign w:val="center"/>
          </w:tcPr>
          <w:p w14:paraId="2118773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t>分</w:t>
            </w:r>
          </w:p>
        </w:tc>
      </w:tr>
      <w:tr w14:paraId="499F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Merge w:val="continue"/>
            <w:vAlign w:val="center"/>
          </w:tcPr>
          <w:p w14:paraId="09A0B0C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p>
        </w:tc>
        <w:tc>
          <w:tcPr>
            <w:tcW w:w="1530" w:type="dxa"/>
            <w:vAlign w:val="center"/>
          </w:tcPr>
          <w:p w14:paraId="578BBE4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维保服务方案</w:t>
            </w:r>
          </w:p>
        </w:tc>
        <w:tc>
          <w:tcPr>
            <w:tcW w:w="5560" w:type="dxa"/>
            <w:vAlign w:val="center"/>
          </w:tcPr>
          <w:p w14:paraId="2CFC9CE5">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根据投标人响应文件中提供的维保服务方案，</w:t>
            </w:r>
            <w:r>
              <w:rPr>
                <w:rFonts w:hint="eastAsia" w:ascii="宋体" w:hAnsi="宋体" w:eastAsia="宋体" w:cs="宋体"/>
                <w:b/>
                <w:bCs/>
                <w:color w:val="auto"/>
                <w:sz w:val="24"/>
                <w:szCs w:val="24"/>
                <w:highlight w:val="none"/>
              </w:rPr>
              <w:t>包括但不限于：</w:t>
            </w:r>
          </w:p>
          <w:p w14:paraId="23B96858">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1.火灾自动报警系统；</w:t>
            </w:r>
          </w:p>
          <w:p w14:paraId="0A7EAF73">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2.应急照明系统；</w:t>
            </w:r>
          </w:p>
          <w:p w14:paraId="24E054B9">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3.自动喷水灭火系统；</w:t>
            </w:r>
          </w:p>
          <w:p w14:paraId="0611C716">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4.室内外消火栓灭火系统；</w:t>
            </w:r>
          </w:p>
          <w:p w14:paraId="03C68A5B">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5.气体灭火系统；</w:t>
            </w:r>
          </w:p>
          <w:p w14:paraId="0677A381">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6.维保作业制度。</w:t>
            </w:r>
          </w:p>
          <w:p w14:paraId="09E4BD1E">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由磋商小组进行综合评审：</w:t>
            </w:r>
          </w:p>
          <w:p w14:paraId="46F4AD72">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1）以上每项内容完整、思路清晰、结构合理、重点突出、针对性强的得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14:paraId="374DFC42">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2）以上每项内容基本符合项目要求并具有一定可行性的得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p>
          <w:p w14:paraId="57CDA1D1">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3）以上每项内容可行性不强</w:t>
            </w:r>
            <w:r>
              <w:rPr>
                <w:rFonts w:hint="eastAsia" w:ascii="宋体" w:hAnsi="宋体" w:eastAsia="宋体" w:cs="宋体"/>
                <w:color w:val="auto"/>
                <w:sz w:val="24"/>
                <w:szCs w:val="24"/>
                <w:highlight w:val="none"/>
                <w:lang w:val="en-US" w:eastAsia="zh-CN"/>
              </w:rPr>
              <w:t>或未提供不得分</w:t>
            </w:r>
            <w:r>
              <w:rPr>
                <w:rFonts w:hint="eastAsia" w:ascii="宋体" w:hAnsi="宋体" w:eastAsia="宋体" w:cs="宋体"/>
                <w:color w:val="auto"/>
                <w:sz w:val="24"/>
                <w:szCs w:val="24"/>
                <w:highlight w:val="none"/>
              </w:rPr>
              <w:t>，有待完善的得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p>
          <w:p w14:paraId="3403658D">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4）未提供相关内容，不得分</w:t>
            </w:r>
            <w:r>
              <w:rPr>
                <w:rFonts w:hint="eastAsia" w:ascii="宋体" w:hAnsi="宋体" w:eastAsia="宋体" w:cs="宋体"/>
                <w:color w:val="auto"/>
                <w:sz w:val="24"/>
                <w:szCs w:val="24"/>
                <w:highlight w:val="none"/>
                <w:lang w:eastAsia="zh-CN"/>
              </w:rPr>
              <w:t>。</w:t>
            </w:r>
          </w:p>
          <w:p w14:paraId="1ED3F93D">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本项</w:t>
            </w:r>
            <w:r>
              <w:rPr>
                <w:rFonts w:hint="eastAsia" w:ascii="宋体" w:hAnsi="宋体" w:eastAsia="宋体" w:cs="宋体"/>
                <w:color w:val="auto"/>
                <w:sz w:val="24"/>
                <w:szCs w:val="24"/>
                <w:highlight w:val="none"/>
              </w:rPr>
              <w:t>最高</w:t>
            </w:r>
            <w:r>
              <w:rPr>
                <w:rFonts w:hint="eastAsia" w:ascii="宋体" w:hAnsi="宋体" w:eastAsia="宋体" w:cs="宋体"/>
                <w:color w:val="auto"/>
                <w:sz w:val="24"/>
                <w:szCs w:val="24"/>
                <w:highlight w:val="none"/>
                <w:lang w:val="en-US" w:eastAsia="zh-CN"/>
              </w:rPr>
              <w:t>得18</w:t>
            </w:r>
            <w:r>
              <w:rPr>
                <w:rFonts w:hint="eastAsia" w:ascii="宋体" w:hAnsi="宋体" w:eastAsia="宋体" w:cs="宋体"/>
                <w:color w:val="auto"/>
                <w:sz w:val="24"/>
                <w:szCs w:val="24"/>
                <w:highlight w:val="none"/>
              </w:rPr>
              <w:t>分。</w:t>
            </w:r>
          </w:p>
        </w:tc>
        <w:tc>
          <w:tcPr>
            <w:tcW w:w="1223" w:type="dxa"/>
            <w:vAlign w:val="center"/>
          </w:tcPr>
          <w:p w14:paraId="004178A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tc>
      </w:tr>
      <w:tr w14:paraId="6606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Merge w:val="continue"/>
            <w:vAlign w:val="center"/>
          </w:tcPr>
          <w:p w14:paraId="132E9E0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p>
        </w:tc>
        <w:tc>
          <w:tcPr>
            <w:tcW w:w="1530" w:type="dxa"/>
            <w:vAlign w:val="center"/>
          </w:tcPr>
          <w:p w14:paraId="5E2F4FE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服务承诺</w:t>
            </w:r>
          </w:p>
        </w:tc>
        <w:tc>
          <w:tcPr>
            <w:tcW w:w="5560" w:type="dxa"/>
            <w:vAlign w:val="center"/>
          </w:tcPr>
          <w:p w14:paraId="0A0CE88F">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供应商承诺派驻</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名人员长期驻点至服务期结束，得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分，未提供的不得分。</w:t>
            </w:r>
          </w:p>
          <w:p w14:paraId="7F68CF1E">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注：响应文件中提供承诺函（格式自拟）。</w:t>
            </w:r>
          </w:p>
        </w:tc>
        <w:tc>
          <w:tcPr>
            <w:tcW w:w="1223" w:type="dxa"/>
            <w:vAlign w:val="center"/>
          </w:tcPr>
          <w:p w14:paraId="65777A9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tc>
      </w:tr>
      <w:tr w14:paraId="7A8A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3" w:type="dxa"/>
            <w:vMerge w:val="continue"/>
            <w:vAlign w:val="center"/>
          </w:tcPr>
          <w:p w14:paraId="0BD8033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p>
        </w:tc>
        <w:tc>
          <w:tcPr>
            <w:tcW w:w="1530" w:type="dxa"/>
            <w:vAlign w:val="center"/>
          </w:tcPr>
          <w:p w14:paraId="38EED03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人员配备</w:t>
            </w:r>
          </w:p>
        </w:tc>
        <w:tc>
          <w:tcPr>
            <w:tcW w:w="5560" w:type="dxa"/>
            <w:vAlign w:val="center"/>
          </w:tcPr>
          <w:p w14:paraId="5987347E">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一、拟派本项目负责人</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1人，满分</w:t>
            </w: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en-US" w:eastAsia="zh-CN"/>
              </w:rPr>
              <w:t>分</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w:t>
            </w:r>
          </w:p>
          <w:p w14:paraId="74F5AC12">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color w:val="auto"/>
                <w:sz w:val="24"/>
                <w:szCs w:val="24"/>
                <w:highlight w:val="none"/>
              </w:rPr>
            </w:pPr>
          </w:p>
          <w:p w14:paraId="50DD5D80">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1.具有注册消防工程师证书的，得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p>
          <w:p w14:paraId="4AE6113E">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2.具有机电工程专业二级</w:t>
            </w:r>
            <w:r>
              <w:rPr>
                <w:rFonts w:hint="eastAsia" w:ascii="宋体" w:hAnsi="宋体" w:cs="宋体"/>
                <w:color w:val="auto"/>
                <w:sz w:val="24"/>
                <w:szCs w:val="24"/>
                <w:highlight w:val="none"/>
                <w:lang w:val="en-US" w:eastAsia="zh-CN"/>
              </w:rPr>
              <w:t>及以上</w:t>
            </w:r>
            <w:r>
              <w:rPr>
                <w:rFonts w:hint="eastAsia" w:ascii="宋体" w:hAnsi="宋体" w:eastAsia="宋体" w:cs="宋体"/>
                <w:color w:val="auto"/>
                <w:sz w:val="24"/>
                <w:szCs w:val="24"/>
                <w:highlight w:val="none"/>
              </w:rPr>
              <w:t>注册建造师证书，得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w:t>
            </w:r>
          </w:p>
          <w:p w14:paraId="3A8E88F6">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FF0000"/>
                <w:sz w:val="24"/>
                <w:szCs w:val="24"/>
                <w:highlight w:val="none"/>
              </w:rPr>
              <w:t xml:space="preserve"> </w:t>
            </w:r>
          </w:p>
          <w:p w14:paraId="280BD62B">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color w:val="auto"/>
                <w:sz w:val="24"/>
                <w:szCs w:val="24"/>
                <w:highlight w:val="none"/>
              </w:rPr>
            </w:pPr>
          </w:p>
          <w:p w14:paraId="6C7B2D36">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二、团队成员（不含项目负责人）：</w:t>
            </w:r>
          </w:p>
          <w:p w14:paraId="6EB5DBA0">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具有中级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国家职业资格四级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及以上消防设施操作员证书或</w:t>
            </w:r>
            <w:r>
              <w:rPr>
                <w:rFonts w:hint="eastAsia" w:ascii="宋体" w:hAnsi="宋体" w:eastAsia="宋体" w:cs="宋体"/>
                <w:color w:val="auto"/>
                <w:sz w:val="24"/>
                <w:szCs w:val="24"/>
                <w:highlight w:val="none"/>
              </w:rPr>
              <w:t>四级</w:t>
            </w:r>
            <w:r>
              <w:rPr>
                <w:rFonts w:hint="eastAsia" w:ascii="宋体" w:hAnsi="宋体" w:eastAsia="宋体" w:cs="宋体"/>
                <w:color w:val="auto"/>
                <w:sz w:val="24"/>
                <w:szCs w:val="24"/>
                <w:highlight w:val="none"/>
              </w:rPr>
              <w:t>及以上消防设施检测维修保养操作员证书</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，每人得2分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最高得4分；</w:t>
            </w:r>
          </w:p>
          <w:p w14:paraId="2D6775EE">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ascii="宋体" w:hAnsi="宋体" w:eastAsia="宋体" w:cs="宋体"/>
                <w:b/>
                <w:color w:val="auto"/>
                <w:sz w:val="24"/>
                <w:highlight w:val="none"/>
              </w:rPr>
            </w:pPr>
            <w:r>
              <w:rPr>
                <w:rFonts w:hint="eastAsia" w:ascii="宋体" w:hAnsi="宋体" w:eastAsia="宋体" w:cs="宋体"/>
                <w:b/>
                <w:color w:val="auto"/>
                <w:sz w:val="24"/>
                <w:highlight w:val="none"/>
              </w:rPr>
              <w:t>注：上述人员不得兼任，响应文件中同时提供以下证明材料：</w:t>
            </w:r>
          </w:p>
          <w:p w14:paraId="6A64A669">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ascii="宋体" w:hAnsi="宋体" w:eastAsia="宋体" w:cs="宋体"/>
                <w:b/>
                <w:color w:val="auto"/>
                <w:sz w:val="24"/>
                <w:highlight w:val="none"/>
              </w:rPr>
            </w:pPr>
            <w:r>
              <w:rPr>
                <w:rFonts w:hint="eastAsia" w:ascii="宋体" w:hAnsi="宋体" w:eastAsia="宋体" w:cs="宋体"/>
                <w:b/>
                <w:color w:val="auto"/>
                <w:sz w:val="24"/>
                <w:highlight w:val="none"/>
              </w:rPr>
              <w:t>（1）人员名单（格式自拟）；</w:t>
            </w:r>
          </w:p>
          <w:p w14:paraId="7EFE1CAE">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ascii="宋体" w:hAnsi="宋体" w:eastAsia="宋体" w:cs="宋体"/>
                <w:b/>
                <w:color w:val="auto"/>
                <w:sz w:val="24"/>
                <w:highlight w:val="none"/>
              </w:rPr>
            </w:pPr>
            <w:r>
              <w:rPr>
                <w:rFonts w:hint="eastAsia" w:ascii="宋体" w:hAnsi="宋体" w:eastAsia="宋体" w:cs="宋体"/>
                <w:b/>
                <w:color w:val="auto"/>
                <w:sz w:val="24"/>
                <w:highlight w:val="none"/>
              </w:rPr>
              <w:t>（2）上述人员证书扫描件；</w:t>
            </w:r>
          </w:p>
          <w:p w14:paraId="67B56B83">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b/>
                <w:color w:val="auto"/>
                <w:sz w:val="24"/>
                <w:highlight w:val="none"/>
              </w:rPr>
              <w:t>（3）供应商为上述人员缴纳的近3个月内（任意一个月即可）社保证明材料扫描件，具体详见供应商须知前附表。</w:t>
            </w:r>
          </w:p>
        </w:tc>
        <w:tc>
          <w:tcPr>
            <w:tcW w:w="1223" w:type="dxa"/>
            <w:vAlign w:val="center"/>
          </w:tcPr>
          <w:p w14:paraId="6BD380E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tc>
      </w:tr>
      <w:tr w14:paraId="42E0E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423" w:type="dxa"/>
            <w:vMerge w:val="continue"/>
            <w:vAlign w:val="center"/>
          </w:tcPr>
          <w:p w14:paraId="3098680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p>
        </w:tc>
        <w:tc>
          <w:tcPr>
            <w:tcW w:w="1530" w:type="dxa"/>
            <w:vAlign w:val="center"/>
          </w:tcPr>
          <w:p w14:paraId="166C515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5560" w:type="dxa"/>
            <w:vAlign w:val="center"/>
          </w:tcPr>
          <w:p w14:paraId="14BA0DDD">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自202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年1月1日以来</w:t>
            </w:r>
            <w:r>
              <w:rPr>
                <w:rFonts w:hint="eastAsia" w:ascii="宋体" w:hAnsi="宋体" w:eastAsia="宋体" w:cs="宋体"/>
                <w:b/>
                <w:bCs/>
                <w:color w:val="auto"/>
                <w:sz w:val="24"/>
                <w:szCs w:val="24"/>
                <w:highlight w:val="none"/>
              </w:rPr>
              <w:t>（以合同签订时间为准）</w:t>
            </w:r>
            <w:r>
              <w:rPr>
                <w:rFonts w:hint="eastAsia" w:ascii="宋体" w:hAnsi="宋体" w:eastAsia="宋体" w:cs="宋体"/>
                <w:color w:val="auto"/>
                <w:sz w:val="24"/>
                <w:szCs w:val="24"/>
                <w:highlight w:val="none"/>
              </w:rPr>
              <w:t>，投标人具有单个合同建筑面积不少于5万平方米的公共建筑消防维保项目业绩的，每个业绩得3分，最高得 12分。</w:t>
            </w:r>
          </w:p>
          <w:p w14:paraId="72146454">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注：投标文件中提供业绩合同和验收证明材料扫描件，若合同或验收证明材料中无法体现签订时间、服务内容等关键评审因素的，须同时提供业主（合同甲方）证明材料，否则不得分。</w:t>
            </w:r>
          </w:p>
        </w:tc>
        <w:tc>
          <w:tcPr>
            <w:tcW w:w="1223" w:type="dxa"/>
            <w:vAlign w:val="center"/>
          </w:tcPr>
          <w:p w14:paraId="56B0D71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0-12分</w:t>
            </w:r>
          </w:p>
        </w:tc>
      </w:tr>
      <w:tr w14:paraId="1707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423" w:type="dxa"/>
            <w:vMerge w:val="continue"/>
            <w:vAlign w:val="center"/>
          </w:tcPr>
          <w:p w14:paraId="5646337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p>
        </w:tc>
        <w:tc>
          <w:tcPr>
            <w:tcW w:w="1530" w:type="dxa"/>
            <w:vAlign w:val="center"/>
          </w:tcPr>
          <w:p w14:paraId="33C7DB7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管理体系认证</w:t>
            </w:r>
          </w:p>
        </w:tc>
        <w:tc>
          <w:tcPr>
            <w:tcW w:w="5560" w:type="dxa"/>
            <w:vAlign w:val="center"/>
          </w:tcPr>
          <w:p w14:paraId="2E08EC20">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投标人具有有效的经中国国家认证认可监督管理委员会认证机构颁发的下列证书：</w:t>
            </w:r>
          </w:p>
          <w:p w14:paraId="08F1DDA2">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1.质量管理体系认证；</w:t>
            </w:r>
          </w:p>
          <w:p w14:paraId="68EF5015">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2.环境管理体系认证；</w:t>
            </w:r>
          </w:p>
          <w:p w14:paraId="6F437612">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3.职业健康安全管理体系认证；</w:t>
            </w:r>
          </w:p>
          <w:p w14:paraId="4785208C">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每个认证证书得2分，最高得6分。</w:t>
            </w:r>
          </w:p>
          <w:p w14:paraId="0EEC5DC7">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注：响应文件中须同时提供证书及全国认证认可信息公共服务平台官网证书查询截图扫描件。</w:t>
            </w:r>
            <w:r>
              <w:rPr>
                <w:rFonts w:hint="eastAsia" w:ascii="宋体" w:hAnsi="宋体" w:eastAsia="宋体" w:cs="宋体"/>
                <w:b/>
                <w:bCs/>
                <w:color w:val="auto"/>
                <w:sz w:val="24"/>
                <w:szCs w:val="24"/>
                <w:highlight w:val="none"/>
              </w:rPr>
              <w:t>证书状态为“有效”。</w:t>
            </w:r>
          </w:p>
        </w:tc>
        <w:tc>
          <w:tcPr>
            <w:tcW w:w="1223" w:type="dxa"/>
            <w:vAlign w:val="center"/>
          </w:tcPr>
          <w:p w14:paraId="60BAB0F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tc>
      </w:tr>
      <w:tr w14:paraId="3A64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423" w:type="dxa"/>
            <w:vMerge w:val="continue"/>
            <w:vAlign w:val="center"/>
          </w:tcPr>
          <w:p w14:paraId="6474523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p>
        </w:tc>
        <w:tc>
          <w:tcPr>
            <w:tcW w:w="1530" w:type="dxa"/>
            <w:vAlign w:val="center"/>
          </w:tcPr>
          <w:p w14:paraId="11C6325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企业实力</w:t>
            </w:r>
          </w:p>
        </w:tc>
        <w:tc>
          <w:tcPr>
            <w:tcW w:w="5560" w:type="dxa"/>
            <w:vAlign w:val="center"/>
          </w:tcPr>
          <w:p w14:paraId="08A8CB5C">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1.供应商具有消防设施工程专业承包一级资质，得4分，具有消防设施工程专业承包二级资质，得2分；</w:t>
            </w:r>
          </w:p>
          <w:p w14:paraId="6B262D65">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2.供应商具有有效的安全生产许可证，得2分；</w:t>
            </w:r>
          </w:p>
          <w:p w14:paraId="637FB319">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注：响应文件中提供上述证书的扫描件或影印件，未提供或提供不全不得分。</w:t>
            </w:r>
          </w:p>
        </w:tc>
        <w:tc>
          <w:tcPr>
            <w:tcW w:w="1223" w:type="dxa"/>
            <w:vAlign w:val="center"/>
          </w:tcPr>
          <w:p w14:paraId="79C8C17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0-6分</w:t>
            </w:r>
          </w:p>
        </w:tc>
      </w:tr>
    </w:tbl>
    <w:p w14:paraId="761F1D27">
      <w:pPr>
        <w:adjustRightInd w:val="0"/>
        <w:snapToGrid w:val="0"/>
        <w:spacing w:line="360" w:lineRule="auto"/>
        <w:ind w:right="-10" w:firstLine="482" w:firstLineChars="200"/>
        <w:rPr>
          <w:rFonts w:hint="eastAsia" w:ascii="宋体" w:hAnsi="宋体" w:eastAsia="宋体" w:cs="宋体"/>
          <w:b/>
          <w:color w:val="auto"/>
          <w:sz w:val="24"/>
          <w:szCs w:val="28"/>
          <w:highlight w:val="none"/>
        </w:rPr>
      </w:pPr>
      <w:r>
        <w:rPr>
          <w:rFonts w:hint="eastAsia" w:ascii="宋体" w:hAnsi="宋体" w:eastAsia="宋体" w:cs="宋体"/>
          <w:b/>
          <w:bCs/>
          <w:color w:val="auto"/>
          <w:sz w:val="24"/>
          <w:highlight w:val="none"/>
        </w:rPr>
        <w:t>9.</w:t>
      </w:r>
      <w:r>
        <w:rPr>
          <w:rFonts w:hint="eastAsia" w:ascii="宋体" w:hAnsi="宋体" w:eastAsia="宋体" w:cs="宋体"/>
          <w:b/>
          <w:bCs/>
          <w:color w:val="auto"/>
          <w:sz w:val="24"/>
          <w:highlight w:val="none"/>
          <w:lang w:val="en-US" w:eastAsia="zh-CN"/>
        </w:rPr>
        <w:t>3</w:t>
      </w:r>
      <w:r>
        <w:rPr>
          <w:rFonts w:hint="eastAsia" w:ascii="宋体" w:hAnsi="宋体" w:eastAsia="宋体" w:cs="宋体"/>
          <w:b/>
          <w:color w:val="auto"/>
          <w:sz w:val="24"/>
          <w:szCs w:val="28"/>
          <w:highlight w:val="none"/>
        </w:rPr>
        <w:t>商务部分得分计算</w:t>
      </w:r>
    </w:p>
    <w:p w14:paraId="1CCE5CA7">
      <w:pPr>
        <w:adjustRightInd w:val="0"/>
        <w:snapToGrid w:val="0"/>
        <w:spacing w:line="360" w:lineRule="auto"/>
        <w:ind w:right="-10" w:firstLine="420" w:firstLineChars="17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依据通过初审的有效投标人名单，其投标人的商务部分得分按照以下方式计算：</w:t>
      </w:r>
    </w:p>
    <w:tbl>
      <w:tblPr>
        <w:tblStyle w:val="20"/>
        <w:tblW w:w="50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041"/>
        <w:gridCol w:w="6220"/>
        <w:gridCol w:w="1214"/>
      </w:tblGrid>
      <w:tr w14:paraId="758A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7" w:type="pct"/>
            <w:noWrap w:val="0"/>
            <w:vAlign w:val="center"/>
          </w:tcPr>
          <w:p w14:paraId="1804AF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商务部分</w:t>
            </w:r>
          </w:p>
        </w:tc>
        <w:tc>
          <w:tcPr>
            <w:tcW w:w="537" w:type="pct"/>
            <w:noWrap w:val="0"/>
            <w:vAlign w:val="center"/>
          </w:tcPr>
          <w:p w14:paraId="07715C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最终投标报价</w:t>
            </w:r>
          </w:p>
        </w:tc>
        <w:tc>
          <w:tcPr>
            <w:tcW w:w="3208" w:type="pct"/>
            <w:noWrap w:val="0"/>
            <w:vAlign w:val="center"/>
          </w:tcPr>
          <w:p w14:paraId="07C72128">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价格分统一采用低价优先法，即满足磋商文件要求且价格最低的最后报价为评标基准价，其价格分为满分</w:t>
            </w:r>
            <w:r>
              <w:rPr>
                <w:rFonts w:hint="eastAsia" w:ascii="宋体" w:hAnsi="宋体" w:eastAsia="宋体" w:cs="宋体"/>
                <w:color w:val="auto"/>
                <w:sz w:val="24"/>
                <w:szCs w:val="24"/>
                <w:highlight w:val="none"/>
                <w:u w:val="single"/>
              </w:rPr>
              <w:t xml:space="preserve"> 20 </w:t>
            </w:r>
            <w:r>
              <w:rPr>
                <w:rFonts w:hint="eastAsia" w:ascii="宋体" w:hAnsi="宋体" w:eastAsia="宋体" w:cs="宋体"/>
                <w:color w:val="auto"/>
                <w:sz w:val="24"/>
                <w:szCs w:val="24"/>
                <w:highlight w:val="none"/>
              </w:rPr>
              <w:t>分。其他供应商的价格分统一按照下列公式计算：</w:t>
            </w:r>
          </w:p>
          <w:p w14:paraId="4B82A1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最后报价得分＝（评标基准价/最后报价）×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0 </w:t>
            </w:r>
            <w:r>
              <w:rPr>
                <w:rFonts w:hint="eastAsia" w:ascii="宋体" w:hAnsi="宋体" w:eastAsia="宋体" w:cs="宋体"/>
                <w:color w:val="auto"/>
                <w:sz w:val="24"/>
                <w:szCs w:val="24"/>
                <w:highlight w:val="none"/>
              </w:rPr>
              <w:t>％×100</w:t>
            </w:r>
          </w:p>
        </w:tc>
        <w:tc>
          <w:tcPr>
            <w:tcW w:w="626" w:type="pct"/>
            <w:noWrap w:val="0"/>
            <w:vAlign w:val="center"/>
          </w:tcPr>
          <w:p w14:paraId="63145A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0-</w:t>
            </w:r>
            <w:r>
              <w:rPr>
                <w:rFonts w:hint="eastAsia" w:ascii="宋体" w:hAnsi="宋体" w:cs="宋体"/>
                <w:b/>
                <w:color w:val="auto"/>
                <w:kern w:val="0"/>
                <w:sz w:val="24"/>
                <w:szCs w:val="24"/>
                <w:highlight w:val="none"/>
                <w:u w:val="single"/>
                <w:lang w:val="en-US" w:eastAsia="zh-CN"/>
              </w:rPr>
              <w:t>20</w:t>
            </w:r>
            <w:r>
              <w:rPr>
                <w:rFonts w:hint="eastAsia" w:ascii="宋体" w:hAnsi="宋体" w:eastAsia="宋体" w:cs="宋体"/>
                <w:b/>
                <w:color w:val="auto"/>
                <w:kern w:val="0"/>
                <w:sz w:val="24"/>
                <w:szCs w:val="24"/>
                <w:highlight w:val="none"/>
              </w:rPr>
              <w:t>分</w:t>
            </w:r>
          </w:p>
        </w:tc>
      </w:tr>
    </w:tbl>
    <w:p w14:paraId="19F6AEBF">
      <w:pPr>
        <w:adjustRightInd w:val="0"/>
        <w:snapToGrid w:val="0"/>
        <w:spacing w:line="360" w:lineRule="auto"/>
        <w:ind w:right="-10" w:firstLine="482" w:firstLineChars="200"/>
        <w:rPr>
          <w:rFonts w:hint="eastAsia" w:ascii="宋体" w:hAnsi="宋体" w:eastAsia="宋体" w:cs="宋体"/>
          <w:b/>
          <w:color w:val="auto"/>
          <w:sz w:val="24"/>
          <w:szCs w:val="24"/>
          <w:highlight w:val="none"/>
        </w:rPr>
      </w:pPr>
      <w:bookmarkStart w:id="53" w:name="_Hlk514735375"/>
    </w:p>
    <w:p w14:paraId="46EC1203">
      <w:pPr>
        <w:adjustRightInd w:val="0"/>
        <w:snapToGrid w:val="0"/>
        <w:spacing w:line="360" w:lineRule="auto"/>
        <w:ind w:right="-10"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szCs w:val="24"/>
          <w:highlight w:val="none"/>
        </w:rPr>
        <w:t>9.4确定中标候选人</w:t>
      </w:r>
    </w:p>
    <w:p w14:paraId="5BB81D0B">
      <w:pPr>
        <w:adjustRightInd w:val="0"/>
        <w:snapToGrid w:val="0"/>
        <w:spacing w:line="360" w:lineRule="auto"/>
        <w:ind w:right="-10"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9.4.1计算最终得分</w:t>
      </w:r>
    </w:p>
    <w:p w14:paraId="5B1891C4">
      <w:pPr>
        <w:adjustRightInd w:val="0"/>
        <w:snapToGrid w:val="0"/>
        <w:spacing w:line="360" w:lineRule="auto"/>
        <w:ind w:right="-10" w:firstLine="420" w:firstLineChars="17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将每个有效投标人的技术部分得分加商务部分得分，得出该投标人的最终得分。</w:t>
      </w:r>
    </w:p>
    <w:p w14:paraId="67A6986E">
      <w:pPr>
        <w:adjustRightInd w:val="0"/>
        <w:snapToGrid w:val="0"/>
        <w:spacing w:line="360" w:lineRule="auto"/>
        <w:ind w:right="-10" w:firstLine="420" w:firstLineChars="17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投标人的各项得分均</w:t>
      </w:r>
      <w:bookmarkStart w:id="54" w:name="_Hlk514730679"/>
      <w:r>
        <w:rPr>
          <w:rFonts w:hint="eastAsia" w:ascii="宋体" w:hAnsi="宋体" w:eastAsia="宋体" w:cs="宋体"/>
          <w:bCs/>
          <w:color w:val="auto"/>
          <w:sz w:val="24"/>
          <w:highlight w:val="none"/>
        </w:rPr>
        <w:t>保留小数点后两位（小数点后第三位四舍五入）</w:t>
      </w:r>
      <w:bookmarkEnd w:id="54"/>
      <w:r>
        <w:rPr>
          <w:rFonts w:hint="eastAsia" w:ascii="宋体" w:hAnsi="宋体" w:eastAsia="宋体" w:cs="宋体"/>
          <w:bCs/>
          <w:color w:val="auto"/>
          <w:sz w:val="24"/>
          <w:highlight w:val="none"/>
        </w:rPr>
        <w:t>。</w:t>
      </w:r>
    </w:p>
    <w:p w14:paraId="6B82BC2B">
      <w:pPr>
        <w:adjustRightInd w:val="0"/>
        <w:snapToGrid w:val="0"/>
        <w:spacing w:line="360" w:lineRule="auto"/>
        <w:ind w:right="-10" w:firstLine="420" w:firstLineChars="17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9.4.2按照有效投标人最终得分由高到低排出中标候选人。</w:t>
      </w:r>
      <w:bookmarkEnd w:id="53"/>
    </w:p>
    <w:p w14:paraId="57C7D52D">
      <w:pPr>
        <w:adjustRightInd w:val="0"/>
        <w:snapToGrid w:val="0"/>
        <w:spacing w:line="360" w:lineRule="auto"/>
        <w:ind w:right="-10" w:firstLine="420" w:firstLineChars="175"/>
        <w:rPr>
          <w:rFonts w:hint="default" w:ascii="宋体" w:hAnsi="宋体" w:eastAsia="宋体" w:cs="宋体"/>
          <w:b/>
          <w:bCs/>
          <w:color w:val="auto"/>
          <w:sz w:val="24"/>
          <w:highlight w:val="none"/>
          <w:lang w:val="en-US" w:eastAsia="zh-CN"/>
        </w:rPr>
      </w:pPr>
      <w:r>
        <w:rPr>
          <w:rFonts w:hint="eastAsia" w:ascii="宋体" w:hAnsi="宋体" w:eastAsia="宋体" w:cs="宋体"/>
          <w:bCs/>
          <w:color w:val="auto"/>
          <w:sz w:val="24"/>
          <w:highlight w:val="none"/>
        </w:rPr>
        <w:t>最终得分相同的，按技术部分得分由高到低顺序排序。技术部分得分及最终得分均相同的，</w:t>
      </w:r>
      <w:bookmarkStart w:id="55" w:name="_Hlk514735510"/>
      <w:r>
        <w:rPr>
          <w:rFonts w:hint="eastAsia" w:ascii="宋体" w:hAnsi="宋体" w:eastAsia="宋体" w:cs="宋体"/>
          <w:bCs/>
          <w:color w:val="auto"/>
          <w:sz w:val="24"/>
          <w:highlight w:val="none"/>
        </w:rPr>
        <w:t>则采取磋商小组</w:t>
      </w:r>
      <w:bookmarkEnd w:id="55"/>
      <w:r>
        <w:rPr>
          <w:rFonts w:hint="eastAsia" w:ascii="宋体" w:hAnsi="宋体" w:cs="宋体"/>
          <w:bCs/>
          <w:color w:val="auto"/>
          <w:sz w:val="24"/>
          <w:highlight w:val="none"/>
          <w:lang w:val="en-US" w:eastAsia="zh-CN"/>
        </w:rPr>
        <w:t>投票的方式，少数服从多数的确定中标候选人。</w:t>
      </w:r>
    </w:p>
    <w:p w14:paraId="6BBF1DB7">
      <w:pPr>
        <w:keepNext w:val="0"/>
        <w:keepLines w:val="0"/>
        <w:pageBreakBefore w:val="0"/>
        <w:widowControl w:val="0"/>
        <w:kinsoku/>
        <w:wordWrap/>
        <w:overflowPunct/>
        <w:topLinePunct w:val="0"/>
        <w:autoSpaceDE/>
        <w:autoSpaceDN/>
        <w:bidi w:val="0"/>
        <w:adjustRightInd w:val="0"/>
        <w:snapToGrid w:val="0"/>
        <w:spacing w:line="360" w:lineRule="auto"/>
        <w:ind w:right="0" w:firstLine="482" w:firstLineChars="200"/>
        <w:textAlignment w:val="auto"/>
        <w:rPr>
          <w:rFonts w:hint="eastAsia" w:ascii="宋体" w:hAnsi="宋体" w:eastAsia="宋体" w:cs="宋体"/>
          <w:bCs/>
          <w:color w:val="auto"/>
          <w:sz w:val="24"/>
          <w:highlight w:val="none"/>
        </w:rPr>
      </w:pPr>
      <w:r>
        <w:rPr>
          <w:rFonts w:hint="eastAsia" w:ascii="宋体" w:hAnsi="宋体" w:eastAsia="宋体" w:cs="宋体"/>
          <w:b/>
          <w:bCs/>
          <w:color w:val="auto"/>
          <w:sz w:val="24"/>
          <w:highlight w:val="none"/>
        </w:rPr>
        <w:t>10.</w:t>
      </w:r>
      <w:r>
        <w:rPr>
          <w:rFonts w:hint="eastAsia" w:ascii="宋体" w:hAnsi="宋体" w:eastAsia="宋体" w:cs="宋体"/>
          <w:bCs/>
          <w:color w:val="auto"/>
          <w:sz w:val="24"/>
          <w:highlight w:val="none"/>
        </w:rPr>
        <w:t>各投标人的得分一经得出，并核对无误后，任何人不得更改。</w:t>
      </w:r>
    </w:p>
    <w:p w14:paraId="27F1E8BD">
      <w:pPr>
        <w:keepNext w:val="0"/>
        <w:keepLines w:val="0"/>
        <w:pageBreakBefore w:val="0"/>
        <w:widowControl w:val="0"/>
        <w:kinsoku/>
        <w:wordWrap/>
        <w:overflowPunct/>
        <w:topLinePunct w:val="0"/>
        <w:autoSpaceDE/>
        <w:autoSpaceDN/>
        <w:bidi w:val="0"/>
        <w:adjustRightInd w:val="0"/>
        <w:snapToGrid w:val="0"/>
        <w:spacing w:line="360" w:lineRule="auto"/>
        <w:ind w:right="0"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11.</w:t>
      </w:r>
      <w:r>
        <w:rPr>
          <w:rFonts w:hint="eastAsia" w:ascii="宋体" w:hAnsi="宋体" w:eastAsia="宋体" w:cs="宋体"/>
          <w:color w:val="auto"/>
          <w:sz w:val="24"/>
          <w:highlight w:val="none"/>
        </w:rPr>
        <w:t>磋商小组在评标过程中发现的问题，应当及时作出处理或者向招标人提出处理建议，并作书面记录。</w:t>
      </w:r>
    </w:p>
    <w:p w14:paraId="174F12CA">
      <w:pPr>
        <w:keepNext w:val="0"/>
        <w:keepLines w:val="0"/>
        <w:pageBreakBefore w:val="0"/>
        <w:widowControl w:val="0"/>
        <w:kinsoku/>
        <w:wordWrap/>
        <w:overflowPunct/>
        <w:topLinePunct w:val="0"/>
        <w:autoSpaceDE/>
        <w:autoSpaceDN/>
        <w:bidi w:val="0"/>
        <w:adjustRightInd w:val="0"/>
        <w:snapToGrid w:val="0"/>
        <w:spacing w:line="360" w:lineRule="auto"/>
        <w:ind w:right="0"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12.</w:t>
      </w:r>
      <w:r>
        <w:rPr>
          <w:rFonts w:hint="eastAsia" w:ascii="宋体" w:hAnsi="宋体" w:eastAsia="宋体" w:cs="宋体"/>
          <w:color w:val="auto"/>
          <w:sz w:val="24"/>
          <w:highlight w:val="none"/>
        </w:rPr>
        <w:t>在评审过程中，磋商小组发现投标人的报价或者某些分项报价可能低于成本或者高于磋商文件设定的最高投标限价的，磋商小组将以询标的方式告知并要求投标人进行必要的说明或补正，经磋商小组认定其报价低于成本或者高于磋商文件设定的最高投标限价的，将否决其投标。对于询标后判定为不符合磋商文件的报价，评委要提出充足的否定理由，并予以书面记录。最终对投标人的评审结论分为通过和未通过。</w:t>
      </w:r>
    </w:p>
    <w:p w14:paraId="3699E9DE">
      <w:pPr>
        <w:keepNext w:val="0"/>
        <w:keepLines w:val="0"/>
        <w:pageBreakBefore w:val="0"/>
        <w:widowControl w:val="0"/>
        <w:kinsoku/>
        <w:wordWrap/>
        <w:overflowPunct/>
        <w:topLinePunct w:val="0"/>
        <w:autoSpaceDE/>
        <w:autoSpaceDN/>
        <w:bidi w:val="0"/>
        <w:adjustRightInd w:val="0"/>
        <w:snapToGrid w:val="0"/>
        <w:spacing w:line="360" w:lineRule="auto"/>
        <w:ind w:right="0"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13.</w:t>
      </w:r>
      <w:r>
        <w:rPr>
          <w:rFonts w:hint="eastAsia" w:ascii="宋体" w:hAnsi="宋体" w:eastAsia="宋体" w:cs="宋体"/>
          <w:color w:val="auto"/>
          <w:sz w:val="24"/>
          <w:highlight w:val="none"/>
        </w:rPr>
        <w:t>投标人最终报价与公布的预算价（或最高投标限价（招标控制价）)相比降幅过小，或投标人最终报价明显缺乏竞争性的，磋商小组可以否决所有投标。</w:t>
      </w:r>
    </w:p>
    <w:p w14:paraId="17FE4156">
      <w:pPr>
        <w:keepNext w:val="0"/>
        <w:keepLines w:val="0"/>
        <w:pageBreakBefore w:val="0"/>
        <w:widowControl w:val="0"/>
        <w:kinsoku/>
        <w:wordWrap/>
        <w:overflowPunct/>
        <w:topLinePunct w:val="0"/>
        <w:autoSpaceDE/>
        <w:autoSpaceDN/>
        <w:bidi w:val="0"/>
        <w:adjustRightInd w:val="0"/>
        <w:snapToGrid w:val="0"/>
        <w:spacing w:line="360" w:lineRule="auto"/>
        <w:ind w:right="0"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14.</w:t>
      </w:r>
      <w:r>
        <w:rPr>
          <w:rFonts w:hint="eastAsia" w:ascii="宋体" w:hAnsi="宋体" w:eastAsia="宋体" w:cs="宋体"/>
          <w:color w:val="auto"/>
          <w:sz w:val="24"/>
          <w:highlight w:val="none"/>
        </w:rPr>
        <w:t>评标后，磋商小组应写出评标报告并签字。评标报告是磋商小组根据全体评标成员签字的原始评标记录和评标结果编写的报告，磋商小组全体成员及监督员均须在评标报告上签字。评标报告应如实记录本次评标的主要过程，全面反映评标过程中的各种不同的意见，以及其他澄清、说明、补正事项。</w:t>
      </w:r>
    </w:p>
    <w:p w14:paraId="5224231C">
      <w:pPr>
        <w:keepNext w:val="0"/>
        <w:keepLines w:val="0"/>
        <w:pageBreakBefore w:val="0"/>
        <w:widowControl w:val="0"/>
        <w:kinsoku/>
        <w:wordWrap/>
        <w:overflowPunct/>
        <w:topLinePunct w:val="0"/>
        <w:autoSpaceDE/>
        <w:autoSpaceDN/>
        <w:bidi w:val="0"/>
        <w:adjustRightInd w:val="0"/>
        <w:snapToGrid w:val="0"/>
        <w:spacing w:line="360" w:lineRule="auto"/>
        <w:ind w:right="0"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15.</w:t>
      </w:r>
      <w:r>
        <w:rPr>
          <w:rFonts w:hint="eastAsia" w:ascii="宋体" w:hAnsi="宋体" w:eastAsia="宋体" w:cs="宋体"/>
          <w:color w:val="auto"/>
          <w:sz w:val="24"/>
          <w:highlight w:val="none"/>
        </w:rPr>
        <w:t>磋商小组和评标工作人员应严格遵守国家的法律、法规和规章制度；严格按照本次磋商文件进行评标；公正廉洁、不徇私情，不得损害国家利益；保护招、投标人的合法权益。</w:t>
      </w:r>
    </w:p>
    <w:p w14:paraId="415619B1">
      <w:pPr>
        <w:keepNext w:val="0"/>
        <w:keepLines w:val="0"/>
        <w:pageBreakBefore w:val="0"/>
        <w:widowControl w:val="0"/>
        <w:kinsoku/>
        <w:wordWrap/>
        <w:overflowPunct/>
        <w:topLinePunct w:val="0"/>
        <w:autoSpaceDE/>
        <w:autoSpaceDN/>
        <w:bidi w:val="0"/>
        <w:adjustRightInd w:val="0"/>
        <w:snapToGrid w:val="0"/>
        <w:spacing w:line="360" w:lineRule="auto"/>
        <w:ind w:right="0"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16.</w:t>
      </w:r>
      <w:r>
        <w:rPr>
          <w:rFonts w:hint="eastAsia" w:ascii="宋体" w:hAnsi="宋体" w:eastAsia="宋体" w:cs="宋体"/>
          <w:color w:val="auto"/>
          <w:sz w:val="24"/>
          <w:highlight w:val="none"/>
        </w:rPr>
        <w:t>在评标过程中，评委及其他评标工作人员必须对评标情况严格保密，任何人不得将评标情况透露给与投标人有关的单位和个人。如有违反评标纪律的情况发生，将依据《中华人民共和国招标投标法》、《中华人民共和国招标投标法实施条例》及其他有关法律法规的规定，追究有关当事人的责任。</w:t>
      </w:r>
    </w:p>
    <w:p w14:paraId="47346296">
      <w:pPr>
        <w:keepNext w:val="0"/>
        <w:keepLines w:val="0"/>
        <w:pageBreakBefore w:val="0"/>
        <w:widowControl w:val="0"/>
        <w:kinsoku/>
        <w:wordWrap/>
        <w:overflowPunct/>
        <w:topLinePunct w:val="0"/>
        <w:bidi w:val="0"/>
        <w:adjustRightInd w:val="0"/>
        <w:snapToGrid w:val="0"/>
        <w:spacing w:line="360" w:lineRule="auto"/>
        <w:ind w:right="-11"/>
        <w:jc w:val="center"/>
        <w:textAlignment w:val="auto"/>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color w:val="auto"/>
          <w:sz w:val="24"/>
          <w:highlight w:val="none"/>
        </w:rPr>
        <w:br w:type="page"/>
      </w:r>
      <w:bookmarkStart w:id="56" w:name="_Toc4901"/>
      <w:bookmarkStart w:id="57" w:name="_Toc477794142"/>
      <w:bookmarkStart w:id="58" w:name="_Hlt509738509"/>
      <w:bookmarkStart w:id="59" w:name="_Hlt519045391"/>
      <w:bookmarkStart w:id="60" w:name="_Hlt509738521"/>
      <w:r>
        <w:rPr>
          <w:rFonts w:hint="eastAsia" w:ascii="宋体" w:hAnsi="宋体" w:eastAsia="宋体" w:cs="宋体"/>
          <w:b/>
          <w:bCs/>
          <w:color w:val="auto"/>
          <w:kern w:val="0"/>
          <w:sz w:val="28"/>
          <w:szCs w:val="28"/>
          <w:highlight w:val="none"/>
          <w:lang w:val="en-US" w:eastAsia="zh-CN" w:bidi="ar-SA"/>
        </w:rPr>
        <w:t>第六章  合同参考范本</w:t>
      </w:r>
      <w:bookmarkEnd w:id="56"/>
    </w:p>
    <w:p w14:paraId="3BB6FAD2">
      <w:pPr>
        <w:spacing w:line="480" w:lineRule="auto"/>
        <w:jc w:val="center"/>
        <w:rPr>
          <w:rFonts w:hint="eastAsia" w:ascii="宋体" w:hAnsi="宋体" w:eastAsia="宋体" w:cs="宋体"/>
          <w:b/>
          <w:color w:val="auto"/>
          <w:sz w:val="24"/>
          <w:highlight w:val="none"/>
        </w:rPr>
      </w:pPr>
      <w:bookmarkStart w:id="61" w:name="_Toc331685784"/>
      <w:bookmarkStart w:id="62" w:name="_Toc27513"/>
    </w:p>
    <w:p w14:paraId="2F12A432">
      <w:pPr>
        <w:spacing w:line="480" w:lineRule="auto"/>
        <w:jc w:val="center"/>
        <w:rPr>
          <w:rFonts w:hint="eastAsia" w:ascii="宋体" w:hAnsi="宋体" w:eastAsia="宋体" w:cs="宋体"/>
          <w:b/>
          <w:color w:val="auto"/>
          <w:sz w:val="24"/>
          <w:highlight w:val="none"/>
        </w:rPr>
      </w:pPr>
    </w:p>
    <w:p w14:paraId="1E1D4035">
      <w:pPr>
        <w:spacing w:line="480" w:lineRule="auto"/>
        <w:jc w:val="center"/>
        <w:rPr>
          <w:rFonts w:hint="eastAsia" w:ascii="宋体" w:hAnsi="宋体" w:eastAsia="宋体" w:cs="宋体"/>
          <w:b/>
          <w:color w:val="auto"/>
          <w:sz w:val="24"/>
          <w:highlight w:val="none"/>
        </w:rPr>
      </w:pPr>
    </w:p>
    <w:p w14:paraId="7C3E5B20">
      <w:pPr>
        <w:spacing w:line="48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（服务类）</w:t>
      </w:r>
    </w:p>
    <w:p w14:paraId="0835E840">
      <w:pPr>
        <w:spacing w:line="480" w:lineRule="auto"/>
        <w:jc w:val="center"/>
        <w:rPr>
          <w:rFonts w:hint="eastAsia" w:ascii="宋体" w:hAnsi="宋体" w:eastAsia="宋体" w:cs="宋体"/>
          <w:b/>
          <w:color w:val="auto"/>
          <w:sz w:val="24"/>
          <w:highlight w:val="none"/>
        </w:rPr>
      </w:pPr>
    </w:p>
    <w:p w14:paraId="010A38E6">
      <w:pPr>
        <w:spacing w:line="480" w:lineRule="auto"/>
        <w:jc w:val="center"/>
        <w:rPr>
          <w:rFonts w:hint="eastAsia" w:ascii="宋体" w:hAnsi="宋体" w:eastAsia="宋体" w:cs="宋体"/>
          <w:b/>
          <w:color w:val="auto"/>
          <w:sz w:val="24"/>
          <w:highlight w:val="none"/>
        </w:rPr>
      </w:pPr>
    </w:p>
    <w:p w14:paraId="3BE36D0A">
      <w:pPr>
        <w:spacing w:line="480" w:lineRule="auto"/>
        <w:jc w:val="center"/>
        <w:rPr>
          <w:rFonts w:hint="eastAsia" w:ascii="宋体" w:hAnsi="宋体" w:eastAsia="宋体" w:cs="宋体"/>
          <w:b/>
          <w:color w:val="auto"/>
          <w:sz w:val="24"/>
          <w:highlight w:val="none"/>
        </w:rPr>
      </w:pPr>
    </w:p>
    <w:p w14:paraId="7502EC9F">
      <w:pPr>
        <w:spacing w:line="360" w:lineRule="auto"/>
        <w:jc w:val="center"/>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第一部分 合同书</w:t>
      </w:r>
    </w:p>
    <w:p w14:paraId="40251E94">
      <w:pPr>
        <w:spacing w:line="480" w:lineRule="auto"/>
        <w:jc w:val="center"/>
        <w:rPr>
          <w:rFonts w:hint="eastAsia" w:ascii="宋体" w:hAnsi="宋体" w:eastAsia="宋体" w:cs="宋体"/>
          <w:b/>
          <w:color w:val="auto"/>
          <w:sz w:val="24"/>
          <w:highlight w:val="none"/>
        </w:rPr>
      </w:pPr>
    </w:p>
    <w:p w14:paraId="0F191768">
      <w:pPr>
        <w:spacing w:line="480" w:lineRule="auto"/>
        <w:jc w:val="center"/>
        <w:rPr>
          <w:rFonts w:hint="eastAsia" w:ascii="宋体" w:hAnsi="宋体" w:eastAsia="宋体" w:cs="宋体"/>
          <w:b/>
          <w:color w:val="auto"/>
          <w:sz w:val="24"/>
          <w:highlight w:val="none"/>
        </w:rPr>
      </w:pPr>
    </w:p>
    <w:p w14:paraId="000B0CB5">
      <w:pPr>
        <w:spacing w:line="480" w:lineRule="auto"/>
        <w:jc w:val="center"/>
        <w:rPr>
          <w:rFonts w:hint="eastAsia" w:ascii="宋体" w:hAnsi="宋体" w:eastAsia="宋体" w:cs="宋体"/>
          <w:b/>
          <w:color w:val="auto"/>
          <w:sz w:val="24"/>
          <w:highlight w:val="none"/>
        </w:rPr>
      </w:pPr>
    </w:p>
    <w:p w14:paraId="53AA0076">
      <w:pPr>
        <w:spacing w:before="120" w:line="480" w:lineRule="auto"/>
        <w:ind w:left="96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w:t>
      </w:r>
      <w:r>
        <w:rPr>
          <w:rFonts w:hint="eastAsia" w:ascii="宋体" w:hAnsi="宋体" w:cs="宋体"/>
          <w:color w:val="auto"/>
          <w:sz w:val="24"/>
          <w:highlight w:val="none"/>
          <w:u w:val="single"/>
          <w:lang w:val="en-US" w:eastAsia="zh-CN"/>
        </w:rPr>
        <w:t>肥西县中医院消防维保（2026-2027）</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 xml:space="preserve"> </w:t>
      </w:r>
    </w:p>
    <w:p w14:paraId="46806BDC">
      <w:pPr>
        <w:spacing w:before="120" w:line="480" w:lineRule="auto"/>
        <w:ind w:left="96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项目编号：</w:t>
      </w:r>
      <w:r>
        <w:rPr>
          <w:rFonts w:hint="eastAsia" w:ascii="宋体" w:hAnsi="宋体" w:cs="宋体"/>
          <w:color w:val="auto"/>
          <w:sz w:val="24"/>
          <w:highlight w:val="none"/>
          <w:u w:val="single"/>
          <w:lang w:eastAsia="zh-CN"/>
        </w:rPr>
        <w:t>2026GSBN0011</w:t>
      </w:r>
    </w:p>
    <w:p w14:paraId="2C76339F">
      <w:pPr>
        <w:spacing w:before="120" w:line="480" w:lineRule="auto"/>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甲方：</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肥西县中医院</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p w14:paraId="1370B1FB">
      <w:pPr>
        <w:spacing w:before="120" w:line="480" w:lineRule="auto"/>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14:paraId="080C0B26">
      <w:pPr>
        <w:spacing w:before="120" w:line="480" w:lineRule="auto"/>
        <w:ind w:firstLine="960" w:firstLineChars="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签订地：</w:t>
      </w:r>
      <w:r>
        <w:rPr>
          <w:rFonts w:hint="eastAsia" w:ascii="宋体" w:hAnsi="宋体" w:eastAsia="宋体" w:cs="宋体"/>
          <w:color w:val="auto"/>
          <w:sz w:val="24"/>
          <w:highlight w:val="none"/>
          <w:u w:val="single"/>
        </w:rPr>
        <w:t xml:space="preserve">                                     </w:t>
      </w:r>
    </w:p>
    <w:p w14:paraId="26CA026B">
      <w:pPr>
        <w:spacing w:before="120" w:line="480" w:lineRule="auto"/>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7E897E86">
      <w:pPr>
        <w:widowControl/>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5EB9CEBA">
      <w:pPr>
        <w:spacing w:line="360" w:lineRule="auto"/>
        <w:ind w:firstLine="435"/>
        <w:rPr>
          <w:rFonts w:hint="eastAsia" w:ascii="宋体" w:hAnsi="宋体" w:eastAsia="宋体" w:cs="宋体"/>
          <w:color w:val="auto"/>
          <w:sz w:val="24"/>
          <w:highlight w:val="none"/>
        </w:rPr>
      </w:pPr>
      <w:r>
        <w:rPr>
          <w:rFonts w:hint="eastAsia" w:ascii="宋体" w:hAnsi="宋体" w:cs="宋体"/>
          <w:color w:val="auto"/>
          <w:sz w:val="24"/>
          <w:highlight w:val="none"/>
          <w:u w:val="single"/>
          <w:lang w:val="en-US" w:eastAsia="zh-CN"/>
        </w:rPr>
        <w:t>肥西县中医院</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以下简称：甲方</w:t>
      </w:r>
      <w:r>
        <w:rPr>
          <w:rFonts w:hint="eastAsia" w:ascii="宋体" w:hAnsi="宋体" w:eastAsia="宋体" w:cs="宋体"/>
          <w:color w:val="auto"/>
          <w:sz w:val="24"/>
          <w:highlight w:val="none"/>
        </w:rPr>
        <w:t>）通</w:t>
      </w:r>
      <w:r>
        <w:rPr>
          <w:rFonts w:hint="eastAsia" w:ascii="宋体" w:hAnsi="宋体" w:eastAsia="宋体" w:cs="宋体"/>
          <w:color w:val="auto"/>
          <w:sz w:val="24"/>
          <w:highlight w:val="none"/>
          <w:u w:val="single"/>
          <w:lang w:eastAsia="zh-CN"/>
        </w:rPr>
        <w:t>肥西县公共资源交易有限责任公司</w:t>
      </w:r>
      <w:r>
        <w:rPr>
          <w:rFonts w:hint="eastAsia" w:ascii="宋体" w:hAnsi="宋体" w:eastAsia="宋体" w:cs="宋体"/>
          <w:color w:val="auto"/>
          <w:sz w:val="24"/>
          <w:highlight w:val="none"/>
        </w:rPr>
        <w:t>组织的</w:t>
      </w:r>
      <w:r>
        <w:rPr>
          <w:rFonts w:hint="eastAsia" w:ascii="宋体" w:hAnsi="宋体" w:eastAsia="宋体" w:cs="宋体"/>
          <w:color w:val="auto"/>
          <w:sz w:val="24"/>
          <w:highlight w:val="none"/>
          <w:u w:val="single"/>
        </w:rPr>
        <w:t>竞争性磋商</w:t>
      </w:r>
      <w:r>
        <w:rPr>
          <w:rFonts w:hint="eastAsia" w:ascii="宋体" w:hAnsi="宋体" w:eastAsia="宋体" w:cs="宋体"/>
          <w:color w:val="auto"/>
          <w:sz w:val="24"/>
          <w:highlight w:val="none"/>
        </w:rPr>
        <w:t>方式采购活动，经</w:t>
      </w:r>
      <w:r>
        <w:rPr>
          <w:rFonts w:hint="eastAsia" w:ascii="宋体" w:hAnsi="宋体" w:eastAsia="宋体" w:cs="宋体"/>
          <w:color w:val="auto"/>
          <w:sz w:val="24"/>
          <w:highlight w:val="none"/>
          <w:u w:val="single"/>
        </w:rPr>
        <w:t>磋商小组</w:t>
      </w:r>
      <w:r>
        <w:rPr>
          <w:rFonts w:hint="eastAsia" w:ascii="宋体" w:hAnsi="宋体" w:eastAsia="宋体" w:cs="宋体"/>
          <w:color w:val="auto"/>
          <w:sz w:val="24"/>
          <w:highlight w:val="none"/>
        </w:rPr>
        <w:t>评定，</w:t>
      </w:r>
      <w:r>
        <w:rPr>
          <w:rFonts w:hint="eastAsia" w:ascii="宋体" w:hAnsi="宋体" w:eastAsia="宋体" w:cs="宋体"/>
          <w:i/>
          <w:iCs/>
          <w:color w:val="auto"/>
          <w:sz w:val="24"/>
          <w:highlight w:val="none"/>
          <w:u w:val="single"/>
        </w:rPr>
        <w:t>（成交供应商名称）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以下简称：乙方</w:t>
      </w:r>
      <w:r>
        <w:rPr>
          <w:rFonts w:hint="eastAsia" w:ascii="宋体" w:hAnsi="宋体" w:eastAsia="宋体" w:cs="宋体"/>
          <w:color w:val="auto"/>
          <w:sz w:val="24"/>
          <w:highlight w:val="none"/>
        </w:rPr>
        <w:t>）为本项目成交供应商，现按照采购文件确定的事项签订本合同。</w:t>
      </w:r>
    </w:p>
    <w:p w14:paraId="36E985EA">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根据《中华人民共和国民法典》等相关法律法规之规定，按照平等、自愿、公平和诚实信用的原则，经甲方和乙方协商一致，约定以下合同条款，以兹共同遵守、全面履行。</w:t>
      </w:r>
    </w:p>
    <w:p w14:paraId="6E334A7E">
      <w:pPr>
        <w:spacing w:line="360" w:lineRule="auto"/>
        <w:ind w:firstLine="437"/>
        <w:outlineLvl w:val="3"/>
        <w:rPr>
          <w:rFonts w:hint="eastAsia" w:ascii="宋体" w:hAnsi="宋体" w:eastAsia="宋体" w:cs="宋体"/>
          <w:b/>
          <w:bCs/>
          <w:color w:val="auto"/>
          <w:sz w:val="24"/>
          <w:highlight w:val="none"/>
          <w:lang w:val="zh-CN"/>
        </w:rPr>
      </w:pPr>
      <w:bookmarkStart w:id="63" w:name="_Toc3029"/>
      <w:bookmarkStart w:id="64" w:name="_Toc24059"/>
      <w:bookmarkStart w:id="65" w:name="_Toc2232"/>
      <w:r>
        <w:rPr>
          <w:rFonts w:hint="eastAsia" w:ascii="宋体" w:hAnsi="宋体" w:eastAsia="宋体" w:cs="宋体"/>
          <w:b/>
          <w:bCs/>
          <w:color w:val="auto"/>
          <w:sz w:val="24"/>
          <w:highlight w:val="none"/>
          <w:lang w:val="zh-CN"/>
        </w:rPr>
        <w:t>1.1 合同组成部分</w:t>
      </w:r>
      <w:bookmarkEnd w:id="63"/>
      <w:bookmarkEnd w:id="64"/>
      <w:bookmarkEnd w:id="65"/>
    </w:p>
    <w:p w14:paraId="30A272F8">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33E0B6E6">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1.1.1本合同及其补充合同、变更协议；</w:t>
      </w:r>
    </w:p>
    <w:p w14:paraId="016A5880">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1.1.2成交通知书；</w:t>
      </w:r>
    </w:p>
    <w:p w14:paraId="4200FBF5">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1.1.3响应文件（含澄清或者说明文件）；</w:t>
      </w:r>
    </w:p>
    <w:p w14:paraId="7C071343">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1.1.4磋商文件（含澄清或者修改文件）；</w:t>
      </w:r>
    </w:p>
    <w:p w14:paraId="40720FDC">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1.1.5其他相关采购文件。</w:t>
      </w:r>
    </w:p>
    <w:p w14:paraId="386088A4">
      <w:pPr>
        <w:spacing w:line="360" w:lineRule="auto"/>
        <w:ind w:firstLine="437"/>
        <w:outlineLvl w:val="3"/>
        <w:rPr>
          <w:rFonts w:hint="eastAsia" w:ascii="宋体" w:hAnsi="宋体" w:eastAsia="宋体" w:cs="宋体"/>
          <w:b/>
          <w:bCs/>
          <w:color w:val="auto"/>
          <w:sz w:val="24"/>
          <w:highlight w:val="none"/>
          <w:lang w:val="zh-CN"/>
        </w:rPr>
      </w:pPr>
      <w:bookmarkStart w:id="66" w:name="_Toc18585"/>
      <w:bookmarkStart w:id="67" w:name="_Toc22185"/>
      <w:bookmarkStart w:id="68" w:name="_Toc6773"/>
      <w:bookmarkStart w:id="69" w:name="_Toc2918"/>
      <w:bookmarkStart w:id="70" w:name="_Toc6311"/>
      <w:r>
        <w:rPr>
          <w:rFonts w:hint="eastAsia" w:ascii="宋体" w:hAnsi="宋体" w:eastAsia="宋体" w:cs="宋体"/>
          <w:b/>
          <w:bCs/>
          <w:color w:val="auto"/>
          <w:sz w:val="24"/>
          <w:highlight w:val="none"/>
          <w:lang w:val="zh-CN"/>
        </w:rPr>
        <w:t xml:space="preserve">1.2 </w:t>
      </w:r>
      <w:bookmarkEnd w:id="66"/>
      <w:bookmarkEnd w:id="67"/>
      <w:bookmarkEnd w:id="68"/>
      <w:bookmarkEnd w:id="69"/>
      <w:bookmarkEnd w:id="70"/>
      <w:r>
        <w:rPr>
          <w:rFonts w:hint="eastAsia" w:ascii="宋体" w:hAnsi="宋体" w:eastAsia="宋体" w:cs="宋体"/>
          <w:b/>
          <w:bCs/>
          <w:color w:val="auto"/>
          <w:sz w:val="24"/>
          <w:highlight w:val="none"/>
          <w:lang w:val="zh-CN"/>
        </w:rPr>
        <w:t>服务</w:t>
      </w:r>
    </w:p>
    <w:p w14:paraId="678B95A9">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1.2.1服务名称：</w:t>
      </w:r>
      <w:r>
        <w:rPr>
          <w:rFonts w:hint="eastAsia" w:ascii="宋体" w:hAnsi="宋体" w:cs="宋体"/>
          <w:color w:val="auto"/>
          <w:sz w:val="24"/>
          <w:highlight w:val="none"/>
          <w:u w:val="single"/>
          <w:lang w:val="en-US" w:eastAsia="zh-CN"/>
        </w:rPr>
        <w:t>肥西县中医院消防维保（2026-2027）</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1C48864">
      <w:pPr>
        <w:spacing w:line="360" w:lineRule="auto"/>
        <w:ind w:firstLine="435"/>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1.2.2服务内容：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w:t>
      </w:r>
    </w:p>
    <w:p w14:paraId="3207379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1.2.3服务质量：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4E3A1E85">
      <w:pPr>
        <w:spacing w:line="360" w:lineRule="auto"/>
        <w:ind w:firstLine="437"/>
        <w:outlineLvl w:val="3"/>
        <w:rPr>
          <w:rFonts w:hint="eastAsia" w:ascii="宋体" w:hAnsi="宋体" w:eastAsia="宋体" w:cs="宋体"/>
          <w:b/>
          <w:bCs/>
          <w:color w:val="auto"/>
          <w:sz w:val="24"/>
          <w:highlight w:val="none"/>
          <w:lang w:val="zh-CN"/>
        </w:rPr>
      </w:pPr>
      <w:bookmarkStart w:id="71" w:name="_Toc23292"/>
      <w:bookmarkStart w:id="72" w:name="_Toc21631"/>
      <w:bookmarkStart w:id="73" w:name="_Toc21551"/>
      <w:r>
        <w:rPr>
          <w:rFonts w:hint="eastAsia" w:ascii="宋体" w:hAnsi="宋体" w:eastAsia="宋体" w:cs="宋体"/>
          <w:b/>
          <w:bCs/>
          <w:color w:val="auto"/>
          <w:sz w:val="24"/>
          <w:highlight w:val="none"/>
          <w:lang w:val="zh-CN"/>
        </w:rPr>
        <w:t>1.3 价款</w:t>
      </w:r>
      <w:bookmarkEnd w:id="71"/>
      <w:bookmarkEnd w:id="72"/>
      <w:bookmarkEnd w:id="73"/>
    </w:p>
    <w:p w14:paraId="69AFE44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本合同总价为：￥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元（大写：人民币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w:t>
      </w:r>
    </w:p>
    <w:p w14:paraId="29C4636D">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分项价格：</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2"/>
        <w:gridCol w:w="4876"/>
        <w:gridCol w:w="13"/>
        <w:gridCol w:w="3644"/>
        <w:gridCol w:w="14"/>
      </w:tblGrid>
      <w:tr w14:paraId="2735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noWrap w:val="0"/>
            <w:vAlign w:val="center"/>
          </w:tcPr>
          <w:p w14:paraId="4A21F3BD">
            <w:pPr>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序号</w:t>
            </w:r>
          </w:p>
        </w:tc>
        <w:tc>
          <w:tcPr>
            <w:tcW w:w="2532" w:type="pct"/>
            <w:noWrap w:val="0"/>
            <w:vAlign w:val="center"/>
          </w:tcPr>
          <w:p w14:paraId="6CCF4365">
            <w:pPr>
              <w:pStyle w:val="33"/>
              <w:ind w:firstLine="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分项名称</w:t>
            </w:r>
          </w:p>
        </w:tc>
        <w:tc>
          <w:tcPr>
            <w:tcW w:w="1899" w:type="pct"/>
            <w:gridSpan w:val="2"/>
            <w:noWrap w:val="0"/>
            <w:vAlign w:val="center"/>
          </w:tcPr>
          <w:p w14:paraId="1992D2D3">
            <w:pPr>
              <w:pStyle w:val="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分项价格</w:t>
            </w:r>
          </w:p>
        </w:tc>
      </w:tr>
      <w:tr w14:paraId="2DF87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noWrap w:val="0"/>
            <w:vAlign w:val="top"/>
          </w:tcPr>
          <w:p w14:paraId="1CEE7829">
            <w:pPr>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w:t>
            </w:r>
          </w:p>
        </w:tc>
        <w:tc>
          <w:tcPr>
            <w:tcW w:w="2532" w:type="pct"/>
            <w:noWrap w:val="0"/>
            <w:vAlign w:val="center"/>
          </w:tcPr>
          <w:p w14:paraId="4339352D">
            <w:pPr>
              <w:pStyle w:val="33"/>
              <w:ind w:firstLine="200"/>
              <w:jc w:val="center"/>
              <w:rPr>
                <w:rFonts w:hint="eastAsia" w:ascii="宋体" w:hAnsi="宋体" w:eastAsia="宋体" w:cs="宋体"/>
                <w:color w:val="auto"/>
                <w:sz w:val="24"/>
                <w:szCs w:val="24"/>
                <w:highlight w:val="none"/>
              </w:rPr>
            </w:pPr>
          </w:p>
        </w:tc>
        <w:tc>
          <w:tcPr>
            <w:tcW w:w="1899" w:type="pct"/>
            <w:gridSpan w:val="2"/>
            <w:noWrap w:val="0"/>
            <w:vAlign w:val="center"/>
          </w:tcPr>
          <w:p w14:paraId="0C626644">
            <w:pPr>
              <w:pStyle w:val="33"/>
              <w:ind w:firstLine="200"/>
              <w:jc w:val="center"/>
              <w:rPr>
                <w:rFonts w:hint="eastAsia" w:ascii="宋体" w:hAnsi="宋体" w:eastAsia="宋体" w:cs="宋体"/>
                <w:color w:val="auto"/>
                <w:sz w:val="24"/>
                <w:szCs w:val="24"/>
                <w:highlight w:val="none"/>
              </w:rPr>
            </w:pPr>
          </w:p>
        </w:tc>
      </w:tr>
      <w:tr w14:paraId="47A4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noWrap w:val="0"/>
            <w:vAlign w:val="top"/>
          </w:tcPr>
          <w:p w14:paraId="2FAA3601">
            <w:pPr>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w:t>
            </w:r>
          </w:p>
        </w:tc>
        <w:tc>
          <w:tcPr>
            <w:tcW w:w="2532" w:type="pct"/>
            <w:noWrap w:val="0"/>
            <w:vAlign w:val="center"/>
          </w:tcPr>
          <w:p w14:paraId="3B96020E">
            <w:pPr>
              <w:pStyle w:val="33"/>
              <w:ind w:firstLine="200"/>
              <w:jc w:val="center"/>
              <w:rPr>
                <w:rFonts w:hint="eastAsia" w:ascii="宋体" w:hAnsi="宋体" w:eastAsia="宋体" w:cs="宋体"/>
                <w:color w:val="auto"/>
                <w:sz w:val="24"/>
                <w:szCs w:val="24"/>
                <w:highlight w:val="none"/>
              </w:rPr>
            </w:pPr>
          </w:p>
        </w:tc>
        <w:tc>
          <w:tcPr>
            <w:tcW w:w="1899" w:type="pct"/>
            <w:gridSpan w:val="2"/>
            <w:noWrap w:val="0"/>
            <w:vAlign w:val="center"/>
          </w:tcPr>
          <w:p w14:paraId="47DEA017">
            <w:pPr>
              <w:pStyle w:val="33"/>
              <w:ind w:firstLine="200"/>
              <w:jc w:val="center"/>
              <w:rPr>
                <w:rFonts w:hint="eastAsia" w:ascii="宋体" w:hAnsi="宋体" w:eastAsia="宋体" w:cs="宋体"/>
                <w:color w:val="auto"/>
                <w:sz w:val="24"/>
                <w:szCs w:val="24"/>
                <w:highlight w:val="none"/>
              </w:rPr>
            </w:pPr>
          </w:p>
        </w:tc>
      </w:tr>
      <w:tr w14:paraId="41AD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noWrap w:val="0"/>
            <w:vAlign w:val="top"/>
          </w:tcPr>
          <w:p w14:paraId="3E525723">
            <w:pPr>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3</w:t>
            </w:r>
          </w:p>
        </w:tc>
        <w:tc>
          <w:tcPr>
            <w:tcW w:w="2532" w:type="pct"/>
            <w:noWrap w:val="0"/>
            <w:vAlign w:val="center"/>
          </w:tcPr>
          <w:p w14:paraId="0A1DAD7A">
            <w:pPr>
              <w:pStyle w:val="33"/>
              <w:ind w:firstLine="200"/>
              <w:jc w:val="center"/>
              <w:rPr>
                <w:rFonts w:hint="eastAsia" w:ascii="宋体" w:hAnsi="宋体" w:eastAsia="宋体" w:cs="宋体"/>
                <w:color w:val="auto"/>
                <w:sz w:val="24"/>
                <w:szCs w:val="24"/>
                <w:highlight w:val="none"/>
              </w:rPr>
            </w:pPr>
          </w:p>
        </w:tc>
        <w:tc>
          <w:tcPr>
            <w:tcW w:w="1899" w:type="pct"/>
            <w:gridSpan w:val="2"/>
            <w:noWrap w:val="0"/>
            <w:vAlign w:val="center"/>
          </w:tcPr>
          <w:p w14:paraId="2C94D098">
            <w:pPr>
              <w:pStyle w:val="33"/>
              <w:ind w:firstLine="200"/>
              <w:jc w:val="center"/>
              <w:rPr>
                <w:rFonts w:hint="eastAsia" w:ascii="宋体" w:hAnsi="宋体" w:eastAsia="宋体" w:cs="宋体"/>
                <w:color w:val="auto"/>
                <w:sz w:val="24"/>
                <w:szCs w:val="24"/>
                <w:highlight w:val="none"/>
              </w:rPr>
            </w:pPr>
          </w:p>
        </w:tc>
      </w:tr>
      <w:tr w14:paraId="1F049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noWrap w:val="0"/>
            <w:vAlign w:val="top"/>
          </w:tcPr>
          <w:p w14:paraId="44AFDA68">
            <w:pPr>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w:t>
            </w:r>
          </w:p>
        </w:tc>
        <w:tc>
          <w:tcPr>
            <w:tcW w:w="2532" w:type="pct"/>
            <w:noWrap w:val="0"/>
            <w:vAlign w:val="center"/>
          </w:tcPr>
          <w:p w14:paraId="24CCCA90">
            <w:pPr>
              <w:pStyle w:val="33"/>
              <w:ind w:firstLine="200"/>
              <w:jc w:val="center"/>
              <w:rPr>
                <w:rFonts w:hint="eastAsia" w:ascii="宋体" w:hAnsi="宋体" w:eastAsia="宋体" w:cs="宋体"/>
                <w:color w:val="auto"/>
                <w:sz w:val="24"/>
                <w:szCs w:val="24"/>
                <w:highlight w:val="none"/>
              </w:rPr>
            </w:pPr>
          </w:p>
        </w:tc>
        <w:tc>
          <w:tcPr>
            <w:tcW w:w="1899" w:type="pct"/>
            <w:gridSpan w:val="2"/>
            <w:noWrap w:val="0"/>
            <w:vAlign w:val="center"/>
          </w:tcPr>
          <w:p w14:paraId="21A148CB">
            <w:pPr>
              <w:pStyle w:val="33"/>
              <w:ind w:firstLine="200"/>
              <w:jc w:val="center"/>
              <w:rPr>
                <w:rFonts w:hint="eastAsia" w:ascii="宋体" w:hAnsi="宋体" w:eastAsia="宋体" w:cs="宋体"/>
                <w:color w:val="auto"/>
                <w:sz w:val="24"/>
                <w:szCs w:val="24"/>
                <w:highlight w:val="none"/>
              </w:rPr>
            </w:pPr>
          </w:p>
        </w:tc>
      </w:tr>
      <w:tr w14:paraId="1F06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101" w:type="pct"/>
            <w:gridSpan w:val="3"/>
            <w:noWrap w:val="0"/>
            <w:vAlign w:val="center"/>
          </w:tcPr>
          <w:p w14:paraId="49CFEBFC">
            <w:pPr>
              <w:pStyle w:val="33"/>
              <w:ind w:firstLine="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w:t>
            </w:r>
          </w:p>
        </w:tc>
        <w:tc>
          <w:tcPr>
            <w:tcW w:w="1899" w:type="pct"/>
            <w:gridSpan w:val="2"/>
            <w:noWrap w:val="0"/>
            <w:vAlign w:val="center"/>
          </w:tcPr>
          <w:p w14:paraId="47B71E59">
            <w:pPr>
              <w:pStyle w:val="33"/>
              <w:ind w:firstLine="200"/>
              <w:jc w:val="center"/>
              <w:rPr>
                <w:rFonts w:hint="eastAsia" w:ascii="宋体" w:hAnsi="宋体" w:eastAsia="宋体" w:cs="宋体"/>
                <w:color w:val="auto"/>
                <w:sz w:val="24"/>
                <w:szCs w:val="24"/>
                <w:highlight w:val="none"/>
              </w:rPr>
            </w:pPr>
          </w:p>
        </w:tc>
      </w:tr>
    </w:tbl>
    <w:p w14:paraId="13F72621">
      <w:pPr>
        <w:spacing w:line="360" w:lineRule="auto"/>
        <w:ind w:firstLine="437"/>
        <w:outlineLvl w:val="3"/>
        <w:rPr>
          <w:rFonts w:hint="eastAsia" w:ascii="宋体" w:hAnsi="宋体" w:eastAsia="宋体" w:cs="宋体"/>
          <w:b/>
          <w:bCs/>
          <w:color w:val="auto"/>
          <w:sz w:val="24"/>
          <w:highlight w:val="none"/>
          <w:u w:val="none"/>
          <w:lang w:val="zh-CN"/>
        </w:rPr>
      </w:pPr>
      <w:bookmarkStart w:id="74" w:name="_Toc10340"/>
      <w:bookmarkStart w:id="75" w:name="_Toc22618"/>
      <w:bookmarkStart w:id="76" w:name="_Toc1814"/>
      <w:r>
        <w:rPr>
          <w:rFonts w:hint="eastAsia" w:ascii="宋体" w:hAnsi="宋体" w:eastAsia="宋体" w:cs="宋体"/>
          <w:b/>
          <w:bCs/>
          <w:color w:val="auto"/>
          <w:sz w:val="24"/>
          <w:highlight w:val="none"/>
          <w:lang w:val="zh-CN"/>
        </w:rPr>
        <w:t>1.4 付款方式和发</w:t>
      </w:r>
      <w:r>
        <w:rPr>
          <w:rFonts w:hint="eastAsia" w:ascii="宋体" w:hAnsi="宋体" w:eastAsia="宋体" w:cs="宋体"/>
          <w:b/>
          <w:bCs/>
          <w:color w:val="auto"/>
          <w:sz w:val="24"/>
          <w:highlight w:val="none"/>
          <w:u w:val="none"/>
          <w:lang w:val="zh-CN"/>
        </w:rPr>
        <w:t>票开具方式</w:t>
      </w:r>
      <w:bookmarkEnd w:id="74"/>
      <w:bookmarkEnd w:id="75"/>
      <w:bookmarkEnd w:id="76"/>
    </w:p>
    <w:p w14:paraId="685928B0">
      <w:pPr>
        <w:spacing w:line="360" w:lineRule="auto"/>
        <w:ind w:firstLine="435"/>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u w:val="none"/>
        </w:rPr>
        <w:t>1.4.1付款方式：</w:t>
      </w:r>
      <w:r>
        <w:rPr>
          <w:rFonts w:hint="eastAsia" w:ascii="宋体" w:hAnsi="宋体" w:eastAsia="宋体" w:cs="宋体"/>
          <w:color w:val="auto"/>
          <w:sz w:val="24"/>
          <w:highlight w:val="none"/>
          <w:u w:val="single"/>
          <w:lang w:val="en-US" w:eastAsia="zh-CN"/>
        </w:rPr>
        <w:t xml:space="preserve">                      </w:t>
      </w:r>
    </w:p>
    <w:p w14:paraId="3F8249C1">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1.4.2发票开具方式：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p w14:paraId="40FD9E50">
      <w:pPr>
        <w:spacing w:line="360" w:lineRule="auto"/>
        <w:ind w:firstLine="437"/>
        <w:outlineLvl w:val="3"/>
        <w:rPr>
          <w:rFonts w:hint="eastAsia" w:ascii="宋体" w:hAnsi="宋体" w:eastAsia="宋体" w:cs="宋体"/>
          <w:b/>
          <w:bCs/>
          <w:color w:val="auto"/>
          <w:sz w:val="24"/>
          <w:highlight w:val="none"/>
          <w:lang w:val="zh-CN"/>
        </w:rPr>
      </w:pPr>
      <w:bookmarkStart w:id="77" w:name="_Toc2846"/>
      <w:bookmarkStart w:id="78" w:name="_Toc32071"/>
      <w:bookmarkStart w:id="79" w:name="_Toc19304"/>
      <w:r>
        <w:rPr>
          <w:rFonts w:hint="eastAsia" w:ascii="宋体" w:hAnsi="宋体" w:eastAsia="宋体" w:cs="宋体"/>
          <w:b/>
          <w:bCs/>
          <w:color w:val="auto"/>
          <w:sz w:val="24"/>
          <w:highlight w:val="none"/>
          <w:lang w:val="zh-CN"/>
        </w:rPr>
        <w:t>1.5 服务期限、地点和方式</w:t>
      </w:r>
      <w:bookmarkEnd w:id="77"/>
      <w:bookmarkEnd w:id="78"/>
      <w:bookmarkEnd w:id="79"/>
    </w:p>
    <w:p w14:paraId="3F6710CC">
      <w:pPr>
        <w:spacing w:line="360" w:lineRule="auto"/>
        <w:ind w:firstLine="435"/>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1.5.1服务期限：</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w:t>
      </w:r>
    </w:p>
    <w:p w14:paraId="38EA403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1.5.2服务地点：</w:t>
      </w:r>
      <w:r>
        <w:rPr>
          <w:rFonts w:hint="eastAsia" w:ascii="宋体" w:hAnsi="宋体" w:eastAsia="宋体" w:cs="宋体"/>
          <w:color w:val="auto"/>
          <w:sz w:val="24"/>
          <w:highlight w:val="none"/>
          <w:u w:val="single"/>
          <w:lang w:val="en-US" w:eastAsia="zh-CN"/>
        </w:rPr>
        <w:t xml:space="preserve">                   ；</w:t>
      </w:r>
    </w:p>
    <w:p w14:paraId="07A8A45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1.5.3服务方式：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007AB57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1.5.3.1 服务</w:t>
      </w:r>
      <w:r>
        <w:rPr>
          <w:rFonts w:hint="eastAsia" w:ascii="宋体" w:hAnsi="宋体" w:eastAsia="宋体" w:cs="宋体"/>
          <w:color w:val="auto"/>
          <w:sz w:val="24"/>
          <w:highlight w:val="none"/>
        </w:rPr>
        <w:t>项目的进行：</w:t>
      </w:r>
    </w:p>
    <w:p w14:paraId="57A1F64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甲方有权对乙方为调研</w:t>
      </w:r>
      <w:r>
        <w:rPr>
          <w:rFonts w:hint="eastAsia" w:ascii="宋体" w:hAnsi="宋体" w:eastAsia="宋体" w:cs="宋体"/>
          <w:color w:val="auto"/>
          <w:sz w:val="24"/>
          <w:highlight w:val="none"/>
          <w:lang w:val="en-US" w:eastAsia="zh-CN"/>
        </w:rPr>
        <w:t>及研判</w:t>
      </w:r>
      <w:r>
        <w:rPr>
          <w:rFonts w:hint="eastAsia" w:ascii="宋体" w:hAnsi="宋体" w:eastAsia="宋体" w:cs="宋体"/>
          <w:color w:val="auto"/>
          <w:sz w:val="24"/>
          <w:highlight w:val="none"/>
        </w:rPr>
        <w:t>项目所做工作进行监督检查，乙方同意在调研项目进行过程当中接受甲方的监督检查。</w:t>
      </w:r>
    </w:p>
    <w:p w14:paraId="7BF2DC7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乙方应如实将调研</w:t>
      </w:r>
      <w:r>
        <w:rPr>
          <w:rFonts w:hint="eastAsia" w:ascii="宋体" w:hAnsi="宋体" w:eastAsia="宋体" w:cs="宋体"/>
          <w:color w:val="auto"/>
          <w:sz w:val="24"/>
          <w:highlight w:val="none"/>
          <w:lang w:val="en-US" w:eastAsia="zh-CN"/>
        </w:rPr>
        <w:t>及研判</w:t>
      </w:r>
      <w:r>
        <w:rPr>
          <w:rFonts w:hint="eastAsia" w:ascii="宋体" w:hAnsi="宋体" w:eastAsia="宋体" w:cs="宋体"/>
          <w:color w:val="auto"/>
          <w:sz w:val="24"/>
          <w:highlight w:val="none"/>
        </w:rPr>
        <w:t>项目的进行情况以及在项目进行中遇到的问题和取得的进展及时向甲方报告。</w:t>
      </w:r>
    </w:p>
    <w:p w14:paraId="4946ECC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1.5.3.2 服务</w:t>
      </w:r>
      <w:r>
        <w:rPr>
          <w:rFonts w:hint="eastAsia" w:ascii="宋体" w:hAnsi="宋体" w:eastAsia="宋体" w:cs="宋体"/>
          <w:color w:val="auto"/>
          <w:sz w:val="24"/>
          <w:highlight w:val="none"/>
        </w:rPr>
        <w:t>项目的完成验收：</w:t>
      </w:r>
    </w:p>
    <w:p w14:paraId="3257A14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乙方应按照协议及附件约定的方式及进度进行调研</w:t>
      </w:r>
      <w:r>
        <w:rPr>
          <w:rFonts w:hint="eastAsia" w:ascii="宋体" w:hAnsi="宋体" w:eastAsia="宋体" w:cs="宋体"/>
          <w:color w:val="auto"/>
          <w:sz w:val="24"/>
          <w:highlight w:val="none"/>
          <w:lang w:val="en-US" w:eastAsia="zh-CN"/>
        </w:rPr>
        <w:t>及研判</w:t>
      </w:r>
      <w:r>
        <w:rPr>
          <w:rFonts w:hint="eastAsia" w:ascii="宋体" w:hAnsi="宋体" w:eastAsia="宋体" w:cs="宋体"/>
          <w:color w:val="auto"/>
          <w:sz w:val="24"/>
          <w:highlight w:val="none"/>
        </w:rPr>
        <w:t>工作，并于    年    月     日前按照协议和附件的约定向甲方提交</w:t>
      </w:r>
      <w:r>
        <w:rPr>
          <w:rFonts w:hint="eastAsia" w:ascii="宋体" w:hAnsi="宋体" w:eastAsia="宋体" w:cs="宋体"/>
          <w:color w:val="auto"/>
          <w:sz w:val="24"/>
          <w:highlight w:val="none"/>
          <w:lang w:val="en-US" w:eastAsia="zh-CN"/>
        </w:rPr>
        <w:t>成果</w:t>
      </w:r>
      <w:r>
        <w:rPr>
          <w:rFonts w:hint="eastAsia" w:ascii="宋体" w:hAnsi="宋体" w:eastAsia="宋体" w:cs="宋体"/>
          <w:color w:val="auto"/>
          <w:sz w:val="24"/>
          <w:highlight w:val="none"/>
        </w:rPr>
        <w:t>报告及有关文件；</w:t>
      </w:r>
    </w:p>
    <w:p w14:paraId="065FD54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甲方在收到乙方</w:t>
      </w:r>
      <w:r>
        <w:rPr>
          <w:rFonts w:hint="eastAsia" w:ascii="宋体" w:hAnsi="宋体" w:eastAsia="宋体" w:cs="宋体"/>
          <w:color w:val="auto"/>
          <w:sz w:val="24"/>
          <w:highlight w:val="none"/>
          <w:lang w:val="en-US" w:eastAsia="zh-CN"/>
        </w:rPr>
        <w:t>成果</w:t>
      </w:r>
      <w:r>
        <w:rPr>
          <w:rFonts w:hint="eastAsia" w:ascii="宋体" w:hAnsi="宋体" w:eastAsia="宋体" w:cs="宋体"/>
          <w:color w:val="auto"/>
          <w:sz w:val="24"/>
          <w:highlight w:val="none"/>
        </w:rPr>
        <w:t>报告之日起</w:t>
      </w:r>
      <w:r>
        <w:rPr>
          <w:rFonts w:hint="eastAsia" w:ascii="宋体" w:hAnsi="宋体" w:eastAsia="宋体" w:cs="宋体"/>
          <w:color w:val="auto"/>
          <w:sz w:val="24"/>
          <w:highlight w:val="none"/>
          <w:u w:val="single"/>
          <w:lang w:val="en-US" w:eastAsia="zh-CN"/>
        </w:rPr>
        <w:t>7个工作</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rPr>
        <w:t>内按照附件一约定的</w:t>
      </w:r>
      <w:r>
        <w:rPr>
          <w:rFonts w:hint="eastAsia" w:ascii="宋体" w:hAnsi="宋体" w:eastAsia="宋体" w:cs="宋体"/>
          <w:color w:val="auto"/>
          <w:sz w:val="24"/>
          <w:highlight w:val="none"/>
          <w:lang w:val="en-US" w:eastAsia="zh-CN"/>
        </w:rPr>
        <w:t>服务内容</w:t>
      </w:r>
      <w:r>
        <w:rPr>
          <w:rFonts w:hint="eastAsia" w:ascii="宋体" w:hAnsi="宋体" w:eastAsia="宋体" w:cs="宋体"/>
          <w:color w:val="auto"/>
          <w:sz w:val="24"/>
          <w:highlight w:val="none"/>
        </w:rPr>
        <w:t>进行验收，验收不合格但甲方认为</w:t>
      </w:r>
      <w:r>
        <w:rPr>
          <w:rFonts w:hint="eastAsia" w:ascii="宋体" w:hAnsi="宋体" w:eastAsia="宋体" w:cs="宋体"/>
          <w:color w:val="auto"/>
          <w:sz w:val="24"/>
          <w:highlight w:val="none"/>
          <w:lang w:val="en-US" w:eastAsia="zh-CN"/>
        </w:rPr>
        <w:t>成果</w:t>
      </w:r>
      <w:r>
        <w:rPr>
          <w:rFonts w:hint="eastAsia" w:ascii="宋体" w:hAnsi="宋体" w:eastAsia="宋体" w:cs="宋体"/>
          <w:color w:val="auto"/>
          <w:sz w:val="24"/>
          <w:highlight w:val="none"/>
        </w:rPr>
        <w:t>报告经过补充或修改能够达到约定标准的，乙方应在收到甲方通知之日起</w:t>
      </w:r>
      <w:r>
        <w:rPr>
          <w:rFonts w:hint="eastAsia" w:ascii="宋体" w:hAnsi="宋体" w:eastAsia="宋体" w:cs="宋体"/>
          <w:color w:val="auto"/>
          <w:sz w:val="24"/>
          <w:highlight w:val="none"/>
          <w:u w:val="single"/>
          <w:lang w:val="en-US" w:eastAsia="zh-CN"/>
        </w:rPr>
        <w:t>7个</w:t>
      </w:r>
      <w:r>
        <w:rPr>
          <w:rFonts w:hint="eastAsia" w:ascii="宋体" w:hAnsi="宋体" w:eastAsia="宋体" w:cs="宋体"/>
          <w:color w:val="auto"/>
          <w:sz w:val="24"/>
          <w:highlight w:val="none"/>
          <w:u w:val="single"/>
        </w:rPr>
        <w:t>工作日</w:t>
      </w:r>
      <w:r>
        <w:rPr>
          <w:rFonts w:hint="eastAsia" w:ascii="宋体" w:hAnsi="宋体" w:eastAsia="宋体" w:cs="宋体"/>
          <w:color w:val="auto"/>
          <w:sz w:val="24"/>
          <w:highlight w:val="none"/>
        </w:rPr>
        <w:t>内按照甲方要求修改完成并提交甲方，否则乙方应承担违约责任。</w:t>
      </w:r>
    </w:p>
    <w:p w14:paraId="1F9E6D29">
      <w:pPr>
        <w:spacing w:line="360" w:lineRule="auto"/>
        <w:ind w:firstLine="437"/>
        <w:outlineLvl w:val="3"/>
        <w:rPr>
          <w:rFonts w:hint="eastAsia" w:ascii="宋体" w:hAnsi="宋体" w:eastAsia="宋体" w:cs="宋体"/>
          <w:b/>
          <w:bCs/>
          <w:color w:val="auto"/>
          <w:sz w:val="24"/>
          <w:highlight w:val="none"/>
          <w:lang w:val="zh-CN"/>
        </w:rPr>
      </w:pPr>
      <w:bookmarkStart w:id="80" w:name="_Toc21423"/>
      <w:bookmarkStart w:id="81" w:name="_Toc19554"/>
      <w:bookmarkStart w:id="82" w:name="_Toc27250"/>
      <w:r>
        <w:rPr>
          <w:rFonts w:hint="eastAsia" w:ascii="宋体" w:hAnsi="宋体" w:eastAsia="宋体" w:cs="宋体"/>
          <w:b/>
          <w:bCs/>
          <w:color w:val="auto"/>
          <w:sz w:val="24"/>
          <w:highlight w:val="none"/>
          <w:lang w:val="zh-CN"/>
        </w:rPr>
        <w:t>1.6 违约责任</w:t>
      </w:r>
      <w:bookmarkEnd w:id="80"/>
      <w:bookmarkEnd w:id="81"/>
      <w:bookmarkEnd w:id="82"/>
    </w:p>
    <w:p w14:paraId="79468E7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1.6.1除不可抗力外，如果乙方没有按照本合同约定的期限、地点和方式履行，那么甲方可要求乙方支付违约金，违约金按每迟延履行一日</w:t>
      </w:r>
      <w:r>
        <w:rPr>
          <w:rFonts w:hint="eastAsia" w:ascii="宋体" w:hAnsi="宋体" w:eastAsia="宋体" w:cs="宋体"/>
          <w:color w:val="auto"/>
          <w:sz w:val="24"/>
          <w:highlight w:val="none"/>
          <w:lang w:val="en-US" w:eastAsia="zh-CN"/>
        </w:rPr>
        <w:t>以合同总价的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%计算</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迟延超过    日或乙方拒绝甲方要求整改的，甲方有权解除本协议，并要求乙方按照合同总金额的30%支付违约金</w:t>
      </w:r>
      <w:r>
        <w:rPr>
          <w:rFonts w:hint="eastAsia" w:ascii="宋体" w:hAnsi="宋体" w:eastAsia="宋体" w:cs="宋体"/>
          <w:color w:val="auto"/>
          <w:sz w:val="24"/>
          <w:highlight w:val="none"/>
        </w:rPr>
        <w:t>；</w:t>
      </w:r>
    </w:p>
    <w:p w14:paraId="0E05056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1.6.2除不可抗力外，如果甲方没有按照本合同约定的付款方式付款，那么乙方可要求甲方支付违约金，违约金</w:t>
      </w:r>
      <w:r>
        <w:rPr>
          <w:rFonts w:hint="eastAsia" w:ascii="宋体" w:hAnsi="宋体" w:eastAsia="宋体" w:cs="宋体"/>
          <w:color w:val="auto"/>
          <w:sz w:val="24"/>
          <w:highlight w:val="none"/>
          <w:lang w:val="en-US" w:eastAsia="zh-CN"/>
        </w:rPr>
        <w:t>以</w:t>
      </w:r>
      <w:r>
        <w:rPr>
          <w:rFonts w:hint="eastAsia" w:ascii="宋体" w:hAnsi="宋体" w:eastAsia="宋体" w:cs="宋体"/>
          <w:color w:val="auto"/>
          <w:sz w:val="24"/>
          <w:highlight w:val="none"/>
        </w:rPr>
        <w:t>应付而未付款</w:t>
      </w:r>
      <w:r>
        <w:rPr>
          <w:rFonts w:hint="eastAsia" w:ascii="宋体" w:hAnsi="宋体" w:eastAsia="宋体" w:cs="宋体"/>
          <w:color w:val="auto"/>
          <w:sz w:val="24"/>
          <w:highlight w:val="none"/>
          <w:lang w:val="en-US" w:eastAsia="zh-CN"/>
        </w:rPr>
        <w:t>为基数，以全国银行间同业拆借中心一年期贷款利率标准计算</w:t>
      </w:r>
      <w:r>
        <w:rPr>
          <w:rFonts w:hint="eastAsia" w:ascii="宋体" w:hAnsi="宋体" w:eastAsia="宋体" w:cs="宋体"/>
          <w:color w:val="auto"/>
          <w:sz w:val="24"/>
          <w:highlight w:val="none"/>
        </w:rPr>
        <w:t>，最高限额为本合同总价的</w:t>
      </w:r>
      <w:r>
        <w:rPr>
          <w:rFonts w:hint="eastAsia" w:ascii="宋体" w:hAnsi="宋体" w:eastAsia="宋体" w:cs="宋体"/>
          <w:color w:val="auto"/>
          <w:sz w:val="24"/>
          <w:highlight w:val="none"/>
          <w:u w:val="single"/>
          <w:lang w:val="en-US" w:eastAsia="zh-CN"/>
        </w:rPr>
        <w:t xml:space="preserve">  10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%；迟延付款的违约金计算数额达到前述最高限额之日起，乙方有权在要求甲方支付违约金的同时，书面通知甲方解除本合同；</w:t>
      </w:r>
    </w:p>
    <w:p w14:paraId="7E07F75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7C6257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D0F48E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540C6E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1.6.6如果出现政府采购监督管理部门在处理投诉事项期间，书面通知甲方暂停采购活动的情形，或者询问或质疑事项可能影响成交结果的，导致甲方中止履行合同的情形，均不视为甲方违约。</w:t>
      </w:r>
    </w:p>
    <w:p w14:paraId="67B80BC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1.6.7因甲方未按合同约定支付价款、未按合同约定受领标的物、擅自解除合同导致乙方遭受的直接损失</w:t>
      </w:r>
      <w:r>
        <w:rPr>
          <w:rFonts w:hint="eastAsia" w:ascii="宋体" w:hAnsi="宋体" w:eastAsia="宋体" w:cs="宋体"/>
          <w:bCs/>
          <w:snapToGrid w:val="0"/>
          <w:color w:val="auto"/>
          <w:kern w:val="0"/>
          <w:sz w:val="24"/>
          <w:szCs w:val="24"/>
          <w:highlight w:val="none"/>
          <w:lang w:eastAsia="zh-CN"/>
        </w:rPr>
        <w:t>【</w:t>
      </w:r>
      <w:r>
        <w:rPr>
          <w:rFonts w:hint="eastAsia" w:ascii="宋体" w:hAnsi="宋体" w:eastAsia="宋体" w:cs="宋体"/>
          <w:bCs/>
          <w:snapToGrid w:val="0"/>
          <w:color w:val="auto"/>
          <w:kern w:val="0"/>
          <w:sz w:val="24"/>
          <w:szCs w:val="24"/>
          <w:highlight w:val="none"/>
          <w:lang w:val="en-US" w:eastAsia="zh-CN"/>
        </w:rPr>
        <w:t>不包括可得利益损失</w:t>
      </w:r>
      <w:r>
        <w:rPr>
          <w:rFonts w:hint="eastAsia" w:ascii="宋体" w:hAnsi="宋体" w:eastAsia="宋体" w:cs="宋体"/>
          <w:bCs/>
          <w:snapToGrid w:val="0"/>
          <w:color w:val="auto"/>
          <w:kern w:val="0"/>
          <w:sz w:val="24"/>
          <w:szCs w:val="24"/>
          <w:highlight w:val="none"/>
          <w:lang w:eastAsia="zh-CN"/>
        </w:rPr>
        <w:t>】</w:t>
      </w:r>
      <w:r>
        <w:rPr>
          <w:rFonts w:hint="eastAsia" w:ascii="宋体" w:hAnsi="宋体" w:eastAsia="宋体" w:cs="宋体"/>
          <w:bCs/>
          <w:snapToGrid w:val="0"/>
          <w:color w:val="auto"/>
          <w:kern w:val="0"/>
          <w:sz w:val="24"/>
          <w:szCs w:val="24"/>
          <w:highlight w:val="none"/>
        </w:rPr>
        <w:t>，乙方可向甲方申请赔偿，赔偿金额由双方协商一致； 针对</w:t>
      </w:r>
      <w:r>
        <w:rPr>
          <w:rFonts w:hint="eastAsia" w:ascii="宋体" w:hAnsi="宋体" w:eastAsia="宋体" w:cs="宋体"/>
          <w:bCs/>
          <w:snapToGrid w:val="0"/>
          <w:color w:val="auto"/>
          <w:kern w:val="0"/>
          <w:sz w:val="24"/>
          <w:szCs w:val="24"/>
          <w:highlight w:val="none"/>
        </w:rPr>
        <w:t>因政策变化等原因不能签订合同或解除合同时，造成乙方合法利益受损的情形，可以给予乙方合理补偿，补偿金额不得超过乙方的直接损失。</w:t>
      </w:r>
    </w:p>
    <w:p w14:paraId="5492DCAB">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1.7知识产权及保密条款</w:t>
      </w:r>
    </w:p>
    <w:p w14:paraId="1EC7A447">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 1.7.1 本服务项目的成果特指乙方因完成本协议项下调研及研判工作而形成的所有分析报告、分析数据、分析结论归乙方所有，乙方对于报告中所涉及到的基础数据享有再次使用并提供第三方的权利。甲方不得将上述报告、数据、结论向第三方提供并从中获利，但甲方有权自行使用。</w:t>
      </w:r>
    </w:p>
    <w:p w14:paraId="7B8FE630">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1.7.2  自本协议签订之日起计算，保密期限不受本协议有效期的限制。在合同期限届满后，乙方仍应尊重并保证不侵犯甲方因本调研项目获得之成果及其所附的一切权益。</w:t>
      </w:r>
    </w:p>
    <w:p w14:paraId="5C5301D8">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1.7.3  乙方应告知并以适当方式要求其参与本调研项目之雇员遵守本条规定，若参与本调研项目之雇员违反本条规定，乙方应承担连带责任。</w:t>
      </w:r>
    </w:p>
    <w:p w14:paraId="62341A4A">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1.7.4  乙方保证在为甲方提供服务时，未经甲方书面同意，不把该服务项目的全部或部分工作委托第三方。</w:t>
      </w:r>
    </w:p>
    <w:p w14:paraId="1CBDA3E3">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1.7.5  乙方保证提交甲方之数据、资料及任何信息没有侵犯任何第三方的知识产权其它权益。</w:t>
      </w:r>
    </w:p>
    <w:p w14:paraId="7EC4409D">
      <w:pPr>
        <w:spacing w:line="360" w:lineRule="auto"/>
        <w:ind w:firstLine="437"/>
        <w:outlineLvl w:val="3"/>
        <w:rPr>
          <w:rFonts w:hint="eastAsia" w:ascii="宋体" w:hAnsi="宋体" w:eastAsia="宋体" w:cs="宋体"/>
          <w:b/>
          <w:bCs/>
          <w:color w:val="auto"/>
          <w:sz w:val="24"/>
          <w:highlight w:val="none"/>
          <w:lang w:val="zh-CN"/>
        </w:rPr>
      </w:pPr>
      <w:bookmarkStart w:id="83" w:name="_Toc16021"/>
      <w:bookmarkStart w:id="84" w:name="_Toc15583"/>
      <w:bookmarkStart w:id="85" w:name="_Toc28375"/>
      <w:r>
        <w:rPr>
          <w:rFonts w:hint="eastAsia" w:ascii="宋体" w:hAnsi="宋体" w:eastAsia="宋体" w:cs="宋体"/>
          <w:b/>
          <w:bCs/>
          <w:color w:val="auto"/>
          <w:sz w:val="24"/>
          <w:highlight w:val="none"/>
          <w:lang w:val="zh-CN"/>
        </w:rPr>
        <w:t>1.</w:t>
      </w:r>
      <w:r>
        <w:rPr>
          <w:rFonts w:hint="eastAsia" w:ascii="宋体" w:hAnsi="宋体" w:eastAsia="宋体" w:cs="宋体"/>
          <w:b/>
          <w:bCs/>
          <w:color w:val="auto"/>
          <w:sz w:val="24"/>
          <w:highlight w:val="none"/>
          <w:lang w:val="en-US" w:eastAsia="zh-CN"/>
        </w:rPr>
        <w:t xml:space="preserve">8  </w:t>
      </w:r>
      <w:r>
        <w:rPr>
          <w:rFonts w:hint="eastAsia" w:ascii="宋体" w:hAnsi="宋体" w:eastAsia="宋体" w:cs="宋体"/>
          <w:b/>
          <w:bCs/>
          <w:color w:val="auto"/>
          <w:sz w:val="24"/>
          <w:highlight w:val="none"/>
          <w:lang w:val="zh-CN"/>
        </w:rPr>
        <w:t>合同争议的解决</w:t>
      </w:r>
      <w:bookmarkEnd w:id="83"/>
      <w:bookmarkEnd w:id="84"/>
      <w:bookmarkEnd w:id="85"/>
    </w:p>
    <w:p w14:paraId="31A54E2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本合同履行过程中发生的任何争议，双方当事人均可通过和解或者调解解决；不愿和解、调解或者和解、调解不成的，可向</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甲方所在地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人民法院起诉。</w:t>
      </w:r>
    </w:p>
    <w:p w14:paraId="7BB30823">
      <w:pPr>
        <w:spacing w:line="360" w:lineRule="auto"/>
        <w:ind w:firstLine="437"/>
        <w:outlineLvl w:val="3"/>
        <w:rPr>
          <w:rFonts w:hint="eastAsia" w:ascii="宋体" w:hAnsi="宋体" w:eastAsia="宋体" w:cs="宋体"/>
          <w:b/>
          <w:bCs/>
          <w:color w:val="auto"/>
          <w:sz w:val="24"/>
          <w:highlight w:val="none"/>
          <w:lang w:val="zh-CN"/>
        </w:rPr>
      </w:pPr>
      <w:bookmarkStart w:id="86" w:name="_Toc15322"/>
      <w:bookmarkStart w:id="87" w:name="_Toc7245"/>
      <w:bookmarkStart w:id="88" w:name="_Toc11173"/>
      <w:r>
        <w:rPr>
          <w:rFonts w:hint="eastAsia" w:ascii="宋体" w:hAnsi="宋体" w:eastAsia="宋体" w:cs="宋体"/>
          <w:b/>
          <w:bCs/>
          <w:color w:val="auto"/>
          <w:sz w:val="24"/>
          <w:highlight w:val="none"/>
          <w:lang w:val="zh-CN"/>
        </w:rPr>
        <w:t>1.</w:t>
      </w:r>
      <w:r>
        <w:rPr>
          <w:rFonts w:hint="eastAsia" w:ascii="宋体" w:hAnsi="宋体" w:eastAsia="宋体" w:cs="宋体"/>
          <w:b/>
          <w:bCs/>
          <w:color w:val="auto"/>
          <w:sz w:val="24"/>
          <w:highlight w:val="none"/>
          <w:lang w:val="en-US" w:eastAsia="zh-CN"/>
        </w:rPr>
        <w:t xml:space="preserve">9 </w:t>
      </w:r>
      <w:r>
        <w:rPr>
          <w:rFonts w:hint="eastAsia" w:ascii="宋体" w:hAnsi="宋体" w:eastAsia="宋体" w:cs="宋体"/>
          <w:b/>
          <w:bCs/>
          <w:color w:val="auto"/>
          <w:sz w:val="24"/>
          <w:highlight w:val="none"/>
          <w:lang w:val="zh-CN"/>
        </w:rPr>
        <w:t xml:space="preserve"> 合同生效</w:t>
      </w:r>
      <w:bookmarkEnd w:id="86"/>
      <w:bookmarkEnd w:id="87"/>
      <w:bookmarkEnd w:id="88"/>
    </w:p>
    <w:p w14:paraId="6F946A8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w:t>
      </w:r>
      <w:r>
        <w:rPr>
          <w:rFonts w:hint="eastAsia" w:ascii="宋体" w:hAnsi="宋体" w:eastAsia="宋体" w:cs="宋体"/>
          <w:color w:val="auto"/>
          <w:sz w:val="24"/>
          <w:highlight w:val="none"/>
          <w:lang w:val="en-US" w:eastAsia="zh-CN"/>
        </w:rPr>
        <w:t>合同</w:t>
      </w:r>
      <w:r>
        <w:rPr>
          <w:rFonts w:hint="eastAsia" w:ascii="宋体" w:hAnsi="宋体" w:eastAsia="宋体" w:cs="宋体"/>
          <w:color w:val="auto"/>
          <w:sz w:val="24"/>
          <w:highlight w:val="none"/>
        </w:rPr>
        <w:t>壹式</w:t>
      </w:r>
      <w:r>
        <w:rPr>
          <w:rFonts w:hint="eastAsia" w:ascii="宋体" w:hAnsi="宋体" w:eastAsia="宋体" w:cs="宋体"/>
          <w:color w:val="auto"/>
          <w:sz w:val="24"/>
          <w:highlight w:val="none"/>
        </w:rPr>
        <w:tab/>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份，甲方</w:t>
      </w:r>
      <w:r>
        <w:rPr>
          <w:rFonts w:hint="eastAsia" w:ascii="宋体" w:hAnsi="宋体" w:eastAsia="宋体" w:cs="宋体"/>
          <w:color w:val="auto"/>
          <w:sz w:val="24"/>
          <w:highlight w:val="none"/>
          <w:lang w:val="en-US" w:eastAsia="zh-CN"/>
        </w:rPr>
        <w:t xml:space="preserve">执   </w:t>
      </w:r>
      <w:r>
        <w:rPr>
          <w:rFonts w:hint="eastAsia" w:ascii="宋体" w:hAnsi="宋体" w:eastAsia="宋体" w:cs="宋体"/>
          <w:color w:val="auto"/>
          <w:sz w:val="24"/>
          <w:highlight w:val="none"/>
        </w:rPr>
        <w:t>份，乙方执</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份</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本合同自双方当事人盖章时生效。</w:t>
      </w:r>
    </w:p>
    <w:p w14:paraId="6FCA097C">
      <w:pPr>
        <w:autoSpaceDE w:val="0"/>
        <w:autoSpaceDN w:val="0"/>
        <w:adjustRightInd w:val="0"/>
        <w:spacing w:line="560" w:lineRule="exact"/>
        <w:rPr>
          <w:rFonts w:hint="eastAsia" w:ascii="宋体" w:hAnsi="宋体" w:eastAsia="宋体" w:cs="宋体"/>
          <w:color w:val="auto"/>
          <w:sz w:val="24"/>
          <w:highlight w:val="none"/>
          <w:lang w:val="zh-CN"/>
        </w:rPr>
      </w:pPr>
    </w:p>
    <w:p w14:paraId="0BF0DB99">
      <w:pPr>
        <w:autoSpaceDE w:val="0"/>
        <w:autoSpaceDN w:val="0"/>
        <w:adjustRightInd w:val="0"/>
        <w:spacing w:line="560" w:lineRule="exact"/>
        <w:rPr>
          <w:rFonts w:hint="eastAsia" w:ascii="宋体" w:hAnsi="宋体" w:eastAsia="宋体" w:cs="宋体"/>
          <w:color w:val="auto"/>
          <w:sz w:val="24"/>
          <w:highlight w:val="none"/>
          <w:lang w:val="zh-CN"/>
        </w:rPr>
      </w:pPr>
    </w:p>
    <w:p w14:paraId="50E6DA30">
      <w:pPr>
        <w:autoSpaceDE w:val="0"/>
        <w:autoSpaceDN w:val="0"/>
        <w:adjustRightInd w:val="0"/>
        <w:spacing w:line="560" w:lineRule="exact"/>
        <w:rPr>
          <w:rFonts w:hint="eastAsia" w:ascii="宋体" w:hAnsi="宋体" w:eastAsia="宋体" w:cs="宋体"/>
          <w:bCs/>
          <w:color w:val="auto"/>
          <w:sz w:val="24"/>
          <w:highlight w:val="none"/>
          <w:lang w:val="zh-CN"/>
        </w:rPr>
      </w:pPr>
      <w:r>
        <w:rPr>
          <w:rFonts w:hint="eastAsia" w:ascii="宋体" w:hAnsi="宋体" w:eastAsia="宋体" w:cs="宋体"/>
          <w:bCs/>
          <w:color w:val="auto"/>
          <w:sz w:val="24"/>
          <w:highlight w:val="none"/>
          <w:lang w:val="zh-CN"/>
        </w:rPr>
        <w:t>甲    方：</w:t>
      </w:r>
      <w:r>
        <w:rPr>
          <w:rFonts w:hint="eastAsia" w:ascii="宋体" w:hAnsi="宋体" w:eastAsia="宋体" w:cs="宋体"/>
          <w:bCs/>
          <w:color w:val="auto"/>
          <w:sz w:val="24"/>
          <w:highlight w:val="none"/>
          <w:u w:val="single"/>
          <w:lang w:val="zh-CN"/>
        </w:rPr>
        <w:t xml:space="preserve">    （单位盖章）     </w:t>
      </w:r>
      <w:r>
        <w:rPr>
          <w:rFonts w:hint="eastAsia" w:ascii="宋体" w:hAnsi="宋体" w:eastAsia="宋体" w:cs="宋体"/>
          <w:bCs/>
          <w:color w:val="auto"/>
          <w:sz w:val="24"/>
          <w:highlight w:val="none"/>
          <w:lang w:val="zh-CN"/>
        </w:rPr>
        <w:t xml:space="preserve">          乙方：</w:t>
      </w:r>
      <w:r>
        <w:rPr>
          <w:rFonts w:hint="eastAsia" w:ascii="宋体" w:hAnsi="宋体" w:eastAsia="宋体" w:cs="宋体"/>
          <w:bCs/>
          <w:color w:val="auto"/>
          <w:sz w:val="24"/>
          <w:highlight w:val="none"/>
          <w:u w:val="single"/>
          <w:lang w:val="zh-CN"/>
        </w:rPr>
        <w:t xml:space="preserve">    （单位盖章）     </w:t>
      </w:r>
    </w:p>
    <w:p w14:paraId="1AB8FA4E">
      <w:pPr>
        <w:autoSpaceDE w:val="0"/>
        <w:autoSpaceDN w:val="0"/>
        <w:adjustRightInd w:val="0"/>
        <w:spacing w:line="560" w:lineRule="exact"/>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法定代表人                               法定代表人</w:t>
      </w:r>
    </w:p>
    <w:p w14:paraId="06EC46CE">
      <w:pPr>
        <w:autoSpaceDE w:val="0"/>
        <w:autoSpaceDN w:val="0"/>
        <w:adjustRightInd w:val="0"/>
        <w:spacing w:line="560" w:lineRule="exact"/>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或授权代表（签字）：                      或授权代表（签字）：</w:t>
      </w:r>
    </w:p>
    <w:p w14:paraId="08212AF2">
      <w:pPr>
        <w:widowControl/>
        <w:spacing w:line="560" w:lineRule="exact"/>
        <w:jc w:val="left"/>
        <w:rPr>
          <w:rFonts w:hint="eastAsia" w:ascii="宋体" w:hAnsi="宋体" w:eastAsia="宋体" w:cs="宋体"/>
          <w:b w:val="0"/>
          <w:snapToGrid w:val="0"/>
          <w:color w:val="auto"/>
          <w:kern w:val="0"/>
          <w:sz w:val="24"/>
          <w:szCs w:val="24"/>
          <w:highlight w:val="none"/>
        </w:rPr>
      </w:pPr>
      <w:bookmarkStart w:id="89" w:name="_Toc331685783"/>
      <w:r>
        <w:rPr>
          <w:rFonts w:hint="eastAsia" w:ascii="宋体" w:hAnsi="宋体" w:eastAsia="宋体" w:cs="宋体"/>
          <w:bCs/>
          <w:color w:val="auto"/>
          <w:sz w:val="24"/>
          <w:highlight w:val="none"/>
        </w:rPr>
        <w:t>时间：</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年</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月</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日               时间：</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年</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月</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日</w:t>
      </w:r>
    </w:p>
    <w:p w14:paraId="20D9209F">
      <w:pPr>
        <w:pStyle w:val="2"/>
        <w:spacing w:before="0" w:after="0" w:line="415" w:lineRule="auto"/>
        <w:ind w:firstLine="4800" w:firstLineChars="2000"/>
        <w:jc w:val="both"/>
        <w:rPr>
          <w:rFonts w:hint="eastAsia" w:ascii="宋体" w:hAnsi="宋体" w:eastAsia="宋体" w:cs="宋体"/>
          <w:b w:val="0"/>
          <w:snapToGrid w:val="0"/>
          <w:color w:val="auto"/>
          <w:kern w:val="0"/>
          <w:sz w:val="24"/>
          <w:szCs w:val="24"/>
          <w:highlight w:val="none"/>
        </w:rPr>
      </w:pPr>
    </w:p>
    <w:p w14:paraId="5DB25565">
      <w:pPr>
        <w:pStyle w:val="2"/>
        <w:spacing w:before="0" w:after="0" w:line="415" w:lineRule="auto"/>
        <w:ind w:firstLine="4800" w:firstLineChars="2000"/>
        <w:jc w:val="both"/>
        <w:rPr>
          <w:rFonts w:hint="eastAsia" w:ascii="宋体" w:hAnsi="宋体" w:eastAsia="宋体" w:cs="宋体"/>
          <w:b w:val="0"/>
          <w:snapToGrid w:val="0"/>
          <w:color w:val="auto"/>
          <w:kern w:val="0"/>
          <w:sz w:val="24"/>
          <w:szCs w:val="24"/>
          <w:highlight w:val="none"/>
        </w:rPr>
      </w:pPr>
      <w:r>
        <w:rPr>
          <w:rFonts w:hint="eastAsia" w:ascii="宋体" w:hAnsi="宋体" w:eastAsia="宋体" w:cs="宋体"/>
          <w:b w:val="0"/>
          <w:snapToGrid w:val="0"/>
          <w:color w:val="auto"/>
          <w:kern w:val="0"/>
          <w:sz w:val="24"/>
          <w:szCs w:val="24"/>
          <w:highlight w:val="none"/>
        </w:rPr>
        <w:t>乙方账户信息</w:t>
      </w:r>
    </w:p>
    <w:p w14:paraId="3C12A95F">
      <w:pPr>
        <w:pStyle w:val="2"/>
        <w:spacing w:before="0" w:after="0" w:line="415" w:lineRule="auto"/>
        <w:rPr>
          <w:rFonts w:hint="eastAsia" w:ascii="宋体" w:hAnsi="宋体" w:eastAsia="宋体" w:cs="宋体"/>
          <w:b w:val="0"/>
          <w:snapToGrid w:val="0"/>
          <w:color w:val="auto"/>
          <w:kern w:val="0"/>
          <w:sz w:val="24"/>
          <w:szCs w:val="24"/>
          <w:highlight w:val="none"/>
          <w:u w:val="single"/>
          <w:lang w:val="en-US" w:eastAsia="zh-CN"/>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b w:val="0"/>
          <w:snapToGrid w:val="0"/>
          <w:color w:val="auto"/>
          <w:kern w:val="0"/>
          <w:sz w:val="24"/>
          <w:szCs w:val="24"/>
          <w:highlight w:val="none"/>
        </w:rPr>
        <w:t>户名：</w:t>
      </w:r>
      <w:r>
        <w:rPr>
          <w:rFonts w:hint="eastAsia" w:ascii="宋体" w:hAnsi="宋体" w:eastAsia="宋体" w:cs="宋体"/>
          <w:b w:val="0"/>
          <w:snapToGrid w:val="0"/>
          <w:color w:val="auto"/>
          <w:kern w:val="0"/>
          <w:sz w:val="24"/>
          <w:szCs w:val="24"/>
          <w:highlight w:val="none"/>
          <w:u w:val="single"/>
        </w:rPr>
        <w:t xml:space="preserve">            </w:t>
      </w:r>
      <w:r>
        <w:rPr>
          <w:rFonts w:hint="eastAsia" w:ascii="宋体" w:hAnsi="宋体" w:eastAsia="宋体" w:cs="宋体"/>
          <w:b w:val="0"/>
          <w:snapToGrid w:val="0"/>
          <w:color w:val="auto"/>
          <w:kern w:val="0"/>
          <w:sz w:val="24"/>
          <w:szCs w:val="24"/>
          <w:highlight w:val="none"/>
          <w:u w:val="single"/>
          <w:lang w:val="en-US" w:eastAsia="zh-CN"/>
        </w:rPr>
        <w:t xml:space="preserve">    </w:t>
      </w:r>
    </w:p>
    <w:p w14:paraId="6C7357B5">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账号：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14:paraId="136940D3">
      <w:pPr>
        <w:widowControl/>
        <w:spacing w:line="560" w:lineRule="exact"/>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b w:val="0"/>
          <w:color w:val="auto"/>
          <w:sz w:val="24"/>
          <w:szCs w:val="24"/>
          <w:highlight w:val="none"/>
        </w:rPr>
        <w:t>开户银行：</w:t>
      </w:r>
      <w:r>
        <w:rPr>
          <w:rFonts w:hint="eastAsia" w:ascii="宋体" w:hAnsi="宋体" w:eastAsia="宋体" w:cs="宋体"/>
          <w:b w:val="0"/>
          <w:color w:val="auto"/>
          <w:sz w:val="24"/>
          <w:szCs w:val="24"/>
          <w:highlight w:val="none"/>
          <w:u w:val="single"/>
        </w:rPr>
        <w:t xml:space="preserve">        </w:t>
      </w:r>
      <w:r>
        <w:rPr>
          <w:rFonts w:hint="eastAsia" w:ascii="宋体" w:hAnsi="宋体" w:eastAsia="宋体" w:cs="宋体"/>
          <w:b w:val="0"/>
          <w:color w:val="auto"/>
          <w:sz w:val="24"/>
          <w:szCs w:val="24"/>
          <w:highlight w:val="none"/>
          <w:u w:val="single"/>
          <w:lang w:val="en-US" w:eastAsia="zh-CN"/>
        </w:rPr>
        <w:t xml:space="preserve">    </w:t>
      </w:r>
    </w:p>
    <w:p w14:paraId="39592208">
      <w:pPr>
        <w:widowControl/>
        <w:spacing w:line="560" w:lineRule="exact"/>
        <w:jc w:val="left"/>
        <w:rPr>
          <w:rFonts w:hint="eastAsia" w:ascii="宋体" w:hAnsi="宋体" w:eastAsia="宋体" w:cs="宋体"/>
          <w:bCs/>
          <w:color w:val="auto"/>
          <w:sz w:val="24"/>
          <w:highlight w:val="none"/>
        </w:rPr>
      </w:pPr>
    </w:p>
    <w:p w14:paraId="703F8B95">
      <w:pPr>
        <w:keepNext w:val="0"/>
        <w:keepLines w:val="0"/>
        <w:pageBreakBefore w:val="0"/>
        <w:widowControl w:val="0"/>
        <w:kinsoku/>
        <w:wordWrap/>
        <w:overflowPunct/>
        <w:topLinePunct w:val="0"/>
        <w:bidi w:val="0"/>
        <w:adjustRightInd w:val="0"/>
        <w:snapToGrid w:val="0"/>
        <w:spacing w:line="360" w:lineRule="auto"/>
        <w:ind w:right="-11" w:firstLine="420" w:firstLineChars="175"/>
        <w:textAlignment w:val="auto"/>
        <w:rPr>
          <w:rFonts w:hint="eastAsia" w:ascii="宋体" w:hAnsi="宋体" w:eastAsia="宋体" w:cs="宋体"/>
          <w:color w:val="auto"/>
          <w:sz w:val="24"/>
          <w:highlight w:val="none"/>
        </w:rPr>
      </w:pPr>
    </w:p>
    <w:p w14:paraId="2FB5C22F">
      <w:pPr>
        <w:widowControl/>
        <w:jc w:val="center"/>
        <w:rPr>
          <w:rFonts w:hint="eastAsia" w:ascii="宋体" w:hAnsi="宋体" w:eastAsia="宋体" w:cs="宋体"/>
          <w:b/>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color w:val="auto"/>
          <w:sz w:val="24"/>
          <w:highlight w:val="none"/>
        </w:rPr>
        <w:t>第二部分 合同一般条款</w:t>
      </w:r>
      <w:bookmarkEnd w:id="89"/>
    </w:p>
    <w:p w14:paraId="3A7A4B38">
      <w:pPr>
        <w:spacing w:line="360" w:lineRule="auto"/>
        <w:ind w:firstLine="437"/>
        <w:outlineLvl w:val="3"/>
        <w:rPr>
          <w:rFonts w:hint="eastAsia" w:ascii="宋体" w:hAnsi="宋体" w:eastAsia="宋体" w:cs="宋体"/>
          <w:b/>
          <w:bCs/>
          <w:color w:val="auto"/>
          <w:sz w:val="24"/>
          <w:highlight w:val="none"/>
          <w:lang w:val="zh-CN"/>
        </w:rPr>
      </w:pPr>
      <w:bookmarkStart w:id="90" w:name="_Toc19614"/>
      <w:bookmarkStart w:id="91" w:name="_Ref467378499"/>
      <w:bookmarkStart w:id="92" w:name="_Ref467378404"/>
      <w:bookmarkStart w:id="93" w:name="_Ref467378463"/>
      <w:bookmarkStart w:id="94" w:name="_Ref467379214"/>
      <w:bookmarkStart w:id="95" w:name="_Ref467379225"/>
      <w:bookmarkStart w:id="96" w:name="_Toc28763"/>
      <w:bookmarkStart w:id="97" w:name="_Ref467379205"/>
      <w:bookmarkStart w:id="98" w:name="_Toc16917"/>
      <w:bookmarkStart w:id="99" w:name="_Ref467379109"/>
      <w:bookmarkStart w:id="100" w:name="_Ref467379101"/>
      <w:bookmarkStart w:id="101" w:name="_Ref467379195"/>
      <w:bookmarkStart w:id="102" w:name="_Ref467379094"/>
      <w:bookmarkStart w:id="103" w:name="_Toc259093669"/>
      <w:bookmarkStart w:id="104" w:name="_Toc279701240"/>
      <w:bookmarkStart w:id="105" w:name="_Toc487900349"/>
      <w:r>
        <w:rPr>
          <w:rFonts w:hint="eastAsia" w:ascii="宋体" w:hAnsi="宋体" w:eastAsia="宋体" w:cs="宋体"/>
          <w:b/>
          <w:bCs/>
          <w:color w:val="auto"/>
          <w:sz w:val="24"/>
          <w:highlight w:val="none"/>
          <w:lang w:val="zh-CN"/>
        </w:rPr>
        <w:t>2.1 定义</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1C21E40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本合同中的下列词语应按以下内容进行解释：</w:t>
      </w:r>
    </w:p>
    <w:p w14:paraId="3F32880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2.1.1“合同”系指采购人和成交供应商签订的载明双方当事人所达成的协议，并包括所有的附件、附录和构成合同的其他文件。</w:t>
      </w:r>
    </w:p>
    <w:p w14:paraId="2658956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2.1.2“合同价”系指根据合同约定，成交供应商在完全履行合同义务后，采购人应支付给成交供应商的价格。</w:t>
      </w:r>
    </w:p>
    <w:p w14:paraId="16E4817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2.1.3“服务”系指成交供应商根据合同约定应向采购人履行的除货物和工程以外的其他政府采购对象，包括采购人自身需要的服务和向社会公众提供的公共服务。</w:t>
      </w:r>
    </w:p>
    <w:p w14:paraId="013191A8">
      <w:pPr>
        <w:spacing w:line="360" w:lineRule="auto"/>
        <w:ind w:firstLine="435"/>
        <w:rPr>
          <w:rFonts w:hint="eastAsia" w:ascii="宋体" w:hAnsi="宋体" w:eastAsia="宋体" w:cs="宋体"/>
          <w:color w:val="auto"/>
          <w:sz w:val="24"/>
          <w:highlight w:val="none"/>
        </w:rPr>
      </w:pPr>
      <w:bookmarkStart w:id="106" w:name="_Ref467378840"/>
      <w:r>
        <w:rPr>
          <w:rFonts w:hint="eastAsia" w:ascii="宋体" w:hAnsi="宋体" w:eastAsia="宋体" w:cs="宋体"/>
          <w:color w:val="auto"/>
          <w:sz w:val="24"/>
          <w:highlight w:val="none"/>
        </w:rPr>
        <w:t>2.1.4“甲方”系指与成交供应商签署合同的采购人</w:t>
      </w:r>
      <w:bookmarkEnd w:id="106"/>
      <w:r>
        <w:rPr>
          <w:rFonts w:hint="eastAsia" w:ascii="宋体" w:hAnsi="宋体" w:eastAsia="宋体" w:cs="宋体"/>
          <w:color w:val="auto"/>
          <w:sz w:val="24"/>
          <w:highlight w:val="none"/>
        </w:rPr>
        <w:t>；采购人委托采购代理机构代表其与乙方签订合同的，采购人的授权委托书作为合同附件。</w:t>
      </w:r>
    </w:p>
    <w:p w14:paraId="2D4EAD2E">
      <w:pPr>
        <w:spacing w:line="360" w:lineRule="auto"/>
        <w:ind w:firstLine="435"/>
        <w:rPr>
          <w:rFonts w:hint="eastAsia" w:ascii="宋体" w:hAnsi="宋体" w:eastAsia="宋体" w:cs="宋体"/>
          <w:color w:val="auto"/>
          <w:sz w:val="24"/>
          <w:highlight w:val="none"/>
        </w:rPr>
      </w:pPr>
      <w:bookmarkStart w:id="107" w:name="_Ref467379400"/>
      <w:r>
        <w:rPr>
          <w:rFonts w:hint="eastAsia" w:ascii="宋体" w:hAnsi="宋体" w:eastAsia="宋体" w:cs="宋体"/>
          <w:color w:val="auto"/>
          <w:sz w:val="24"/>
          <w:highlight w:val="none"/>
        </w:rPr>
        <w:t>2.1.5“乙方”系指根据合同约定提供服务的成交供应商</w:t>
      </w:r>
      <w:bookmarkEnd w:id="107"/>
      <w:r>
        <w:rPr>
          <w:rFonts w:hint="eastAsia" w:ascii="宋体" w:hAnsi="宋体" w:eastAsia="宋体" w:cs="宋体"/>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51194148">
      <w:pPr>
        <w:spacing w:line="360" w:lineRule="auto"/>
        <w:ind w:firstLine="435"/>
        <w:rPr>
          <w:rFonts w:hint="eastAsia" w:ascii="宋体" w:hAnsi="宋体" w:eastAsia="宋体" w:cs="宋体"/>
          <w:color w:val="auto"/>
          <w:sz w:val="24"/>
          <w:highlight w:val="none"/>
        </w:rPr>
      </w:pPr>
      <w:bookmarkStart w:id="108" w:name="_Ref467379436"/>
      <w:r>
        <w:rPr>
          <w:rFonts w:hint="eastAsia" w:ascii="宋体" w:hAnsi="宋体" w:eastAsia="宋体" w:cs="宋体"/>
          <w:color w:val="auto"/>
          <w:sz w:val="24"/>
          <w:highlight w:val="none"/>
        </w:rPr>
        <w:t>2.1.6“现场”系指合同约定提供服务的地点。</w:t>
      </w:r>
      <w:bookmarkEnd w:id="108"/>
    </w:p>
    <w:p w14:paraId="22133901">
      <w:pPr>
        <w:spacing w:line="360" w:lineRule="auto"/>
        <w:ind w:firstLine="437"/>
        <w:outlineLvl w:val="3"/>
        <w:rPr>
          <w:rFonts w:hint="eastAsia" w:ascii="宋体" w:hAnsi="宋体" w:eastAsia="宋体" w:cs="宋体"/>
          <w:b/>
          <w:bCs/>
          <w:color w:val="auto"/>
          <w:sz w:val="24"/>
          <w:highlight w:val="none"/>
          <w:lang w:val="zh-CN"/>
        </w:rPr>
      </w:pPr>
      <w:bookmarkStart w:id="109" w:name="_Toc259093670"/>
      <w:bookmarkStart w:id="110" w:name="_Toc32504"/>
      <w:bookmarkStart w:id="111" w:name="_Toc487900350"/>
      <w:bookmarkStart w:id="112" w:name="_Toc279701241"/>
      <w:bookmarkStart w:id="113" w:name="_Toc27635"/>
      <w:bookmarkStart w:id="114" w:name="_Toc13336"/>
      <w:r>
        <w:rPr>
          <w:rFonts w:hint="eastAsia" w:ascii="宋体" w:hAnsi="宋体" w:eastAsia="宋体" w:cs="宋体"/>
          <w:b/>
          <w:bCs/>
          <w:color w:val="auto"/>
          <w:sz w:val="24"/>
          <w:highlight w:val="none"/>
          <w:lang w:val="zh-CN"/>
        </w:rPr>
        <w:t>2.2 技术规范</w:t>
      </w:r>
      <w:bookmarkEnd w:id="109"/>
      <w:bookmarkEnd w:id="110"/>
      <w:bookmarkEnd w:id="111"/>
      <w:bookmarkEnd w:id="112"/>
      <w:bookmarkEnd w:id="113"/>
      <w:bookmarkEnd w:id="114"/>
    </w:p>
    <w:p w14:paraId="00E8B75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16066849">
      <w:pPr>
        <w:spacing w:line="360" w:lineRule="auto"/>
        <w:ind w:firstLine="437"/>
        <w:outlineLvl w:val="3"/>
        <w:rPr>
          <w:rFonts w:hint="eastAsia" w:ascii="宋体" w:hAnsi="宋体" w:eastAsia="宋体" w:cs="宋体"/>
          <w:b/>
          <w:bCs/>
          <w:color w:val="auto"/>
          <w:sz w:val="24"/>
          <w:highlight w:val="none"/>
          <w:lang w:val="zh-CN"/>
        </w:rPr>
      </w:pPr>
      <w:bookmarkStart w:id="115" w:name="_Toc9829"/>
      <w:bookmarkStart w:id="116" w:name="_Toc279701242"/>
      <w:bookmarkStart w:id="117" w:name="_Toc27853"/>
      <w:bookmarkStart w:id="118" w:name="_Toc31634"/>
      <w:bookmarkStart w:id="119" w:name="_Toc487900351"/>
      <w:bookmarkStart w:id="120" w:name="_Toc259093671"/>
      <w:r>
        <w:rPr>
          <w:rFonts w:hint="eastAsia" w:ascii="宋体" w:hAnsi="宋体" w:eastAsia="宋体" w:cs="宋体"/>
          <w:b/>
          <w:bCs/>
          <w:color w:val="auto"/>
          <w:sz w:val="24"/>
          <w:highlight w:val="none"/>
          <w:lang w:val="zh-CN"/>
        </w:rPr>
        <w:t>2.3 知识产权</w:t>
      </w:r>
      <w:bookmarkEnd w:id="115"/>
      <w:bookmarkEnd w:id="116"/>
      <w:bookmarkEnd w:id="117"/>
      <w:bookmarkEnd w:id="118"/>
      <w:bookmarkEnd w:id="119"/>
      <w:bookmarkEnd w:id="120"/>
    </w:p>
    <w:p w14:paraId="07A4163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2.3.1乙方应保证其提供的服务不受任何第三方提出的侵犯其著作权、商标权、专利权等知识产权方面的起诉；如果任何第三方提出侵权指控，那么乙方须与该第三方交涉并承担由此发生的一切责任、费用和赔偿；</w:t>
      </w:r>
    </w:p>
    <w:p w14:paraId="6574553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2.3.2具有知识产权的计算机软件等货物的知识产权归属，详见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022E9BB9">
      <w:pPr>
        <w:spacing w:line="360" w:lineRule="auto"/>
        <w:ind w:firstLine="437"/>
        <w:outlineLvl w:val="3"/>
        <w:rPr>
          <w:rFonts w:hint="eastAsia" w:ascii="宋体" w:hAnsi="宋体" w:eastAsia="宋体" w:cs="宋体"/>
          <w:b/>
          <w:bCs/>
          <w:color w:val="auto"/>
          <w:sz w:val="24"/>
          <w:highlight w:val="none"/>
          <w:lang w:val="zh-CN"/>
        </w:rPr>
      </w:pPr>
      <w:bookmarkStart w:id="121" w:name="_Ref467379536"/>
      <w:bookmarkStart w:id="122" w:name="_Ref467378541"/>
      <w:bookmarkStart w:id="123" w:name="_Toc487900354"/>
      <w:bookmarkStart w:id="124" w:name="_Ref467379542"/>
      <w:bookmarkStart w:id="125" w:name="_Toc259093674"/>
      <w:bookmarkStart w:id="126" w:name="_Toc279701245"/>
      <w:bookmarkStart w:id="127" w:name="_Ref467378591"/>
      <w:bookmarkStart w:id="128" w:name="_Ref467379527"/>
      <w:bookmarkStart w:id="129" w:name="_Toc19074"/>
      <w:bookmarkStart w:id="130" w:name="_Toc26182"/>
      <w:bookmarkStart w:id="131" w:name="_Toc30272"/>
      <w:r>
        <w:rPr>
          <w:rFonts w:hint="eastAsia" w:ascii="宋体" w:hAnsi="宋体" w:eastAsia="宋体" w:cs="宋体"/>
          <w:b/>
          <w:bCs/>
          <w:color w:val="auto"/>
          <w:sz w:val="24"/>
          <w:highlight w:val="none"/>
          <w:lang w:val="zh-CN"/>
        </w:rPr>
        <w:t>2.</w:t>
      </w:r>
      <w:bookmarkEnd w:id="121"/>
      <w:bookmarkEnd w:id="122"/>
      <w:bookmarkEnd w:id="123"/>
      <w:bookmarkEnd w:id="124"/>
      <w:bookmarkEnd w:id="125"/>
      <w:bookmarkEnd w:id="126"/>
      <w:bookmarkEnd w:id="127"/>
      <w:bookmarkEnd w:id="128"/>
      <w:r>
        <w:rPr>
          <w:rFonts w:hint="eastAsia" w:ascii="宋体" w:hAnsi="宋体" w:eastAsia="宋体" w:cs="宋体"/>
          <w:b/>
          <w:bCs/>
          <w:color w:val="auto"/>
          <w:sz w:val="24"/>
          <w:highlight w:val="none"/>
          <w:lang w:val="zh-CN"/>
        </w:rPr>
        <w:t>4 履约检查和问题反馈</w:t>
      </w:r>
      <w:bookmarkEnd w:id="129"/>
      <w:bookmarkEnd w:id="130"/>
      <w:bookmarkEnd w:id="131"/>
    </w:p>
    <w:p w14:paraId="3A29227B">
      <w:pPr>
        <w:spacing w:line="360" w:lineRule="auto"/>
        <w:ind w:firstLine="435"/>
        <w:rPr>
          <w:rFonts w:hint="eastAsia" w:ascii="宋体" w:hAnsi="宋体" w:eastAsia="宋体" w:cs="宋体"/>
          <w:color w:val="auto"/>
          <w:sz w:val="24"/>
          <w:highlight w:val="none"/>
        </w:rPr>
      </w:pPr>
      <w:bookmarkStart w:id="132" w:name="_Toc186431854"/>
      <w:bookmarkStart w:id="133" w:name="_Toc487900357"/>
      <w:bookmarkStart w:id="134" w:name="_Ref467379807"/>
      <w:bookmarkStart w:id="135" w:name="_Toc259093676"/>
      <w:bookmarkStart w:id="136" w:name="_Ref467379793"/>
      <w:bookmarkStart w:id="137" w:name="_Toc279701247"/>
      <w:r>
        <w:rPr>
          <w:rFonts w:hint="eastAsia" w:ascii="宋体" w:hAnsi="宋体" w:eastAsia="宋体" w:cs="宋体"/>
          <w:color w:val="auto"/>
          <w:sz w:val="24"/>
          <w:highlight w:val="none"/>
        </w:rPr>
        <w:t>2.4.1甲方有权在其认为必要时，对乙方是否能够按照合同约定提供服务进行履约检查，以确保乙方所提供的服务能够依约满足甲方项目需求，但不得因履约检查妨碍乙方的正常工作，乙方应予积极配合；</w:t>
      </w:r>
    </w:p>
    <w:p w14:paraId="689F5C8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2.4.2合同履行期间，甲方有权将履行过程中出现的问题反馈给乙方，双方当事人应以书面形式约定需要完善和改进的内容</w:t>
      </w:r>
      <w:bookmarkEnd w:id="132"/>
      <w:bookmarkStart w:id="138" w:name="_Toc186431855"/>
      <w:r>
        <w:rPr>
          <w:rFonts w:hint="eastAsia" w:ascii="宋体" w:hAnsi="宋体" w:eastAsia="宋体" w:cs="宋体"/>
          <w:color w:val="auto"/>
          <w:sz w:val="24"/>
          <w:highlight w:val="none"/>
        </w:rPr>
        <w:t>。</w:t>
      </w:r>
    </w:p>
    <w:bookmarkEnd w:id="138"/>
    <w:p w14:paraId="336A9B85">
      <w:pPr>
        <w:spacing w:line="360" w:lineRule="auto"/>
        <w:ind w:firstLine="437"/>
        <w:outlineLvl w:val="3"/>
        <w:rPr>
          <w:rFonts w:hint="eastAsia" w:ascii="宋体" w:hAnsi="宋体" w:eastAsia="宋体" w:cs="宋体"/>
          <w:b/>
          <w:bCs/>
          <w:color w:val="auto"/>
          <w:sz w:val="24"/>
          <w:highlight w:val="none"/>
          <w:lang w:val="zh-CN"/>
        </w:rPr>
      </w:pPr>
      <w:bookmarkStart w:id="139" w:name="_Toc19219"/>
      <w:bookmarkStart w:id="140" w:name="_Toc28451"/>
      <w:bookmarkStart w:id="141" w:name="_Toc7836"/>
      <w:r>
        <w:rPr>
          <w:rFonts w:hint="eastAsia" w:ascii="宋体" w:hAnsi="宋体" w:eastAsia="宋体" w:cs="宋体"/>
          <w:b/>
          <w:bCs/>
          <w:color w:val="auto"/>
          <w:sz w:val="24"/>
          <w:highlight w:val="none"/>
          <w:lang w:val="zh-CN"/>
        </w:rPr>
        <w:t>2.5 结算方式和付款条件</w:t>
      </w:r>
      <w:bookmarkEnd w:id="133"/>
      <w:bookmarkEnd w:id="134"/>
      <w:bookmarkEnd w:id="135"/>
      <w:bookmarkEnd w:id="136"/>
      <w:bookmarkEnd w:id="137"/>
      <w:bookmarkEnd w:id="139"/>
      <w:bookmarkEnd w:id="140"/>
      <w:bookmarkEnd w:id="141"/>
    </w:p>
    <w:p w14:paraId="3C9AA15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465BCCC6">
      <w:pPr>
        <w:spacing w:line="360" w:lineRule="auto"/>
        <w:ind w:firstLine="437"/>
        <w:outlineLvl w:val="3"/>
        <w:rPr>
          <w:rFonts w:hint="eastAsia" w:ascii="宋体" w:hAnsi="宋体" w:eastAsia="宋体" w:cs="宋体"/>
          <w:b/>
          <w:bCs/>
          <w:color w:val="auto"/>
          <w:sz w:val="24"/>
          <w:highlight w:val="none"/>
          <w:lang w:val="zh-CN"/>
        </w:rPr>
      </w:pPr>
      <w:bookmarkStart w:id="142" w:name="_Ref467379863"/>
      <w:bookmarkStart w:id="143" w:name="_Toc279701248"/>
      <w:bookmarkStart w:id="144" w:name="_Ref467379852"/>
      <w:bookmarkStart w:id="145" w:name="_Toc259093677"/>
      <w:bookmarkStart w:id="146" w:name="_Ref467379923"/>
      <w:bookmarkStart w:id="147" w:name="_Toc487900358"/>
      <w:bookmarkStart w:id="148" w:name="_Toc16110"/>
      <w:bookmarkStart w:id="149" w:name="_Toc774"/>
      <w:bookmarkStart w:id="150" w:name="_Toc3225"/>
      <w:r>
        <w:rPr>
          <w:rFonts w:hint="eastAsia" w:ascii="宋体" w:hAnsi="宋体" w:eastAsia="宋体" w:cs="宋体"/>
          <w:b/>
          <w:bCs/>
          <w:color w:val="auto"/>
          <w:sz w:val="24"/>
          <w:highlight w:val="none"/>
          <w:lang w:val="zh-CN"/>
        </w:rPr>
        <w:t>2.6 技术资料</w:t>
      </w:r>
      <w:bookmarkEnd w:id="142"/>
      <w:bookmarkEnd w:id="143"/>
      <w:bookmarkEnd w:id="144"/>
      <w:bookmarkEnd w:id="145"/>
      <w:bookmarkEnd w:id="146"/>
      <w:bookmarkEnd w:id="147"/>
      <w:r>
        <w:rPr>
          <w:rFonts w:hint="eastAsia" w:ascii="宋体" w:hAnsi="宋体" w:eastAsia="宋体" w:cs="宋体"/>
          <w:b/>
          <w:bCs/>
          <w:color w:val="auto"/>
          <w:sz w:val="24"/>
          <w:highlight w:val="none"/>
          <w:lang w:val="zh-CN"/>
        </w:rPr>
        <w:t>和保密义务</w:t>
      </w:r>
      <w:bookmarkEnd w:id="148"/>
      <w:bookmarkEnd w:id="149"/>
      <w:bookmarkEnd w:id="150"/>
    </w:p>
    <w:p w14:paraId="550C892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2.6.1乙方有权依据合同约定和项目需要，向甲方了解有关情况，调阅有关资料等，甲方应予积极配合；</w:t>
      </w:r>
    </w:p>
    <w:p w14:paraId="68CD493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2.6.2乙方有义务妥善保管和保护由甲方提供的前款信息和资料等；</w:t>
      </w:r>
    </w:p>
    <w:p w14:paraId="7DFA158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0BD5F47">
      <w:pPr>
        <w:spacing w:line="360" w:lineRule="auto"/>
        <w:ind w:firstLine="437"/>
        <w:outlineLvl w:val="3"/>
        <w:rPr>
          <w:rFonts w:hint="eastAsia" w:ascii="宋体" w:hAnsi="宋体" w:eastAsia="宋体" w:cs="宋体"/>
          <w:b/>
          <w:bCs/>
          <w:color w:val="auto"/>
          <w:sz w:val="24"/>
          <w:highlight w:val="none"/>
          <w:lang w:val="zh-CN"/>
        </w:rPr>
      </w:pPr>
      <w:bookmarkStart w:id="151" w:name="_Toc7860"/>
      <w:r>
        <w:rPr>
          <w:rFonts w:hint="eastAsia" w:ascii="宋体" w:hAnsi="宋体" w:eastAsia="宋体" w:cs="宋体"/>
          <w:b/>
          <w:bCs/>
          <w:color w:val="auto"/>
          <w:sz w:val="24"/>
          <w:highlight w:val="none"/>
          <w:lang w:val="zh-CN"/>
        </w:rPr>
        <w:t>2.7 质量保证</w:t>
      </w:r>
      <w:bookmarkEnd w:id="151"/>
    </w:p>
    <w:p w14:paraId="669671E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2.7.1乙方应建立和完善履行合同的内部质量保证体系，并提供相关内部规章制度给甲方，以便甲方进行监督检查；</w:t>
      </w:r>
    </w:p>
    <w:p w14:paraId="3695878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2.7.2乙方应保证履行合同的人员数量和素质、软件和硬件设备的配置、场地、环境和设施等满足全面履行合同的要求，并应接受甲方的监督检查。</w:t>
      </w:r>
    </w:p>
    <w:p w14:paraId="06E0F637">
      <w:pPr>
        <w:spacing w:line="360" w:lineRule="auto"/>
        <w:ind w:firstLine="437"/>
        <w:outlineLvl w:val="3"/>
        <w:rPr>
          <w:rFonts w:hint="eastAsia" w:ascii="宋体" w:hAnsi="宋体" w:eastAsia="宋体" w:cs="宋体"/>
          <w:b/>
          <w:color w:val="auto"/>
          <w:sz w:val="24"/>
          <w:highlight w:val="none"/>
        </w:rPr>
      </w:pPr>
      <w:bookmarkStart w:id="152" w:name="_Toc22267"/>
      <w:r>
        <w:rPr>
          <w:rFonts w:hint="eastAsia" w:ascii="宋体" w:hAnsi="宋体" w:eastAsia="宋体" w:cs="宋体"/>
          <w:b/>
          <w:color w:val="auto"/>
          <w:sz w:val="24"/>
          <w:highlight w:val="none"/>
        </w:rPr>
        <w:t>2.8 延迟履行</w:t>
      </w:r>
      <w:bookmarkEnd w:id="152"/>
    </w:p>
    <w:p w14:paraId="229B196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772505D5">
      <w:pPr>
        <w:spacing w:line="360" w:lineRule="auto"/>
        <w:ind w:firstLine="437"/>
        <w:outlineLvl w:val="3"/>
        <w:rPr>
          <w:rFonts w:hint="eastAsia" w:ascii="宋体" w:hAnsi="宋体" w:eastAsia="宋体" w:cs="宋体"/>
          <w:b/>
          <w:bCs/>
          <w:color w:val="auto"/>
          <w:sz w:val="24"/>
          <w:highlight w:val="none"/>
          <w:lang w:val="zh-CN"/>
        </w:rPr>
      </w:pPr>
      <w:bookmarkStart w:id="153" w:name="_Toc7502"/>
      <w:bookmarkStart w:id="154" w:name="_Toc279701254"/>
      <w:bookmarkStart w:id="155" w:name="_Toc259093683"/>
      <w:bookmarkStart w:id="156" w:name="_Ref467378121"/>
      <w:bookmarkStart w:id="157" w:name="_Toc487900364"/>
      <w:r>
        <w:rPr>
          <w:rFonts w:hint="eastAsia" w:ascii="宋体" w:hAnsi="宋体" w:eastAsia="宋体" w:cs="宋体"/>
          <w:b/>
          <w:bCs/>
          <w:color w:val="auto"/>
          <w:sz w:val="24"/>
          <w:highlight w:val="none"/>
          <w:lang w:val="zh-CN"/>
        </w:rPr>
        <w:t>2.9 合同变更</w:t>
      </w:r>
      <w:bookmarkEnd w:id="153"/>
    </w:p>
    <w:p w14:paraId="3873044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2.9.1双方当事人协商一致，可以签订书面补充合同的形式变更合同，但不得违背采购文件确定的事项；</w:t>
      </w:r>
    </w:p>
    <w:p w14:paraId="1AFF2B0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2.9.2合同继续履行将损害国家利益和社会公共利益的，双方当事人应当以书面形式变更合同。有过错的一方应当承担赔偿责任，双方当事人都有过错的，各自承担相应的责任。</w:t>
      </w:r>
      <w:bookmarkStart w:id="158" w:name="_Toc487900369"/>
      <w:bookmarkStart w:id="159" w:name="_Toc279701259"/>
      <w:bookmarkStart w:id="160" w:name="_Toc259093688"/>
    </w:p>
    <w:p w14:paraId="3E11AA20">
      <w:pPr>
        <w:spacing w:line="360" w:lineRule="auto"/>
        <w:ind w:firstLine="437"/>
        <w:outlineLvl w:val="3"/>
        <w:rPr>
          <w:rFonts w:hint="eastAsia" w:ascii="宋体" w:hAnsi="宋体" w:eastAsia="宋体" w:cs="宋体"/>
          <w:b/>
          <w:bCs/>
          <w:color w:val="auto"/>
          <w:sz w:val="24"/>
          <w:highlight w:val="none"/>
          <w:lang w:val="zh-CN"/>
        </w:rPr>
      </w:pPr>
      <w:bookmarkStart w:id="161" w:name="_Toc15237"/>
      <w:bookmarkStart w:id="162" w:name="_Toc10366"/>
      <w:bookmarkStart w:id="163" w:name="_Toc22955"/>
      <w:r>
        <w:rPr>
          <w:rFonts w:hint="eastAsia" w:ascii="宋体" w:hAnsi="宋体" w:eastAsia="宋体" w:cs="宋体"/>
          <w:b/>
          <w:bCs/>
          <w:color w:val="auto"/>
          <w:sz w:val="24"/>
          <w:highlight w:val="none"/>
          <w:lang w:val="zh-CN"/>
        </w:rPr>
        <w:t>2.10 合同转让</w:t>
      </w:r>
      <w:bookmarkEnd w:id="158"/>
      <w:bookmarkEnd w:id="159"/>
      <w:bookmarkEnd w:id="160"/>
      <w:r>
        <w:rPr>
          <w:rFonts w:hint="eastAsia" w:ascii="宋体" w:hAnsi="宋体" w:eastAsia="宋体" w:cs="宋体"/>
          <w:b/>
          <w:bCs/>
          <w:color w:val="auto"/>
          <w:sz w:val="24"/>
          <w:highlight w:val="none"/>
          <w:lang w:val="zh-CN"/>
        </w:rPr>
        <w:t>和分包</w:t>
      </w:r>
      <w:bookmarkEnd w:id="161"/>
      <w:bookmarkEnd w:id="162"/>
      <w:bookmarkEnd w:id="163"/>
    </w:p>
    <w:p w14:paraId="290C2B4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21C19B53">
      <w:pPr>
        <w:spacing w:line="360" w:lineRule="auto"/>
        <w:ind w:firstLine="437"/>
        <w:outlineLvl w:val="3"/>
        <w:rPr>
          <w:rFonts w:hint="eastAsia" w:ascii="宋体" w:hAnsi="宋体" w:eastAsia="宋体" w:cs="宋体"/>
          <w:b/>
          <w:bCs/>
          <w:color w:val="auto"/>
          <w:sz w:val="24"/>
          <w:highlight w:val="none"/>
          <w:lang w:val="zh-CN"/>
        </w:rPr>
      </w:pPr>
      <w:bookmarkStart w:id="164" w:name="_Toc16508"/>
      <w:bookmarkStart w:id="165" w:name="_Toc13566"/>
      <w:bookmarkStart w:id="166" w:name="_Toc14066"/>
      <w:r>
        <w:rPr>
          <w:rFonts w:hint="eastAsia" w:ascii="宋体" w:hAnsi="宋体" w:eastAsia="宋体" w:cs="宋体"/>
          <w:b/>
          <w:bCs/>
          <w:color w:val="auto"/>
          <w:sz w:val="24"/>
          <w:highlight w:val="none"/>
          <w:lang w:val="zh-CN"/>
        </w:rPr>
        <w:t>2.11 不可抗力</w:t>
      </w:r>
      <w:bookmarkEnd w:id="164"/>
      <w:bookmarkEnd w:id="165"/>
      <w:bookmarkEnd w:id="166"/>
    </w:p>
    <w:p w14:paraId="5EEE76B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2.11.1如果任何一方遭遇法律规定的不可抗力，致使合同履行受阻时，履行合同的期限应予延长，延长的期限应相当于不可抗力所影响的时间；</w:t>
      </w:r>
    </w:p>
    <w:p w14:paraId="562004E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2.11.2因不可抗力致使不能实现合同目的的，当事人可以解除合同；</w:t>
      </w:r>
    </w:p>
    <w:p w14:paraId="2992A9C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2.11.3因不可抗力致使合同有变更必要的，双方当事人应在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约定时间内以书面形式变更合同；</w:t>
      </w:r>
    </w:p>
    <w:p w14:paraId="6A9AE4C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2.11.4受不可抗力影响的一方在不可抗力发生后，应在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约定时间内以书面形式通知对方当事人，并在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约定时间内，将有关部门出具的证明文件送达对方当事人。</w:t>
      </w:r>
    </w:p>
    <w:p w14:paraId="013067E3">
      <w:pPr>
        <w:spacing w:line="360" w:lineRule="auto"/>
        <w:ind w:firstLine="437"/>
        <w:outlineLvl w:val="3"/>
        <w:rPr>
          <w:rFonts w:hint="eastAsia" w:ascii="宋体" w:hAnsi="宋体" w:eastAsia="宋体" w:cs="宋体"/>
          <w:b/>
          <w:bCs/>
          <w:color w:val="auto"/>
          <w:sz w:val="24"/>
          <w:highlight w:val="none"/>
          <w:lang w:val="zh-CN"/>
        </w:rPr>
      </w:pPr>
      <w:bookmarkStart w:id="167" w:name="_Toc279701255"/>
      <w:bookmarkStart w:id="168" w:name="_Toc30676"/>
      <w:bookmarkStart w:id="169" w:name="_Toc259093684"/>
      <w:bookmarkStart w:id="170" w:name="_Toc6969"/>
      <w:bookmarkStart w:id="171" w:name="_Toc689"/>
      <w:bookmarkStart w:id="172" w:name="_Toc487900365"/>
      <w:r>
        <w:rPr>
          <w:rFonts w:hint="eastAsia" w:ascii="宋体" w:hAnsi="宋体" w:eastAsia="宋体" w:cs="宋体"/>
          <w:b/>
          <w:bCs/>
          <w:color w:val="auto"/>
          <w:sz w:val="24"/>
          <w:highlight w:val="none"/>
          <w:lang w:val="zh-CN"/>
        </w:rPr>
        <w:t>2.12 税费</w:t>
      </w:r>
      <w:bookmarkEnd w:id="167"/>
      <w:bookmarkEnd w:id="168"/>
      <w:bookmarkEnd w:id="169"/>
      <w:bookmarkEnd w:id="170"/>
      <w:bookmarkEnd w:id="171"/>
      <w:bookmarkEnd w:id="172"/>
    </w:p>
    <w:p w14:paraId="0785628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与合同有关的一切税费，均按照中华人民共和国法律的相关规定缴纳。</w:t>
      </w:r>
    </w:p>
    <w:p w14:paraId="74439FE3">
      <w:pPr>
        <w:spacing w:line="360" w:lineRule="auto"/>
        <w:ind w:firstLine="437"/>
        <w:outlineLvl w:val="3"/>
        <w:rPr>
          <w:rFonts w:hint="eastAsia" w:ascii="宋体" w:hAnsi="宋体" w:eastAsia="宋体" w:cs="宋体"/>
          <w:b/>
          <w:bCs/>
          <w:color w:val="auto"/>
          <w:sz w:val="24"/>
          <w:highlight w:val="none"/>
          <w:lang w:val="zh-CN"/>
        </w:rPr>
      </w:pPr>
      <w:bookmarkStart w:id="173" w:name="_Toc8298"/>
      <w:bookmarkStart w:id="174" w:name="_Toc259093687"/>
      <w:bookmarkStart w:id="175" w:name="_Toc487900368"/>
      <w:bookmarkStart w:id="176" w:name="_Toc16959"/>
      <w:bookmarkStart w:id="177" w:name="_Toc7102"/>
      <w:bookmarkStart w:id="178" w:name="_Toc279701258"/>
      <w:r>
        <w:rPr>
          <w:rFonts w:hint="eastAsia" w:ascii="宋体" w:hAnsi="宋体" w:eastAsia="宋体" w:cs="宋体"/>
          <w:b/>
          <w:bCs/>
          <w:color w:val="auto"/>
          <w:sz w:val="24"/>
          <w:highlight w:val="none"/>
          <w:lang w:val="zh-CN"/>
        </w:rPr>
        <w:t>2.13 乙方破产</w:t>
      </w:r>
      <w:bookmarkEnd w:id="173"/>
      <w:bookmarkEnd w:id="174"/>
      <w:bookmarkEnd w:id="175"/>
      <w:bookmarkEnd w:id="176"/>
      <w:bookmarkEnd w:id="177"/>
      <w:bookmarkEnd w:id="178"/>
    </w:p>
    <w:p w14:paraId="00334EF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2CBD3A7C">
      <w:pPr>
        <w:spacing w:line="360" w:lineRule="auto"/>
        <w:ind w:firstLine="437"/>
        <w:outlineLvl w:val="3"/>
        <w:rPr>
          <w:rFonts w:hint="eastAsia" w:ascii="宋体" w:hAnsi="宋体" w:eastAsia="宋体" w:cs="宋体"/>
          <w:b/>
          <w:color w:val="auto"/>
          <w:sz w:val="24"/>
          <w:highlight w:val="none"/>
        </w:rPr>
      </w:pPr>
      <w:bookmarkStart w:id="179" w:name="_Toc15387"/>
      <w:bookmarkStart w:id="180" w:name="_Toc6134"/>
      <w:bookmarkStart w:id="181" w:name="_Toc29333"/>
      <w:r>
        <w:rPr>
          <w:rFonts w:hint="eastAsia" w:ascii="宋体" w:hAnsi="宋体" w:eastAsia="宋体" w:cs="宋体"/>
          <w:b/>
          <w:bCs/>
          <w:color w:val="auto"/>
          <w:sz w:val="24"/>
          <w:highlight w:val="none"/>
          <w:lang w:val="zh-CN"/>
        </w:rPr>
        <w:t>2.14 合同中止、终止</w:t>
      </w:r>
      <w:bookmarkEnd w:id="179"/>
      <w:bookmarkEnd w:id="180"/>
      <w:bookmarkEnd w:id="181"/>
    </w:p>
    <w:p w14:paraId="5A361FE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2.14.1双方当事人不得擅自中止或者终止合同；</w:t>
      </w:r>
    </w:p>
    <w:p w14:paraId="7E83F58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2.14.2合同继续履行将损害国家利益和社会公共利益的，双方当事人应当中止或者终止合同。有过错的一方应当承担赔偿责任，双方当事人都有过错的，各自承担相应的责任。</w:t>
      </w:r>
    </w:p>
    <w:p w14:paraId="2C7240EB">
      <w:pPr>
        <w:spacing w:line="360" w:lineRule="auto"/>
        <w:ind w:firstLine="437"/>
        <w:outlineLvl w:val="3"/>
        <w:rPr>
          <w:rFonts w:hint="eastAsia" w:ascii="宋体" w:hAnsi="宋体" w:eastAsia="宋体" w:cs="宋体"/>
          <w:b/>
          <w:bCs/>
          <w:color w:val="auto"/>
          <w:sz w:val="24"/>
          <w:highlight w:val="none"/>
          <w:lang w:val="zh-CN"/>
        </w:rPr>
      </w:pPr>
      <w:bookmarkStart w:id="182" w:name="_Toc14563"/>
      <w:bookmarkStart w:id="183" w:name="_Toc1125"/>
      <w:bookmarkStart w:id="184" w:name="_Toc6596"/>
      <w:r>
        <w:rPr>
          <w:rFonts w:hint="eastAsia" w:ascii="宋体" w:hAnsi="宋体" w:eastAsia="宋体" w:cs="宋体"/>
          <w:b/>
          <w:bCs/>
          <w:color w:val="auto"/>
          <w:sz w:val="24"/>
          <w:highlight w:val="none"/>
          <w:lang w:val="zh-CN"/>
        </w:rPr>
        <w:t>2.15 检验和验收</w:t>
      </w:r>
      <w:bookmarkEnd w:id="182"/>
      <w:bookmarkEnd w:id="183"/>
      <w:bookmarkEnd w:id="184"/>
    </w:p>
    <w:p w14:paraId="6CAF6A7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2.15.1乙方按照</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的约定，定期提交服务报告，甲方按照</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的约定进行定期验收；</w:t>
      </w:r>
    </w:p>
    <w:p w14:paraId="5A2605A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915D6E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2.15.3检验和验收标准、程序等具体内容以及前述验收书的效力详见</w:t>
      </w:r>
      <w:r>
        <w:rPr>
          <w:rFonts w:hint="eastAsia" w:ascii="宋体" w:hAnsi="宋体" w:eastAsia="宋体" w:cs="宋体"/>
          <w:b/>
          <w:i/>
          <w:color w:val="auto"/>
          <w:sz w:val="24"/>
          <w:highlight w:val="none"/>
          <w:u w:val="single"/>
        </w:rPr>
        <w:t>合同专用条款</w:t>
      </w:r>
      <w:r>
        <w:rPr>
          <w:rFonts w:hint="eastAsia" w:ascii="宋体" w:hAnsi="宋体" w:eastAsia="宋体" w:cs="宋体"/>
          <w:i/>
          <w:color w:val="auto"/>
          <w:sz w:val="24"/>
          <w:highlight w:val="none"/>
        </w:rPr>
        <w:t>。</w:t>
      </w:r>
    </w:p>
    <w:bookmarkEnd w:id="154"/>
    <w:bookmarkEnd w:id="155"/>
    <w:bookmarkEnd w:id="156"/>
    <w:bookmarkEnd w:id="157"/>
    <w:p w14:paraId="5C66DC15">
      <w:pPr>
        <w:spacing w:line="360" w:lineRule="auto"/>
        <w:ind w:firstLine="437"/>
        <w:outlineLvl w:val="3"/>
        <w:rPr>
          <w:rFonts w:hint="eastAsia" w:ascii="宋体" w:hAnsi="宋体" w:eastAsia="宋体" w:cs="宋体"/>
          <w:b/>
          <w:bCs/>
          <w:color w:val="auto"/>
          <w:sz w:val="24"/>
          <w:highlight w:val="none"/>
        </w:rPr>
      </w:pPr>
      <w:bookmarkStart w:id="185" w:name="_Toc12773"/>
      <w:bookmarkStart w:id="186" w:name="_Toc487900373"/>
      <w:bookmarkStart w:id="187" w:name="_Toc18567"/>
      <w:bookmarkStart w:id="188" w:name="_Toc279701263"/>
      <w:bookmarkStart w:id="189" w:name="_Toc10330"/>
      <w:bookmarkStart w:id="190" w:name="_Toc259093692"/>
      <w:r>
        <w:rPr>
          <w:rFonts w:hint="eastAsia" w:ascii="宋体" w:hAnsi="宋体" w:eastAsia="宋体" w:cs="宋体"/>
          <w:b/>
          <w:bCs/>
          <w:color w:val="auto"/>
          <w:sz w:val="24"/>
          <w:highlight w:val="none"/>
        </w:rPr>
        <w:t xml:space="preserve">2.16 </w:t>
      </w:r>
      <w:r>
        <w:rPr>
          <w:rFonts w:hint="eastAsia" w:ascii="宋体" w:hAnsi="宋体" w:eastAsia="宋体" w:cs="宋体"/>
          <w:b/>
          <w:bCs/>
          <w:color w:val="auto"/>
          <w:sz w:val="24"/>
          <w:highlight w:val="none"/>
          <w:lang w:val="zh-CN"/>
        </w:rPr>
        <w:t>合同使用的文字和适用的法律</w:t>
      </w:r>
      <w:bookmarkEnd w:id="185"/>
      <w:bookmarkEnd w:id="186"/>
      <w:bookmarkEnd w:id="187"/>
      <w:bookmarkEnd w:id="188"/>
      <w:bookmarkEnd w:id="189"/>
      <w:bookmarkEnd w:id="190"/>
    </w:p>
    <w:p w14:paraId="45CCD9F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2.16.1合同使用汉语书就、变更和解释；</w:t>
      </w:r>
    </w:p>
    <w:p w14:paraId="6D67E62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2.16.2合同适用中华人民共和国法律。</w:t>
      </w:r>
    </w:p>
    <w:p w14:paraId="20D45474">
      <w:pPr>
        <w:spacing w:line="360" w:lineRule="auto"/>
        <w:ind w:firstLine="437"/>
        <w:outlineLvl w:val="3"/>
        <w:rPr>
          <w:rFonts w:hint="eastAsia" w:ascii="宋体" w:hAnsi="宋体" w:eastAsia="宋体" w:cs="宋体"/>
          <w:b/>
          <w:color w:val="auto"/>
          <w:sz w:val="24"/>
          <w:highlight w:val="none"/>
        </w:rPr>
      </w:pPr>
      <w:bookmarkStart w:id="191" w:name="_Toc279701264"/>
      <w:bookmarkStart w:id="192" w:name="_Toc259093693"/>
      <w:bookmarkStart w:id="193" w:name="_Toc3148"/>
      <w:bookmarkStart w:id="194" w:name="_Toc12004"/>
      <w:bookmarkStart w:id="195" w:name="_Toc16673"/>
      <w:bookmarkStart w:id="196" w:name="_Toc487900374"/>
      <w:r>
        <w:rPr>
          <w:rFonts w:hint="eastAsia" w:ascii="宋体" w:hAnsi="宋体" w:eastAsia="宋体" w:cs="宋体"/>
          <w:b/>
          <w:bCs/>
          <w:color w:val="auto"/>
          <w:sz w:val="24"/>
          <w:highlight w:val="none"/>
          <w:lang w:val="zh-CN"/>
        </w:rPr>
        <w:t>2.17 履约保证金</w:t>
      </w:r>
      <w:bookmarkEnd w:id="191"/>
      <w:bookmarkEnd w:id="192"/>
      <w:bookmarkEnd w:id="193"/>
      <w:bookmarkEnd w:id="194"/>
      <w:bookmarkEnd w:id="195"/>
    </w:p>
    <w:p w14:paraId="6F431AB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2.17.1采购文件要求乙方提交履约保证金的，乙方应按</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约定的方式，以支票、汇票、本票或者金融机构、担保机构出具的保函等非现金形式，提交不超过合同价10%的履约保证金；</w:t>
      </w:r>
    </w:p>
    <w:p w14:paraId="3BC186D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2.17.2履约保证金在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约定期间内不予退还或者应完全有效，前述约定期间届满之日起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个工作日内，甲方应将履约保证金退还乙方；</w:t>
      </w:r>
    </w:p>
    <w:p w14:paraId="20C4DCB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2.17.3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196"/>
    <w:p w14:paraId="1446EA89">
      <w:pPr>
        <w:spacing w:line="360" w:lineRule="auto"/>
        <w:ind w:firstLine="437"/>
        <w:outlineLvl w:val="3"/>
        <w:rPr>
          <w:rFonts w:hint="eastAsia" w:ascii="宋体" w:hAnsi="宋体" w:eastAsia="宋体" w:cs="宋体"/>
          <w:b/>
          <w:color w:val="auto"/>
          <w:sz w:val="24"/>
          <w:highlight w:val="none"/>
        </w:rPr>
      </w:pPr>
      <w:bookmarkStart w:id="197" w:name="_Toc19890"/>
      <w:bookmarkStart w:id="198" w:name="_Toc6885"/>
      <w:bookmarkStart w:id="199" w:name="_Toc14001"/>
      <w:r>
        <w:rPr>
          <w:rFonts w:hint="eastAsia" w:ascii="宋体" w:hAnsi="宋体" w:eastAsia="宋体" w:cs="宋体"/>
          <w:b/>
          <w:bCs/>
          <w:color w:val="auto"/>
          <w:sz w:val="24"/>
          <w:highlight w:val="none"/>
          <w:lang w:val="zh-CN"/>
        </w:rPr>
        <w:t>2.18 合同份数</w:t>
      </w:r>
      <w:bookmarkEnd w:id="197"/>
      <w:bookmarkEnd w:id="198"/>
      <w:bookmarkEnd w:id="199"/>
    </w:p>
    <w:p w14:paraId="4EBDCE5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合同份数按</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规定，每份均具有同等法律效力。</w:t>
      </w:r>
    </w:p>
    <w:p w14:paraId="19B76840">
      <w:pPr>
        <w:spacing w:line="360" w:lineRule="auto"/>
        <w:jc w:val="center"/>
        <w:outlineLvl w:val="2"/>
        <w:rPr>
          <w:rFonts w:hint="eastAsia" w:ascii="宋体" w:hAnsi="宋体" w:eastAsia="宋体" w:cs="宋体"/>
          <w:b/>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color w:val="auto"/>
          <w:sz w:val="24"/>
          <w:highlight w:val="none"/>
        </w:rPr>
        <w:t>第三部分 合同专用条款</w:t>
      </w:r>
    </w:p>
    <w:p w14:paraId="60048DB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0"/>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00"/>
        <w:gridCol w:w="8569"/>
      </w:tblGrid>
      <w:tr w14:paraId="438D88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475" w:type="pct"/>
            <w:tcBorders>
              <w:left w:val="single" w:color="auto" w:sz="4" w:space="0"/>
            </w:tcBorders>
            <w:noWrap w:val="0"/>
            <w:vAlign w:val="center"/>
          </w:tcPr>
          <w:p w14:paraId="77953034">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条款号</w:t>
            </w:r>
          </w:p>
        </w:tc>
        <w:tc>
          <w:tcPr>
            <w:tcW w:w="4525" w:type="pct"/>
            <w:noWrap w:val="0"/>
            <w:vAlign w:val="center"/>
          </w:tcPr>
          <w:p w14:paraId="2A75FA48">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约定内容</w:t>
            </w:r>
          </w:p>
        </w:tc>
      </w:tr>
      <w:tr w14:paraId="12448D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475" w:type="pct"/>
            <w:tcBorders>
              <w:left w:val="single" w:color="auto" w:sz="4" w:space="0"/>
            </w:tcBorders>
            <w:noWrap w:val="0"/>
            <w:vAlign w:val="center"/>
          </w:tcPr>
          <w:p w14:paraId="2F3D8E5D">
            <w:pPr>
              <w:spacing w:line="560" w:lineRule="exact"/>
              <w:jc w:val="center"/>
              <w:rPr>
                <w:rFonts w:hint="eastAsia" w:ascii="宋体" w:hAnsi="宋体" w:eastAsia="宋体" w:cs="宋体"/>
                <w:color w:val="auto"/>
                <w:sz w:val="24"/>
                <w:highlight w:val="none"/>
              </w:rPr>
            </w:pPr>
          </w:p>
        </w:tc>
        <w:tc>
          <w:tcPr>
            <w:tcW w:w="4525" w:type="pct"/>
            <w:noWrap w:val="0"/>
            <w:vAlign w:val="center"/>
          </w:tcPr>
          <w:p w14:paraId="023F8104">
            <w:pPr>
              <w:spacing w:line="560" w:lineRule="exact"/>
              <w:jc w:val="center"/>
              <w:rPr>
                <w:rFonts w:hint="eastAsia" w:ascii="宋体" w:hAnsi="宋体" w:eastAsia="宋体" w:cs="宋体"/>
                <w:color w:val="auto"/>
                <w:sz w:val="24"/>
                <w:highlight w:val="none"/>
              </w:rPr>
            </w:pPr>
          </w:p>
        </w:tc>
      </w:tr>
      <w:tr w14:paraId="3594AA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475" w:type="pct"/>
            <w:tcBorders>
              <w:left w:val="single" w:color="auto" w:sz="4" w:space="0"/>
            </w:tcBorders>
            <w:noWrap w:val="0"/>
            <w:vAlign w:val="center"/>
          </w:tcPr>
          <w:p w14:paraId="67B03128">
            <w:pPr>
              <w:spacing w:line="560" w:lineRule="exact"/>
              <w:jc w:val="center"/>
              <w:rPr>
                <w:rFonts w:hint="eastAsia" w:ascii="宋体" w:hAnsi="宋体" w:eastAsia="宋体" w:cs="宋体"/>
                <w:color w:val="auto"/>
                <w:sz w:val="24"/>
                <w:highlight w:val="none"/>
              </w:rPr>
            </w:pPr>
          </w:p>
        </w:tc>
        <w:tc>
          <w:tcPr>
            <w:tcW w:w="4525" w:type="pct"/>
            <w:noWrap w:val="0"/>
            <w:vAlign w:val="center"/>
          </w:tcPr>
          <w:p w14:paraId="4D05583E">
            <w:pPr>
              <w:spacing w:line="560" w:lineRule="exact"/>
              <w:jc w:val="center"/>
              <w:rPr>
                <w:rFonts w:hint="eastAsia" w:ascii="宋体" w:hAnsi="宋体" w:eastAsia="宋体" w:cs="宋体"/>
                <w:color w:val="auto"/>
                <w:sz w:val="24"/>
                <w:highlight w:val="none"/>
              </w:rPr>
            </w:pPr>
          </w:p>
        </w:tc>
      </w:tr>
      <w:tr w14:paraId="3BE048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475" w:type="pct"/>
            <w:tcBorders>
              <w:left w:val="single" w:color="auto" w:sz="4" w:space="0"/>
            </w:tcBorders>
            <w:noWrap w:val="0"/>
            <w:vAlign w:val="center"/>
          </w:tcPr>
          <w:p w14:paraId="3B0434D5">
            <w:pPr>
              <w:spacing w:line="560" w:lineRule="exact"/>
              <w:jc w:val="center"/>
              <w:rPr>
                <w:rFonts w:hint="eastAsia" w:ascii="宋体" w:hAnsi="宋体" w:eastAsia="宋体" w:cs="宋体"/>
                <w:color w:val="auto"/>
                <w:sz w:val="24"/>
                <w:highlight w:val="none"/>
              </w:rPr>
            </w:pPr>
          </w:p>
        </w:tc>
        <w:tc>
          <w:tcPr>
            <w:tcW w:w="4525" w:type="pct"/>
            <w:noWrap w:val="0"/>
            <w:vAlign w:val="center"/>
          </w:tcPr>
          <w:p w14:paraId="0AB750A4">
            <w:pPr>
              <w:spacing w:line="560" w:lineRule="exact"/>
              <w:jc w:val="center"/>
              <w:rPr>
                <w:rFonts w:hint="eastAsia" w:ascii="宋体" w:hAnsi="宋体" w:eastAsia="宋体" w:cs="宋体"/>
                <w:color w:val="auto"/>
                <w:sz w:val="24"/>
                <w:highlight w:val="none"/>
              </w:rPr>
            </w:pPr>
          </w:p>
        </w:tc>
      </w:tr>
      <w:tr w14:paraId="0F251E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475" w:type="pct"/>
            <w:tcBorders>
              <w:left w:val="single" w:color="auto" w:sz="4" w:space="0"/>
            </w:tcBorders>
            <w:noWrap w:val="0"/>
            <w:vAlign w:val="center"/>
          </w:tcPr>
          <w:p w14:paraId="47A80C9C">
            <w:pPr>
              <w:spacing w:line="560" w:lineRule="exact"/>
              <w:jc w:val="center"/>
              <w:rPr>
                <w:rFonts w:hint="eastAsia" w:ascii="宋体" w:hAnsi="宋体" w:eastAsia="宋体" w:cs="宋体"/>
                <w:color w:val="auto"/>
                <w:sz w:val="24"/>
                <w:highlight w:val="none"/>
              </w:rPr>
            </w:pPr>
          </w:p>
        </w:tc>
        <w:tc>
          <w:tcPr>
            <w:tcW w:w="4525" w:type="pct"/>
            <w:noWrap w:val="0"/>
            <w:vAlign w:val="center"/>
          </w:tcPr>
          <w:p w14:paraId="093ECCCC">
            <w:pPr>
              <w:spacing w:line="560" w:lineRule="exact"/>
              <w:jc w:val="center"/>
              <w:rPr>
                <w:rFonts w:hint="eastAsia" w:ascii="宋体" w:hAnsi="宋体" w:eastAsia="宋体" w:cs="宋体"/>
                <w:color w:val="auto"/>
                <w:sz w:val="24"/>
                <w:highlight w:val="none"/>
              </w:rPr>
            </w:pPr>
          </w:p>
        </w:tc>
      </w:tr>
      <w:tr w14:paraId="31BB0F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475" w:type="pct"/>
            <w:tcBorders>
              <w:left w:val="single" w:color="auto" w:sz="4" w:space="0"/>
            </w:tcBorders>
            <w:noWrap w:val="0"/>
            <w:vAlign w:val="center"/>
          </w:tcPr>
          <w:p w14:paraId="50DE1570">
            <w:pPr>
              <w:spacing w:line="560" w:lineRule="exact"/>
              <w:jc w:val="center"/>
              <w:rPr>
                <w:rFonts w:hint="eastAsia" w:ascii="宋体" w:hAnsi="宋体" w:eastAsia="宋体" w:cs="宋体"/>
                <w:color w:val="auto"/>
                <w:sz w:val="24"/>
                <w:highlight w:val="none"/>
              </w:rPr>
            </w:pPr>
          </w:p>
        </w:tc>
        <w:tc>
          <w:tcPr>
            <w:tcW w:w="4525" w:type="pct"/>
            <w:noWrap w:val="0"/>
            <w:vAlign w:val="center"/>
          </w:tcPr>
          <w:p w14:paraId="57746C39">
            <w:pPr>
              <w:spacing w:line="560" w:lineRule="exact"/>
              <w:jc w:val="center"/>
              <w:rPr>
                <w:rFonts w:hint="eastAsia" w:ascii="宋体" w:hAnsi="宋体" w:eastAsia="宋体" w:cs="宋体"/>
                <w:color w:val="auto"/>
                <w:sz w:val="24"/>
                <w:highlight w:val="none"/>
                <w:u w:val="single"/>
              </w:rPr>
            </w:pPr>
          </w:p>
        </w:tc>
      </w:tr>
      <w:tr w14:paraId="77E249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475" w:type="pct"/>
            <w:tcBorders>
              <w:left w:val="single" w:color="auto" w:sz="4" w:space="0"/>
            </w:tcBorders>
            <w:noWrap w:val="0"/>
            <w:vAlign w:val="center"/>
          </w:tcPr>
          <w:p w14:paraId="40626E83">
            <w:pPr>
              <w:spacing w:line="560" w:lineRule="exact"/>
              <w:jc w:val="center"/>
              <w:rPr>
                <w:rFonts w:hint="eastAsia" w:ascii="宋体" w:hAnsi="宋体" w:eastAsia="宋体" w:cs="宋体"/>
                <w:color w:val="auto"/>
                <w:sz w:val="24"/>
                <w:highlight w:val="none"/>
              </w:rPr>
            </w:pPr>
          </w:p>
        </w:tc>
        <w:tc>
          <w:tcPr>
            <w:tcW w:w="4525" w:type="pct"/>
            <w:noWrap w:val="0"/>
            <w:vAlign w:val="center"/>
          </w:tcPr>
          <w:p w14:paraId="48613F6D">
            <w:pPr>
              <w:spacing w:line="560" w:lineRule="exact"/>
              <w:jc w:val="center"/>
              <w:rPr>
                <w:rFonts w:hint="eastAsia" w:ascii="宋体" w:hAnsi="宋体" w:eastAsia="宋体" w:cs="宋体"/>
                <w:color w:val="auto"/>
                <w:sz w:val="24"/>
                <w:highlight w:val="none"/>
              </w:rPr>
            </w:pPr>
          </w:p>
        </w:tc>
      </w:tr>
      <w:tr w14:paraId="75EDB7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475" w:type="pct"/>
            <w:tcBorders>
              <w:left w:val="single" w:color="auto" w:sz="4" w:space="0"/>
            </w:tcBorders>
            <w:noWrap w:val="0"/>
            <w:vAlign w:val="center"/>
          </w:tcPr>
          <w:p w14:paraId="2C77F91A">
            <w:pPr>
              <w:spacing w:line="560" w:lineRule="exact"/>
              <w:jc w:val="center"/>
              <w:rPr>
                <w:rFonts w:hint="eastAsia" w:ascii="宋体" w:hAnsi="宋体" w:eastAsia="宋体" w:cs="宋体"/>
                <w:color w:val="auto"/>
                <w:sz w:val="24"/>
                <w:highlight w:val="none"/>
              </w:rPr>
            </w:pPr>
          </w:p>
        </w:tc>
        <w:tc>
          <w:tcPr>
            <w:tcW w:w="4525" w:type="pct"/>
            <w:noWrap w:val="0"/>
            <w:vAlign w:val="center"/>
          </w:tcPr>
          <w:p w14:paraId="5F9D2DC8">
            <w:pPr>
              <w:spacing w:line="560" w:lineRule="exact"/>
              <w:jc w:val="center"/>
              <w:rPr>
                <w:rFonts w:hint="eastAsia" w:ascii="宋体" w:hAnsi="宋体" w:eastAsia="宋体" w:cs="宋体"/>
                <w:color w:val="auto"/>
                <w:sz w:val="24"/>
                <w:highlight w:val="none"/>
                <w:u w:val="single"/>
              </w:rPr>
            </w:pPr>
          </w:p>
        </w:tc>
      </w:tr>
      <w:tr w14:paraId="1EECFA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475" w:type="pct"/>
            <w:tcBorders>
              <w:left w:val="single" w:color="auto" w:sz="4" w:space="0"/>
            </w:tcBorders>
            <w:noWrap w:val="0"/>
            <w:vAlign w:val="center"/>
          </w:tcPr>
          <w:p w14:paraId="507A2B8B">
            <w:pPr>
              <w:spacing w:line="560" w:lineRule="exact"/>
              <w:jc w:val="center"/>
              <w:rPr>
                <w:rFonts w:hint="eastAsia" w:ascii="宋体" w:hAnsi="宋体" w:eastAsia="宋体" w:cs="宋体"/>
                <w:color w:val="auto"/>
                <w:sz w:val="24"/>
                <w:highlight w:val="none"/>
              </w:rPr>
            </w:pPr>
          </w:p>
        </w:tc>
        <w:tc>
          <w:tcPr>
            <w:tcW w:w="4525" w:type="pct"/>
            <w:noWrap w:val="0"/>
            <w:vAlign w:val="center"/>
          </w:tcPr>
          <w:p w14:paraId="343C6B07">
            <w:pPr>
              <w:spacing w:line="560" w:lineRule="exact"/>
              <w:jc w:val="center"/>
              <w:rPr>
                <w:rFonts w:hint="eastAsia" w:ascii="宋体" w:hAnsi="宋体" w:eastAsia="宋体" w:cs="宋体"/>
                <w:color w:val="auto"/>
                <w:sz w:val="24"/>
                <w:highlight w:val="none"/>
              </w:rPr>
            </w:pPr>
          </w:p>
        </w:tc>
      </w:tr>
      <w:tr w14:paraId="256A78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475" w:type="pct"/>
            <w:tcBorders>
              <w:left w:val="single" w:color="auto" w:sz="4" w:space="0"/>
            </w:tcBorders>
            <w:noWrap w:val="0"/>
            <w:vAlign w:val="center"/>
          </w:tcPr>
          <w:p w14:paraId="5DF0695B">
            <w:pPr>
              <w:spacing w:line="560" w:lineRule="exact"/>
              <w:jc w:val="center"/>
              <w:rPr>
                <w:rFonts w:hint="eastAsia" w:ascii="宋体" w:hAnsi="宋体" w:eastAsia="宋体" w:cs="宋体"/>
                <w:color w:val="auto"/>
                <w:sz w:val="24"/>
                <w:highlight w:val="none"/>
              </w:rPr>
            </w:pPr>
          </w:p>
        </w:tc>
        <w:tc>
          <w:tcPr>
            <w:tcW w:w="4525" w:type="pct"/>
            <w:noWrap w:val="0"/>
            <w:vAlign w:val="center"/>
          </w:tcPr>
          <w:p w14:paraId="1D367060">
            <w:pPr>
              <w:spacing w:line="560" w:lineRule="exact"/>
              <w:jc w:val="center"/>
              <w:rPr>
                <w:rFonts w:hint="eastAsia" w:ascii="宋体" w:hAnsi="宋体" w:eastAsia="宋体" w:cs="宋体"/>
                <w:color w:val="auto"/>
                <w:sz w:val="24"/>
                <w:highlight w:val="none"/>
              </w:rPr>
            </w:pPr>
          </w:p>
        </w:tc>
      </w:tr>
      <w:tr w14:paraId="146B91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475" w:type="pct"/>
            <w:tcBorders>
              <w:left w:val="single" w:color="auto" w:sz="4" w:space="0"/>
            </w:tcBorders>
            <w:noWrap w:val="0"/>
            <w:vAlign w:val="center"/>
          </w:tcPr>
          <w:p w14:paraId="203FD9E0">
            <w:pPr>
              <w:spacing w:line="560" w:lineRule="exact"/>
              <w:jc w:val="center"/>
              <w:rPr>
                <w:rFonts w:hint="eastAsia" w:ascii="宋体" w:hAnsi="宋体" w:eastAsia="宋体" w:cs="宋体"/>
                <w:color w:val="auto"/>
                <w:sz w:val="24"/>
                <w:highlight w:val="none"/>
              </w:rPr>
            </w:pPr>
          </w:p>
        </w:tc>
        <w:tc>
          <w:tcPr>
            <w:tcW w:w="4525" w:type="pct"/>
            <w:noWrap w:val="0"/>
            <w:vAlign w:val="center"/>
          </w:tcPr>
          <w:p w14:paraId="61F02783">
            <w:pPr>
              <w:spacing w:line="560" w:lineRule="exact"/>
              <w:jc w:val="center"/>
              <w:rPr>
                <w:rFonts w:hint="eastAsia" w:ascii="宋体" w:hAnsi="宋体" w:eastAsia="宋体" w:cs="宋体"/>
                <w:color w:val="auto"/>
                <w:sz w:val="24"/>
                <w:highlight w:val="none"/>
              </w:rPr>
            </w:pPr>
          </w:p>
        </w:tc>
      </w:tr>
      <w:tr w14:paraId="223102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475" w:type="pct"/>
            <w:tcBorders>
              <w:top w:val="single" w:color="auto" w:sz="6" w:space="0"/>
              <w:left w:val="single" w:color="auto" w:sz="4" w:space="0"/>
              <w:bottom w:val="single" w:color="auto" w:sz="6" w:space="0"/>
              <w:right w:val="single" w:color="auto" w:sz="6" w:space="0"/>
            </w:tcBorders>
            <w:noWrap w:val="0"/>
            <w:vAlign w:val="center"/>
          </w:tcPr>
          <w:p w14:paraId="506CBC76">
            <w:pPr>
              <w:spacing w:line="560" w:lineRule="exact"/>
              <w:jc w:val="center"/>
              <w:rPr>
                <w:rFonts w:hint="eastAsia" w:ascii="宋体" w:hAnsi="宋体" w:eastAsia="宋体" w:cs="宋体"/>
                <w:color w:val="auto"/>
                <w:sz w:val="24"/>
                <w:highlight w:val="none"/>
              </w:rPr>
            </w:pPr>
          </w:p>
        </w:tc>
        <w:tc>
          <w:tcPr>
            <w:tcW w:w="4525" w:type="pct"/>
            <w:tcBorders>
              <w:top w:val="single" w:color="auto" w:sz="6" w:space="0"/>
              <w:left w:val="single" w:color="auto" w:sz="6" w:space="0"/>
              <w:bottom w:val="single" w:color="auto" w:sz="6" w:space="0"/>
              <w:right w:val="single" w:color="auto" w:sz="6" w:space="0"/>
            </w:tcBorders>
            <w:noWrap w:val="0"/>
            <w:vAlign w:val="center"/>
          </w:tcPr>
          <w:p w14:paraId="2463BAAB">
            <w:pPr>
              <w:spacing w:line="560" w:lineRule="exact"/>
              <w:jc w:val="center"/>
              <w:rPr>
                <w:rFonts w:hint="eastAsia" w:ascii="宋体" w:hAnsi="宋体" w:eastAsia="宋体" w:cs="宋体"/>
                <w:color w:val="auto"/>
                <w:sz w:val="24"/>
                <w:highlight w:val="none"/>
              </w:rPr>
            </w:pPr>
          </w:p>
        </w:tc>
      </w:tr>
      <w:tr w14:paraId="532CB1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475" w:type="pct"/>
            <w:tcBorders>
              <w:top w:val="single" w:color="auto" w:sz="6" w:space="0"/>
              <w:left w:val="single" w:color="auto" w:sz="4" w:space="0"/>
              <w:bottom w:val="single" w:color="auto" w:sz="6" w:space="0"/>
              <w:right w:val="single" w:color="auto" w:sz="6" w:space="0"/>
            </w:tcBorders>
            <w:noWrap w:val="0"/>
            <w:vAlign w:val="center"/>
          </w:tcPr>
          <w:p w14:paraId="4C130DEE">
            <w:pPr>
              <w:spacing w:line="560" w:lineRule="exact"/>
              <w:jc w:val="center"/>
              <w:rPr>
                <w:rFonts w:hint="eastAsia" w:ascii="宋体" w:hAnsi="宋体" w:eastAsia="宋体" w:cs="宋体"/>
                <w:color w:val="auto"/>
                <w:sz w:val="24"/>
                <w:highlight w:val="none"/>
              </w:rPr>
            </w:pPr>
          </w:p>
        </w:tc>
        <w:tc>
          <w:tcPr>
            <w:tcW w:w="4525" w:type="pct"/>
            <w:tcBorders>
              <w:top w:val="single" w:color="auto" w:sz="6" w:space="0"/>
              <w:left w:val="single" w:color="auto" w:sz="6" w:space="0"/>
              <w:bottom w:val="single" w:color="auto" w:sz="6" w:space="0"/>
              <w:right w:val="single" w:color="auto" w:sz="6" w:space="0"/>
            </w:tcBorders>
            <w:noWrap w:val="0"/>
            <w:vAlign w:val="center"/>
          </w:tcPr>
          <w:p w14:paraId="2F04AE03">
            <w:pPr>
              <w:spacing w:line="560" w:lineRule="exact"/>
              <w:jc w:val="center"/>
              <w:rPr>
                <w:rFonts w:hint="eastAsia" w:ascii="宋体" w:hAnsi="宋体" w:eastAsia="宋体" w:cs="宋体"/>
                <w:color w:val="auto"/>
                <w:sz w:val="24"/>
                <w:highlight w:val="none"/>
              </w:rPr>
            </w:pPr>
          </w:p>
        </w:tc>
      </w:tr>
    </w:tbl>
    <w:p w14:paraId="3DD5FD54">
      <w:pPr>
        <w:rPr>
          <w:rFonts w:hint="eastAsia" w:ascii="宋体" w:hAnsi="宋体" w:eastAsia="宋体" w:cs="宋体"/>
          <w:color w:val="auto"/>
          <w:highlight w:val="none"/>
        </w:rPr>
      </w:pPr>
    </w:p>
    <w:p w14:paraId="0D643F6E">
      <w:pPr>
        <w:pStyle w:val="19"/>
        <w:ind w:left="0" w:leftChars="0" w:firstLine="0" w:firstLineChars="0"/>
        <w:rPr>
          <w:rFonts w:hint="eastAsia" w:ascii="宋体" w:hAnsi="宋体" w:eastAsia="宋体" w:cs="宋体"/>
          <w:color w:val="auto"/>
          <w:highlight w:val="none"/>
        </w:rPr>
      </w:pPr>
    </w:p>
    <w:p w14:paraId="7C259C7C">
      <w:pPr>
        <w:rPr>
          <w:rFonts w:ascii="宋体" w:hAnsi="宋体" w:eastAsia="宋体" w:cs="宋体"/>
          <w:color w:val="auto"/>
          <w:highlight w:val="none"/>
        </w:rPr>
      </w:pPr>
    </w:p>
    <w:p w14:paraId="2E17F33B">
      <w:pPr>
        <w:pStyle w:val="15"/>
        <w:rPr>
          <w:rFonts w:hint="eastAsia" w:ascii="宋体" w:hAnsi="宋体" w:eastAsia="宋体" w:cs="宋体"/>
          <w:color w:val="auto"/>
          <w:highlight w:val="none"/>
        </w:rPr>
      </w:pPr>
    </w:p>
    <w:p w14:paraId="2584044D">
      <w:pPr>
        <w:pStyle w:val="15"/>
        <w:rPr>
          <w:rFonts w:hint="eastAsia" w:ascii="宋体" w:hAnsi="宋体" w:eastAsia="宋体" w:cs="宋体"/>
          <w:color w:val="auto"/>
          <w:highlight w:val="none"/>
        </w:rPr>
      </w:pPr>
    </w:p>
    <w:p w14:paraId="2E19B8F5">
      <w:pPr>
        <w:pStyle w:val="15"/>
        <w:rPr>
          <w:rFonts w:hint="eastAsia" w:ascii="宋体" w:hAnsi="宋体" w:eastAsia="宋体" w:cs="宋体"/>
          <w:color w:val="auto"/>
          <w:highlight w:val="none"/>
        </w:rPr>
      </w:pPr>
    </w:p>
    <w:p w14:paraId="2C47091C">
      <w:pPr>
        <w:pStyle w:val="15"/>
        <w:rPr>
          <w:rFonts w:hint="eastAsia" w:ascii="宋体" w:hAnsi="宋体" w:eastAsia="宋体" w:cs="宋体"/>
          <w:color w:val="auto"/>
          <w:highlight w:val="none"/>
        </w:rPr>
      </w:pPr>
    </w:p>
    <w:bookmarkEnd w:id="61"/>
    <w:p w14:paraId="0E70ADD8">
      <w:pPr>
        <w:spacing w:line="360" w:lineRule="auto"/>
        <w:ind w:firstLine="435"/>
        <w:rPr>
          <w:rFonts w:hint="eastAsia" w:ascii="宋体" w:hAnsi="宋体" w:eastAsia="宋体" w:cs="宋体"/>
          <w:color w:val="auto"/>
          <w:sz w:val="24"/>
          <w:highlight w:val="none"/>
        </w:rPr>
      </w:pPr>
    </w:p>
    <w:p w14:paraId="463E3F45">
      <w:pPr>
        <w:keepNext w:val="0"/>
        <w:keepLines w:val="0"/>
        <w:pageBreakBefore w:val="0"/>
        <w:widowControl w:val="0"/>
        <w:kinsoku/>
        <w:wordWrap/>
        <w:overflowPunct/>
        <w:topLinePunct w:val="0"/>
        <w:bidi w:val="0"/>
        <w:adjustRightInd w:val="0"/>
        <w:snapToGrid w:val="0"/>
        <w:spacing w:line="360" w:lineRule="auto"/>
        <w:ind w:right="-11"/>
        <w:jc w:val="center"/>
        <w:textAlignment w:val="auto"/>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color w:val="auto"/>
          <w:sz w:val="24"/>
          <w:highlight w:val="none"/>
        </w:rPr>
        <w:br w:type="page"/>
      </w:r>
      <w:r>
        <w:rPr>
          <w:rFonts w:hint="eastAsia" w:ascii="宋体" w:hAnsi="宋体" w:eastAsia="宋体" w:cs="宋体"/>
          <w:b/>
          <w:bCs/>
          <w:color w:val="auto"/>
          <w:kern w:val="0"/>
          <w:sz w:val="28"/>
          <w:szCs w:val="28"/>
          <w:highlight w:val="none"/>
          <w:lang w:val="en-US" w:eastAsia="zh-CN" w:bidi="ar-SA"/>
        </w:rPr>
        <w:t>第七章 响应文件格式</w:t>
      </w:r>
      <w:bookmarkEnd w:id="57"/>
      <w:bookmarkEnd w:id="62"/>
    </w:p>
    <w:p w14:paraId="5365CCA1">
      <w:pPr>
        <w:spacing w:line="500" w:lineRule="exact"/>
        <w:jc w:val="center"/>
        <w:rPr>
          <w:rFonts w:hint="eastAsia" w:ascii="宋体" w:hAnsi="宋体" w:eastAsia="宋体" w:cs="宋体"/>
          <w:b/>
          <w:color w:val="auto"/>
          <w:sz w:val="32"/>
          <w:highlight w:val="none"/>
          <w:lang w:eastAsia="zh-CN"/>
        </w:rPr>
      </w:pPr>
      <w:r>
        <w:rPr>
          <w:rFonts w:hint="eastAsia" w:ascii="宋体" w:hAnsi="宋体" w:cs="宋体"/>
          <w:b/>
          <w:color w:val="auto"/>
          <w:sz w:val="32"/>
          <w:highlight w:val="none"/>
          <w:lang w:eastAsia="zh-CN"/>
        </w:rPr>
        <w:t>肥西县中医院消防维保（2026-2027）</w:t>
      </w:r>
    </w:p>
    <w:p w14:paraId="53BF1A2C">
      <w:pPr>
        <w:spacing w:line="900" w:lineRule="exact"/>
        <w:jc w:val="center"/>
        <w:rPr>
          <w:rFonts w:hint="eastAsia" w:ascii="宋体" w:hAnsi="宋体" w:eastAsia="宋体" w:cs="宋体"/>
          <w:b/>
          <w:color w:val="auto"/>
          <w:sz w:val="72"/>
          <w:highlight w:val="none"/>
        </w:rPr>
      </w:pPr>
    </w:p>
    <w:p w14:paraId="164F620F">
      <w:pPr>
        <w:spacing w:line="900" w:lineRule="exact"/>
        <w:jc w:val="center"/>
        <w:rPr>
          <w:rFonts w:hint="eastAsia" w:ascii="宋体" w:hAnsi="宋体" w:eastAsia="宋体" w:cs="宋体"/>
          <w:b/>
          <w:color w:val="auto"/>
          <w:sz w:val="72"/>
          <w:highlight w:val="none"/>
        </w:rPr>
      </w:pPr>
      <w:r>
        <w:rPr>
          <w:rFonts w:hint="eastAsia" w:ascii="宋体" w:hAnsi="宋体" w:eastAsia="宋体" w:cs="宋体"/>
          <w:b/>
          <w:color w:val="auto"/>
          <w:sz w:val="72"/>
          <w:highlight w:val="none"/>
        </w:rPr>
        <w:t>响</w:t>
      </w:r>
    </w:p>
    <w:p w14:paraId="78902623">
      <w:pPr>
        <w:spacing w:line="900" w:lineRule="exact"/>
        <w:jc w:val="center"/>
        <w:rPr>
          <w:rFonts w:hint="eastAsia" w:ascii="宋体" w:hAnsi="宋体" w:eastAsia="宋体" w:cs="宋体"/>
          <w:b/>
          <w:color w:val="auto"/>
          <w:sz w:val="72"/>
          <w:highlight w:val="none"/>
        </w:rPr>
      </w:pPr>
    </w:p>
    <w:p w14:paraId="44EDB04B">
      <w:pPr>
        <w:spacing w:line="900" w:lineRule="exact"/>
        <w:jc w:val="center"/>
        <w:rPr>
          <w:rFonts w:hint="eastAsia" w:ascii="宋体" w:hAnsi="宋体" w:eastAsia="宋体" w:cs="宋体"/>
          <w:b/>
          <w:color w:val="auto"/>
          <w:sz w:val="72"/>
          <w:highlight w:val="none"/>
        </w:rPr>
      </w:pPr>
      <w:r>
        <w:rPr>
          <w:rFonts w:hint="eastAsia" w:ascii="宋体" w:hAnsi="宋体" w:eastAsia="宋体" w:cs="宋体"/>
          <w:b/>
          <w:color w:val="auto"/>
          <w:sz w:val="72"/>
          <w:highlight w:val="none"/>
        </w:rPr>
        <w:t>应</w:t>
      </w:r>
    </w:p>
    <w:p w14:paraId="6A79C3B7">
      <w:pPr>
        <w:spacing w:line="900" w:lineRule="exact"/>
        <w:jc w:val="center"/>
        <w:rPr>
          <w:rFonts w:hint="eastAsia" w:ascii="宋体" w:hAnsi="宋体" w:eastAsia="宋体" w:cs="宋体"/>
          <w:b/>
          <w:color w:val="auto"/>
          <w:sz w:val="72"/>
          <w:highlight w:val="none"/>
        </w:rPr>
      </w:pPr>
    </w:p>
    <w:p w14:paraId="13025D59">
      <w:pPr>
        <w:spacing w:line="900" w:lineRule="exact"/>
        <w:jc w:val="center"/>
        <w:rPr>
          <w:rFonts w:hint="eastAsia" w:ascii="宋体" w:hAnsi="宋体" w:eastAsia="宋体" w:cs="宋体"/>
          <w:b/>
          <w:color w:val="auto"/>
          <w:sz w:val="72"/>
          <w:highlight w:val="none"/>
        </w:rPr>
      </w:pPr>
      <w:r>
        <w:rPr>
          <w:rFonts w:hint="eastAsia" w:ascii="宋体" w:hAnsi="宋体" w:eastAsia="宋体" w:cs="宋体"/>
          <w:b/>
          <w:color w:val="auto"/>
          <w:sz w:val="72"/>
          <w:highlight w:val="none"/>
        </w:rPr>
        <w:t>文</w:t>
      </w:r>
    </w:p>
    <w:p w14:paraId="71B6428E">
      <w:pPr>
        <w:spacing w:line="900" w:lineRule="exact"/>
        <w:jc w:val="center"/>
        <w:rPr>
          <w:rFonts w:hint="eastAsia" w:ascii="宋体" w:hAnsi="宋体" w:eastAsia="宋体" w:cs="宋体"/>
          <w:b/>
          <w:color w:val="auto"/>
          <w:sz w:val="72"/>
          <w:highlight w:val="none"/>
        </w:rPr>
      </w:pPr>
    </w:p>
    <w:p w14:paraId="2B204DD4">
      <w:pPr>
        <w:jc w:val="center"/>
        <w:rPr>
          <w:rFonts w:hint="eastAsia" w:ascii="宋体" w:hAnsi="宋体" w:eastAsia="宋体" w:cs="宋体"/>
          <w:b/>
          <w:color w:val="auto"/>
          <w:sz w:val="72"/>
          <w:highlight w:val="none"/>
        </w:rPr>
      </w:pPr>
      <w:r>
        <w:rPr>
          <w:rFonts w:hint="eastAsia" w:ascii="宋体" w:hAnsi="宋体" w:eastAsia="宋体" w:cs="宋体"/>
          <w:b/>
          <w:color w:val="auto"/>
          <w:sz w:val="72"/>
          <w:highlight w:val="none"/>
        </w:rPr>
        <w:t>件</w:t>
      </w:r>
    </w:p>
    <w:p w14:paraId="0D4B3218">
      <w:pPr>
        <w:spacing w:after="156" w:afterLines="50"/>
        <w:jc w:val="center"/>
        <w:rPr>
          <w:rFonts w:hint="eastAsia" w:ascii="宋体" w:hAnsi="宋体" w:eastAsia="宋体" w:cs="宋体"/>
          <w:b/>
          <w:color w:val="auto"/>
          <w:sz w:val="72"/>
          <w:highlight w:val="none"/>
        </w:rPr>
      </w:pPr>
    </w:p>
    <w:p w14:paraId="77CAB0E9">
      <w:pPr>
        <w:spacing w:after="156" w:afterLines="50" w:line="500" w:lineRule="exact"/>
        <w:jc w:val="center"/>
        <w:rPr>
          <w:rFonts w:hint="eastAsia" w:ascii="宋体" w:hAnsi="宋体" w:eastAsia="宋体" w:cs="宋体"/>
          <w:b/>
          <w:color w:val="auto"/>
          <w:sz w:val="28"/>
          <w:szCs w:val="28"/>
          <w:highlight w:val="none"/>
        </w:rPr>
      </w:pPr>
    </w:p>
    <w:p w14:paraId="1FDAF367">
      <w:pPr>
        <w:spacing w:after="156" w:afterLines="50" w:line="500" w:lineRule="exact"/>
        <w:jc w:val="center"/>
        <w:rPr>
          <w:rFonts w:hint="eastAsia" w:ascii="宋体" w:hAnsi="宋体" w:eastAsia="宋体" w:cs="宋体"/>
          <w:b/>
          <w:color w:val="auto"/>
          <w:sz w:val="72"/>
          <w:highlight w:val="none"/>
        </w:rPr>
      </w:pPr>
    </w:p>
    <w:p w14:paraId="32DFD354">
      <w:pPr>
        <w:spacing w:after="156" w:afterLines="50" w:line="500" w:lineRule="exact"/>
        <w:ind w:firstLine="2522" w:firstLineChars="785"/>
        <w:rPr>
          <w:rFonts w:hint="eastAsia" w:ascii="宋体" w:hAnsi="宋体" w:eastAsia="宋体" w:cs="宋体"/>
          <w:b/>
          <w:color w:val="auto"/>
          <w:sz w:val="32"/>
          <w:highlight w:val="none"/>
          <w:u w:val="single"/>
        </w:rPr>
      </w:pPr>
      <w:r>
        <w:rPr>
          <w:rFonts w:hint="eastAsia" w:ascii="宋体" w:hAnsi="宋体" w:eastAsia="宋体" w:cs="宋体"/>
          <w:b/>
          <w:color w:val="auto"/>
          <w:sz w:val="32"/>
          <w:highlight w:val="none"/>
          <w:lang w:eastAsia="zh-CN"/>
        </w:rPr>
        <w:t>投标人</w:t>
      </w:r>
      <w:r>
        <w:rPr>
          <w:rFonts w:hint="eastAsia" w:ascii="宋体" w:hAnsi="宋体" w:eastAsia="宋体" w:cs="宋体"/>
          <w:b/>
          <w:color w:val="auto"/>
          <w:sz w:val="32"/>
          <w:highlight w:val="none"/>
        </w:rPr>
        <w:t>：</w:t>
      </w:r>
      <w:r>
        <w:rPr>
          <w:rFonts w:hint="eastAsia" w:ascii="宋体" w:hAnsi="宋体" w:eastAsia="宋体" w:cs="宋体"/>
          <w:b/>
          <w:color w:val="auto"/>
          <w:sz w:val="32"/>
          <w:highlight w:val="none"/>
          <w:u w:val="single"/>
        </w:rPr>
        <w:t xml:space="preserve">               </w:t>
      </w:r>
    </w:p>
    <w:p w14:paraId="34A50DAC">
      <w:pPr>
        <w:spacing w:after="156" w:afterLines="50" w:line="500" w:lineRule="exact"/>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rPr>
        <w:t>年</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rPr>
        <w:t>月</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rPr>
        <w:t>日</w:t>
      </w:r>
    </w:p>
    <w:p w14:paraId="1891EC6B">
      <w:pPr>
        <w:pStyle w:val="18"/>
        <w:rPr>
          <w:rFonts w:hint="eastAsia" w:ascii="宋体" w:hAnsi="宋体" w:eastAsia="宋体" w:cs="宋体"/>
          <w:color w:val="auto"/>
          <w:highlight w:val="none"/>
        </w:rPr>
      </w:pPr>
    </w:p>
    <w:bookmarkEnd w:id="58"/>
    <w:bookmarkEnd w:id="59"/>
    <w:bookmarkEnd w:id="60"/>
    <w:p w14:paraId="3A5ACF83">
      <w:pPr>
        <w:pStyle w:val="7"/>
        <w:rPr>
          <w:rFonts w:hint="eastAsia" w:ascii="宋体" w:hAnsi="宋体" w:eastAsia="宋体" w:cs="宋体"/>
          <w:color w:val="auto"/>
          <w:highlight w:val="none"/>
        </w:rPr>
      </w:pPr>
      <w:bookmarkStart w:id="200" w:name="_Toc524347004"/>
    </w:p>
    <w:p w14:paraId="404BF6C9">
      <w:pPr>
        <w:spacing w:before="156" w:beforeLines="50" w:after="156" w:afterLines="50" w:line="360" w:lineRule="auto"/>
        <w:ind w:firstLine="205" w:firstLineChars="98"/>
        <w:jc w:val="center"/>
        <w:rPr>
          <w:rFonts w:hint="eastAsia" w:ascii="宋体" w:hAnsi="宋体" w:eastAsia="宋体" w:cs="宋体"/>
          <w:b/>
          <w:color w:val="auto"/>
          <w:sz w:val="24"/>
          <w:highlight w:val="none"/>
        </w:rPr>
      </w:pPr>
      <w:r>
        <w:rPr>
          <w:rFonts w:hint="eastAsia" w:ascii="宋体" w:hAnsi="宋体" w:eastAsia="宋体" w:cs="宋体"/>
          <w:color w:val="auto"/>
          <w:highlight w:val="none"/>
        </w:rPr>
        <w:br w:type="page"/>
      </w:r>
      <w:bookmarkEnd w:id="200"/>
      <w:bookmarkStart w:id="201" w:name="_Toc461053086"/>
      <w:bookmarkStart w:id="202" w:name="_Toc461056631"/>
      <w:bookmarkStart w:id="203" w:name="_Toc520983587"/>
      <w:r>
        <w:rPr>
          <w:rFonts w:hint="eastAsia" w:ascii="宋体" w:hAnsi="宋体" w:eastAsia="宋体" w:cs="宋体"/>
          <w:b/>
          <w:bCs w:val="0"/>
          <w:color w:val="auto"/>
          <w:kern w:val="2"/>
          <w:sz w:val="28"/>
          <w:szCs w:val="28"/>
          <w:highlight w:val="none"/>
          <w:lang w:val="en-US" w:eastAsia="zh-CN" w:bidi="ar-SA"/>
        </w:rPr>
        <w:t>一</w:t>
      </w:r>
      <w:bookmarkEnd w:id="201"/>
      <w:bookmarkEnd w:id="202"/>
      <w:r>
        <w:rPr>
          <w:rFonts w:hint="eastAsia" w:ascii="宋体" w:hAnsi="宋体" w:eastAsia="宋体" w:cs="宋体"/>
          <w:b/>
          <w:bCs w:val="0"/>
          <w:color w:val="auto"/>
          <w:kern w:val="2"/>
          <w:sz w:val="28"/>
          <w:szCs w:val="28"/>
          <w:highlight w:val="none"/>
          <w:lang w:val="en-US" w:eastAsia="zh-CN" w:bidi="ar-SA"/>
        </w:rPr>
        <w:t>、报价表格式</w:t>
      </w:r>
      <w:bookmarkEnd w:id="203"/>
    </w:p>
    <w:p w14:paraId="00F5EE34">
      <w:pPr>
        <w:spacing w:before="156" w:beforeLines="50" w:after="156" w:afterLines="50" w:line="360" w:lineRule="auto"/>
        <w:jc w:val="left"/>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1-1 报价表</w:t>
      </w:r>
    </w:p>
    <w:p w14:paraId="6AFE1216">
      <w:pPr>
        <w:snapToGrid w:val="0"/>
        <w:spacing w:line="360" w:lineRule="auto"/>
        <w:jc w:val="left"/>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项目名称：</w:t>
      </w:r>
      <w:r>
        <w:rPr>
          <w:rFonts w:hint="eastAsia" w:ascii="宋体" w:hAnsi="宋体" w:eastAsia="宋体" w:cs="宋体"/>
          <w:b/>
          <w:color w:val="auto"/>
          <w:sz w:val="24"/>
          <w:szCs w:val="28"/>
          <w:highlight w:val="none"/>
          <w:u w:val="single"/>
        </w:rPr>
        <w:t xml:space="preserve">  </w:t>
      </w:r>
      <w:r>
        <w:rPr>
          <w:rFonts w:hint="eastAsia" w:ascii="宋体" w:hAnsi="宋体" w:cs="宋体"/>
          <w:b/>
          <w:color w:val="auto"/>
          <w:sz w:val="24"/>
          <w:szCs w:val="28"/>
          <w:highlight w:val="none"/>
          <w:u w:val="single"/>
          <w:lang w:eastAsia="zh-CN"/>
        </w:rPr>
        <w:t>肥西县中医院消防维保（2026-2027）</w:t>
      </w:r>
      <w:r>
        <w:rPr>
          <w:rFonts w:hint="eastAsia" w:ascii="宋体" w:hAnsi="宋体" w:eastAsia="宋体" w:cs="宋体"/>
          <w:b/>
          <w:color w:val="auto"/>
          <w:sz w:val="24"/>
          <w:szCs w:val="28"/>
          <w:highlight w:val="none"/>
          <w:u w:val="single"/>
        </w:rPr>
        <w:t xml:space="preserve">       </w:t>
      </w:r>
    </w:p>
    <w:p w14:paraId="16DCEDBD">
      <w:pPr>
        <w:snapToGrid w:val="0"/>
        <w:spacing w:after="156" w:afterLines="50" w:line="360" w:lineRule="auto"/>
        <w:jc w:val="left"/>
        <w:rPr>
          <w:rFonts w:hint="eastAsia" w:ascii="宋体" w:hAnsi="宋体" w:eastAsia="宋体" w:cs="宋体"/>
          <w:b/>
          <w:bCs/>
          <w:color w:val="auto"/>
          <w:sz w:val="24"/>
          <w:szCs w:val="28"/>
          <w:highlight w:val="none"/>
          <w:u w:val="single"/>
        </w:rPr>
      </w:pPr>
      <w:r>
        <w:rPr>
          <w:rFonts w:hint="eastAsia" w:ascii="宋体" w:hAnsi="宋体" w:eastAsia="宋体" w:cs="宋体"/>
          <w:b/>
          <w:color w:val="auto"/>
          <w:sz w:val="24"/>
          <w:szCs w:val="28"/>
          <w:highlight w:val="none"/>
        </w:rPr>
        <w:t>项目编号：</w:t>
      </w:r>
      <w:r>
        <w:rPr>
          <w:rFonts w:hint="eastAsia" w:ascii="宋体" w:hAnsi="宋体" w:eastAsia="宋体" w:cs="宋体"/>
          <w:b/>
          <w:color w:val="auto"/>
          <w:sz w:val="24"/>
          <w:szCs w:val="28"/>
          <w:highlight w:val="none"/>
          <w:u w:val="single"/>
        </w:rPr>
        <w:t xml:space="preserve">  </w:t>
      </w:r>
      <w:r>
        <w:rPr>
          <w:rFonts w:hint="eastAsia" w:ascii="宋体" w:hAnsi="宋体" w:cs="宋体"/>
          <w:b/>
          <w:color w:val="auto"/>
          <w:sz w:val="24"/>
          <w:szCs w:val="28"/>
          <w:highlight w:val="none"/>
          <w:u w:val="single"/>
          <w:lang w:eastAsia="zh-CN"/>
        </w:rPr>
        <w:t>2026GSBN0011</w:t>
      </w:r>
      <w:r>
        <w:rPr>
          <w:rFonts w:hint="eastAsia" w:ascii="宋体" w:hAnsi="宋体" w:eastAsia="宋体" w:cs="宋体"/>
          <w:b/>
          <w:color w:val="auto"/>
          <w:sz w:val="24"/>
          <w:szCs w:val="28"/>
          <w:highlight w:val="none"/>
          <w:u w:val="single"/>
        </w:rPr>
        <w:t xml:space="preserve">      </w:t>
      </w:r>
    </w:p>
    <w:tbl>
      <w:tblPr>
        <w:tblStyle w:val="20"/>
        <w:tblW w:w="47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9"/>
        <w:gridCol w:w="6378"/>
      </w:tblGrid>
      <w:tr w14:paraId="7933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17" w:type="pct"/>
            <w:tcBorders>
              <w:top w:val="single" w:color="auto" w:sz="4" w:space="0"/>
              <w:left w:val="single" w:color="auto" w:sz="4" w:space="0"/>
              <w:bottom w:val="single" w:color="auto" w:sz="4" w:space="0"/>
              <w:right w:val="single" w:color="auto" w:sz="4" w:space="0"/>
            </w:tcBorders>
            <w:noWrap w:val="0"/>
            <w:vAlign w:val="center"/>
          </w:tcPr>
          <w:p w14:paraId="1B7D471A">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投标人</w:t>
            </w:r>
            <w:r>
              <w:rPr>
                <w:rFonts w:hint="eastAsia" w:ascii="宋体" w:hAnsi="宋体" w:eastAsia="宋体" w:cs="宋体"/>
                <w:b/>
                <w:color w:val="auto"/>
                <w:sz w:val="24"/>
                <w:highlight w:val="none"/>
              </w:rPr>
              <w:t>名称</w:t>
            </w:r>
          </w:p>
        </w:tc>
        <w:tc>
          <w:tcPr>
            <w:tcW w:w="3482" w:type="pct"/>
            <w:tcBorders>
              <w:left w:val="single" w:color="auto" w:sz="4" w:space="0"/>
            </w:tcBorders>
            <w:noWrap w:val="0"/>
            <w:vAlign w:val="center"/>
          </w:tcPr>
          <w:p w14:paraId="3DB5D572">
            <w:pPr>
              <w:spacing w:line="360" w:lineRule="auto"/>
              <w:jc w:val="left"/>
              <w:rPr>
                <w:rFonts w:hint="eastAsia" w:ascii="宋体" w:hAnsi="宋体" w:eastAsia="宋体" w:cs="宋体"/>
                <w:b/>
                <w:color w:val="auto"/>
                <w:sz w:val="24"/>
                <w:highlight w:val="none"/>
              </w:rPr>
            </w:pPr>
          </w:p>
        </w:tc>
      </w:tr>
      <w:tr w14:paraId="306A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517" w:type="pct"/>
            <w:tcBorders>
              <w:top w:val="single" w:color="auto" w:sz="4" w:space="0"/>
              <w:left w:val="single" w:color="auto" w:sz="4" w:space="0"/>
              <w:bottom w:val="single" w:color="auto" w:sz="4" w:space="0"/>
              <w:right w:val="single" w:color="auto" w:sz="4" w:space="0"/>
            </w:tcBorders>
            <w:noWrap w:val="0"/>
            <w:vAlign w:val="center"/>
          </w:tcPr>
          <w:p w14:paraId="545A4B7F">
            <w:pPr>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磋商范围</w:t>
            </w:r>
          </w:p>
        </w:tc>
        <w:tc>
          <w:tcPr>
            <w:tcW w:w="3482" w:type="pct"/>
            <w:tcBorders>
              <w:left w:val="single" w:color="auto" w:sz="4" w:space="0"/>
            </w:tcBorders>
            <w:noWrap w:val="0"/>
            <w:vAlign w:val="center"/>
          </w:tcPr>
          <w:p w14:paraId="77586851">
            <w:pPr>
              <w:widowControl/>
              <w:spacing w:line="360" w:lineRule="exact"/>
              <w:jc w:val="left"/>
              <w:rPr>
                <w:rFonts w:hint="eastAsia" w:ascii="宋体" w:hAnsi="宋体" w:eastAsia="宋体" w:cs="宋体"/>
                <w:b/>
                <w:color w:val="auto"/>
                <w:sz w:val="24"/>
                <w:highlight w:val="none"/>
              </w:rPr>
            </w:pPr>
            <w:r>
              <w:rPr>
                <w:rFonts w:hint="eastAsia" w:ascii="宋体" w:hAnsi="宋体" w:eastAsia="宋体" w:cs="宋体"/>
                <w:color w:val="auto"/>
                <w:sz w:val="24"/>
                <w:szCs w:val="28"/>
                <w:highlight w:val="none"/>
              </w:rPr>
              <w:t>全部</w:t>
            </w:r>
          </w:p>
        </w:tc>
      </w:tr>
      <w:tr w14:paraId="03AA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517" w:type="pct"/>
            <w:tcBorders>
              <w:top w:val="single" w:color="auto" w:sz="4" w:space="0"/>
            </w:tcBorders>
            <w:noWrap w:val="0"/>
            <w:vAlign w:val="center"/>
          </w:tcPr>
          <w:p w14:paraId="39B57FE5">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报价</w:t>
            </w:r>
          </w:p>
          <w:p w14:paraId="61F2DED5">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（详见备注说明）</w:t>
            </w:r>
          </w:p>
        </w:tc>
        <w:tc>
          <w:tcPr>
            <w:tcW w:w="3482" w:type="pct"/>
            <w:noWrap w:val="0"/>
            <w:vAlign w:val="center"/>
          </w:tcPr>
          <w:p w14:paraId="1A9A1863">
            <w:pPr>
              <w:snapToGrid w:val="0"/>
              <w:spacing w:line="360" w:lineRule="auto"/>
              <w:jc w:val="left"/>
              <w:rPr>
                <w:rFonts w:hint="eastAsia" w:ascii="宋体" w:hAnsi="宋体" w:eastAsia="宋体" w:cs="宋体"/>
                <w:b/>
                <w:color w:val="auto"/>
                <w:sz w:val="24"/>
                <w:highlight w:val="none"/>
                <w:lang w:eastAsia="zh-CN"/>
              </w:rPr>
            </w:pPr>
          </w:p>
        </w:tc>
      </w:tr>
      <w:tr w14:paraId="3CF9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517" w:type="pct"/>
            <w:noWrap w:val="0"/>
            <w:vAlign w:val="center"/>
          </w:tcPr>
          <w:p w14:paraId="34B619B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备注说明</w:t>
            </w:r>
          </w:p>
        </w:tc>
        <w:tc>
          <w:tcPr>
            <w:tcW w:w="3482" w:type="pct"/>
            <w:noWrap w:val="0"/>
            <w:vAlign w:val="center"/>
          </w:tcPr>
          <w:p w14:paraId="0FB83B98">
            <w:pPr>
              <w:spacing w:line="360" w:lineRule="auto"/>
              <w:jc w:val="center"/>
              <w:rPr>
                <w:rFonts w:hint="default" w:ascii="宋体" w:hAnsi="宋体" w:eastAsia="宋体" w:cs="宋体"/>
                <w:b/>
                <w:color w:val="auto"/>
                <w:sz w:val="24"/>
                <w:highlight w:val="none"/>
                <w:lang w:val="en-US" w:eastAsia="zh-CN"/>
              </w:rPr>
            </w:pPr>
            <w:r>
              <w:rPr>
                <w:rFonts w:hint="eastAsia" w:ascii="宋体" w:hAnsi="宋体" w:cs="宋体"/>
                <w:b/>
                <w:color w:val="auto"/>
                <w:sz w:val="24"/>
                <w:highlight w:val="none"/>
                <w:lang w:val="en-US" w:eastAsia="zh-CN"/>
              </w:rPr>
              <w:t>本项目无二次报价</w:t>
            </w:r>
          </w:p>
        </w:tc>
      </w:tr>
    </w:tbl>
    <w:p w14:paraId="061EED15">
      <w:pPr>
        <w:spacing w:line="360" w:lineRule="auto"/>
        <w:ind w:firstLine="4560" w:firstLineChars="1900"/>
        <w:rPr>
          <w:rFonts w:hint="eastAsia" w:ascii="宋体" w:hAnsi="宋体" w:eastAsia="宋体" w:cs="宋体"/>
          <w:color w:val="auto"/>
          <w:sz w:val="24"/>
          <w:highlight w:val="none"/>
        </w:rPr>
      </w:pPr>
    </w:p>
    <w:p w14:paraId="40FCAA99">
      <w:pPr>
        <w:spacing w:line="360" w:lineRule="auto"/>
        <w:ind w:firstLine="4560" w:firstLineChars="19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电子签章：</w:t>
      </w:r>
      <w:r>
        <w:rPr>
          <w:rFonts w:hint="eastAsia" w:ascii="宋体" w:hAnsi="宋体" w:eastAsia="宋体" w:cs="宋体"/>
          <w:color w:val="auto"/>
          <w:sz w:val="24"/>
          <w:highlight w:val="none"/>
          <w:u w:val="single"/>
        </w:rPr>
        <w:t xml:space="preserve">                </w:t>
      </w:r>
    </w:p>
    <w:p w14:paraId="2C3F6DB9">
      <w:pPr>
        <w:spacing w:line="360" w:lineRule="auto"/>
        <w:ind w:firstLine="4560" w:firstLineChars="19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38EA846F">
      <w:pPr>
        <w:widowControl/>
        <w:spacing w:line="360" w:lineRule="auto"/>
        <w:jc w:val="center"/>
        <w:rPr>
          <w:rFonts w:cs="@仿宋_GB2312"/>
          <w:b/>
          <w:bCs/>
          <w:color w:val="auto"/>
          <w:kern w:val="2"/>
          <w:sz w:val="24"/>
          <w:szCs w:val="24"/>
          <w:highlight w:val="none"/>
        </w:rPr>
      </w:pPr>
      <w:bookmarkStart w:id="204" w:name="_Toc11651"/>
      <w:bookmarkStart w:id="205" w:name="_Toc11077"/>
      <w:bookmarkStart w:id="206" w:name="_Toc522466835"/>
      <w:r>
        <w:rPr>
          <w:rFonts w:hint="eastAsia" w:ascii="宋体" w:hAnsi="宋体" w:eastAsia="宋体" w:cs="宋体"/>
          <w:b/>
          <w:color w:val="auto"/>
          <w:sz w:val="24"/>
          <w:highlight w:val="none"/>
        </w:rPr>
        <w:br w:type="page"/>
      </w:r>
      <w:r>
        <w:rPr>
          <w:rFonts w:hint="eastAsia"/>
          <w:b/>
          <w:color w:val="auto"/>
          <w:sz w:val="24"/>
          <w:highlight w:val="none"/>
        </w:rPr>
        <w:t>二、</w:t>
      </w:r>
      <w:r>
        <w:rPr>
          <w:rFonts w:hint="eastAsia"/>
          <w:b/>
          <w:color w:val="auto"/>
          <w:sz w:val="24"/>
          <w:szCs w:val="18"/>
          <w:highlight w:val="none"/>
        </w:rPr>
        <w:t>供应商</w:t>
      </w:r>
      <w:r>
        <w:rPr>
          <w:rFonts w:hint="eastAsia"/>
          <w:b/>
          <w:color w:val="auto"/>
          <w:sz w:val="24"/>
          <w:highlight w:val="none"/>
        </w:rPr>
        <w:t>综合情况简介</w:t>
      </w:r>
    </w:p>
    <w:p w14:paraId="16D64AC0">
      <w:pPr>
        <w:spacing w:before="156" w:beforeLines="50" w:after="156" w:afterLines="50" w:line="360" w:lineRule="auto"/>
        <w:ind w:firstLine="235" w:firstLineChars="98"/>
        <w:jc w:val="center"/>
        <w:rPr>
          <w:rFonts w:hint="eastAsia"/>
          <w:color w:val="auto"/>
          <w:sz w:val="24"/>
          <w:szCs w:val="28"/>
          <w:highlight w:val="none"/>
        </w:rPr>
      </w:pPr>
      <w:r>
        <w:rPr>
          <w:rFonts w:hint="eastAsia"/>
          <w:color w:val="auto"/>
          <w:sz w:val="24"/>
          <w:szCs w:val="28"/>
          <w:highlight w:val="none"/>
        </w:rPr>
        <w:t>（</w:t>
      </w:r>
      <w:r>
        <w:rPr>
          <w:rFonts w:hint="eastAsia"/>
          <w:color w:val="auto"/>
          <w:sz w:val="24"/>
          <w:highlight w:val="none"/>
        </w:rPr>
        <w:t>供应商</w:t>
      </w:r>
      <w:r>
        <w:rPr>
          <w:rFonts w:hint="eastAsia"/>
          <w:color w:val="auto"/>
          <w:sz w:val="24"/>
          <w:szCs w:val="28"/>
          <w:highlight w:val="none"/>
        </w:rPr>
        <w:t>可自行制作格式）</w:t>
      </w:r>
    </w:p>
    <w:p w14:paraId="06CD1D80">
      <w:pPr>
        <w:rPr>
          <w:rFonts w:hint="eastAsia"/>
          <w:color w:val="auto"/>
          <w:sz w:val="24"/>
          <w:szCs w:val="28"/>
          <w:highlight w:val="none"/>
        </w:rPr>
      </w:pPr>
      <w:r>
        <w:rPr>
          <w:rFonts w:hint="eastAsia"/>
          <w:color w:val="auto"/>
          <w:sz w:val="24"/>
          <w:szCs w:val="28"/>
          <w:highlight w:val="none"/>
        </w:rPr>
        <w:br w:type="page"/>
      </w:r>
    </w:p>
    <w:p w14:paraId="1B4677EB">
      <w:pPr>
        <w:spacing w:before="156" w:beforeLines="50" w:after="156" w:afterLines="50" w:line="360" w:lineRule="auto"/>
        <w:ind w:firstLine="235" w:firstLineChars="98"/>
        <w:jc w:val="center"/>
        <w:rPr>
          <w:rFonts w:hint="eastAsia"/>
          <w:color w:val="auto"/>
          <w:sz w:val="24"/>
          <w:szCs w:val="28"/>
          <w:highlight w:val="none"/>
        </w:rPr>
      </w:pPr>
    </w:p>
    <w:p w14:paraId="6DCE7BE4">
      <w:pPr>
        <w:rPr>
          <w:rFonts w:hint="eastAsia" w:ascii="宋体" w:hAnsi="宋体" w:eastAsia="宋体" w:cs="宋体"/>
          <w:b/>
          <w:color w:val="auto"/>
          <w:sz w:val="24"/>
          <w:highlight w:val="none"/>
        </w:rPr>
      </w:pPr>
    </w:p>
    <w:bookmarkEnd w:id="204"/>
    <w:bookmarkEnd w:id="205"/>
    <w:bookmarkEnd w:id="206"/>
    <w:p w14:paraId="52626283">
      <w:pPr>
        <w:spacing w:line="360" w:lineRule="auto"/>
        <w:jc w:val="center"/>
        <w:outlineLvl w:val="2"/>
        <w:rPr>
          <w:rFonts w:asciiTheme="minorEastAsia" w:hAnsiTheme="minorEastAsia" w:eastAsiaTheme="minorEastAsia"/>
          <w:b/>
          <w:color w:val="auto"/>
          <w:sz w:val="24"/>
          <w:highlight w:val="none"/>
        </w:rPr>
      </w:pPr>
      <w:bookmarkStart w:id="207" w:name="_Hlk91864812"/>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磋商响应</w:t>
      </w:r>
      <w:r>
        <w:rPr>
          <w:rFonts w:hint="eastAsia" w:asciiTheme="minorEastAsia" w:hAnsiTheme="minorEastAsia" w:eastAsiaTheme="minorEastAsia"/>
          <w:b/>
          <w:color w:val="auto"/>
          <w:sz w:val="24"/>
          <w:highlight w:val="none"/>
        </w:rPr>
        <w:t>函</w:t>
      </w:r>
    </w:p>
    <w:p w14:paraId="52455E74">
      <w:pPr>
        <w:spacing w:line="360" w:lineRule="auto"/>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single"/>
          <w:lang w:eastAsia="zh-CN"/>
        </w:rPr>
        <w:t>肥西县民政局</w:t>
      </w:r>
    </w:p>
    <w:p w14:paraId="1C64E468">
      <w:pPr>
        <w:spacing w:line="360" w:lineRule="auto"/>
        <w:ind w:firstLine="482" w:firstLineChars="200"/>
        <w:rPr>
          <w:rFonts w:hint="eastAsia" w:cs="宋体" w:asciiTheme="minorEastAsia" w:hAnsiTheme="minorEastAsia" w:eastAsiaTheme="minorEastAsia"/>
          <w:b/>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u w:val="single"/>
          <w:lang w:eastAsia="zh-CN"/>
        </w:rPr>
        <w:t>肥西县公共资源交易有限责任公司</w:t>
      </w:r>
    </w:p>
    <w:p w14:paraId="11CAA2F0">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根据贵方的</w:t>
      </w:r>
      <w:r>
        <w:rPr>
          <w:rFonts w:hint="eastAsia" w:cs="宋体"/>
          <w:color w:val="auto"/>
          <w:kern w:val="2"/>
          <w:sz w:val="24"/>
          <w:szCs w:val="24"/>
          <w:highlight w:val="none"/>
          <w:lang w:eastAsia="zh-CN"/>
        </w:rPr>
        <w:t>磋商</w:t>
      </w:r>
      <w:r>
        <w:rPr>
          <w:rFonts w:hint="eastAsia" w:cs="宋体"/>
          <w:color w:val="auto"/>
          <w:kern w:val="2"/>
          <w:sz w:val="24"/>
          <w:szCs w:val="24"/>
          <w:highlight w:val="none"/>
        </w:rPr>
        <w:t>公告和</w:t>
      </w:r>
      <w:r>
        <w:rPr>
          <w:rFonts w:hint="eastAsia" w:cs="宋体"/>
          <w:color w:val="auto"/>
          <w:kern w:val="2"/>
          <w:sz w:val="24"/>
          <w:szCs w:val="24"/>
          <w:highlight w:val="none"/>
          <w:lang w:eastAsia="zh-CN"/>
        </w:rPr>
        <w:t>磋商公告</w:t>
      </w:r>
      <w:r>
        <w:rPr>
          <w:rFonts w:hint="eastAsia" w:cs="宋体"/>
          <w:color w:val="auto"/>
          <w:kern w:val="2"/>
          <w:sz w:val="24"/>
          <w:szCs w:val="24"/>
          <w:highlight w:val="none"/>
        </w:rPr>
        <w:t>，我方兹宣布同意如下：</w:t>
      </w:r>
    </w:p>
    <w:p w14:paraId="6F8493A4">
      <w:pPr>
        <w:spacing w:line="360" w:lineRule="auto"/>
        <w:ind w:firstLine="480" w:firstLineChars="200"/>
        <w:rPr>
          <w:rFonts w:cs="@仿宋_GB2312"/>
          <w:color w:val="auto"/>
          <w:kern w:val="2"/>
          <w:sz w:val="24"/>
          <w:szCs w:val="24"/>
          <w:highlight w:val="none"/>
        </w:rPr>
      </w:pPr>
      <w:r>
        <w:rPr>
          <w:rFonts w:hint="eastAsia" w:cs="@仿宋_GB2312"/>
          <w:color w:val="auto"/>
          <w:kern w:val="2"/>
          <w:sz w:val="24"/>
          <w:szCs w:val="24"/>
          <w:highlight w:val="none"/>
        </w:rPr>
        <w:t>1.按项目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文件规定提供服务的报价见报价表，如确定我方为成交人，我方承诺愿意按项目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文件规定缴纳代理服务费，如不交纳代理服务费，我公司愿意承担违约责任。</w:t>
      </w:r>
    </w:p>
    <w:p w14:paraId="070EA049">
      <w:pPr>
        <w:spacing w:line="360" w:lineRule="auto"/>
        <w:ind w:firstLine="480" w:firstLineChars="200"/>
        <w:rPr>
          <w:rFonts w:cs="@仿宋_GB2312"/>
          <w:color w:val="auto"/>
          <w:kern w:val="2"/>
          <w:sz w:val="24"/>
          <w:szCs w:val="24"/>
          <w:highlight w:val="none"/>
        </w:rPr>
      </w:pPr>
      <w:r>
        <w:rPr>
          <w:rFonts w:hint="eastAsia" w:cs="@仿宋_GB2312"/>
          <w:color w:val="auto"/>
          <w:kern w:val="2"/>
          <w:sz w:val="24"/>
          <w:szCs w:val="24"/>
          <w:highlight w:val="none"/>
        </w:rPr>
        <w:t>2.我方根据项目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文件的规定，严格履行合同的责任和义务,并保证于项目单位要求的日期内完成服务工作，并通过项目单位验收。</w:t>
      </w:r>
    </w:p>
    <w:p w14:paraId="5721FDF7">
      <w:pPr>
        <w:spacing w:line="360" w:lineRule="auto"/>
        <w:ind w:firstLine="480" w:firstLineChars="200"/>
        <w:rPr>
          <w:rFonts w:cs="@仿宋_GB2312"/>
          <w:color w:val="auto"/>
          <w:kern w:val="2"/>
          <w:sz w:val="24"/>
          <w:szCs w:val="24"/>
          <w:highlight w:val="none"/>
        </w:rPr>
      </w:pPr>
      <w:r>
        <w:rPr>
          <w:rFonts w:hint="eastAsia" w:cs="@仿宋_GB2312"/>
          <w:color w:val="auto"/>
          <w:kern w:val="2"/>
          <w:sz w:val="24"/>
          <w:szCs w:val="24"/>
          <w:highlight w:val="none"/>
        </w:rPr>
        <w:t>3.我方已详细审核全部项目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文件，包括项目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文件的澄清或修改（如有），参考资料及有关附件，我方正式认可并遵守本次项目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文件，并对项目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文件各项条款、规定及要求均无异议。</w:t>
      </w:r>
    </w:p>
    <w:p w14:paraId="12B2EB2A">
      <w:pPr>
        <w:spacing w:line="360" w:lineRule="auto"/>
        <w:ind w:firstLine="480" w:firstLineChars="200"/>
        <w:rPr>
          <w:rFonts w:cs="@仿宋_GB2312"/>
          <w:color w:val="auto"/>
          <w:kern w:val="2"/>
          <w:sz w:val="24"/>
          <w:szCs w:val="24"/>
          <w:highlight w:val="none"/>
        </w:rPr>
      </w:pPr>
      <w:r>
        <w:rPr>
          <w:rFonts w:hint="eastAsia" w:cs="@仿宋_GB2312"/>
          <w:color w:val="auto"/>
          <w:kern w:val="2"/>
          <w:sz w:val="24"/>
          <w:szCs w:val="24"/>
          <w:highlight w:val="none"/>
        </w:rPr>
        <w:t>4.我方同意从项目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文件规定的评审日期起遵循本项目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文件，并在项目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文件规定的合同签订前均具有约束力。</w:t>
      </w:r>
    </w:p>
    <w:p w14:paraId="1DF2D84C">
      <w:pPr>
        <w:spacing w:line="360" w:lineRule="auto"/>
        <w:ind w:firstLine="480" w:firstLineChars="200"/>
        <w:rPr>
          <w:rFonts w:cs="@仿宋_GB2312"/>
          <w:color w:val="auto"/>
          <w:kern w:val="2"/>
          <w:sz w:val="24"/>
          <w:szCs w:val="24"/>
          <w:highlight w:val="none"/>
        </w:rPr>
      </w:pPr>
      <w:r>
        <w:rPr>
          <w:rFonts w:hint="eastAsia" w:cs="@仿宋_GB2312"/>
          <w:color w:val="auto"/>
          <w:kern w:val="2"/>
          <w:sz w:val="24"/>
          <w:szCs w:val="24"/>
          <w:highlight w:val="none"/>
        </w:rPr>
        <w:t>5.我方声明文件所提供的一切资料均真实无误、及时、有效，企业运营正常。由于我方提供资料不实而造成的责任和后果由我方承担。我方同意按照贵方提出的要求，提供与有关的任何证据、数据或资料。</w:t>
      </w:r>
    </w:p>
    <w:p w14:paraId="37BF6FB3">
      <w:pPr>
        <w:spacing w:line="360" w:lineRule="auto"/>
        <w:ind w:firstLine="480" w:firstLineChars="200"/>
        <w:rPr>
          <w:rFonts w:cs="宋体"/>
          <w:color w:val="auto"/>
          <w:kern w:val="2"/>
          <w:sz w:val="24"/>
          <w:szCs w:val="24"/>
          <w:highlight w:val="none"/>
        </w:rPr>
      </w:pPr>
      <w:r>
        <w:rPr>
          <w:rFonts w:hint="eastAsia" w:cs="@仿宋_GB2312"/>
          <w:color w:val="auto"/>
          <w:kern w:val="2"/>
          <w:sz w:val="24"/>
          <w:szCs w:val="24"/>
          <w:highlight w:val="none"/>
        </w:rPr>
        <w:t>6.我方完全理解贵方不一定接受最低的报价。</w:t>
      </w:r>
    </w:p>
    <w:p w14:paraId="3F9A5DB9">
      <w:pPr>
        <w:spacing w:line="360" w:lineRule="auto"/>
        <w:ind w:firstLine="480" w:firstLineChars="200"/>
        <w:rPr>
          <w:rFonts w:cs="宋体"/>
          <w:color w:val="auto"/>
          <w:kern w:val="2"/>
          <w:sz w:val="24"/>
          <w:szCs w:val="24"/>
          <w:highlight w:val="none"/>
          <w:u w:val="single"/>
        </w:rPr>
      </w:pPr>
      <w:r>
        <w:rPr>
          <w:rFonts w:hint="eastAsia" w:cs="宋体"/>
          <w:color w:val="auto"/>
          <w:kern w:val="2"/>
          <w:sz w:val="24"/>
          <w:szCs w:val="24"/>
          <w:highlight w:val="none"/>
          <w:lang w:val="en-US" w:eastAsia="zh-CN"/>
        </w:rPr>
        <w:t>7</w:t>
      </w:r>
      <w:r>
        <w:rPr>
          <w:rFonts w:hint="eastAsia" w:cs="宋体"/>
          <w:color w:val="auto"/>
          <w:kern w:val="2"/>
          <w:sz w:val="24"/>
          <w:szCs w:val="24"/>
          <w:highlight w:val="none"/>
        </w:rPr>
        <w:t>.其他补充说明：</w:t>
      </w:r>
      <w:r>
        <w:rPr>
          <w:rFonts w:hint="eastAsia" w:cs="宋体"/>
          <w:color w:val="auto"/>
          <w:kern w:val="2"/>
          <w:sz w:val="24"/>
          <w:szCs w:val="24"/>
          <w:highlight w:val="none"/>
          <w:u w:val="single"/>
        </w:rPr>
        <w:t>补充说明事项（如有）</w:t>
      </w:r>
    </w:p>
    <w:p w14:paraId="6D94D29D">
      <w:pPr>
        <w:spacing w:line="360" w:lineRule="auto"/>
        <w:ind w:right="480" w:firstLine="3120" w:firstLineChars="1300"/>
        <w:rPr>
          <w:rFonts w:cs="宋体"/>
          <w:color w:val="auto"/>
          <w:kern w:val="2"/>
          <w:sz w:val="24"/>
          <w:szCs w:val="24"/>
          <w:highlight w:val="none"/>
        </w:rPr>
      </w:pPr>
      <w:r>
        <w:rPr>
          <w:rFonts w:hint="eastAsia"/>
          <w:color w:val="auto"/>
          <w:sz w:val="24"/>
          <w:highlight w:val="none"/>
        </w:rPr>
        <w:t>供应商</w:t>
      </w:r>
      <w:r>
        <w:rPr>
          <w:rFonts w:hint="eastAsia" w:cs="宋体"/>
          <w:color w:val="auto"/>
          <w:kern w:val="2"/>
          <w:sz w:val="24"/>
          <w:szCs w:val="24"/>
          <w:highlight w:val="none"/>
        </w:rPr>
        <w:t>电子签章：</w:t>
      </w:r>
      <w:r>
        <w:rPr>
          <w:rFonts w:hint="eastAsia" w:cs="宋体"/>
          <w:color w:val="auto"/>
          <w:kern w:val="2"/>
          <w:sz w:val="24"/>
          <w:szCs w:val="24"/>
          <w:highlight w:val="none"/>
          <w:u w:val="single"/>
        </w:rPr>
        <w:t xml:space="preserve">                   </w:t>
      </w:r>
    </w:p>
    <w:p w14:paraId="18519D49">
      <w:pPr>
        <w:spacing w:line="360" w:lineRule="auto"/>
        <w:ind w:right="480" w:firstLine="3120" w:firstLineChars="1300"/>
        <w:rPr>
          <w:rFonts w:cs="宋体"/>
          <w:color w:val="auto"/>
          <w:kern w:val="2"/>
          <w:sz w:val="24"/>
          <w:szCs w:val="24"/>
          <w:highlight w:val="none"/>
          <w:u w:val="singl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p>
    <w:p w14:paraId="50A36CF8">
      <w:pPr>
        <w:widowControl/>
        <w:jc w:val="left"/>
        <w:rPr>
          <w:color w:val="auto"/>
          <w:sz w:val="24"/>
          <w:highlight w:val="none"/>
        </w:rPr>
      </w:pPr>
      <w:r>
        <w:rPr>
          <w:color w:val="auto"/>
          <w:sz w:val="24"/>
          <w:highlight w:val="none"/>
        </w:rPr>
        <w:br w:type="page"/>
      </w:r>
    </w:p>
    <w:p w14:paraId="436248BD">
      <w:pPr>
        <w:spacing w:line="360" w:lineRule="auto"/>
        <w:jc w:val="center"/>
        <w:outlineLvl w:val="2"/>
        <w:rPr>
          <w:rFonts w:asciiTheme="minorEastAsia" w:hAnsiTheme="minorEastAsia" w:eastAsiaTheme="minorEastAsia"/>
          <w:b/>
          <w:color w:val="auto"/>
          <w:sz w:val="24"/>
          <w:highlight w:val="none"/>
        </w:rPr>
      </w:pPr>
      <w:bookmarkStart w:id="208" w:name="_Toc516969106"/>
      <w:bookmarkStart w:id="209" w:name="_Toc520983594"/>
      <w:bookmarkStart w:id="210" w:name="_Toc204594911"/>
      <w:bookmarkStart w:id="211" w:name="_Toc121626298"/>
      <w:r>
        <w:rPr>
          <w:rFonts w:hint="eastAsia" w:asciiTheme="minorEastAsia" w:hAnsiTheme="minorEastAsia" w:eastAsiaTheme="minorEastAsia"/>
          <w:b/>
          <w:color w:val="auto"/>
          <w:sz w:val="24"/>
          <w:highlight w:val="none"/>
          <w:lang w:val="en-US" w:eastAsia="zh-CN"/>
        </w:rPr>
        <w:t>四</w:t>
      </w:r>
      <w:r>
        <w:rPr>
          <w:rFonts w:hint="eastAsia" w:asciiTheme="minorEastAsia" w:hAnsiTheme="minorEastAsia" w:eastAsiaTheme="minorEastAsia"/>
          <w:b/>
          <w:color w:val="auto"/>
          <w:sz w:val="24"/>
          <w:highlight w:val="none"/>
        </w:rPr>
        <w:t>、授权书</w:t>
      </w:r>
      <w:bookmarkEnd w:id="208"/>
      <w:bookmarkEnd w:id="209"/>
      <w:bookmarkEnd w:id="210"/>
      <w:bookmarkEnd w:id="211"/>
    </w:p>
    <w:p w14:paraId="03B0532D">
      <w:pPr>
        <w:spacing w:line="360" w:lineRule="auto"/>
        <w:jc w:val="center"/>
        <w:rPr>
          <w:rFonts w:asciiTheme="minorEastAsia" w:hAnsiTheme="minorEastAsia" w:eastAsiaTheme="minorEastAsia"/>
          <w:b/>
          <w:color w:val="auto"/>
          <w:sz w:val="24"/>
          <w:highlight w:val="none"/>
        </w:rPr>
      </w:pPr>
    </w:p>
    <w:p w14:paraId="39FE6D1F">
      <w:pPr>
        <w:pStyle w:val="10"/>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w:t>
      </w:r>
      <w:r>
        <w:rPr>
          <w:rFonts w:hint="eastAsia" w:hAnsi="宋体" w:eastAsia="宋体"/>
          <w:color w:val="auto"/>
          <w:sz w:val="24"/>
          <w:szCs w:val="28"/>
          <w:highlight w:val="none"/>
          <w:lang w:eastAsia="zh-CN"/>
        </w:rPr>
        <w:t>供应商</w:t>
      </w:r>
      <w:r>
        <w:rPr>
          <w:rFonts w:hint="eastAsia" w:hAnsi="宋体" w:eastAsia="宋体"/>
          <w:color w:val="auto"/>
          <w:sz w:val="24"/>
          <w:szCs w:val="28"/>
          <w:highlight w:val="none"/>
        </w:rPr>
        <w:t>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w:t>
      </w:r>
      <w:r>
        <w:rPr>
          <w:rFonts w:hint="eastAsia" w:hAnsi="宋体" w:eastAsia="宋体"/>
          <w:color w:val="auto"/>
          <w:sz w:val="24"/>
          <w:szCs w:val="28"/>
          <w:highlight w:val="none"/>
          <w:lang w:eastAsia="zh-CN"/>
        </w:rPr>
        <w:t>供应商</w:t>
      </w:r>
      <w:r>
        <w:rPr>
          <w:rFonts w:hint="eastAsia" w:hAnsi="宋体" w:eastAsia="宋体"/>
          <w:color w:val="auto"/>
          <w:sz w:val="24"/>
          <w:szCs w:val="28"/>
          <w:highlight w:val="none"/>
        </w:rPr>
        <w:t>授权代表姓名）代表我方参加本项目</w:t>
      </w:r>
      <w:r>
        <w:rPr>
          <w:rFonts w:hint="eastAsia" w:hAnsi="宋体" w:eastAsia="宋体"/>
          <w:bCs/>
          <w:color w:val="auto"/>
          <w:sz w:val="24"/>
          <w:szCs w:val="28"/>
          <w:highlight w:val="none"/>
          <w:lang w:eastAsia="zh-CN"/>
        </w:rPr>
        <w:t>磋商活动</w:t>
      </w:r>
      <w:r>
        <w:rPr>
          <w:rFonts w:hint="eastAsia" w:hAnsi="宋体" w:eastAsia="宋体"/>
          <w:color w:val="auto"/>
          <w:sz w:val="24"/>
          <w:szCs w:val="28"/>
          <w:highlight w:val="none"/>
        </w:rPr>
        <w:t>，全权代表我方处理</w:t>
      </w:r>
      <w:r>
        <w:rPr>
          <w:rFonts w:hint="eastAsia" w:hAnsi="宋体" w:eastAsia="宋体"/>
          <w:color w:val="auto"/>
          <w:sz w:val="24"/>
          <w:szCs w:val="28"/>
          <w:highlight w:val="none"/>
          <w:lang w:eastAsia="zh-CN"/>
        </w:rPr>
        <w:t>磋商</w:t>
      </w:r>
      <w:r>
        <w:rPr>
          <w:rFonts w:hint="eastAsia" w:hAnsi="宋体" w:eastAsia="宋体"/>
          <w:color w:val="auto"/>
          <w:sz w:val="24"/>
          <w:szCs w:val="28"/>
          <w:highlight w:val="none"/>
        </w:rPr>
        <w:t>过程的一切事宜，包括但不限于：提交</w:t>
      </w:r>
      <w:r>
        <w:rPr>
          <w:rFonts w:hint="eastAsia" w:hAnsi="宋体" w:eastAsia="宋体"/>
          <w:color w:val="auto"/>
          <w:sz w:val="24"/>
          <w:szCs w:val="28"/>
          <w:highlight w:val="none"/>
          <w:lang w:eastAsia="zh-CN"/>
        </w:rPr>
        <w:t>响应文件</w:t>
      </w:r>
      <w:r>
        <w:rPr>
          <w:rFonts w:hint="eastAsia" w:hAnsi="宋体" w:eastAsia="宋体"/>
          <w:color w:val="auto"/>
          <w:sz w:val="24"/>
          <w:szCs w:val="28"/>
          <w:highlight w:val="none"/>
        </w:rPr>
        <w:t>、参与</w:t>
      </w:r>
      <w:r>
        <w:rPr>
          <w:rFonts w:hint="eastAsia" w:hAnsi="宋体" w:eastAsia="宋体"/>
          <w:color w:val="auto"/>
          <w:sz w:val="24"/>
          <w:szCs w:val="28"/>
          <w:highlight w:val="none"/>
          <w:lang w:eastAsia="zh-CN"/>
        </w:rPr>
        <w:t>磋商</w:t>
      </w:r>
      <w:r>
        <w:rPr>
          <w:rFonts w:hint="eastAsia" w:hAnsi="宋体" w:eastAsia="宋体"/>
          <w:color w:val="auto"/>
          <w:sz w:val="24"/>
          <w:szCs w:val="28"/>
          <w:highlight w:val="none"/>
        </w:rPr>
        <w:t>、签约等。</w:t>
      </w:r>
      <w:r>
        <w:rPr>
          <w:rFonts w:hint="eastAsia" w:hAnsi="宋体" w:eastAsia="宋体"/>
          <w:color w:val="auto"/>
          <w:sz w:val="24"/>
          <w:szCs w:val="28"/>
          <w:highlight w:val="none"/>
          <w:lang w:eastAsia="zh-CN"/>
        </w:rPr>
        <w:t>供应商</w:t>
      </w:r>
      <w:r>
        <w:rPr>
          <w:rFonts w:hint="eastAsia" w:hAnsi="宋体" w:eastAsia="宋体"/>
          <w:color w:val="auto"/>
          <w:sz w:val="24"/>
          <w:szCs w:val="28"/>
          <w:highlight w:val="none"/>
        </w:rPr>
        <w:t>授权代表在</w:t>
      </w:r>
      <w:r>
        <w:rPr>
          <w:rFonts w:hint="eastAsia" w:hAnsi="宋体" w:eastAsia="宋体"/>
          <w:color w:val="auto"/>
          <w:sz w:val="24"/>
          <w:szCs w:val="28"/>
          <w:highlight w:val="none"/>
          <w:lang w:val="en-US" w:eastAsia="zh-CN"/>
        </w:rPr>
        <w:t>磋商</w:t>
      </w:r>
      <w:r>
        <w:rPr>
          <w:rFonts w:hint="eastAsia" w:hAnsi="宋体" w:eastAsia="宋体"/>
          <w:color w:val="auto"/>
          <w:sz w:val="24"/>
          <w:szCs w:val="28"/>
          <w:highlight w:val="none"/>
          <w:lang w:eastAsia="zh-CN"/>
        </w:rPr>
        <w:t>活动</w:t>
      </w:r>
      <w:r>
        <w:rPr>
          <w:rFonts w:hint="eastAsia" w:hAnsi="宋体" w:eastAsia="宋体"/>
          <w:color w:val="auto"/>
          <w:sz w:val="24"/>
          <w:szCs w:val="28"/>
          <w:highlight w:val="none"/>
        </w:rPr>
        <w:t>过程中所签署的一切文件和处理与之有关的一切事务，本公司均予以认可并对此承担责任。</w:t>
      </w:r>
      <w:r>
        <w:rPr>
          <w:rFonts w:hint="eastAsia" w:hAnsi="宋体" w:eastAsia="宋体"/>
          <w:color w:val="auto"/>
          <w:sz w:val="24"/>
          <w:szCs w:val="28"/>
          <w:highlight w:val="none"/>
          <w:lang w:eastAsia="zh-CN"/>
        </w:rPr>
        <w:t>供应商</w:t>
      </w:r>
      <w:r>
        <w:rPr>
          <w:rFonts w:hint="eastAsia" w:hAnsi="宋体" w:eastAsia="宋体"/>
          <w:color w:val="auto"/>
          <w:sz w:val="24"/>
          <w:szCs w:val="28"/>
          <w:highlight w:val="none"/>
        </w:rPr>
        <w:t>授权代表无转委托权。特此授权。</w:t>
      </w:r>
    </w:p>
    <w:p w14:paraId="6E11DF72">
      <w:pPr>
        <w:pStyle w:val="10"/>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6035BF5">
      <w:pPr>
        <w:pStyle w:val="10"/>
        <w:snapToGrid w:val="0"/>
        <w:spacing w:line="360" w:lineRule="auto"/>
        <w:ind w:firstLine="480" w:firstLineChars="200"/>
        <w:jc w:val="left"/>
        <w:rPr>
          <w:rFonts w:hAnsi="宋体" w:eastAsia="宋体"/>
          <w:color w:val="auto"/>
          <w:sz w:val="24"/>
          <w:highlight w:val="none"/>
        </w:rPr>
      </w:pPr>
    </w:p>
    <w:p w14:paraId="58C17ECB">
      <w:pPr>
        <w:pStyle w:val="10"/>
        <w:snapToGrid w:val="0"/>
        <w:spacing w:line="360" w:lineRule="auto"/>
        <w:ind w:firstLine="480" w:firstLineChars="200"/>
        <w:jc w:val="left"/>
        <w:rPr>
          <w:rFonts w:hint="default" w:hAnsi="宋体" w:eastAsia="宋体"/>
          <w:color w:val="auto"/>
          <w:sz w:val="24"/>
          <w:highlight w:val="none"/>
          <w:lang w:val="en-US" w:eastAsia="zh-CN"/>
        </w:rPr>
      </w:pPr>
      <w:r>
        <w:rPr>
          <w:rFonts w:hint="eastAsia" w:hAnsi="宋体" w:eastAsia="宋体"/>
          <w:color w:val="auto"/>
          <w:sz w:val="24"/>
          <w:highlight w:val="none"/>
          <w:lang w:val="en-US" w:eastAsia="zh-CN"/>
        </w:rPr>
        <w:t>附：授权代表身份证扫描件</w:t>
      </w:r>
    </w:p>
    <w:p w14:paraId="3AD38BE9">
      <w:pPr>
        <w:pStyle w:val="10"/>
        <w:snapToGrid w:val="0"/>
        <w:spacing w:line="360" w:lineRule="auto"/>
        <w:ind w:firstLine="480" w:firstLineChars="200"/>
        <w:jc w:val="left"/>
        <w:rPr>
          <w:rFonts w:hAnsi="宋体" w:eastAsia="宋体"/>
          <w:color w:val="auto"/>
          <w:sz w:val="24"/>
          <w:highlight w:val="none"/>
        </w:rPr>
      </w:pPr>
    </w:p>
    <w:p w14:paraId="240E67AD">
      <w:pPr>
        <w:pStyle w:val="10"/>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32C5921C">
      <w:pPr>
        <w:pStyle w:val="10"/>
        <w:snapToGrid w:val="0"/>
        <w:spacing w:line="360" w:lineRule="auto"/>
        <w:ind w:firstLine="480" w:firstLineChars="200"/>
        <w:jc w:val="left"/>
        <w:rPr>
          <w:rFonts w:hAnsi="宋体" w:eastAsia="宋体"/>
          <w:color w:val="auto"/>
          <w:sz w:val="24"/>
          <w:szCs w:val="28"/>
          <w:highlight w:val="none"/>
        </w:rPr>
      </w:pPr>
    </w:p>
    <w:p w14:paraId="138F976C">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5755F4C8">
      <w:pPr>
        <w:spacing w:line="360" w:lineRule="auto"/>
        <w:rPr>
          <w:color w:val="auto"/>
          <w:sz w:val="24"/>
          <w:szCs w:val="28"/>
          <w:highlight w:val="none"/>
        </w:rPr>
      </w:pPr>
    </w:p>
    <w:p w14:paraId="3BEF48CE">
      <w:pPr>
        <w:spacing w:line="360" w:lineRule="auto"/>
        <w:rPr>
          <w:bCs/>
          <w:color w:val="auto"/>
          <w:sz w:val="24"/>
          <w:szCs w:val="28"/>
          <w:highlight w:val="none"/>
        </w:rPr>
      </w:pPr>
      <w:r>
        <w:rPr>
          <w:rFonts w:hint="eastAsia" w:cs="@仿宋_GB2312"/>
          <w:color w:val="auto"/>
          <w:kern w:val="2"/>
          <w:sz w:val="24"/>
          <w:szCs w:val="24"/>
          <w:highlight w:val="none"/>
          <w:lang w:eastAsia="zh-CN"/>
        </w:rPr>
        <w:t>供应商</w:t>
      </w:r>
      <w:r>
        <w:rPr>
          <w:rFonts w:hint="eastAsia" w:cs="@仿宋_GB2312"/>
          <w:color w:val="auto"/>
          <w:kern w:val="2"/>
          <w:sz w:val="24"/>
          <w:szCs w:val="24"/>
          <w:highlight w:val="none"/>
        </w:rPr>
        <w:t>电子签章</w:t>
      </w:r>
      <w:r>
        <w:rPr>
          <w:rFonts w:hint="eastAsia" w:cs="@仿宋_GB2312"/>
          <w:color w:val="auto"/>
          <w:kern w:val="2"/>
          <w:sz w:val="24"/>
          <w:szCs w:val="24"/>
          <w:highlight w:val="none"/>
          <w:lang w:val="en-US" w:eastAsia="zh-CN"/>
        </w:rPr>
        <w:t>或公章</w:t>
      </w:r>
      <w:r>
        <w:rPr>
          <w:rFonts w:hint="eastAsia"/>
          <w:bCs/>
          <w:color w:val="auto"/>
          <w:sz w:val="24"/>
          <w:szCs w:val="28"/>
          <w:highlight w:val="none"/>
        </w:rPr>
        <w:t>：</w:t>
      </w:r>
      <w:r>
        <w:rPr>
          <w:rFonts w:hint="eastAsia"/>
          <w:bCs/>
          <w:color w:val="auto"/>
          <w:sz w:val="24"/>
          <w:szCs w:val="28"/>
          <w:highlight w:val="none"/>
          <w:u w:val="single"/>
        </w:rPr>
        <w:t xml:space="preserve">                    </w:t>
      </w:r>
    </w:p>
    <w:p w14:paraId="4F14B88E">
      <w:pPr>
        <w:spacing w:line="360" w:lineRule="auto"/>
        <w:rPr>
          <w:color w:val="auto"/>
          <w:sz w:val="24"/>
          <w:szCs w:val="28"/>
          <w:highlight w:val="none"/>
        </w:rPr>
      </w:pPr>
      <w:r>
        <w:rPr>
          <w:rFonts w:hint="eastAsia"/>
          <w:color w:val="auto"/>
          <w:sz w:val="24"/>
          <w:szCs w:val="28"/>
          <w:highlight w:val="none"/>
        </w:rPr>
        <w:t>日      期：</w:t>
      </w:r>
      <w:r>
        <w:rPr>
          <w:rFonts w:hint="eastAsia"/>
          <w:color w:val="auto"/>
          <w:sz w:val="24"/>
          <w:szCs w:val="28"/>
          <w:highlight w:val="none"/>
          <w:u w:val="single"/>
        </w:rPr>
        <w:t xml:space="preserve">                    </w:t>
      </w:r>
    </w:p>
    <w:p w14:paraId="18EEDF22">
      <w:pPr>
        <w:spacing w:line="360" w:lineRule="auto"/>
        <w:rPr>
          <w:color w:val="auto"/>
          <w:sz w:val="24"/>
          <w:szCs w:val="28"/>
          <w:highlight w:val="none"/>
        </w:rPr>
      </w:pPr>
    </w:p>
    <w:p w14:paraId="083700ED">
      <w:pPr>
        <w:spacing w:line="360" w:lineRule="auto"/>
        <w:rPr>
          <w:color w:val="auto"/>
          <w:sz w:val="24"/>
          <w:szCs w:val="28"/>
          <w:highlight w:val="none"/>
        </w:rPr>
      </w:pPr>
    </w:p>
    <w:p w14:paraId="3C506E01">
      <w:pPr>
        <w:pStyle w:val="1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78CF2C59">
      <w:pPr>
        <w:pStyle w:val="1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w:t>
      </w:r>
      <w:r>
        <w:rPr>
          <w:rFonts w:hint="eastAsia" w:hAnsi="宋体" w:eastAsia="宋体"/>
          <w:color w:val="auto"/>
          <w:sz w:val="24"/>
          <w:szCs w:val="28"/>
          <w:highlight w:val="none"/>
          <w:lang w:eastAsia="zh-CN"/>
        </w:rPr>
        <w:t>供应商</w:t>
      </w:r>
      <w:r>
        <w:rPr>
          <w:rFonts w:hint="eastAsia" w:hAnsi="宋体" w:eastAsia="宋体"/>
          <w:color w:val="auto"/>
          <w:sz w:val="24"/>
          <w:szCs w:val="28"/>
          <w:highlight w:val="none"/>
        </w:rPr>
        <w:t>授权代表；</w:t>
      </w:r>
    </w:p>
    <w:p w14:paraId="4BF018FC">
      <w:pPr>
        <w:spacing w:line="360" w:lineRule="auto"/>
        <w:jc w:val="left"/>
        <w:rPr>
          <w:color w:val="auto"/>
          <w:sz w:val="24"/>
          <w:highlight w:val="none"/>
        </w:rPr>
      </w:pPr>
      <w:r>
        <w:rPr>
          <w:rFonts w:hint="eastAsia"/>
          <w:color w:val="auto"/>
          <w:sz w:val="24"/>
          <w:highlight w:val="none"/>
        </w:rPr>
        <w:t>2.法定代表人参加</w:t>
      </w:r>
      <w:r>
        <w:rPr>
          <w:rFonts w:hint="eastAsia"/>
          <w:color w:val="auto"/>
          <w:sz w:val="24"/>
          <w:highlight w:val="none"/>
          <w:lang w:eastAsia="zh-CN"/>
        </w:rPr>
        <w:t>磋商</w:t>
      </w:r>
      <w:r>
        <w:rPr>
          <w:rFonts w:hint="eastAsia"/>
          <w:color w:val="auto"/>
          <w:sz w:val="24"/>
          <w:highlight w:val="none"/>
        </w:rPr>
        <w:t>的无需提供授权</w:t>
      </w:r>
      <w:r>
        <w:rPr>
          <w:rFonts w:hint="eastAsia"/>
          <w:strike w:val="0"/>
          <w:dstrike w:val="0"/>
          <w:color w:val="auto"/>
          <w:sz w:val="24"/>
          <w:highlight w:val="none"/>
        </w:rPr>
        <w:t>书，仅提供</w:t>
      </w:r>
      <w:r>
        <w:rPr>
          <w:rFonts w:hint="eastAsia"/>
          <w:strike w:val="0"/>
          <w:dstrike w:val="0"/>
          <w:color w:val="auto"/>
          <w:sz w:val="24"/>
          <w:highlight w:val="none"/>
          <w:lang w:val="en-US" w:eastAsia="zh-CN"/>
        </w:rPr>
        <w:t>法定代表人身份证明书</w:t>
      </w:r>
      <w:r>
        <w:rPr>
          <w:rFonts w:hint="eastAsia"/>
          <w:strike w:val="0"/>
          <w:dstrike w:val="0"/>
          <w:color w:val="auto"/>
          <w:sz w:val="24"/>
          <w:highlight w:val="none"/>
        </w:rPr>
        <w:t>。</w:t>
      </w:r>
    </w:p>
    <w:p w14:paraId="3F6BF6B7">
      <w:pPr>
        <w:widowControl/>
        <w:jc w:val="left"/>
        <w:rPr>
          <w:color w:val="auto"/>
          <w:sz w:val="24"/>
          <w:highlight w:val="none"/>
        </w:rPr>
      </w:pPr>
      <w:r>
        <w:rPr>
          <w:color w:val="auto"/>
          <w:sz w:val="24"/>
          <w:highlight w:val="none"/>
        </w:rPr>
        <w:br w:type="page"/>
      </w:r>
    </w:p>
    <w:p w14:paraId="67BB3BDC">
      <w:pPr>
        <w:keepNext/>
        <w:keepLines/>
        <w:spacing w:before="260" w:after="260" w:line="416" w:lineRule="auto"/>
        <w:jc w:val="center"/>
        <w:outlineLvl w:val="2"/>
        <w:rPr>
          <w:rFonts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lang w:val="en-US" w:eastAsia="zh-CN"/>
        </w:rPr>
        <w:t>五</w:t>
      </w:r>
      <w:r>
        <w:rPr>
          <w:rFonts w:hint="eastAsia" w:cs="@仿宋_GB2312" w:asciiTheme="minorEastAsia" w:hAnsiTheme="minorEastAsia" w:eastAsiaTheme="minorEastAsia"/>
          <w:b/>
          <w:bCs/>
          <w:color w:val="auto"/>
          <w:kern w:val="2"/>
          <w:sz w:val="24"/>
          <w:szCs w:val="24"/>
          <w:highlight w:val="none"/>
        </w:rPr>
        <w:t>、法定代表人身份证明书</w:t>
      </w:r>
    </w:p>
    <w:p w14:paraId="7FFFAAF8">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2CFED006">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5B2A879A">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824666F">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64951236">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3DCB753D">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4980652">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2EE9C234">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20749561">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75CC75EB">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lang w:eastAsia="zh-CN"/>
        </w:rPr>
        <w:t>供应商</w:t>
      </w:r>
      <w:r>
        <w:rPr>
          <w:rFonts w:hint="eastAsia" w:ascii="Calibri" w:hAnsi="Calibri" w:cs="Times New Roman"/>
          <w:color w:val="auto"/>
          <w:kern w:val="2"/>
          <w:sz w:val="24"/>
          <w:szCs w:val="28"/>
          <w:highlight w:val="none"/>
          <w:u w:val="single"/>
        </w:rPr>
        <w:t xml:space="preserve">单位名称）       </w:t>
      </w:r>
      <w:r>
        <w:rPr>
          <w:rFonts w:hint="eastAsia" w:ascii="Calibri" w:hAnsi="Calibri" w:cs="Times New Roman"/>
          <w:color w:val="auto"/>
          <w:kern w:val="2"/>
          <w:sz w:val="24"/>
          <w:szCs w:val="28"/>
          <w:highlight w:val="none"/>
        </w:rPr>
        <w:t>的法定代表人。</w:t>
      </w:r>
    </w:p>
    <w:p w14:paraId="62E08953">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2BD22FC0">
      <w:pPr>
        <w:spacing w:before="62" w:beforeLines="20" w:after="62" w:afterLines="20" w:line="540" w:lineRule="exact"/>
        <w:ind w:left="42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0465AFF5">
      <w:pPr>
        <w:tabs>
          <w:tab w:val="left" w:pos="720"/>
          <w:tab w:val="left" w:pos="900"/>
        </w:tabs>
        <w:spacing w:before="62" w:beforeLines="20" w:after="62" w:afterLines="20" w:line="540" w:lineRule="exact"/>
        <w:ind w:firstLine="480" w:firstLineChars="2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附：法定代表人身份证扫描件</w:t>
      </w:r>
    </w:p>
    <w:p w14:paraId="6AC2F446">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11695D19">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6F6DEEC8">
      <w:pPr>
        <w:spacing w:line="360" w:lineRule="auto"/>
        <w:ind w:firstLine="3840" w:firstLineChars="1600"/>
        <w:rPr>
          <w:rFonts w:cs="宋体"/>
          <w:color w:val="auto"/>
          <w:kern w:val="2"/>
          <w:sz w:val="24"/>
          <w:szCs w:val="24"/>
          <w:highlight w:val="none"/>
        </w:rPr>
      </w:pPr>
      <w:r>
        <w:rPr>
          <w:rFonts w:hint="eastAsia" w:cs="@仿宋_GB2312"/>
          <w:color w:val="auto"/>
          <w:kern w:val="2"/>
          <w:sz w:val="24"/>
          <w:szCs w:val="24"/>
          <w:highlight w:val="none"/>
          <w:lang w:eastAsia="zh-CN"/>
        </w:rPr>
        <w:t>供应商</w:t>
      </w:r>
      <w:r>
        <w:rPr>
          <w:rFonts w:hint="eastAsia" w:cs="@仿宋_GB2312"/>
          <w:color w:val="auto"/>
          <w:kern w:val="2"/>
          <w:sz w:val="24"/>
          <w:szCs w:val="24"/>
          <w:highlight w:val="none"/>
        </w:rPr>
        <w:t>电子签章</w:t>
      </w:r>
      <w:r>
        <w:rPr>
          <w:rFonts w:hint="eastAsia" w:cs="@仿宋_GB2312"/>
          <w:color w:val="auto"/>
          <w:kern w:val="2"/>
          <w:sz w:val="24"/>
          <w:szCs w:val="24"/>
          <w:highlight w:val="none"/>
          <w:lang w:val="en-US" w:eastAsia="zh-CN"/>
        </w:rPr>
        <w:t>或公章</w:t>
      </w:r>
      <w:r>
        <w:rPr>
          <w:rFonts w:hint="eastAsia" w:cs="宋体"/>
          <w:color w:val="auto"/>
          <w:kern w:val="2"/>
          <w:sz w:val="24"/>
          <w:szCs w:val="24"/>
          <w:highlight w:val="none"/>
        </w:rPr>
        <w:t>：</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44A064A9">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w:t>
      </w:r>
      <w:r>
        <w:rPr>
          <w:rFonts w:cs="宋体"/>
          <w:color w:val="auto"/>
          <w:kern w:val="2"/>
          <w:sz w:val="24"/>
          <w:szCs w:val="24"/>
          <w:highlight w:val="none"/>
        </w:rPr>
        <w:t xml:space="preserve">   </w:t>
      </w:r>
      <w:r>
        <w:rPr>
          <w:rFonts w:hint="eastAsia" w:cs="宋体"/>
          <w:color w:val="auto"/>
          <w:kern w:val="2"/>
          <w:sz w:val="24"/>
          <w:szCs w:val="24"/>
          <w:highlight w:val="none"/>
        </w:rPr>
        <w:t>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6BD3D839">
      <w:pPr>
        <w:widowControl/>
        <w:jc w:val="left"/>
        <w:rPr>
          <w:rFonts w:cs="@仿宋_GB2312" w:asciiTheme="minorEastAsia" w:hAnsiTheme="minorEastAsia" w:eastAsiaTheme="minorEastAsia"/>
          <w:b/>
          <w:bCs/>
          <w:color w:val="auto"/>
          <w:kern w:val="2"/>
          <w:sz w:val="24"/>
          <w:szCs w:val="24"/>
          <w:highlight w:val="none"/>
        </w:rPr>
      </w:pPr>
      <w:r>
        <w:rPr>
          <w:rFonts w:cs="@仿宋_GB2312" w:asciiTheme="minorEastAsia" w:hAnsiTheme="minorEastAsia" w:eastAsiaTheme="minorEastAsia"/>
          <w:color w:val="auto"/>
          <w:kern w:val="2"/>
          <w:sz w:val="24"/>
          <w:szCs w:val="24"/>
          <w:highlight w:val="none"/>
        </w:rPr>
        <w:br w:type="page"/>
      </w:r>
    </w:p>
    <w:p w14:paraId="0B24C78A">
      <w:pPr>
        <w:widowControl/>
        <w:jc w:val="center"/>
        <w:rPr>
          <w:rFonts w:hint="eastAsia"/>
          <w:color w:val="auto"/>
          <w:sz w:val="24"/>
          <w:szCs w:val="24"/>
          <w:highlight w:val="none"/>
        </w:rPr>
      </w:pPr>
      <w:bookmarkStart w:id="212" w:name="_Toc520983592"/>
      <w:r>
        <w:rPr>
          <w:rFonts w:hint="eastAsia"/>
          <w:b/>
          <w:color w:val="auto"/>
          <w:sz w:val="24"/>
          <w:highlight w:val="none"/>
          <w:lang w:eastAsia="zh-CN"/>
        </w:rPr>
        <w:t>六</w:t>
      </w:r>
      <w:r>
        <w:rPr>
          <w:rFonts w:hint="eastAsia"/>
          <w:b/>
          <w:color w:val="auto"/>
          <w:sz w:val="24"/>
          <w:highlight w:val="none"/>
        </w:rPr>
        <w:t>、无不良信用记录声明函</w:t>
      </w:r>
      <w:bookmarkEnd w:id="212"/>
    </w:p>
    <w:p w14:paraId="09D97680">
      <w:pPr>
        <w:spacing w:line="360" w:lineRule="auto"/>
        <w:jc w:val="center"/>
        <w:rPr>
          <w:rFonts w:hint="eastAsia"/>
          <w:i/>
          <w:color w:val="auto"/>
          <w:sz w:val="24"/>
          <w:highlight w:val="none"/>
        </w:rPr>
      </w:pPr>
      <w:r>
        <w:rPr>
          <w:rFonts w:hint="eastAsia"/>
          <w:i/>
          <w:color w:val="auto"/>
          <w:sz w:val="24"/>
          <w:highlight w:val="none"/>
        </w:rPr>
        <w:t>（联合体参加</w:t>
      </w:r>
      <w:r>
        <w:rPr>
          <w:rFonts w:hint="eastAsia"/>
          <w:i/>
          <w:color w:val="auto"/>
          <w:sz w:val="24"/>
          <w:highlight w:val="none"/>
          <w:lang w:eastAsia="zh-CN"/>
        </w:rPr>
        <w:t>磋商</w:t>
      </w:r>
      <w:r>
        <w:rPr>
          <w:rFonts w:hint="eastAsia"/>
          <w:i/>
          <w:color w:val="auto"/>
          <w:sz w:val="24"/>
          <w:highlight w:val="none"/>
        </w:rPr>
        <w:t>的，联合体双方均须提供）</w:t>
      </w:r>
    </w:p>
    <w:p w14:paraId="4455352F">
      <w:pPr>
        <w:spacing w:line="360" w:lineRule="auto"/>
        <w:ind w:firstLine="480" w:firstLineChars="200"/>
        <w:rPr>
          <w:rFonts w:hint="eastAsia" w:cs="宋体"/>
          <w:color w:val="auto"/>
          <w:sz w:val="24"/>
          <w:szCs w:val="24"/>
          <w:highlight w:val="none"/>
        </w:rPr>
      </w:pPr>
      <w:r>
        <w:rPr>
          <w:rFonts w:hint="eastAsia" w:cs="宋体"/>
          <w:color w:val="auto"/>
          <w:sz w:val="24"/>
          <w:szCs w:val="24"/>
          <w:highlight w:val="none"/>
        </w:rPr>
        <w:t>1、本单位郑重声明，我单位无以下不良信用记录情形：</w:t>
      </w:r>
    </w:p>
    <w:p w14:paraId="647406AF">
      <w:pPr>
        <w:spacing w:line="360" w:lineRule="auto"/>
        <w:ind w:firstLine="480" w:firstLineChars="200"/>
        <w:rPr>
          <w:rFonts w:hint="eastAsia" w:cs="宋体"/>
          <w:color w:val="auto"/>
          <w:sz w:val="24"/>
          <w:szCs w:val="24"/>
          <w:highlight w:val="none"/>
        </w:rPr>
      </w:pPr>
      <w:r>
        <w:rPr>
          <w:rFonts w:hint="eastAsia" w:cs="宋体"/>
          <w:color w:val="auto"/>
          <w:sz w:val="24"/>
          <w:szCs w:val="24"/>
          <w:highlight w:val="none"/>
        </w:rPr>
        <w:t>（1）在</w:t>
      </w:r>
      <w:r>
        <w:rPr>
          <w:rFonts w:hint="eastAsia" w:cs="宋体"/>
          <w:b/>
          <w:bCs/>
          <w:color w:val="auto"/>
          <w:sz w:val="24"/>
          <w:szCs w:val="24"/>
          <w:highlight w:val="none"/>
        </w:rPr>
        <w:t>国家企业信用信息公示系统</w:t>
      </w:r>
      <w:r>
        <w:rPr>
          <w:rFonts w:hint="eastAsia" w:cs="宋体"/>
          <w:color w:val="auto"/>
          <w:sz w:val="24"/>
          <w:szCs w:val="24"/>
          <w:highlight w:val="none"/>
        </w:rPr>
        <w:t>（http://www.gsxt.gov.cn/）中被列入</w:t>
      </w:r>
      <w:r>
        <w:rPr>
          <w:rFonts w:hint="eastAsia" w:cs="宋体"/>
          <w:b/>
          <w:bCs/>
          <w:color w:val="auto"/>
          <w:sz w:val="24"/>
          <w:szCs w:val="24"/>
          <w:highlight w:val="none"/>
        </w:rPr>
        <w:t>严重违法失信企业</w:t>
      </w:r>
      <w:r>
        <w:rPr>
          <w:rFonts w:hint="eastAsia" w:cs="宋体"/>
          <w:color w:val="auto"/>
          <w:sz w:val="24"/>
          <w:szCs w:val="24"/>
          <w:highlight w:val="none"/>
        </w:rPr>
        <w:t>名单；</w:t>
      </w:r>
    </w:p>
    <w:p w14:paraId="76D83905">
      <w:pPr>
        <w:spacing w:line="360" w:lineRule="auto"/>
        <w:ind w:firstLine="480" w:firstLineChars="200"/>
        <w:rPr>
          <w:rFonts w:hint="eastAsia" w:cs="宋体"/>
          <w:color w:val="auto"/>
          <w:sz w:val="24"/>
          <w:szCs w:val="24"/>
          <w:highlight w:val="none"/>
        </w:rPr>
      </w:pPr>
      <w:r>
        <w:rPr>
          <w:rFonts w:hint="eastAsia" w:cs="宋体"/>
          <w:color w:val="auto"/>
          <w:sz w:val="24"/>
          <w:szCs w:val="24"/>
          <w:highlight w:val="none"/>
        </w:rPr>
        <w:t>（2）在“</w:t>
      </w:r>
      <w:r>
        <w:rPr>
          <w:rFonts w:hint="eastAsia" w:cs="宋体"/>
          <w:b/>
          <w:bCs/>
          <w:color w:val="auto"/>
          <w:sz w:val="24"/>
          <w:szCs w:val="24"/>
          <w:highlight w:val="none"/>
        </w:rPr>
        <w:t>信用中国</w:t>
      </w:r>
      <w:r>
        <w:rPr>
          <w:rFonts w:hint="eastAsia" w:cs="宋体"/>
          <w:color w:val="auto"/>
          <w:sz w:val="24"/>
          <w:szCs w:val="24"/>
          <w:highlight w:val="none"/>
        </w:rPr>
        <w:t>”网站（http://www.creditchina.gov.cn/）中被列入</w:t>
      </w:r>
      <w:r>
        <w:rPr>
          <w:rFonts w:hint="eastAsia" w:cs="宋体"/>
          <w:b/>
          <w:bCs/>
          <w:color w:val="auto"/>
          <w:sz w:val="24"/>
          <w:szCs w:val="24"/>
          <w:highlight w:val="none"/>
        </w:rPr>
        <w:t>失信被执行人</w:t>
      </w:r>
      <w:r>
        <w:rPr>
          <w:rFonts w:hint="eastAsia" w:cs="宋体"/>
          <w:color w:val="auto"/>
          <w:sz w:val="24"/>
          <w:szCs w:val="24"/>
          <w:highlight w:val="none"/>
        </w:rPr>
        <w:t>名单；</w:t>
      </w:r>
    </w:p>
    <w:p w14:paraId="4CED91F7">
      <w:pPr>
        <w:spacing w:line="360" w:lineRule="auto"/>
        <w:ind w:firstLine="480" w:firstLineChars="200"/>
        <w:rPr>
          <w:rFonts w:hint="eastAsia" w:cs="宋体"/>
          <w:color w:val="auto"/>
          <w:sz w:val="24"/>
          <w:szCs w:val="24"/>
          <w:highlight w:val="none"/>
        </w:rPr>
      </w:pPr>
      <w:r>
        <w:rPr>
          <w:rFonts w:hint="eastAsia" w:cs="宋体"/>
          <w:color w:val="auto"/>
          <w:sz w:val="24"/>
          <w:szCs w:val="24"/>
          <w:highlight w:val="none"/>
        </w:rPr>
        <w:t>（3）在“</w:t>
      </w:r>
      <w:r>
        <w:rPr>
          <w:rFonts w:hint="eastAsia" w:cs="宋体"/>
          <w:b/>
          <w:bCs/>
          <w:color w:val="auto"/>
          <w:sz w:val="24"/>
          <w:szCs w:val="24"/>
          <w:highlight w:val="none"/>
        </w:rPr>
        <w:t>信用中国</w:t>
      </w:r>
      <w:r>
        <w:rPr>
          <w:rFonts w:hint="eastAsia" w:cs="宋体"/>
          <w:color w:val="auto"/>
          <w:sz w:val="24"/>
          <w:szCs w:val="24"/>
          <w:highlight w:val="none"/>
        </w:rPr>
        <w:t>”网站（http://www.creditchina.gov.cn/）中被列入</w:t>
      </w:r>
      <w:r>
        <w:rPr>
          <w:rFonts w:hint="eastAsia" w:cs="宋体"/>
          <w:b/>
          <w:bCs/>
          <w:color w:val="auto"/>
          <w:sz w:val="24"/>
          <w:szCs w:val="24"/>
          <w:highlight w:val="none"/>
        </w:rPr>
        <w:t>重大税收违法案件当事人</w:t>
      </w:r>
      <w:r>
        <w:rPr>
          <w:rFonts w:hint="eastAsia" w:cs="宋体"/>
          <w:color w:val="auto"/>
          <w:sz w:val="24"/>
          <w:szCs w:val="24"/>
          <w:highlight w:val="none"/>
        </w:rPr>
        <w:t>名单；</w:t>
      </w:r>
    </w:p>
    <w:p w14:paraId="1C8435F7">
      <w:pPr>
        <w:spacing w:line="360" w:lineRule="auto"/>
        <w:ind w:firstLine="480" w:firstLineChars="200"/>
        <w:rPr>
          <w:rFonts w:hint="eastAsia" w:cs="宋体"/>
          <w:color w:val="auto"/>
          <w:sz w:val="24"/>
          <w:szCs w:val="24"/>
          <w:highlight w:val="none"/>
        </w:rPr>
      </w:pPr>
      <w:r>
        <w:rPr>
          <w:rFonts w:hint="eastAsia" w:cs="宋体"/>
          <w:color w:val="auto"/>
          <w:sz w:val="24"/>
          <w:szCs w:val="24"/>
          <w:highlight w:val="none"/>
        </w:rPr>
        <w:t>本单位对上述声明的真实性负责。如有虚假，将依法承担相应责任</w:t>
      </w:r>
    </w:p>
    <w:p w14:paraId="1E401656">
      <w:pPr>
        <w:spacing w:line="360" w:lineRule="auto"/>
        <w:jc w:val="center"/>
        <w:rPr>
          <w:rFonts w:hint="eastAsia" w:cs="宋体"/>
          <w:color w:val="auto"/>
          <w:sz w:val="24"/>
          <w:szCs w:val="24"/>
          <w:highlight w:val="none"/>
        </w:rPr>
      </w:pPr>
    </w:p>
    <w:p w14:paraId="38C6EB64">
      <w:pPr>
        <w:spacing w:line="360" w:lineRule="auto"/>
        <w:jc w:val="center"/>
        <w:rPr>
          <w:rFonts w:hint="eastAsia" w:cs="宋体"/>
          <w:color w:val="auto"/>
          <w:sz w:val="24"/>
          <w:szCs w:val="24"/>
          <w:highlight w:val="none"/>
        </w:rPr>
      </w:pPr>
    </w:p>
    <w:p w14:paraId="3412598D">
      <w:pPr>
        <w:spacing w:line="360" w:lineRule="auto"/>
        <w:jc w:val="center"/>
        <w:rPr>
          <w:rFonts w:hint="eastAsia" w:cs="宋体"/>
          <w:color w:val="auto"/>
          <w:sz w:val="24"/>
          <w:szCs w:val="24"/>
          <w:highlight w:val="none"/>
        </w:rPr>
      </w:pPr>
    </w:p>
    <w:p w14:paraId="1191966E">
      <w:pPr>
        <w:spacing w:line="360" w:lineRule="auto"/>
        <w:ind w:firstLine="3840" w:firstLineChars="1600"/>
        <w:rPr>
          <w:rFonts w:hint="eastAsia" w:cs="宋体"/>
          <w:color w:val="auto"/>
          <w:sz w:val="24"/>
          <w:szCs w:val="24"/>
          <w:highlight w:val="none"/>
        </w:rPr>
      </w:pPr>
      <w:r>
        <w:rPr>
          <w:rFonts w:hint="eastAsia"/>
          <w:color w:val="auto"/>
          <w:sz w:val="24"/>
          <w:szCs w:val="18"/>
          <w:highlight w:val="none"/>
          <w:lang w:eastAsia="zh-CN"/>
        </w:rPr>
        <w:t>供应商</w:t>
      </w:r>
      <w:r>
        <w:rPr>
          <w:rFonts w:hint="eastAsia" w:cs="宋体"/>
          <w:color w:val="auto"/>
          <w:sz w:val="24"/>
          <w:szCs w:val="24"/>
          <w:highlight w:val="none"/>
        </w:rPr>
        <w:t>电子签章：</w:t>
      </w:r>
      <w:r>
        <w:rPr>
          <w:rFonts w:cs="宋体"/>
          <w:color w:val="auto"/>
          <w:sz w:val="24"/>
          <w:szCs w:val="24"/>
          <w:highlight w:val="none"/>
          <w:u w:val="single"/>
        </w:rPr>
        <w:t xml:space="preserve">        </w:t>
      </w:r>
      <w:r>
        <w:rPr>
          <w:rFonts w:hint="eastAsia" w:cs="宋体"/>
          <w:color w:val="auto"/>
          <w:sz w:val="24"/>
          <w:szCs w:val="24"/>
          <w:highlight w:val="none"/>
          <w:u w:val="single"/>
        </w:rPr>
        <w:t xml:space="preserve">      </w:t>
      </w:r>
      <w:r>
        <w:rPr>
          <w:rFonts w:cs="宋体"/>
          <w:color w:val="auto"/>
          <w:sz w:val="24"/>
          <w:szCs w:val="24"/>
          <w:highlight w:val="none"/>
          <w:u w:val="single"/>
        </w:rPr>
        <w:t xml:space="preserve">       </w:t>
      </w:r>
    </w:p>
    <w:p w14:paraId="60D44E4F">
      <w:pPr>
        <w:keepNext/>
        <w:keepLines/>
        <w:numPr>
          <w:ilvl w:val="0"/>
          <w:numId w:val="0"/>
        </w:numPr>
        <w:spacing w:before="260" w:after="260" w:line="416" w:lineRule="auto"/>
        <w:jc w:val="center"/>
        <w:outlineLvl w:val="2"/>
        <w:rPr>
          <w:rFonts w:cs="宋体"/>
          <w:color w:val="auto"/>
          <w:sz w:val="24"/>
          <w:szCs w:val="24"/>
          <w:highlight w:val="none"/>
          <w:u w:val="single"/>
        </w:rPr>
      </w:pPr>
      <w:r>
        <w:rPr>
          <w:rFonts w:hint="eastAsia" w:cs="宋体"/>
          <w:color w:val="auto"/>
          <w:sz w:val="24"/>
          <w:szCs w:val="24"/>
          <w:highlight w:val="none"/>
        </w:rPr>
        <w:t>日</w:t>
      </w:r>
      <w:r>
        <w:rPr>
          <w:rFonts w:cs="宋体"/>
          <w:color w:val="auto"/>
          <w:sz w:val="24"/>
          <w:szCs w:val="24"/>
          <w:highlight w:val="none"/>
        </w:rPr>
        <w:t xml:space="preserve">   </w:t>
      </w:r>
      <w:r>
        <w:rPr>
          <w:rFonts w:hint="eastAsia" w:cs="宋体"/>
          <w:color w:val="auto"/>
          <w:sz w:val="24"/>
          <w:szCs w:val="24"/>
          <w:highlight w:val="none"/>
        </w:rPr>
        <w:t xml:space="preserve">      </w:t>
      </w:r>
      <w:r>
        <w:rPr>
          <w:rFonts w:cs="宋体"/>
          <w:color w:val="auto"/>
          <w:sz w:val="24"/>
          <w:szCs w:val="24"/>
          <w:highlight w:val="none"/>
        </w:rPr>
        <w:t xml:space="preserve">   </w:t>
      </w:r>
      <w:r>
        <w:rPr>
          <w:rFonts w:hint="eastAsia" w:cs="宋体"/>
          <w:color w:val="auto"/>
          <w:sz w:val="24"/>
          <w:szCs w:val="24"/>
          <w:highlight w:val="none"/>
        </w:rPr>
        <w:t>期：</w:t>
      </w:r>
      <w:r>
        <w:rPr>
          <w:rFonts w:cs="宋体"/>
          <w:color w:val="auto"/>
          <w:sz w:val="24"/>
          <w:szCs w:val="24"/>
          <w:highlight w:val="none"/>
          <w:u w:val="single"/>
        </w:rPr>
        <w:t xml:space="preserve">           </w:t>
      </w:r>
      <w:r>
        <w:rPr>
          <w:rFonts w:hint="eastAsia" w:cs="宋体"/>
          <w:color w:val="auto"/>
          <w:sz w:val="24"/>
          <w:szCs w:val="24"/>
          <w:highlight w:val="none"/>
          <w:u w:val="single"/>
        </w:rPr>
        <w:t xml:space="preserve"> </w:t>
      </w:r>
      <w:r>
        <w:rPr>
          <w:rFonts w:cs="宋体"/>
          <w:color w:val="auto"/>
          <w:sz w:val="24"/>
          <w:szCs w:val="24"/>
          <w:highlight w:val="none"/>
          <w:u w:val="single"/>
        </w:rPr>
        <w:t xml:space="preserve">    </w:t>
      </w:r>
      <w:r>
        <w:rPr>
          <w:rFonts w:hint="eastAsia" w:cs="宋体"/>
          <w:color w:val="auto"/>
          <w:sz w:val="24"/>
          <w:szCs w:val="24"/>
          <w:highlight w:val="none"/>
          <w:u w:val="single"/>
        </w:rPr>
        <w:t xml:space="preserve">  </w:t>
      </w:r>
      <w:r>
        <w:rPr>
          <w:rFonts w:cs="宋体"/>
          <w:color w:val="auto"/>
          <w:sz w:val="24"/>
          <w:szCs w:val="24"/>
          <w:highlight w:val="none"/>
          <w:u w:val="single"/>
        </w:rPr>
        <w:t xml:space="preserve">  </w:t>
      </w:r>
    </w:p>
    <w:p w14:paraId="6208E049">
      <w:pPr>
        <w:rPr>
          <w:rFonts w:cs="宋体"/>
          <w:color w:val="auto"/>
          <w:sz w:val="24"/>
          <w:szCs w:val="24"/>
          <w:highlight w:val="none"/>
          <w:u w:val="single"/>
        </w:rPr>
      </w:pPr>
      <w:r>
        <w:rPr>
          <w:rFonts w:cs="宋体"/>
          <w:color w:val="auto"/>
          <w:sz w:val="24"/>
          <w:szCs w:val="24"/>
          <w:highlight w:val="none"/>
          <w:u w:val="single"/>
        </w:rPr>
        <w:br w:type="page"/>
      </w:r>
    </w:p>
    <w:p w14:paraId="750C8DBD">
      <w:pPr>
        <w:widowControl/>
        <w:jc w:val="center"/>
        <w:rPr>
          <w:rFonts w:hint="default" w:eastAsia="宋体" w:cs="@仿宋_GB2312"/>
          <w:b/>
          <w:bCs/>
          <w:color w:val="auto"/>
          <w:kern w:val="2"/>
          <w:sz w:val="24"/>
          <w:szCs w:val="24"/>
          <w:highlight w:val="none"/>
          <w:lang w:val="en-US" w:eastAsia="zh-CN"/>
        </w:rPr>
      </w:pPr>
      <w:r>
        <w:rPr>
          <w:rFonts w:hint="eastAsia" w:cs="@仿宋_GB2312"/>
          <w:b/>
          <w:bCs/>
          <w:color w:val="auto"/>
          <w:kern w:val="2"/>
          <w:sz w:val="24"/>
          <w:szCs w:val="24"/>
          <w:highlight w:val="none"/>
          <w:lang w:val="en-US" w:eastAsia="zh-CN"/>
        </w:rPr>
        <w:t>七、电子交易服务费</w:t>
      </w:r>
    </w:p>
    <w:p w14:paraId="6384AED4">
      <w:pPr>
        <w:pStyle w:val="10"/>
        <w:snapToGrid w:val="0"/>
        <w:spacing w:line="360" w:lineRule="auto"/>
        <w:jc w:val="center"/>
        <w:rPr>
          <w:rFonts w:hint="eastAsia" w:hAnsi="宋体"/>
          <w:color w:val="auto"/>
          <w:sz w:val="24"/>
          <w:szCs w:val="28"/>
          <w:highlight w:val="none"/>
        </w:rPr>
      </w:pPr>
    </w:p>
    <w:p w14:paraId="162921CD">
      <w:pPr>
        <w:pStyle w:val="10"/>
        <w:snapToGrid w:val="0"/>
        <w:spacing w:line="360" w:lineRule="auto"/>
        <w:jc w:val="center"/>
        <w:rPr>
          <w:rFonts w:hint="eastAsia" w:hAnsi="宋体"/>
          <w:color w:val="auto"/>
          <w:sz w:val="24"/>
          <w:szCs w:val="28"/>
          <w:highlight w:val="none"/>
        </w:rPr>
      </w:pPr>
      <w:r>
        <w:rPr>
          <w:rFonts w:hint="eastAsia" w:hAnsi="宋体"/>
          <w:color w:val="auto"/>
          <w:sz w:val="24"/>
          <w:szCs w:val="28"/>
          <w:highlight w:val="none"/>
        </w:rPr>
        <w:t>供应商应在此提供</w:t>
      </w:r>
      <w:r>
        <w:rPr>
          <w:rFonts w:hint="eastAsia" w:hAnsi="宋体"/>
          <w:color w:val="auto"/>
          <w:sz w:val="24"/>
          <w:szCs w:val="28"/>
          <w:highlight w:val="none"/>
          <w:lang w:val="en-US" w:eastAsia="zh-CN"/>
        </w:rPr>
        <w:t>电子交易服务费</w:t>
      </w:r>
      <w:r>
        <w:rPr>
          <w:rFonts w:hint="eastAsia" w:hAnsi="宋体"/>
          <w:color w:val="auto"/>
          <w:sz w:val="24"/>
          <w:szCs w:val="28"/>
          <w:highlight w:val="none"/>
        </w:rPr>
        <w:t>转账回单截图，需从供应商银行账户转出。</w:t>
      </w:r>
    </w:p>
    <w:p w14:paraId="68CBE487">
      <w:pPr>
        <w:widowControl/>
        <w:spacing w:line="360" w:lineRule="auto"/>
        <w:jc w:val="center"/>
        <w:rPr>
          <w:rFonts w:hint="eastAsia" w:cs="@仿宋_GB2312"/>
          <w:b/>
          <w:bCs/>
          <w:color w:val="auto"/>
          <w:kern w:val="2"/>
          <w:sz w:val="24"/>
          <w:szCs w:val="24"/>
          <w:highlight w:val="none"/>
        </w:rPr>
      </w:pPr>
    </w:p>
    <w:p w14:paraId="6F5886F5">
      <w:pPr>
        <w:widowControl/>
        <w:spacing w:line="360" w:lineRule="auto"/>
        <w:jc w:val="center"/>
        <w:rPr>
          <w:rFonts w:hint="eastAsia" w:cs="@仿宋_GB2312"/>
          <w:b/>
          <w:bCs/>
          <w:color w:val="auto"/>
          <w:kern w:val="2"/>
          <w:sz w:val="24"/>
          <w:szCs w:val="24"/>
          <w:highlight w:val="none"/>
        </w:rPr>
      </w:pPr>
    </w:p>
    <w:p w14:paraId="3AD7BD20">
      <w:pPr>
        <w:widowControl/>
        <w:spacing w:line="360" w:lineRule="auto"/>
        <w:jc w:val="center"/>
        <w:rPr>
          <w:rFonts w:hint="eastAsia" w:cs="@仿宋_GB2312"/>
          <w:b/>
          <w:bCs/>
          <w:color w:val="auto"/>
          <w:kern w:val="2"/>
          <w:sz w:val="24"/>
          <w:szCs w:val="24"/>
          <w:highlight w:val="none"/>
        </w:rPr>
      </w:pPr>
    </w:p>
    <w:p w14:paraId="58DA3EB0">
      <w:pPr>
        <w:widowControl/>
        <w:spacing w:line="360" w:lineRule="auto"/>
        <w:jc w:val="center"/>
        <w:rPr>
          <w:rFonts w:hint="eastAsia" w:cs="@仿宋_GB2312"/>
          <w:b/>
          <w:bCs/>
          <w:color w:val="auto"/>
          <w:kern w:val="2"/>
          <w:sz w:val="24"/>
          <w:szCs w:val="24"/>
          <w:highlight w:val="none"/>
        </w:rPr>
      </w:pPr>
    </w:p>
    <w:p w14:paraId="2C390542">
      <w:pPr>
        <w:pStyle w:val="9"/>
        <w:rPr>
          <w:rFonts w:hint="eastAsia"/>
          <w:color w:val="auto"/>
          <w:highlight w:val="none"/>
        </w:rPr>
      </w:pPr>
    </w:p>
    <w:p w14:paraId="1E2C343B">
      <w:pPr>
        <w:pStyle w:val="13"/>
        <w:rPr>
          <w:rFonts w:cs="@仿宋_GB2312"/>
          <w:b/>
          <w:bCs/>
          <w:color w:val="auto"/>
          <w:kern w:val="2"/>
          <w:sz w:val="24"/>
          <w:szCs w:val="24"/>
          <w:highlight w:val="none"/>
        </w:rPr>
      </w:pPr>
    </w:p>
    <w:p w14:paraId="707C719B">
      <w:pPr>
        <w:pStyle w:val="4"/>
        <w:ind w:left="2400"/>
        <w:rPr>
          <w:rFonts w:hint="eastAsia" w:cs="@仿宋_GB2312"/>
          <w:b/>
          <w:bCs/>
          <w:color w:val="auto"/>
          <w:kern w:val="2"/>
          <w:sz w:val="24"/>
          <w:szCs w:val="24"/>
          <w:highlight w:val="none"/>
        </w:rPr>
      </w:pPr>
    </w:p>
    <w:p w14:paraId="72C3C68F">
      <w:pPr>
        <w:rPr>
          <w:rFonts w:hint="eastAsia"/>
          <w:color w:val="auto"/>
          <w:highlight w:val="none"/>
        </w:rPr>
      </w:pPr>
    </w:p>
    <w:p w14:paraId="36103BDF">
      <w:pPr>
        <w:widowControl/>
        <w:spacing w:line="360" w:lineRule="auto"/>
        <w:jc w:val="center"/>
        <w:rPr>
          <w:rFonts w:hint="eastAsia" w:cs="@仿宋_GB2312"/>
          <w:b/>
          <w:bCs/>
          <w:color w:val="auto"/>
          <w:kern w:val="2"/>
          <w:sz w:val="24"/>
          <w:szCs w:val="24"/>
          <w:highlight w:val="none"/>
        </w:rPr>
      </w:pPr>
    </w:p>
    <w:p w14:paraId="6E75A84C">
      <w:pPr>
        <w:widowControl/>
        <w:spacing w:line="360" w:lineRule="auto"/>
        <w:jc w:val="center"/>
        <w:rPr>
          <w:rFonts w:hint="eastAsia" w:cs="@仿宋_GB2312"/>
          <w:b/>
          <w:bCs/>
          <w:color w:val="auto"/>
          <w:kern w:val="2"/>
          <w:sz w:val="24"/>
          <w:szCs w:val="24"/>
          <w:highlight w:val="none"/>
        </w:rPr>
      </w:pPr>
    </w:p>
    <w:p w14:paraId="66FBAFEA">
      <w:pPr>
        <w:widowControl/>
        <w:spacing w:line="360" w:lineRule="auto"/>
        <w:jc w:val="center"/>
        <w:rPr>
          <w:rFonts w:hint="eastAsia" w:cs="@仿宋_GB2312"/>
          <w:b/>
          <w:bCs/>
          <w:color w:val="auto"/>
          <w:kern w:val="2"/>
          <w:sz w:val="24"/>
          <w:szCs w:val="24"/>
          <w:highlight w:val="none"/>
        </w:rPr>
      </w:pPr>
    </w:p>
    <w:p w14:paraId="7D0BC144">
      <w:pPr>
        <w:widowControl/>
        <w:spacing w:line="360" w:lineRule="auto"/>
        <w:jc w:val="center"/>
        <w:rPr>
          <w:rFonts w:hint="eastAsia" w:cs="@仿宋_GB2312"/>
          <w:b/>
          <w:bCs/>
          <w:color w:val="auto"/>
          <w:kern w:val="2"/>
          <w:sz w:val="24"/>
          <w:szCs w:val="24"/>
          <w:highlight w:val="none"/>
        </w:rPr>
      </w:pPr>
    </w:p>
    <w:p w14:paraId="6435CA7D">
      <w:pPr>
        <w:widowControl/>
        <w:spacing w:line="360" w:lineRule="auto"/>
        <w:jc w:val="center"/>
        <w:rPr>
          <w:rFonts w:hint="eastAsia" w:cs="@仿宋_GB2312"/>
          <w:b/>
          <w:bCs/>
          <w:color w:val="auto"/>
          <w:kern w:val="2"/>
          <w:sz w:val="24"/>
          <w:szCs w:val="24"/>
          <w:highlight w:val="none"/>
        </w:rPr>
      </w:pPr>
    </w:p>
    <w:p w14:paraId="5C9F09D3">
      <w:pPr>
        <w:widowControl/>
        <w:spacing w:line="360" w:lineRule="auto"/>
        <w:jc w:val="center"/>
        <w:rPr>
          <w:rFonts w:hint="eastAsia" w:cs="@仿宋_GB2312"/>
          <w:b/>
          <w:bCs/>
          <w:color w:val="auto"/>
          <w:kern w:val="2"/>
          <w:sz w:val="24"/>
          <w:szCs w:val="24"/>
          <w:highlight w:val="none"/>
        </w:rPr>
      </w:pPr>
    </w:p>
    <w:p w14:paraId="37736904">
      <w:pPr>
        <w:keepNext w:val="0"/>
        <w:keepLines w:val="0"/>
        <w:pageBreakBefore w:val="0"/>
        <w:widowControl w:val="0"/>
        <w:kinsoku/>
        <w:wordWrap/>
        <w:overflowPunct/>
        <w:topLinePunct w:val="0"/>
        <w:autoSpaceDE/>
        <w:autoSpaceDN/>
        <w:bidi w:val="0"/>
        <w:adjustRightInd/>
        <w:snapToGrid/>
        <w:spacing w:after="120" w:line="480" w:lineRule="exact"/>
        <w:ind w:firstLine="482" w:firstLineChars="200"/>
        <w:textAlignment w:val="auto"/>
        <w:rPr>
          <w:rFonts w:hint="default" w:eastAsia="宋体" w:cs="宋体"/>
          <w:b/>
          <w:bCs/>
          <w:color w:val="auto"/>
          <w:kern w:val="2"/>
          <w:sz w:val="24"/>
          <w:szCs w:val="24"/>
          <w:highlight w:val="none"/>
          <w:lang w:val="en-US" w:eastAsia="zh-CN"/>
        </w:rPr>
      </w:pPr>
      <w:r>
        <w:rPr>
          <w:rFonts w:hint="eastAsia" w:cs="宋体"/>
          <w:b/>
          <w:bCs/>
          <w:color w:val="auto"/>
          <w:kern w:val="2"/>
          <w:sz w:val="24"/>
          <w:szCs w:val="24"/>
          <w:highlight w:val="none"/>
        </w:rPr>
        <w:t>项目</w:t>
      </w:r>
      <w:r>
        <w:rPr>
          <w:rFonts w:hint="eastAsia" w:cs="宋体"/>
          <w:b/>
          <w:bCs/>
          <w:color w:val="auto"/>
          <w:kern w:val="2"/>
          <w:sz w:val="24"/>
          <w:szCs w:val="24"/>
          <w:highlight w:val="none"/>
          <w:lang w:val="en-US" w:eastAsia="zh-CN"/>
        </w:rPr>
        <w:t>磋商</w:t>
      </w:r>
      <w:r>
        <w:rPr>
          <w:rFonts w:hint="eastAsia" w:cs="宋体"/>
          <w:b/>
          <w:bCs/>
          <w:color w:val="auto"/>
          <w:kern w:val="2"/>
          <w:sz w:val="24"/>
          <w:szCs w:val="24"/>
          <w:highlight w:val="none"/>
        </w:rPr>
        <w:t>结束后，如需开具电子交易服务费发票，请致电咨询：王工，联系电话：0551-</w:t>
      </w:r>
      <w:r>
        <w:rPr>
          <w:rFonts w:hint="eastAsia" w:cs="宋体"/>
          <w:b/>
          <w:bCs/>
          <w:color w:val="auto"/>
          <w:kern w:val="2"/>
          <w:sz w:val="24"/>
          <w:szCs w:val="24"/>
          <w:highlight w:val="none"/>
          <w:lang w:val="en-US" w:eastAsia="zh-CN"/>
        </w:rPr>
        <w:t>68821291</w:t>
      </w:r>
      <w:r>
        <w:rPr>
          <w:rFonts w:hint="eastAsia" w:cs="宋体"/>
          <w:b/>
          <w:bCs/>
          <w:color w:val="auto"/>
          <w:kern w:val="2"/>
          <w:sz w:val="24"/>
          <w:szCs w:val="24"/>
          <w:highlight w:val="none"/>
        </w:rPr>
        <w:t>。</w:t>
      </w:r>
    </w:p>
    <w:p w14:paraId="0D877361">
      <w:pPr>
        <w:keepNext w:val="0"/>
        <w:keepLines w:val="0"/>
        <w:pageBreakBefore w:val="0"/>
        <w:widowControl w:val="0"/>
        <w:kinsoku/>
        <w:wordWrap/>
        <w:overflowPunct/>
        <w:topLinePunct w:val="0"/>
        <w:autoSpaceDE/>
        <w:autoSpaceDN/>
        <w:bidi w:val="0"/>
        <w:adjustRightInd/>
        <w:snapToGrid/>
        <w:spacing w:after="120" w:line="480" w:lineRule="exact"/>
        <w:ind w:firstLine="482" w:firstLineChars="200"/>
        <w:textAlignment w:val="auto"/>
        <w:rPr>
          <w:rFonts w:hint="eastAsia"/>
          <w:color w:val="auto"/>
          <w:highlight w:val="none"/>
        </w:rPr>
      </w:pPr>
      <w:r>
        <w:rPr>
          <w:rFonts w:hint="eastAsia" w:cs="宋体"/>
          <w:b/>
          <w:bCs/>
          <w:color w:val="auto"/>
          <w:kern w:val="2"/>
          <w:sz w:val="24"/>
          <w:szCs w:val="24"/>
          <w:highlight w:val="none"/>
        </w:rPr>
        <w:t>开票信息按照下列格式填写，发票开具后可在单位税务数字账户中查收</w:t>
      </w:r>
      <w:r>
        <w:rPr>
          <w:rFonts w:hint="eastAsia"/>
          <w:color w:val="auto"/>
          <w:highlight w:val="none"/>
        </w:rPr>
        <w:t>。</w:t>
      </w:r>
    </w:p>
    <w:p w14:paraId="0E66D948">
      <w:pPr>
        <w:pStyle w:val="13"/>
        <w:jc w:val="center"/>
        <w:rPr>
          <w:color w:val="auto"/>
          <w:highlight w:val="none"/>
        </w:rPr>
      </w:pPr>
    </w:p>
    <w:p w14:paraId="1D9F6805">
      <w:pPr>
        <w:widowControl/>
        <w:pBdr>
          <w:top w:val="single" w:color="auto" w:sz="4" w:space="0"/>
          <w:left w:val="single" w:color="auto" w:sz="4" w:space="0"/>
          <w:bottom w:val="single" w:color="auto" w:sz="4" w:space="0"/>
          <w:right w:val="single" w:color="auto" w:sz="4" w:space="0"/>
        </w:pBdr>
        <w:spacing w:line="360" w:lineRule="auto"/>
        <w:jc w:val="center"/>
        <w:rPr>
          <w:rFonts w:hint="eastAsia"/>
          <w:color w:val="auto"/>
          <w:sz w:val="24"/>
          <w:szCs w:val="24"/>
          <w:highlight w:val="none"/>
        </w:rPr>
      </w:pPr>
      <w:r>
        <w:rPr>
          <w:rFonts w:hint="eastAsia" w:cs="宋体"/>
          <w:b/>
          <w:bCs/>
          <w:color w:val="auto"/>
          <w:sz w:val="24"/>
          <w:szCs w:val="24"/>
          <w:highlight w:val="none"/>
          <w:lang w:bidi="ar"/>
        </w:rPr>
        <w:t>开票信息</w:t>
      </w:r>
    </w:p>
    <w:p w14:paraId="1F93804A">
      <w:pPr>
        <w:widowControl/>
        <w:pBdr>
          <w:top w:val="single" w:color="auto" w:sz="4" w:space="0"/>
          <w:left w:val="single" w:color="auto" w:sz="4" w:space="0"/>
          <w:bottom w:val="single" w:color="auto" w:sz="4" w:space="0"/>
          <w:right w:val="single" w:color="auto" w:sz="4" w:space="0"/>
        </w:pBdr>
        <w:spacing w:line="360" w:lineRule="auto"/>
        <w:ind w:firstLine="723" w:firstLineChars="300"/>
        <w:jc w:val="left"/>
        <w:rPr>
          <w:rFonts w:hint="eastAsia"/>
          <w:color w:val="auto"/>
          <w:sz w:val="24"/>
          <w:szCs w:val="24"/>
          <w:highlight w:val="none"/>
        </w:rPr>
      </w:pPr>
      <w:r>
        <w:rPr>
          <w:rFonts w:hint="eastAsia" w:cs="宋体"/>
          <w:b/>
          <w:bCs/>
          <w:color w:val="auto"/>
          <w:sz w:val="24"/>
          <w:szCs w:val="24"/>
          <w:highlight w:val="none"/>
          <w:lang w:bidi="ar"/>
        </w:rPr>
        <w:t>发  票  类  型：</w:t>
      </w:r>
      <w:r>
        <w:rPr>
          <w:rFonts w:hint="eastAsia" w:cs="宋体"/>
          <w:b/>
          <w:bCs/>
          <w:color w:val="auto"/>
          <w:sz w:val="24"/>
          <w:szCs w:val="24"/>
          <w:highlight w:val="none"/>
          <w:u w:val="single"/>
          <w:lang w:bidi="ar"/>
        </w:rPr>
        <w:t xml:space="preserve">                            </w:t>
      </w:r>
      <w:r>
        <w:rPr>
          <w:rFonts w:hint="eastAsia" w:cs="宋体"/>
          <w:b/>
          <w:bCs/>
          <w:color w:val="auto"/>
          <w:sz w:val="24"/>
          <w:szCs w:val="24"/>
          <w:highlight w:val="none"/>
          <w:lang w:bidi="ar"/>
        </w:rPr>
        <w:t>（专票或普票）</w:t>
      </w:r>
    </w:p>
    <w:p w14:paraId="4F65AFA2">
      <w:pPr>
        <w:widowControl/>
        <w:pBdr>
          <w:top w:val="single" w:color="auto" w:sz="4" w:space="0"/>
          <w:left w:val="single" w:color="auto" w:sz="4" w:space="0"/>
          <w:bottom w:val="single" w:color="auto" w:sz="4" w:space="0"/>
          <w:right w:val="single" w:color="auto" w:sz="4" w:space="0"/>
        </w:pBdr>
        <w:spacing w:line="360" w:lineRule="auto"/>
        <w:ind w:firstLine="723" w:firstLineChars="300"/>
        <w:jc w:val="left"/>
        <w:rPr>
          <w:rFonts w:hint="eastAsia"/>
          <w:color w:val="auto"/>
          <w:sz w:val="24"/>
          <w:szCs w:val="24"/>
          <w:highlight w:val="none"/>
        </w:rPr>
      </w:pPr>
      <w:r>
        <w:rPr>
          <w:rFonts w:hint="eastAsia" w:cs="宋体"/>
          <w:b/>
          <w:bCs/>
          <w:color w:val="auto"/>
          <w:sz w:val="24"/>
          <w:szCs w:val="24"/>
          <w:highlight w:val="none"/>
          <w:lang w:bidi="ar"/>
        </w:rPr>
        <w:t>公  司  名  称：</w:t>
      </w:r>
      <w:r>
        <w:rPr>
          <w:rFonts w:hint="eastAsia" w:cs="宋体"/>
          <w:b/>
          <w:bCs/>
          <w:color w:val="auto"/>
          <w:sz w:val="24"/>
          <w:szCs w:val="24"/>
          <w:highlight w:val="none"/>
          <w:u w:val="single"/>
          <w:lang w:bidi="ar"/>
        </w:rPr>
        <w:t xml:space="preserve">                            </w:t>
      </w:r>
    </w:p>
    <w:p w14:paraId="30A4C24C">
      <w:pPr>
        <w:widowControl/>
        <w:pBdr>
          <w:top w:val="single" w:color="auto" w:sz="4" w:space="0"/>
          <w:left w:val="single" w:color="auto" w:sz="4" w:space="0"/>
          <w:bottom w:val="single" w:color="auto" w:sz="4" w:space="0"/>
          <w:right w:val="single" w:color="auto" w:sz="4" w:space="0"/>
        </w:pBdr>
        <w:spacing w:line="360" w:lineRule="auto"/>
        <w:ind w:firstLine="723" w:firstLineChars="300"/>
        <w:jc w:val="left"/>
        <w:rPr>
          <w:rFonts w:hint="eastAsia"/>
          <w:color w:val="auto"/>
          <w:sz w:val="24"/>
          <w:szCs w:val="24"/>
          <w:highlight w:val="none"/>
        </w:rPr>
      </w:pPr>
      <w:r>
        <w:rPr>
          <w:rFonts w:hint="eastAsia" w:cs="宋体"/>
          <w:b/>
          <w:bCs/>
          <w:color w:val="auto"/>
          <w:sz w:val="24"/>
          <w:szCs w:val="24"/>
          <w:highlight w:val="none"/>
          <w:lang w:bidi="ar"/>
        </w:rPr>
        <w:t>纳 税 识 别 号：</w:t>
      </w:r>
      <w:r>
        <w:rPr>
          <w:rFonts w:hint="eastAsia" w:cs="宋体"/>
          <w:b/>
          <w:bCs/>
          <w:color w:val="auto"/>
          <w:sz w:val="24"/>
          <w:szCs w:val="24"/>
          <w:highlight w:val="none"/>
          <w:u w:val="single"/>
          <w:lang w:bidi="ar"/>
        </w:rPr>
        <w:t xml:space="preserve">                            </w:t>
      </w:r>
    </w:p>
    <w:p w14:paraId="41652985">
      <w:pPr>
        <w:widowControl/>
        <w:pBdr>
          <w:top w:val="single" w:color="auto" w:sz="4" w:space="0"/>
          <w:left w:val="single" w:color="auto" w:sz="4" w:space="0"/>
          <w:bottom w:val="single" w:color="auto" w:sz="4" w:space="0"/>
          <w:right w:val="single" w:color="auto" w:sz="4" w:space="0"/>
        </w:pBdr>
        <w:spacing w:line="360" w:lineRule="auto"/>
        <w:ind w:firstLine="723" w:firstLineChars="300"/>
        <w:jc w:val="left"/>
        <w:rPr>
          <w:rFonts w:hint="eastAsia"/>
          <w:color w:val="auto"/>
          <w:sz w:val="24"/>
          <w:szCs w:val="24"/>
          <w:highlight w:val="none"/>
        </w:rPr>
      </w:pPr>
      <w:r>
        <w:rPr>
          <w:rFonts w:hint="eastAsia" w:cs="宋体"/>
          <w:b/>
          <w:bCs/>
          <w:color w:val="auto"/>
          <w:sz w:val="24"/>
          <w:szCs w:val="24"/>
          <w:highlight w:val="none"/>
          <w:lang w:bidi="ar"/>
        </w:rPr>
        <w:t>开 户 行 名 称：</w:t>
      </w:r>
      <w:r>
        <w:rPr>
          <w:rFonts w:hint="eastAsia" w:cs="宋体"/>
          <w:b/>
          <w:bCs/>
          <w:color w:val="auto"/>
          <w:sz w:val="24"/>
          <w:szCs w:val="24"/>
          <w:highlight w:val="none"/>
          <w:u w:val="single"/>
          <w:lang w:bidi="ar"/>
        </w:rPr>
        <w:t xml:space="preserve">                            </w:t>
      </w:r>
    </w:p>
    <w:p w14:paraId="2A76B322">
      <w:pPr>
        <w:widowControl/>
        <w:pBdr>
          <w:top w:val="single" w:color="auto" w:sz="4" w:space="0"/>
          <w:left w:val="single" w:color="auto" w:sz="4" w:space="0"/>
          <w:bottom w:val="single" w:color="auto" w:sz="4" w:space="0"/>
          <w:right w:val="single" w:color="auto" w:sz="4" w:space="0"/>
        </w:pBdr>
        <w:spacing w:line="360" w:lineRule="auto"/>
        <w:ind w:firstLine="723" w:firstLineChars="300"/>
        <w:jc w:val="left"/>
        <w:rPr>
          <w:rFonts w:hint="eastAsia"/>
          <w:color w:val="auto"/>
          <w:highlight w:val="none"/>
        </w:rPr>
      </w:pPr>
      <w:r>
        <w:rPr>
          <w:rFonts w:hint="eastAsia" w:cs="宋体"/>
          <w:b/>
          <w:bCs/>
          <w:color w:val="auto"/>
          <w:sz w:val="24"/>
          <w:szCs w:val="24"/>
          <w:highlight w:val="none"/>
          <w:lang w:bidi="ar"/>
        </w:rPr>
        <w:t>开 户 行 账 号：</w:t>
      </w:r>
      <w:r>
        <w:rPr>
          <w:rFonts w:hint="eastAsia" w:cs="宋体"/>
          <w:b/>
          <w:bCs/>
          <w:color w:val="auto"/>
          <w:sz w:val="24"/>
          <w:szCs w:val="24"/>
          <w:highlight w:val="none"/>
          <w:u w:val="single"/>
          <w:lang w:bidi="ar"/>
        </w:rPr>
        <w:t xml:space="preserve">                            </w:t>
      </w:r>
    </w:p>
    <w:p w14:paraId="61CEB10C">
      <w:pPr>
        <w:rPr>
          <w:rFonts w:hint="eastAsia" w:cs="宋体"/>
          <w:color w:val="auto"/>
          <w:sz w:val="24"/>
          <w:szCs w:val="24"/>
          <w:highlight w:val="none"/>
          <w:u w:val="single"/>
          <w:lang w:val="en-US" w:eastAsia="zh-CN"/>
        </w:rPr>
      </w:pPr>
      <w:r>
        <w:rPr>
          <w:rFonts w:hint="eastAsia" w:cs="宋体"/>
          <w:color w:val="auto"/>
          <w:sz w:val="24"/>
          <w:szCs w:val="24"/>
          <w:highlight w:val="none"/>
          <w:u w:val="single"/>
          <w:lang w:val="en-US" w:eastAsia="zh-CN"/>
        </w:rPr>
        <w:br w:type="page"/>
      </w:r>
    </w:p>
    <w:p w14:paraId="4EC8F664">
      <w:pPr>
        <w:keepNext/>
        <w:keepLines/>
        <w:numPr>
          <w:ilvl w:val="0"/>
          <w:numId w:val="0"/>
        </w:numPr>
        <w:spacing w:before="260" w:after="260" w:line="416" w:lineRule="auto"/>
        <w:jc w:val="center"/>
        <w:outlineLvl w:val="2"/>
        <w:rPr>
          <w:rFonts w:hint="eastAsia" w:cs="@仿宋_GB2312" w:asciiTheme="minorEastAsia" w:hAnsiTheme="minorEastAsia" w:eastAsiaTheme="minorEastAsia"/>
          <w:b/>
          <w:bCs/>
          <w:color w:val="auto"/>
          <w:kern w:val="2"/>
          <w:sz w:val="24"/>
          <w:szCs w:val="24"/>
          <w:highlight w:val="none"/>
          <w:lang w:val="en-US" w:eastAsia="zh-CN"/>
        </w:rPr>
      </w:pPr>
      <w:r>
        <w:rPr>
          <w:rFonts w:hint="eastAsia" w:cs="@仿宋_GB2312" w:asciiTheme="minorEastAsia" w:hAnsiTheme="minorEastAsia" w:eastAsiaTheme="minorEastAsia"/>
          <w:b/>
          <w:bCs/>
          <w:color w:val="auto"/>
          <w:kern w:val="2"/>
          <w:sz w:val="24"/>
          <w:szCs w:val="24"/>
          <w:highlight w:val="none"/>
          <w:lang w:val="en-US" w:eastAsia="zh-CN"/>
        </w:rPr>
        <w:t>八、磋商业绩承诺函</w:t>
      </w:r>
    </w:p>
    <w:p w14:paraId="101ADB52">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rPr>
        <w:t>我公司同意成交结果公告中公示以下业绩并承诺：响应文件中所提供的业绩均真实有效，若被发现存在任何虚假、隐瞒情况，我公司承担由此产生的一切后果。</w:t>
      </w:r>
    </w:p>
    <w:p w14:paraId="79E5F2E0">
      <w:pPr>
        <w:spacing w:line="360" w:lineRule="auto"/>
        <w:ind w:firstLine="3840" w:firstLineChars="1600"/>
        <w:rPr>
          <w:rFonts w:hint="eastAsia" w:cs="宋体"/>
          <w:color w:val="auto"/>
          <w:kern w:val="2"/>
          <w:sz w:val="24"/>
          <w:szCs w:val="24"/>
          <w:highlight w:val="none"/>
        </w:rPr>
      </w:pPr>
      <w:r>
        <w:rPr>
          <w:rFonts w:hint="eastAsia"/>
          <w:color w:val="auto"/>
          <w:sz w:val="24"/>
          <w:szCs w:val="18"/>
          <w:highlight w:val="none"/>
          <w:lang w:eastAsia="zh-CN"/>
        </w:rPr>
        <w:t>供应商</w:t>
      </w:r>
      <w:r>
        <w:rPr>
          <w:rFonts w:hint="eastAsia" w:cs="宋体"/>
          <w:color w:val="auto"/>
          <w:kern w:val="2"/>
          <w:sz w:val="24"/>
          <w:szCs w:val="24"/>
          <w:highlight w:val="none"/>
        </w:rPr>
        <w:t>电子签章：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60DED08C">
      <w:pPr>
        <w:spacing w:line="360" w:lineRule="auto"/>
        <w:ind w:firstLine="3840" w:firstLineChars="1600"/>
        <w:rPr>
          <w:rFonts w:hint="eastAsia"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w:t>
      </w:r>
      <w:r>
        <w:rPr>
          <w:rFonts w:cs="宋体"/>
          <w:color w:val="auto"/>
          <w:kern w:val="2"/>
          <w:sz w:val="24"/>
          <w:szCs w:val="24"/>
          <w:highlight w:val="none"/>
        </w:rPr>
        <w:t xml:space="preserve">   </w:t>
      </w:r>
      <w:r>
        <w:rPr>
          <w:rFonts w:hint="eastAsia" w:cs="宋体"/>
          <w:color w:val="auto"/>
          <w:kern w:val="2"/>
          <w:sz w:val="24"/>
          <w:szCs w:val="24"/>
          <w:highlight w:val="none"/>
        </w:rPr>
        <w:t xml:space="preserve">  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0D3975BB">
      <w:pPr>
        <w:rPr>
          <w:rFonts w:hint="default" w:cs="@仿宋_GB2312" w:asciiTheme="minorEastAsia" w:hAnsiTheme="minorEastAsia" w:eastAsiaTheme="minorEastAsia"/>
          <w:b/>
          <w:bCs/>
          <w:color w:val="auto"/>
          <w:kern w:val="2"/>
          <w:sz w:val="24"/>
          <w:szCs w:val="24"/>
          <w:highlight w:val="none"/>
          <w:lang w:val="en-US" w:eastAsia="zh-CN"/>
        </w:rPr>
      </w:pPr>
    </w:p>
    <w:p w14:paraId="677D4A84">
      <w:pPr>
        <w:keepNext/>
        <w:keepLines/>
        <w:pageBreakBefore w:val="0"/>
        <w:widowControl w:val="0"/>
        <w:numPr>
          <w:ilvl w:val="0"/>
          <w:numId w:val="3"/>
        </w:numPr>
        <w:kinsoku/>
        <w:wordWrap/>
        <w:overflowPunct/>
        <w:topLinePunct w:val="0"/>
        <w:autoSpaceDE/>
        <w:autoSpaceDN/>
        <w:bidi w:val="0"/>
        <w:adjustRightInd/>
        <w:snapToGrid/>
        <w:spacing w:line="240" w:lineRule="auto"/>
        <w:jc w:val="center"/>
        <w:textAlignment w:val="auto"/>
        <w:outlineLvl w:val="9"/>
        <w:rPr>
          <w:rFonts w:hint="eastAsia"/>
          <w:color w:val="auto"/>
          <w:sz w:val="24"/>
          <w:szCs w:val="24"/>
          <w:highlight w:val="none"/>
          <w:lang w:val="en-US" w:eastAsia="zh-CN"/>
        </w:rPr>
      </w:pPr>
      <w:r>
        <w:rPr>
          <w:rFonts w:hint="eastAsia"/>
          <w:color w:val="auto"/>
          <w:sz w:val="24"/>
          <w:szCs w:val="24"/>
          <w:highlight w:val="none"/>
          <w:lang w:val="en-US" w:eastAsia="zh-CN"/>
        </w:rPr>
        <w:t>业绩表</w:t>
      </w:r>
    </w:p>
    <w:p w14:paraId="5275DA9E">
      <w:pPr>
        <w:pStyle w:val="2"/>
        <w:keepNext/>
        <w:keepLines/>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val="0"/>
          <w:bCs w:val="0"/>
          <w:color w:val="auto"/>
          <w:sz w:val="24"/>
          <w:szCs w:val="24"/>
          <w:highlight w:val="none"/>
          <w:lang w:val="en-US" w:eastAsia="zh-CN"/>
        </w:rPr>
      </w:pPr>
      <w:r>
        <w:rPr>
          <w:rFonts w:hint="eastAsia"/>
          <w:b w:val="0"/>
          <w:bCs w:val="0"/>
          <w:color w:val="auto"/>
          <w:sz w:val="24"/>
          <w:szCs w:val="24"/>
          <w:highlight w:val="none"/>
          <w:lang w:val="en-US" w:eastAsia="zh-CN"/>
        </w:rPr>
        <w:t>（格式仅供参考）</w:t>
      </w:r>
    </w:p>
    <w:p w14:paraId="7CF8B2AF">
      <w:pPr>
        <w:rPr>
          <w:rFonts w:eastAsia="@仿宋_GB2312" w:cs="@仿宋_GB2312"/>
          <w:color w:val="auto"/>
          <w:kern w:val="2"/>
          <w:sz w:val="21"/>
          <w:highlight w:val="none"/>
        </w:rPr>
      </w:pP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1870"/>
        <w:gridCol w:w="1683"/>
        <w:gridCol w:w="1768"/>
        <w:gridCol w:w="2009"/>
        <w:gridCol w:w="1227"/>
      </w:tblGrid>
      <w:tr w14:paraId="66A5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57" w:type="pct"/>
            <w:vAlign w:val="center"/>
          </w:tcPr>
          <w:p w14:paraId="240BA307">
            <w:pPr>
              <w:spacing w:line="360" w:lineRule="auto"/>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序号</w:t>
            </w:r>
          </w:p>
        </w:tc>
        <w:tc>
          <w:tcPr>
            <w:tcW w:w="971" w:type="pct"/>
            <w:vAlign w:val="center"/>
          </w:tcPr>
          <w:p w14:paraId="7A17ADBE">
            <w:pPr>
              <w:spacing w:line="360" w:lineRule="auto"/>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项目名称</w:t>
            </w:r>
          </w:p>
        </w:tc>
        <w:tc>
          <w:tcPr>
            <w:tcW w:w="874" w:type="pct"/>
            <w:vAlign w:val="center"/>
          </w:tcPr>
          <w:p w14:paraId="407FCFC1">
            <w:pPr>
              <w:widowControl/>
              <w:spacing w:line="360" w:lineRule="auto"/>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lang w:val="en-US" w:eastAsia="zh-CN"/>
              </w:rPr>
              <w:t>项目</w:t>
            </w:r>
            <w:r>
              <w:rPr>
                <w:rFonts w:hint="eastAsia" w:cs="宋体" w:asciiTheme="minorEastAsia" w:hAnsiTheme="minorEastAsia" w:eastAsiaTheme="minorEastAsia"/>
                <w:b/>
                <w:color w:val="auto"/>
                <w:kern w:val="2"/>
                <w:sz w:val="24"/>
                <w:szCs w:val="24"/>
                <w:highlight w:val="none"/>
              </w:rPr>
              <w:t>内容</w:t>
            </w:r>
          </w:p>
        </w:tc>
        <w:tc>
          <w:tcPr>
            <w:tcW w:w="918" w:type="pct"/>
            <w:vAlign w:val="center"/>
          </w:tcPr>
          <w:p w14:paraId="3038024A">
            <w:pPr>
              <w:widowControl/>
              <w:spacing w:line="360" w:lineRule="auto"/>
              <w:jc w:val="center"/>
              <w:rPr>
                <w:rFonts w:hint="default"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lang w:val="en-US" w:eastAsia="zh-CN"/>
              </w:rPr>
              <w:t>合同总金额</w:t>
            </w:r>
          </w:p>
        </w:tc>
        <w:tc>
          <w:tcPr>
            <w:tcW w:w="1043" w:type="pct"/>
            <w:vAlign w:val="center"/>
          </w:tcPr>
          <w:p w14:paraId="0F661F48">
            <w:pPr>
              <w:widowControl/>
              <w:spacing w:line="360" w:lineRule="auto"/>
              <w:jc w:val="center"/>
              <w:rPr>
                <w:rFonts w:hint="default"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lang w:val="en-US" w:eastAsia="zh-CN"/>
              </w:rPr>
              <w:t>业绩合同甲方及联系电话</w:t>
            </w:r>
          </w:p>
        </w:tc>
        <w:tc>
          <w:tcPr>
            <w:tcW w:w="636" w:type="pct"/>
            <w:vAlign w:val="center"/>
          </w:tcPr>
          <w:p w14:paraId="53DB068D">
            <w:pPr>
              <w:spacing w:line="360" w:lineRule="auto"/>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w:t>
            </w:r>
          </w:p>
        </w:tc>
      </w:tr>
      <w:tr w14:paraId="4B93F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000" w:type="pct"/>
            <w:gridSpan w:val="6"/>
            <w:vAlign w:val="center"/>
          </w:tcPr>
          <w:p w14:paraId="1A65AFED">
            <w:pPr>
              <w:spacing w:line="360" w:lineRule="auto"/>
              <w:jc w:val="center"/>
              <w:rPr>
                <w:rFonts w:hint="default" w:cs="宋体" w:asciiTheme="minorEastAsia" w:hAnsiTheme="minorEastAsia" w:eastAsiaTheme="minorEastAsia"/>
                <w:b w:val="0"/>
                <w:bCs/>
                <w:color w:val="auto"/>
                <w:kern w:val="2"/>
                <w:sz w:val="24"/>
                <w:szCs w:val="24"/>
                <w:highlight w:val="none"/>
                <w:lang w:val="en-US" w:eastAsia="zh-CN"/>
              </w:rPr>
            </w:pPr>
            <w:r>
              <w:rPr>
                <w:rFonts w:hint="eastAsia" w:cs="宋体" w:asciiTheme="minorEastAsia" w:hAnsiTheme="minorEastAsia" w:eastAsiaTheme="minorEastAsia"/>
                <w:b w:val="0"/>
                <w:bCs/>
                <w:color w:val="auto"/>
                <w:kern w:val="2"/>
                <w:sz w:val="24"/>
                <w:szCs w:val="24"/>
                <w:highlight w:val="none"/>
                <w:lang w:val="en-US" w:eastAsia="zh-CN"/>
              </w:rPr>
              <w:t>供应商初审业绩（资格门槛业绩）</w:t>
            </w:r>
          </w:p>
        </w:tc>
      </w:tr>
      <w:tr w14:paraId="17C3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pct"/>
            <w:vAlign w:val="center"/>
          </w:tcPr>
          <w:p w14:paraId="1B0EF811">
            <w:pPr>
              <w:spacing w:line="360" w:lineRule="auto"/>
              <w:jc w:val="center"/>
              <w:rPr>
                <w:rFonts w:cs="宋体" w:asciiTheme="minorEastAsia" w:hAnsiTheme="minorEastAsia" w:eastAsiaTheme="minorEastAsia"/>
                <w:b w:val="0"/>
                <w:bCs/>
                <w:color w:val="auto"/>
                <w:kern w:val="2"/>
                <w:sz w:val="24"/>
                <w:szCs w:val="24"/>
                <w:highlight w:val="none"/>
              </w:rPr>
            </w:pPr>
            <w:r>
              <w:rPr>
                <w:rFonts w:hint="eastAsia" w:cs="宋体" w:asciiTheme="minorEastAsia" w:hAnsiTheme="minorEastAsia" w:eastAsiaTheme="minorEastAsia"/>
                <w:b w:val="0"/>
                <w:bCs/>
                <w:color w:val="auto"/>
                <w:kern w:val="2"/>
                <w:sz w:val="24"/>
                <w:szCs w:val="24"/>
                <w:highlight w:val="none"/>
              </w:rPr>
              <w:t>1</w:t>
            </w:r>
          </w:p>
        </w:tc>
        <w:tc>
          <w:tcPr>
            <w:tcW w:w="971" w:type="pct"/>
            <w:vAlign w:val="center"/>
          </w:tcPr>
          <w:p w14:paraId="1F0CAB35">
            <w:pPr>
              <w:spacing w:line="360" w:lineRule="auto"/>
              <w:rPr>
                <w:rFonts w:cs="宋体" w:asciiTheme="minorEastAsia" w:hAnsiTheme="minorEastAsia" w:eastAsiaTheme="minorEastAsia"/>
                <w:b w:val="0"/>
                <w:bCs/>
                <w:color w:val="auto"/>
                <w:kern w:val="2"/>
                <w:sz w:val="24"/>
                <w:szCs w:val="24"/>
                <w:highlight w:val="none"/>
              </w:rPr>
            </w:pPr>
          </w:p>
        </w:tc>
        <w:tc>
          <w:tcPr>
            <w:tcW w:w="874" w:type="pct"/>
            <w:vAlign w:val="center"/>
          </w:tcPr>
          <w:p w14:paraId="4C37E81C">
            <w:pPr>
              <w:spacing w:line="360" w:lineRule="auto"/>
              <w:rPr>
                <w:rFonts w:cs="宋体" w:asciiTheme="minorEastAsia" w:hAnsiTheme="minorEastAsia" w:eastAsiaTheme="minorEastAsia"/>
                <w:b w:val="0"/>
                <w:bCs/>
                <w:color w:val="auto"/>
                <w:kern w:val="2"/>
                <w:sz w:val="24"/>
                <w:szCs w:val="24"/>
                <w:highlight w:val="none"/>
              </w:rPr>
            </w:pPr>
          </w:p>
        </w:tc>
        <w:tc>
          <w:tcPr>
            <w:tcW w:w="918" w:type="pct"/>
            <w:vAlign w:val="center"/>
          </w:tcPr>
          <w:p w14:paraId="1A4D85E5">
            <w:pPr>
              <w:spacing w:line="360" w:lineRule="auto"/>
              <w:rPr>
                <w:rFonts w:cs="宋体" w:asciiTheme="minorEastAsia" w:hAnsiTheme="minorEastAsia" w:eastAsiaTheme="minorEastAsia"/>
                <w:b w:val="0"/>
                <w:bCs/>
                <w:color w:val="auto"/>
                <w:kern w:val="2"/>
                <w:sz w:val="24"/>
                <w:szCs w:val="24"/>
                <w:highlight w:val="none"/>
              </w:rPr>
            </w:pPr>
          </w:p>
        </w:tc>
        <w:tc>
          <w:tcPr>
            <w:tcW w:w="1043" w:type="pct"/>
            <w:vAlign w:val="center"/>
          </w:tcPr>
          <w:p w14:paraId="3B2B33B4">
            <w:pPr>
              <w:spacing w:line="360" w:lineRule="auto"/>
              <w:rPr>
                <w:rFonts w:cs="宋体" w:asciiTheme="minorEastAsia" w:hAnsiTheme="minorEastAsia" w:eastAsiaTheme="minorEastAsia"/>
                <w:b w:val="0"/>
                <w:bCs/>
                <w:color w:val="auto"/>
                <w:kern w:val="2"/>
                <w:sz w:val="24"/>
                <w:szCs w:val="24"/>
                <w:highlight w:val="none"/>
              </w:rPr>
            </w:pPr>
          </w:p>
        </w:tc>
        <w:tc>
          <w:tcPr>
            <w:tcW w:w="636" w:type="pct"/>
            <w:vAlign w:val="center"/>
          </w:tcPr>
          <w:p w14:paraId="60434E66">
            <w:pPr>
              <w:spacing w:line="360" w:lineRule="auto"/>
              <w:rPr>
                <w:rFonts w:cs="宋体" w:asciiTheme="minorEastAsia" w:hAnsiTheme="minorEastAsia" w:eastAsiaTheme="minorEastAsia"/>
                <w:b w:val="0"/>
                <w:bCs/>
                <w:color w:val="auto"/>
                <w:kern w:val="2"/>
                <w:sz w:val="24"/>
                <w:szCs w:val="24"/>
                <w:highlight w:val="none"/>
              </w:rPr>
            </w:pPr>
          </w:p>
        </w:tc>
      </w:tr>
      <w:tr w14:paraId="696E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14:paraId="28499087">
            <w:pPr>
              <w:spacing w:line="360" w:lineRule="auto"/>
              <w:jc w:val="center"/>
              <w:rPr>
                <w:rFonts w:cs="宋体" w:asciiTheme="minorEastAsia" w:hAnsiTheme="minorEastAsia" w:eastAsiaTheme="minorEastAsia"/>
                <w:b w:val="0"/>
                <w:bCs/>
                <w:color w:val="auto"/>
                <w:kern w:val="2"/>
                <w:sz w:val="24"/>
                <w:szCs w:val="24"/>
                <w:highlight w:val="none"/>
              </w:rPr>
            </w:pPr>
            <w:r>
              <w:rPr>
                <w:rFonts w:hint="eastAsia" w:cs="宋体" w:asciiTheme="minorEastAsia" w:hAnsiTheme="minorEastAsia" w:eastAsiaTheme="minorEastAsia"/>
                <w:b w:val="0"/>
                <w:bCs/>
                <w:color w:val="auto"/>
                <w:kern w:val="2"/>
                <w:sz w:val="24"/>
                <w:szCs w:val="24"/>
                <w:highlight w:val="none"/>
                <w:lang w:val="en-US" w:eastAsia="zh-CN"/>
              </w:rPr>
              <w:t>项目总监初审业绩（资格门槛业绩）</w:t>
            </w:r>
          </w:p>
        </w:tc>
      </w:tr>
      <w:tr w14:paraId="04D8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pct"/>
            <w:vAlign w:val="center"/>
          </w:tcPr>
          <w:p w14:paraId="3AF52407">
            <w:pPr>
              <w:spacing w:line="360" w:lineRule="auto"/>
              <w:jc w:val="center"/>
              <w:rPr>
                <w:rFonts w:hint="eastAsia" w:cs="宋体" w:asciiTheme="minorEastAsia" w:hAnsiTheme="minorEastAsia" w:eastAsiaTheme="minorEastAsia"/>
                <w:b w:val="0"/>
                <w:bCs/>
                <w:color w:val="auto"/>
                <w:kern w:val="2"/>
                <w:sz w:val="24"/>
                <w:szCs w:val="24"/>
                <w:highlight w:val="none"/>
                <w:lang w:eastAsia="zh-CN"/>
              </w:rPr>
            </w:pPr>
            <w:r>
              <w:rPr>
                <w:rFonts w:hint="eastAsia" w:cs="宋体" w:asciiTheme="minorEastAsia" w:hAnsiTheme="minorEastAsia" w:eastAsiaTheme="minorEastAsia"/>
                <w:b w:val="0"/>
                <w:bCs/>
                <w:color w:val="auto"/>
                <w:kern w:val="2"/>
                <w:sz w:val="24"/>
                <w:szCs w:val="24"/>
                <w:highlight w:val="none"/>
                <w:lang w:val="en-US" w:eastAsia="zh-CN"/>
              </w:rPr>
              <w:t>1</w:t>
            </w:r>
          </w:p>
        </w:tc>
        <w:tc>
          <w:tcPr>
            <w:tcW w:w="971" w:type="pct"/>
            <w:vAlign w:val="center"/>
          </w:tcPr>
          <w:p w14:paraId="5780167A">
            <w:pPr>
              <w:spacing w:line="360" w:lineRule="auto"/>
              <w:rPr>
                <w:rFonts w:cs="宋体" w:asciiTheme="minorEastAsia" w:hAnsiTheme="minorEastAsia" w:eastAsiaTheme="minorEastAsia"/>
                <w:b w:val="0"/>
                <w:bCs/>
                <w:color w:val="auto"/>
                <w:kern w:val="2"/>
                <w:sz w:val="24"/>
                <w:szCs w:val="24"/>
                <w:highlight w:val="none"/>
              </w:rPr>
            </w:pPr>
          </w:p>
        </w:tc>
        <w:tc>
          <w:tcPr>
            <w:tcW w:w="874" w:type="pct"/>
            <w:vAlign w:val="center"/>
          </w:tcPr>
          <w:p w14:paraId="453CA750">
            <w:pPr>
              <w:spacing w:line="360" w:lineRule="auto"/>
              <w:rPr>
                <w:rFonts w:cs="宋体" w:asciiTheme="minorEastAsia" w:hAnsiTheme="minorEastAsia" w:eastAsiaTheme="minorEastAsia"/>
                <w:b w:val="0"/>
                <w:bCs/>
                <w:color w:val="auto"/>
                <w:kern w:val="2"/>
                <w:sz w:val="24"/>
                <w:szCs w:val="24"/>
                <w:highlight w:val="none"/>
              </w:rPr>
            </w:pPr>
          </w:p>
        </w:tc>
        <w:tc>
          <w:tcPr>
            <w:tcW w:w="918" w:type="pct"/>
            <w:vAlign w:val="center"/>
          </w:tcPr>
          <w:p w14:paraId="0A1853EE">
            <w:pPr>
              <w:spacing w:line="360" w:lineRule="auto"/>
              <w:rPr>
                <w:rFonts w:cs="宋体" w:asciiTheme="minorEastAsia" w:hAnsiTheme="minorEastAsia" w:eastAsiaTheme="minorEastAsia"/>
                <w:b w:val="0"/>
                <w:bCs/>
                <w:color w:val="auto"/>
                <w:kern w:val="2"/>
                <w:sz w:val="24"/>
                <w:szCs w:val="24"/>
                <w:highlight w:val="none"/>
              </w:rPr>
            </w:pPr>
          </w:p>
        </w:tc>
        <w:tc>
          <w:tcPr>
            <w:tcW w:w="1043" w:type="pct"/>
            <w:vAlign w:val="center"/>
          </w:tcPr>
          <w:p w14:paraId="310F2EFA">
            <w:pPr>
              <w:spacing w:line="360" w:lineRule="auto"/>
              <w:rPr>
                <w:rFonts w:cs="宋体" w:asciiTheme="minorEastAsia" w:hAnsiTheme="minorEastAsia" w:eastAsiaTheme="minorEastAsia"/>
                <w:b w:val="0"/>
                <w:bCs/>
                <w:color w:val="auto"/>
                <w:kern w:val="2"/>
                <w:sz w:val="24"/>
                <w:szCs w:val="24"/>
                <w:highlight w:val="none"/>
              </w:rPr>
            </w:pPr>
          </w:p>
        </w:tc>
        <w:tc>
          <w:tcPr>
            <w:tcW w:w="636" w:type="pct"/>
            <w:vAlign w:val="center"/>
          </w:tcPr>
          <w:p w14:paraId="77EC2513">
            <w:pPr>
              <w:spacing w:line="360" w:lineRule="auto"/>
              <w:rPr>
                <w:rFonts w:cs="宋体" w:asciiTheme="minorEastAsia" w:hAnsiTheme="minorEastAsia" w:eastAsiaTheme="minorEastAsia"/>
                <w:b w:val="0"/>
                <w:bCs/>
                <w:color w:val="auto"/>
                <w:kern w:val="2"/>
                <w:sz w:val="24"/>
                <w:szCs w:val="24"/>
                <w:highlight w:val="none"/>
              </w:rPr>
            </w:pPr>
          </w:p>
        </w:tc>
      </w:tr>
      <w:tr w14:paraId="38B4E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14:paraId="78D7BFC8">
            <w:pPr>
              <w:spacing w:line="360" w:lineRule="auto"/>
              <w:jc w:val="center"/>
              <w:rPr>
                <w:rFonts w:cs="宋体" w:asciiTheme="minorEastAsia" w:hAnsiTheme="minorEastAsia" w:eastAsiaTheme="minorEastAsia"/>
                <w:b w:val="0"/>
                <w:bCs/>
                <w:color w:val="auto"/>
                <w:kern w:val="2"/>
                <w:sz w:val="24"/>
                <w:szCs w:val="24"/>
                <w:highlight w:val="none"/>
              </w:rPr>
            </w:pPr>
            <w:r>
              <w:rPr>
                <w:rFonts w:hint="eastAsia" w:cs="宋体" w:asciiTheme="minorEastAsia" w:hAnsiTheme="minorEastAsia" w:eastAsiaTheme="minorEastAsia"/>
                <w:b w:val="0"/>
                <w:bCs/>
                <w:color w:val="auto"/>
                <w:kern w:val="2"/>
                <w:sz w:val="24"/>
                <w:szCs w:val="24"/>
                <w:highlight w:val="none"/>
                <w:lang w:val="en-US" w:eastAsia="zh-CN"/>
              </w:rPr>
              <w:t>供应商评审业绩（打分业绩）</w:t>
            </w:r>
          </w:p>
        </w:tc>
      </w:tr>
      <w:tr w14:paraId="1AAF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pct"/>
            <w:vAlign w:val="center"/>
          </w:tcPr>
          <w:p w14:paraId="25C6E70E">
            <w:pPr>
              <w:spacing w:line="360" w:lineRule="auto"/>
              <w:jc w:val="center"/>
              <w:rPr>
                <w:rFonts w:hint="eastAsia" w:cs="宋体" w:asciiTheme="minorEastAsia" w:hAnsiTheme="minorEastAsia" w:eastAsiaTheme="minorEastAsia"/>
                <w:b w:val="0"/>
                <w:bCs/>
                <w:color w:val="auto"/>
                <w:kern w:val="2"/>
                <w:sz w:val="24"/>
                <w:szCs w:val="24"/>
                <w:highlight w:val="none"/>
                <w:lang w:eastAsia="zh-CN"/>
              </w:rPr>
            </w:pPr>
            <w:r>
              <w:rPr>
                <w:rFonts w:hint="eastAsia" w:cs="宋体" w:asciiTheme="minorEastAsia" w:hAnsiTheme="minorEastAsia" w:eastAsiaTheme="minorEastAsia"/>
                <w:b w:val="0"/>
                <w:bCs/>
                <w:color w:val="auto"/>
                <w:kern w:val="2"/>
                <w:sz w:val="24"/>
                <w:szCs w:val="24"/>
                <w:highlight w:val="none"/>
                <w:lang w:val="en-US" w:eastAsia="zh-CN"/>
              </w:rPr>
              <w:t>1</w:t>
            </w:r>
          </w:p>
        </w:tc>
        <w:tc>
          <w:tcPr>
            <w:tcW w:w="971" w:type="pct"/>
            <w:vAlign w:val="center"/>
          </w:tcPr>
          <w:p w14:paraId="32E939E1">
            <w:pPr>
              <w:spacing w:line="360" w:lineRule="auto"/>
              <w:rPr>
                <w:rFonts w:cs="宋体" w:asciiTheme="minorEastAsia" w:hAnsiTheme="minorEastAsia" w:eastAsiaTheme="minorEastAsia"/>
                <w:b w:val="0"/>
                <w:bCs/>
                <w:color w:val="auto"/>
                <w:kern w:val="2"/>
                <w:sz w:val="24"/>
                <w:szCs w:val="24"/>
                <w:highlight w:val="none"/>
              </w:rPr>
            </w:pPr>
          </w:p>
        </w:tc>
        <w:tc>
          <w:tcPr>
            <w:tcW w:w="874" w:type="pct"/>
            <w:vAlign w:val="center"/>
          </w:tcPr>
          <w:p w14:paraId="7A63825A">
            <w:pPr>
              <w:spacing w:line="360" w:lineRule="auto"/>
              <w:rPr>
                <w:rFonts w:cs="宋体" w:asciiTheme="minorEastAsia" w:hAnsiTheme="minorEastAsia" w:eastAsiaTheme="minorEastAsia"/>
                <w:b w:val="0"/>
                <w:bCs/>
                <w:color w:val="auto"/>
                <w:kern w:val="2"/>
                <w:sz w:val="24"/>
                <w:szCs w:val="24"/>
                <w:highlight w:val="none"/>
              </w:rPr>
            </w:pPr>
          </w:p>
        </w:tc>
        <w:tc>
          <w:tcPr>
            <w:tcW w:w="918" w:type="pct"/>
            <w:vAlign w:val="center"/>
          </w:tcPr>
          <w:p w14:paraId="22EA100C">
            <w:pPr>
              <w:spacing w:line="360" w:lineRule="auto"/>
              <w:rPr>
                <w:rFonts w:cs="宋体" w:asciiTheme="minorEastAsia" w:hAnsiTheme="minorEastAsia" w:eastAsiaTheme="minorEastAsia"/>
                <w:b w:val="0"/>
                <w:bCs/>
                <w:color w:val="auto"/>
                <w:kern w:val="2"/>
                <w:sz w:val="24"/>
                <w:szCs w:val="24"/>
                <w:highlight w:val="none"/>
              </w:rPr>
            </w:pPr>
          </w:p>
        </w:tc>
        <w:tc>
          <w:tcPr>
            <w:tcW w:w="1043" w:type="pct"/>
            <w:vAlign w:val="center"/>
          </w:tcPr>
          <w:p w14:paraId="52240F8F">
            <w:pPr>
              <w:spacing w:line="360" w:lineRule="auto"/>
              <w:rPr>
                <w:rFonts w:cs="宋体" w:asciiTheme="minorEastAsia" w:hAnsiTheme="minorEastAsia" w:eastAsiaTheme="minorEastAsia"/>
                <w:b w:val="0"/>
                <w:bCs/>
                <w:color w:val="auto"/>
                <w:kern w:val="2"/>
                <w:sz w:val="24"/>
                <w:szCs w:val="24"/>
                <w:highlight w:val="none"/>
              </w:rPr>
            </w:pPr>
          </w:p>
        </w:tc>
        <w:tc>
          <w:tcPr>
            <w:tcW w:w="636" w:type="pct"/>
            <w:vAlign w:val="center"/>
          </w:tcPr>
          <w:p w14:paraId="027438C1">
            <w:pPr>
              <w:spacing w:line="360" w:lineRule="auto"/>
              <w:rPr>
                <w:rFonts w:cs="宋体" w:asciiTheme="minorEastAsia" w:hAnsiTheme="minorEastAsia" w:eastAsiaTheme="minorEastAsia"/>
                <w:b w:val="0"/>
                <w:bCs/>
                <w:color w:val="auto"/>
                <w:kern w:val="2"/>
                <w:sz w:val="24"/>
                <w:szCs w:val="24"/>
                <w:highlight w:val="none"/>
              </w:rPr>
            </w:pPr>
          </w:p>
        </w:tc>
      </w:tr>
      <w:tr w14:paraId="2A5B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pct"/>
            <w:vAlign w:val="center"/>
          </w:tcPr>
          <w:p w14:paraId="7D50D957">
            <w:pPr>
              <w:spacing w:line="360" w:lineRule="auto"/>
              <w:jc w:val="center"/>
              <w:rPr>
                <w:rFonts w:hint="eastAsia" w:cs="宋体" w:asciiTheme="minorEastAsia" w:hAnsiTheme="minorEastAsia" w:eastAsiaTheme="minorEastAsia"/>
                <w:b w:val="0"/>
                <w:bCs/>
                <w:color w:val="auto"/>
                <w:kern w:val="2"/>
                <w:sz w:val="24"/>
                <w:szCs w:val="24"/>
                <w:highlight w:val="none"/>
                <w:lang w:eastAsia="zh-CN"/>
              </w:rPr>
            </w:pPr>
            <w:r>
              <w:rPr>
                <w:rFonts w:hint="eastAsia" w:cs="宋体" w:asciiTheme="minorEastAsia" w:hAnsiTheme="minorEastAsia" w:eastAsiaTheme="minorEastAsia"/>
                <w:b w:val="0"/>
                <w:bCs/>
                <w:color w:val="auto"/>
                <w:kern w:val="2"/>
                <w:sz w:val="24"/>
                <w:szCs w:val="24"/>
                <w:highlight w:val="none"/>
                <w:lang w:val="en-US" w:eastAsia="zh-CN"/>
              </w:rPr>
              <w:t>2</w:t>
            </w:r>
          </w:p>
        </w:tc>
        <w:tc>
          <w:tcPr>
            <w:tcW w:w="971" w:type="pct"/>
            <w:vAlign w:val="center"/>
          </w:tcPr>
          <w:p w14:paraId="2F1531A8">
            <w:pPr>
              <w:spacing w:line="360" w:lineRule="auto"/>
              <w:rPr>
                <w:rFonts w:cs="宋体" w:asciiTheme="minorEastAsia" w:hAnsiTheme="minorEastAsia" w:eastAsiaTheme="minorEastAsia"/>
                <w:b w:val="0"/>
                <w:bCs/>
                <w:color w:val="auto"/>
                <w:kern w:val="2"/>
                <w:sz w:val="24"/>
                <w:szCs w:val="24"/>
                <w:highlight w:val="none"/>
              </w:rPr>
            </w:pPr>
          </w:p>
        </w:tc>
        <w:tc>
          <w:tcPr>
            <w:tcW w:w="874" w:type="pct"/>
            <w:vAlign w:val="center"/>
          </w:tcPr>
          <w:p w14:paraId="2BDF18C4">
            <w:pPr>
              <w:spacing w:line="360" w:lineRule="auto"/>
              <w:rPr>
                <w:rFonts w:cs="宋体" w:asciiTheme="minorEastAsia" w:hAnsiTheme="minorEastAsia" w:eastAsiaTheme="minorEastAsia"/>
                <w:b w:val="0"/>
                <w:bCs/>
                <w:color w:val="auto"/>
                <w:kern w:val="2"/>
                <w:sz w:val="24"/>
                <w:szCs w:val="24"/>
                <w:highlight w:val="none"/>
              </w:rPr>
            </w:pPr>
          </w:p>
        </w:tc>
        <w:tc>
          <w:tcPr>
            <w:tcW w:w="918" w:type="pct"/>
            <w:vAlign w:val="center"/>
          </w:tcPr>
          <w:p w14:paraId="6978E710">
            <w:pPr>
              <w:spacing w:line="360" w:lineRule="auto"/>
              <w:rPr>
                <w:rFonts w:cs="宋体" w:asciiTheme="minorEastAsia" w:hAnsiTheme="minorEastAsia" w:eastAsiaTheme="minorEastAsia"/>
                <w:b w:val="0"/>
                <w:bCs/>
                <w:color w:val="auto"/>
                <w:kern w:val="2"/>
                <w:sz w:val="24"/>
                <w:szCs w:val="24"/>
                <w:highlight w:val="none"/>
              </w:rPr>
            </w:pPr>
          </w:p>
        </w:tc>
        <w:tc>
          <w:tcPr>
            <w:tcW w:w="1043" w:type="pct"/>
            <w:vAlign w:val="center"/>
          </w:tcPr>
          <w:p w14:paraId="17C5C0F9">
            <w:pPr>
              <w:spacing w:line="360" w:lineRule="auto"/>
              <w:rPr>
                <w:rFonts w:cs="宋体" w:asciiTheme="minorEastAsia" w:hAnsiTheme="minorEastAsia" w:eastAsiaTheme="minorEastAsia"/>
                <w:b w:val="0"/>
                <w:bCs/>
                <w:color w:val="auto"/>
                <w:kern w:val="2"/>
                <w:sz w:val="24"/>
                <w:szCs w:val="24"/>
                <w:highlight w:val="none"/>
              </w:rPr>
            </w:pPr>
          </w:p>
        </w:tc>
        <w:tc>
          <w:tcPr>
            <w:tcW w:w="636" w:type="pct"/>
            <w:vAlign w:val="center"/>
          </w:tcPr>
          <w:p w14:paraId="5AB44295">
            <w:pPr>
              <w:spacing w:line="360" w:lineRule="auto"/>
              <w:rPr>
                <w:rFonts w:cs="宋体" w:asciiTheme="minorEastAsia" w:hAnsiTheme="minorEastAsia" w:eastAsiaTheme="minorEastAsia"/>
                <w:b w:val="0"/>
                <w:bCs/>
                <w:color w:val="auto"/>
                <w:kern w:val="2"/>
                <w:sz w:val="24"/>
                <w:szCs w:val="24"/>
                <w:highlight w:val="none"/>
              </w:rPr>
            </w:pPr>
          </w:p>
        </w:tc>
      </w:tr>
      <w:tr w14:paraId="6B58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14:paraId="4304E196">
            <w:pPr>
              <w:spacing w:line="360" w:lineRule="auto"/>
              <w:jc w:val="center"/>
              <w:rPr>
                <w:rFonts w:cs="宋体" w:asciiTheme="minorEastAsia" w:hAnsiTheme="minorEastAsia" w:eastAsiaTheme="minorEastAsia"/>
                <w:b w:val="0"/>
                <w:bCs/>
                <w:color w:val="auto"/>
                <w:kern w:val="2"/>
                <w:sz w:val="24"/>
                <w:szCs w:val="24"/>
                <w:highlight w:val="none"/>
              </w:rPr>
            </w:pPr>
            <w:r>
              <w:rPr>
                <w:rFonts w:hint="eastAsia" w:cs="宋体" w:asciiTheme="minorEastAsia" w:hAnsiTheme="minorEastAsia" w:eastAsiaTheme="minorEastAsia"/>
                <w:b w:val="0"/>
                <w:bCs/>
                <w:color w:val="auto"/>
                <w:kern w:val="2"/>
                <w:sz w:val="24"/>
                <w:szCs w:val="24"/>
                <w:highlight w:val="none"/>
                <w:lang w:val="en-US" w:eastAsia="zh-CN"/>
              </w:rPr>
              <w:t>项目总监评审业绩（打分业绩）</w:t>
            </w:r>
          </w:p>
        </w:tc>
      </w:tr>
      <w:tr w14:paraId="0392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pct"/>
            <w:vAlign w:val="center"/>
          </w:tcPr>
          <w:p w14:paraId="71849139">
            <w:pPr>
              <w:spacing w:line="360" w:lineRule="auto"/>
              <w:jc w:val="center"/>
              <w:rPr>
                <w:rFonts w:hint="default" w:cs="宋体" w:asciiTheme="minorEastAsia" w:hAnsiTheme="minorEastAsia" w:eastAsiaTheme="minorEastAsia"/>
                <w:b w:val="0"/>
                <w:bCs/>
                <w:color w:val="auto"/>
                <w:kern w:val="2"/>
                <w:sz w:val="24"/>
                <w:szCs w:val="24"/>
                <w:highlight w:val="none"/>
                <w:lang w:val="en-US" w:eastAsia="zh-CN"/>
              </w:rPr>
            </w:pPr>
            <w:r>
              <w:rPr>
                <w:rFonts w:hint="eastAsia" w:cs="宋体" w:asciiTheme="minorEastAsia" w:hAnsiTheme="minorEastAsia" w:eastAsiaTheme="minorEastAsia"/>
                <w:b w:val="0"/>
                <w:bCs/>
                <w:color w:val="auto"/>
                <w:kern w:val="2"/>
                <w:sz w:val="24"/>
                <w:szCs w:val="24"/>
                <w:highlight w:val="none"/>
                <w:lang w:val="en-US" w:eastAsia="zh-CN"/>
              </w:rPr>
              <w:t>1</w:t>
            </w:r>
          </w:p>
        </w:tc>
        <w:tc>
          <w:tcPr>
            <w:tcW w:w="971" w:type="pct"/>
            <w:vAlign w:val="center"/>
          </w:tcPr>
          <w:p w14:paraId="6549D4CC">
            <w:pPr>
              <w:spacing w:line="360" w:lineRule="auto"/>
              <w:rPr>
                <w:rFonts w:cs="宋体" w:asciiTheme="minorEastAsia" w:hAnsiTheme="minorEastAsia" w:eastAsiaTheme="minorEastAsia"/>
                <w:b/>
                <w:color w:val="auto"/>
                <w:kern w:val="2"/>
                <w:sz w:val="24"/>
                <w:szCs w:val="24"/>
                <w:highlight w:val="none"/>
              </w:rPr>
            </w:pPr>
          </w:p>
        </w:tc>
        <w:tc>
          <w:tcPr>
            <w:tcW w:w="874" w:type="pct"/>
            <w:vAlign w:val="center"/>
          </w:tcPr>
          <w:p w14:paraId="50B9B18A">
            <w:pPr>
              <w:spacing w:line="360" w:lineRule="auto"/>
              <w:rPr>
                <w:rFonts w:cs="宋体" w:asciiTheme="minorEastAsia" w:hAnsiTheme="minorEastAsia" w:eastAsiaTheme="minorEastAsia"/>
                <w:b/>
                <w:color w:val="auto"/>
                <w:kern w:val="2"/>
                <w:sz w:val="24"/>
                <w:szCs w:val="24"/>
                <w:highlight w:val="none"/>
              </w:rPr>
            </w:pPr>
          </w:p>
        </w:tc>
        <w:tc>
          <w:tcPr>
            <w:tcW w:w="918" w:type="pct"/>
            <w:vAlign w:val="center"/>
          </w:tcPr>
          <w:p w14:paraId="108068A4">
            <w:pPr>
              <w:spacing w:line="360" w:lineRule="auto"/>
              <w:rPr>
                <w:rFonts w:cs="宋体" w:asciiTheme="minorEastAsia" w:hAnsiTheme="minorEastAsia" w:eastAsiaTheme="minorEastAsia"/>
                <w:b/>
                <w:color w:val="auto"/>
                <w:kern w:val="2"/>
                <w:sz w:val="24"/>
                <w:szCs w:val="24"/>
                <w:highlight w:val="none"/>
              </w:rPr>
            </w:pPr>
          </w:p>
        </w:tc>
        <w:tc>
          <w:tcPr>
            <w:tcW w:w="1043" w:type="pct"/>
            <w:vAlign w:val="center"/>
          </w:tcPr>
          <w:p w14:paraId="2704F863">
            <w:pPr>
              <w:spacing w:line="360" w:lineRule="auto"/>
              <w:rPr>
                <w:rFonts w:cs="宋体" w:asciiTheme="minorEastAsia" w:hAnsiTheme="minorEastAsia" w:eastAsiaTheme="minorEastAsia"/>
                <w:b/>
                <w:color w:val="auto"/>
                <w:kern w:val="2"/>
                <w:sz w:val="24"/>
                <w:szCs w:val="24"/>
                <w:highlight w:val="none"/>
              </w:rPr>
            </w:pPr>
          </w:p>
        </w:tc>
        <w:tc>
          <w:tcPr>
            <w:tcW w:w="636" w:type="pct"/>
            <w:vAlign w:val="center"/>
          </w:tcPr>
          <w:p w14:paraId="6E701BD1">
            <w:pPr>
              <w:spacing w:line="360" w:lineRule="auto"/>
              <w:rPr>
                <w:rFonts w:cs="宋体" w:asciiTheme="minorEastAsia" w:hAnsiTheme="minorEastAsia" w:eastAsiaTheme="minorEastAsia"/>
                <w:b/>
                <w:color w:val="auto"/>
                <w:kern w:val="2"/>
                <w:sz w:val="24"/>
                <w:szCs w:val="24"/>
                <w:highlight w:val="none"/>
              </w:rPr>
            </w:pPr>
          </w:p>
        </w:tc>
      </w:tr>
      <w:tr w14:paraId="0C4A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pct"/>
            <w:vAlign w:val="center"/>
          </w:tcPr>
          <w:p w14:paraId="1EBED437">
            <w:pPr>
              <w:spacing w:line="360" w:lineRule="auto"/>
              <w:jc w:val="center"/>
              <w:rPr>
                <w:rFonts w:hint="default" w:cs="宋体" w:asciiTheme="minorEastAsia" w:hAnsiTheme="minorEastAsia" w:eastAsiaTheme="minorEastAsia"/>
                <w:b w:val="0"/>
                <w:bCs/>
                <w:color w:val="auto"/>
                <w:kern w:val="2"/>
                <w:sz w:val="24"/>
                <w:szCs w:val="24"/>
                <w:highlight w:val="none"/>
                <w:lang w:val="en-US" w:eastAsia="zh-CN"/>
              </w:rPr>
            </w:pPr>
            <w:r>
              <w:rPr>
                <w:rFonts w:hint="eastAsia" w:cs="宋体" w:asciiTheme="minorEastAsia" w:hAnsiTheme="minorEastAsia" w:eastAsiaTheme="minorEastAsia"/>
                <w:b w:val="0"/>
                <w:bCs/>
                <w:color w:val="auto"/>
                <w:kern w:val="2"/>
                <w:sz w:val="24"/>
                <w:szCs w:val="24"/>
                <w:highlight w:val="none"/>
                <w:lang w:val="en-US" w:eastAsia="zh-CN"/>
              </w:rPr>
              <w:t>2</w:t>
            </w:r>
          </w:p>
        </w:tc>
        <w:tc>
          <w:tcPr>
            <w:tcW w:w="971" w:type="pct"/>
            <w:vAlign w:val="center"/>
          </w:tcPr>
          <w:p w14:paraId="02E2BD6A">
            <w:pPr>
              <w:spacing w:line="360" w:lineRule="auto"/>
              <w:rPr>
                <w:rFonts w:cs="宋体" w:asciiTheme="minorEastAsia" w:hAnsiTheme="minorEastAsia" w:eastAsiaTheme="minorEastAsia"/>
                <w:b/>
                <w:color w:val="auto"/>
                <w:kern w:val="2"/>
                <w:sz w:val="24"/>
                <w:szCs w:val="24"/>
                <w:highlight w:val="none"/>
              </w:rPr>
            </w:pPr>
          </w:p>
        </w:tc>
        <w:tc>
          <w:tcPr>
            <w:tcW w:w="874" w:type="pct"/>
            <w:vAlign w:val="center"/>
          </w:tcPr>
          <w:p w14:paraId="35BD616F">
            <w:pPr>
              <w:spacing w:line="360" w:lineRule="auto"/>
              <w:rPr>
                <w:rFonts w:cs="宋体" w:asciiTheme="minorEastAsia" w:hAnsiTheme="minorEastAsia" w:eastAsiaTheme="minorEastAsia"/>
                <w:b/>
                <w:color w:val="auto"/>
                <w:kern w:val="2"/>
                <w:sz w:val="24"/>
                <w:szCs w:val="24"/>
                <w:highlight w:val="none"/>
              </w:rPr>
            </w:pPr>
          </w:p>
        </w:tc>
        <w:tc>
          <w:tcPr>
            <w:tcW w:w="918" w:type="pct"/>
            <w:vAlign w:val="center"/>
          </w:tcPr>
          <w:p w14:paraId="5753A395">
            <w:pPr>
              <w:spacing w:line="360" w:lineRule="auto"/>
              <w:rPr>
                <w:rFonts w:cs="宋体" w:asciiTheme="minorEastAsia" w:hAnsiTheme="minorEastAsia" w:eastAsiaTheme="minorEastAsia"/>
                <w:b/>
                <w:color w:val="auto"/>
                <w:kern w:val="2"/>
                <w:sz w:val="24"/>
                <w:szCs w:val="24"/>
                <w:highlight w:val="none"/>
              </w:rPr>
            </w:pPr>
          </w:p>
        </w:tc>
        <w:tc>
          <w:tcPr>
            <w:tcW w:w="1043" w:type="pct"/>
            <w:vAlign w:val="center"/>
          </w:tcPr>
          <w:p w14:paraId="013AB37F">
            <w:pPr>
              <w:spacing w:line="360" w:lineRule="auto"/>
              <w:rPr>
                <w:rFonts w:cs="宋体" w:asciiTheme="minorEastAsia" w:hAnsiTheme="minorEastAsia" w:eastAsiaTheme="minorEastAsia"/>
                <w:b/>
                <w:color w:val="auto"/>
                <w:kern w:val="2"/>
                <w:sz w:val="24"/>
                <w:szCs w:val="24"/>
                <w:highlight w:val="none"/>
              </w:rPr>
            </w:pPr>
          </w:p>
        </w:tc>
        <w:tc>
          <w:tcPr>
            <w:tcW w:w="636" w:type="pct"/>
            <w:vAlign w:val="center"/>
          </w:tcPr>
          <w:p w14:paraId="5CCDFB70">
            <w:pPr>
              <w:spacing w:line="360" w:lineRule="auto"/>
              <w:rPr>
                <w:rFonts w:cs="宋体" w:asciiTheme="minorEastAsia" w:hAnsiTheme="minorEastAsia" w:eastAsiaTheme="minorEastAsia"/>
                <w:b/>
                <w:color w:val="auto"/>
                <w:kern w:val="2"/>
                <w:sz w:val="24"/>
                <w:szCs w:val="24"/>
                <w:highlight w:val="none"/>
              </w:rPr>
            </w:pPr>
          </w:p>
        </w:tc>
      </w:tr>
      <w:tr w14:paraId="69ED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pct"/>
            <w:vAlign w:val="center"/>
          </w:tcPr>
          <w:p w14:paraId="1E33EA49">
            <w:pPr>
              <w:spacing w:line="360" w:lineRule="auto"/>
              <w:jc w:val="center"/>
              <w:rPr>
                <w:rFonts w:hint="default" w:cs="宋体" w:asciiTheme="minorEastAsia" w:hAnsiTheme="minorEastAsia" w:eastAsiaTheme="minorEastAsia"/>
                <w:b w:val="0"/>
                <w:bCs/>
                <w:color w:val="auto"/>
                <w:kern w:val="2"/>
                <w:sz w:val="24"/>
                <w:szCs w:val="24"/>
                <w:highlight w:val="none"/>
                <w:lang w:val="en-US" w:eastAsia="zh-CN"/>
              </w:rPr>
            </w:pPr>
            <w:r>
              <w:rPr>
                <w:rFonts w:hint="eastAsia" w:cs="宋体" w:asciiTheme="minorEastAsia" w:hAnsiTheme="minorEastAsia" w:eastAsiaTheme="minorEastAsia"/>
                <w:b w:val="0"/>
                <w:bCs/>
                <w:color w:val="auto"/>
                <w:kern w:val="2"/>
                <w:sz w:val="24"/>
                <w:szCs w:val="24"/>
                <w:highlight w:val="none"/>
                <w:lang w:val="en-US" w:eastAsia="zh-CN"/>
              </w:rPr>
              <w:t>……</w:t>
            </w:r>
          </w:p>
        </w:tc>
        <w:tc>
          <w:tcPr>
            <w:tcW w:w="971" w:type="pct"/>
            <w:vAlign w:val="center"/>
          </w:tcPr>
          <w:p w14:paraId="634FD02C">
            <w:pPr>
              <w:spacing w:line="360" w:lineRule="auto"/>
              <w:rPr>
                <w:rFonts w:cs="宋体" w:asciiTheme="minorEastAsia" w:hAnsiTheme="minorEastAsia" w:eastAsiaTheme="minorEastAsia"/>
                <w:b/>
                <w:color w:val="auto"/>
                <w:kern w:val="2"/>
                <w:sz w:val="24"/>
                <w:szCs w:val="24"/>
                <w:highlight w:val="none"/>
              </w:rPr>
            </w:pPr>
          </w:p>
        </w:tc>
        <w:tc>
          <w:tcPr>
            <w:tcW w:w="874" w:type="pct"/>
            <w:vAlign w:val="center"/>
          </w:tcPr>
          <w:p w14:paraId="57444A07">
            <w:pPr>
              <w:spacing w:line="360" w:lineRule="auto"/>
              <w:rPr>
                <w:rFonts w:cs="宋体" w:asciiTheme="minorEastAsia" w:hAnsiTheme="minorEastAsia" w:eastAsiaTheme="minorEastAsia"/>
                <w:b/>
                <w:color w:val="auto"/>
                <w:kern w:val="2"/>
                <w:sz w:val="24"/>
                <w:szCs w:val="24"/>
                <w:highlight w:val="none"/>
              </w:rPr>
            </w:pPr>
          </w:p>
        </w:tc>
        <w:tc>
          <w:tcPr>
            <w:tcW w:w="918" w:type="pct"/>
            <w:vAlign w:val="center"/>
          </w:tcPr>
          <w:p w14:paraId="410C0344">
            <w:pPr>
              <w:spacing w:line="360" w:lineRule="auto"/>
              <w:rPr>
                <w:rFonts w:cs="宋体" w:asciiTheme="minorEastAsia" w:hAnsiTheme="minorEastAsia" w:eastAsiaTheme="minorEastAsia"/>
                <w:b/>
                <w:color w:val="auto"/>
                <w:kern w:val="2"/>
                <w:sz w:val="24"/>
                <w:szCs w:val="24"/>
                <w:highlight w:val="none"/>
              </w:rPr>
            </w:pPr>
          </w:p>
        </w:tc>
        <w:tc>
          <w:tcPr>
            <w:tcW w:w="1043" w:type="pct"/>
            <w:vAlign w:val="center"/>
          </w:tcPr>
          <w:p w14:paraId="78505FAF">
            <w:pPr>
              <w:spacing w:line="360" w:lineRule="auto"/>
              <w:rPr>
                <w:rFonts w:cs="宋体" w:asciiTheme="minorEastAsia" w:hAnsiTheme="minorEastAsia" w:eastAsiaTheme="minorEastAsia"/>
                <w:b/>
                <w:color w:val="auto"/>
                <w:kern w:val="2"/>
                <w:sz w:val="24"/>
                <w:szCs w:val="24"/>
                <w:highlight w:val="none"/>
              </w:rPr>
            </w:pPr>
          </w:p>
        </w:tc>
        <w:tc>
          <w:tcPr>
            <w:tcW w:w="636" w:type="pct"/>
            <w:vAlign w:val="center"/>
          </w:tcPr>
          <w:p w14:paraId="45964431">
            <w:pPr>
              <w:spacing w:line="360" w:lineRule="auto"/>
              <w:rPr>
                <w:rFonts w:cs="宋体" w:asciiTheme="minorEastAsia" w:hAnsiTheme="minorEastAsia" w:eastAsiaTheme="minorEastAsia"/>
                <w:b/>
                <w:color w:val="auto"/>
                <w:kern w:val="2"/>
                <w:sz w:val="24"/>
                <w:szCs w:val="24"/>
                <w:highlight w:val="none"/>
              </w:rPr>
            </w:pPr>
          </w:p>
        </w:tc>
      </w:tr>
    </w:tbl>
    <w:p w14:paraId="6035B60B">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rPr>
        <w:t>备注：</w:t>
      </w:r>
    </w:p>
    <w:p w14:paraId="347D7B8B">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rPr>
        <w:t>1、表中所列业绩应为</w:t>
      </w:r>
      <w:r>
        <w:rPr>
          <w:rFonts w:hint="eastAsia"/>
          <w:color w:val="auto"/>
          <w:sz w:val="24"/>
          <w:szCs w:val="18"/>
          <w:highlight w:val="none"/>
          <w:lang w:eastAsia="zh-CN"/>
        </w:rPr>
        <w:t>供应商</w:t>
      </w:r>
      <w:r>
        <w:rPr>
          <w:rFonts w:hint="eastAsia" w:cs="宋体"/>
          <w:color w:val="auto"/>
          <w:kern w:val="2"/>
          <w:sz w:val="24"/>
          <w:szCs w:val="24"/>
          <w:highlight w:val="none"/>
        </w:rPr>
        <w:t>满足本</w:t>
      </w:r>
      <w:r>
        <w:rPr>
          <w:rFonts w:hint="eastAsia" w:cs="宋体"/>
          <w:color w:val="auto"/>
          <w:kern w:val="2"/>
          <w:sz w:val="24"/>
          <w:szCs w:val="24"/>
          <w:highlight w:val="none"/>
          <w:lang w:eastAsia="zh-CN"/>
        </w:rPr>
        <w:t>磋商</w:t>
      </w:r>
      <w:r>
        <w:rPr>
          <w:rFonts w:hint="eastAsia" w:cs="宋体"/>
          <w:color w:val="auto"/>
          <w:kern w:val="2"/>
          <w:sz w:val="24"/>
          <w:szCs w:val="24"/>
          <w:highlight w:val="none"/>
        </w:rPr>
        <w:t xml:space="preserve">文件要求的业绩； </w:t>
      </w:r>
    </w:p>
    <w:p w14:paraId="331CE51C">
      <w:pPr>
        <w:spacing w:line="360" w:lineRule="auto"/>
        <w:ind w:firstLine="480" w:firstLineChars="200"/>
        <w:rPr>
          <w:rFonts w:hint="eastAsia"/>
          <w:color w:val="auto"/>
          <w:sz w:val="24"/>
          <w:szCs w:val="24"/>
          <w:highlight w:val="none"/>
          <w:lang w:val="en-US" w:eastAsia="zh-CN"/>
        </w:rPr>
      </w:pPr>
      <w:r>
        <w:rPr>
          <w:rFonts w:hint="eastAsia" w:cs="宋体"/>
          <w:color w:val="auto"/>
          <w:kern w:val="2"/>
          <w:sz w:val="24"/>
          <w:szCs w:val="24"/>
          <w:highlight w:val="none"/>
        </w:rPr>
        <w:t>2、成交人提供的以上业绩情况，如</w:t>
      </w:r>
      <w:r>
        <w:rPr>
          <w:rFonts w:hint="eastAsia" w:cs="宋体"/>
          <w:color w:val="auto"/>
          <w:kern w:val="2"/>
          <w:sz w:val="24"/>
          <w:szCs w:val="24"/>
          <w:highlight w:val="none"/>
          <w:lang w:eastAsia="zh-CN"/>
        </w:rPr>
        <w:t>磋商</w:t>
      </w:r>
      <w:r>
        <w:rPr>
          <w:rFonts w:hint="eastAsia" w:cs="宋体"/>
          <w:color w:val="auto"/>
          <w:kern w:val="2"/>
          <w:sz w:val="24"/>
          <w:szCs w:val="24"/>
          <w:highlight w:val="none"/>
        </w:rPr>
        <w:t>文件《</w:t>
      </w:r>
      <w:r>
        <w:rPr>
          <w:rFonts w:hint="eastAsia"/>
          <w:color w:val="auto"/>
          <w:sz w:val="24"/>
          <w:szCs w:val="18"/>
          <w:highlight w:val="none"/>
          <w:lang w:eastAsia="zh-CN"/>
        </w:rPr>
        <w:t>供应商</w:t>
      </w:r>
      <w:r>
        <w:rPr>
          <w:rFonts w:hint="eastAsia" w:cs="宋体"/>
          <w:color w:val="auto"/>
          <w:kern w:val="2"/>
          <w:sz w:val="24"/>
          <w:szCs w:val="24"/>
          <w:highlight w:val="none"/>
        </w:rPr>
        <w:t>须知前附表》有约定的，将按约定随成交结果公告同时公告。</w:t>
      </w:r>
    </w:p>
    <w:p w14:paraId="3882EFD6">
      <w:pPr>
        <w:keepNext/>
        <w:keepLines/>
        <w:pageBreakBefore w:val="0"/>
        <w:widowControl w:val="0"/>
        <w:numPr>
          <w:ilvl w:val="0"/>
          <w:numId w:val="3"/>
        </w:numPr>
        <w:kinsoku/>
        <w:wordWrap/>
        <w:overflowPunct/>
        <w:topLinePunct w:val="0"/>
        <w:autoSpaceDE/>
        <w:autoSpaceDN/>
        <w:bidi w:val="0"/>
        <w:adjustRightInd/>
        <w:snapToGrid/>
        <w:spacing w:line="360" w:lineRule="auto"/>
        <w:jc w:val="center"/>
        <w:textAlignment w:val="auto"/>
        <w:outlineLvl w:val="9"/>
        <w:rPr>
          <w:rFonts w:hint="eastAsia"/>
          <w:color w:val="auto"/>
          <w:sz w:val="24"/>
          <w:szCs w:val="24"/>
          <w:highlight w:val="none"/>
          <w:lang w:val="en-US" w:eastAsia="zh-CN"/>
        </w:rPr>
      </w:pPr>
      <w:r>
        <w:rPr>
          <w:rFonts w:hint="eastAsia"/>
          <w:color w:val="auto"/>
          <w:sz w:val="24"/>
          <w:szCs w:val="24"/>
          <w:highlight w:val="none"/>
          <w:lang w:val="en-US" w:eastAsia="zh-CN"/>
        </w:rPr>
        <w:t>业绩证明材料</w:t>
      </w:r>
    </w:p>
    <w:p w14:paraId="0FC95B21">
      <w:pPr>
        <w:keepNext/>
        <w:keepLines/>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asciiTheme="minorEastAsia" w:hAnsiTheme="minorEastAsia" w:eastAsiaTheme="minorEastAsia"/>
          <w:b/>
          <w:color w:val="auto"/>
          <w:sz w:val="24"/>
          <w:highlight w:val="none"/>
        </w:rPr>
      </w:pPr>
      <w:r>
        <w:rPr>
          <w:rFonts w:hint="eastAsia"/>
          <w:color w:val="auto"/>
          <w:sz w:val="24"/>
          <w:szCs w:val="24"/>
          <w:highlight w:val="none"/>
          <w:lang w:val="en-US" w:eastAsia="zh-CN"/>
        </w:rPr>
        <w:t>（建议与上述“（一）业绩表”填写的业绩一一对应）</w:t>
      </w:r>
      <w:r>
        <w:rPr>
          <w:rFonts w:asciiTheme="minorEastAsia" w:hAnsiTheme="minorEastAsia" w:eastAsiaTheme="minorEastAsia"/>
          <w:b/>
          <w:color w:val="auto"/>
          <w:sz w:val="24"/>
          <w:highlight w:val="none"/>
        </w:rPr>
        <w:br w:type="page"/>
      </w:r>
    </w:p>
    <w:p w14:paraId="0FBA7442">
      <w:pPr>
        <w:spacing w:line="360" w:lineRule="auto"/>
        <w:jc w:val="center"/>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p>
    <w:p w14:paraId="336AD004">
      <w:pPr>
        <w:spacing w:line="360" w:lineRule="auto"/>
        <w:jc w:val="center"/>
        <w:outlineLvl w:val="1"/>
        <w:rPr>
          <w:rFonts w:hint="eastAsia" w:ascii="宋体" w:hAnsi="宋体" w:eastAsia="宋体"/>
          <w:color w:val="auto"/>
          <w:sz w:val="24"/>
          <w:szCs w:val="22"/>
          <w:highlight w:val="none"/>
          <w:lang w:eastAsia="zh-CN"/>
        </w:rPr>
      </w:pPr>
      <w:bookmarkStart w:id="213" w:name="_Toc29973"/>
      <w:bookmarkStart w:id="214" w:name="_Toc17825"/>
      <w:bookmarkStart w:id="215" w:name="_Toc14141"/>
      <w:bookmarkStart w:id="216" w:name="_Toc19685"/>
      <w:r>
        <w:rPr>
          <w:rFonts w:hint="eastAsia"/>
          <w:color w:val="auto"/>
          <w:sz w:val="24"/>
          <w:szCs w:val="22"/>
          <w:highlight w:val="none"/>
          <w:lang w:eastAsia="zh-CN"/>
        </w:rPr>
        <w:t>供应商</w:t>
      </w:r>
      <w:r>
        <w:rPr>
          <w:rFonts w:hint="eastAsia" w:ascii="宋体" w:hAnsi="宋体" w:eastAsia="宋体"/>
          <w:color w:val="auto"/>
          <w:sz w:val="24"/>
          <w:szCs w:val="22"/>
          <w:highlight w:val="none"/>
          <w:lang w:eastAsia="zh-CN"/>
        </w:rPr>
        <w:t>按照第四章评审方法和标准放置的其他资料。</w:t>
      </w:r>
      <w:bookmarkEnd w:id="213"/>
      <w:bookmarkEnd w:id="214"/>
      <w:bookmarkEnd w:id="215"/>
      <w:bookmarkEnd w:id="216"/>
    </w:p>
    <w:p w14:paraId="1F9CDE54">
      <w:pPr>
        <w:rPr>
          <w:rFonts w:hint="eastAsia" w:ascii="宋体" w:hAnsi="宋体" w:eastAsia="宋体" w:cs="宋体"/>
          <w:color w:val="auto"/>
          <w:sz w:val="24"/>
          <w:highlight w:val="none"/>
        </w:rPr>
      </w:pPr>
    </w:p>
    <w:p w14:paraId="2D6BC17B">
      <w:pPr>
        <w:rPr>
          <w:rFonts w:hint="eastAsia" w:ascii="宋体" w:hAnsi="宋体" w:eastAsia="宋体" w:cs="宋体"/>
          <w:color w:val="auto"/>
          <w:sz w:val="24"/>
          <w:highlight w:val="none"/>
        </w:rPr>
      </w:pPr>
    </w:p>
    <w:p w14:paraId="1D1EDAEB">
      <w:pPr>
        <w:rPr>
          <w:rFonts w:hint="eastAsia" w:ascii="宋体" w:hAnsi="宋体" w:eastAsia="宋体" w:cs="宋体"/>
          <w:color w:val="auto"/>
          <w:sz w:val="24"/>
          <w:highlight w:val="none"/>
        </w:rPr>
      </w:pPr>
    </w:p>
    <w:p w14:paraId="2BA0BE7E">
      <w:pPr>
        <w:rPr>
          <w:rFonts w:hint="eastAsia" w:ascii="宋体" w:hAnsi="宋体" w:eastAsia="宋体" w:cs="宋体"/>
          <w:color w:val="auto"/>
          <w:sz w:val="24"/>
          <w:highlight w:val="none"/>
        </w:rPr>
      </w:pPr>
    </w:p>
    <w:p w14:paraId="6C81AA70">
      <w:pPr>
        <w:rPr>
          <w:rFonts w:hint="eastAsia" w:ascii="宋体" w:hAnsi="宋体" w:eastAsia="宋体" w:cs="宋体"/>
          <w:color w:val="auto"/>
          <w:sz w:val="24"/>
          <w:highlight w:val="none"/>
        </w:rPr>
      </w:pPr>
    </w:p>
    <w:p w14:paraId="57EC613D">
      <w:pPr>
        <w:rPr>
          <w:rFonts w:hint="eastAsia" w:ascii="宋体" w:hAnsi="宋体" w:eastAsia="宋体" w:cs="宋体"/>
          <w:color w:val="auto"/>
          <w:sz w:val="24"/>
          <w:highlight w:val="none"/>
        </w:rPr>
      </w:pPr>
    </w:p>
    <w:p w14:paraId="77579BD2">
      <w:pPr>
        <w:rPr>
          <w:rFonts w:hint="eastAsia" w:ascii="宋体" w:hAnsi="宋体" w:eastAsia="宋体" w:cs="宋体"/>
          <w:color w:val="auto"/>
          <w:sz w:val="24"/>
          <w:highlight w:val="none"/>
        </w:rPr>
      </w:pPr>
    </w:p>
    <w:p w14:paraId="77AAC163">
      <w:pPr>
        <w:rPr>
          <w:rFonts w:hint="eastAsia" w:ascii="宋体" w:hAnsi="宋体" w:eastAsia="宋体" w:cs="宋体"/>
          <w:color w:val="auto"/>
          <w:sz w:val="24"/>
          <w:highlight w:val="none"/>
        </w:rPr>
      </w:pPr>
    </w:p>
    <w:p w14:paraId="71B1E9B8">
      <w:pPr>
        <w:rPr>
          <w:rFonts w:hint="eastAsia" w:ascii="宋体" w:hAnsi="宋体" w:eastAsia="宋体" w:cs="宋体"/>
          <w:color w:val="auto"/>
          <w:sz w:val="24"/>
          <w:highlight w:val="none"/>
        </w:rPr>
      </w:pPr>
    </w:p>
    <w:bookmarkEnd w:id="207"/>
    <w:p w14:paraId="40E408DC">
      <w:pPr>
        <w:rPr>
          <w:rFonts w:hint="eastAsia" w:ascii="宋体" w:hAnsi="宋体" w:eastAsia="宋体" w:cs="宋体"/>
          <w:color w:val="auto"/>
          <w:sz w:val="24"/>
          <w:highlight w:val="none"/>
        </w:rPr>
      </w:pPr>
    </w:p>
    <w:p w14:paraId="7F53CD98">
      <w:pPr>
        <w:rPr>
          <w:rFonts w:hint="eastAsia" w:ascii="宋体" w:hAnsi="宋体" w:eastAsia="宋体" w:cs="宋体"/>
          <w:color w:val="auto"/>
          <w:sz w:val="24"/>
          <w:highlight w:val="none"/>
        </w:rPr>
      </w:pPr>
    </w:p>
    <w:p w14:paraId="52712CE1">
      <w:pPr>
        <w:rPr>
          <w:rFonts w:hint="eastAsia" w:ascii="宋体" w:hAnsi="宋体" w:eastAsia="宋体" w:cs="宋体"/>
          <w:color w:val="auto"/>
          <w:sz w:val="24"/>
          <w:highlight w:val="none"/>
        </w:rPr>
      </w:pPr>
    </w:p>
    <w:p w14:paraId="7C939B78">
      <w:pPr>
        <w:rPr>
          <w:rFonts w:hint="eastAsia" w:ascii="宋体" w:hAnsi="宋体" w:eastAsia="宋体" w:cs="宋体"/>
          <w:color w:val="auto"/>
          <w:sz w:val="24"/>
          <w:highlight w:val="none"/>
        </w:rPr>
      </w:pPr>
    </w:p>
    <w:p w14:paraId="44AE055A">
      <w:pPr>
        <w:rPr>
          <w:rFonts w:hint="eastAsia" w:ascii="宋体" w:hAnsi="宋体" w:eastAsia="宋体" w:cs="宋体"/>
          <w:color w:val="auto"/>
          <w:sz w:val="24"/>
          <w:highlight w:val="none"/>
        </w:rPr>
      </w:pPr>
    </w:p>
    <w:p w14:paraId="72291E77">
      <w:pPr>
        <w:rPr>
          <w:rFonts w:hint="eastAsia" w:ascii="宋体" w:hAnsi="宋体" w:eastAsia="宋体" w:cs="宋体"/>
          <w:color w:val="auto"/>
          <w:sz w:val="24"/>
          <w:highlight w:val="none"/>
        </w:rPr>
      </w:pPr>
    </w:p>
    <w:p w14:paraId="5E480F0A">
      <w:pPr>
        <w:rPr>
          <w:rFonts w:hint="eastAsia" w:ascii="宋体" w:hAnsi="宋体" w:eastAsia="宋体" w:cs="宋体"/>
          <w:color w:val="auto"/>
          <w:sz w:val="24"/>
          <w:highlight w:val="none"/>
        </w:rPr>
      </w:pPr>
    </w:p>
    <w:p w14:paraId="18B514D9">
      <w:pPr>
        <w:rPr>
          <w:rFonts w:hint="eastAsia" w:ascii="宋体" w:hAnsi="宋体" w:eastAsia="宋体" w:cs="宋体"/>
          <w:color w:val="auto"/>
          <w:sz w:val="24"/>
          <w:highlight w:val="none"/>
        </w:rPr>
      </w:pPr>
    </w:p>
    <w:p w14:paraId="4A58404D">
      <w:pPr>
        <w:rPr>
          <w:rFonts w:hint="eastAsia" w:ascii="宋体" w:hAnsi="宋体" w:eastAsia="宋体" w:cs="宋体"/>
          <w:color w:val="auto"/>
          <w:sz w:val="24"/>
          <w:highlight w:val="none"/>
        </w:rPr>
      </w:pPr>
    </w:p>
    <w:p w14:paraId="5407CA2E">
      <w:pPr>
        <w:rPr>
          <w:rFonts w:hint="eastAsia" w:ascii="宋体" w:hAnsi="宋体" w:eastAsia="宋体" w:cs="宋体"/>
          <w:color w:val="auto"/>
          <w:sz w:val="24"/>
          <w:highlight w:val="none"/>
        </w:rPr>
      </w:pPr>
    </w:p>
    <w:p w14:paraId="36695BC7">
      <w:pPr>
        <w:rPr>
          <w:rFonts w:hint="eastAsia" w:ascii="宋体" w:hAnsi="宋体" w:eastAsia="宋体" w:cs="宋体"/>
          <w:color w:val="auto"/>
          <w:sz w:val="24"/>
          <w:highlight w:val="none"/>
        </w:rPr>
      </w:pPr>
    </w:p>
    <w:p w14:paraId="34C62EDA">
      <w:pPr>
        <w:rPr>
          <w:rFonts w:hint="eastAsia" w:ascii="宋体" w:hAnsi="宋体" w:eastAsia="宋体" w:cs="宋体"/>
          <w:color w:val="auto"/>
          <w:sz w:val="24"/>
          <w:highlight w:val="none"/>
        </w:rPr>
      </w:pPr>
    </w:p>
    <w:p w14:paraId="0A269482">
      <w:pPr>
        <w:rPr>
          <w:rFonts w:hint="eastAsia" w:ascii="宋体" w:hAnsi="宋体" w:eastAsia="宋体" w:cs="宋体"/>
          <w:color w:val="auto"/>
          <w:sz w:val="24"/>
          <w:highlight w:val="none"/>
        </w:rPr>
      </w:pPr>
    </w:p>
    <w:p w14:paraId="7500405B">
      <w:pPr>
        <w:rPr>
          <w:rFonts w:hint="eastAsia" w:ascii="宋体" w:hAnsi="宋体" w:eastAsia="宋体" w:cs="宋体"/>
          <w:color w:val="auto"/>
          <w:sz w:val="24"/>
          <w:highlight w:val="none"/>
        </w:rPr>
      </w:pPr>
    </w:p>
    <w:p w14:paraId="1D74AA9D">
      <w:pPr>
        <w:rPr>
          <w:rFonts w:hint="eastAsia" w:ascii="宋体" w:hAnsi="宋体" w:eastAsia="宋体" w:cs="宋体"/>
          <w:color w:val="auto"/>
          <w:sz w:val="24"/>
          <w:highlight w:val="none"/>
        </w:rPr>
      </w:pPr>
    </w:p>
    <w:p w14:paraId="1108BA71">
      <w:pPr>
        <w:rPr>
          <w:rFonts w:hint="eastAsia" w:ascii="宋体" w:hAnsi="宋体" w:eastAsia="宋体" w:cs="宋体"/>
          <w:color w:val="auto"/>
          <w:sz w:val="24"/>
          <w:highlight w:val="none"/>
        </w:rPr>
      </w:pPr>
    </w:p>
    <w:p w14:paraId="7952DDF4">
      <w:pPr>
        <w:rPr>
          <w:rFonts w:hint="eastAsia" w:ascii="宋体" w:hAnsi="宋体" w:eastAsia="宋体" w:cs="宋体"/>
          <w:color w:val="auto"/>
          <w:sz w:val="24"/>
          <w:highlight w:val="none"/>
        </w:rPr>
      </w:pPr>
    </w:p>
    <w:p w14:paraId="1C76B1D8">
      <w:pPr>
        <w:rPr>
          <w:rFonts w:hint="eastAsia" w:ascii="宋体" w:hAnsi="宋体" w:eastAsia="宋体" w:cs="宋体"/>
          <w:color w:val="auto"/>
          <w:sz w:val="24"/>
          <w:highlight w:val="none"/>
        </w:rPr>
      </w:pPr>
    </w:p>
    <w:p w14:paraId="60B88E24">
      <w:pPr>
        <w:rPr>
          <w:rFonts w:hint="eastAsia" w:ascii="宋体" w:hAnsi="宋体" w:eastAsia="宋体" w:cs="宋体"/>
          <w:color w:val="auto"/>
          <w:sz w:val="24"/>
          <w:highlight w:val="none"/>
        </w:rPr>
      </w:pPr>
    </w:p>
    <w:p w14:paraId="055724EB">
      <w:pPr>
        <w:rPr>
          <w:rFonts w:hint="eastAsia" w:ascii="宋体" w:hAnsi="宋体" w:eastAsia="宋体" w:cs="宋体"/>
          <w:color w:val="auto"/>
          <w:sz w:val="24"/>
          <w:highlight w:val="none"/>
        </w:rPr>
      </w:pPr>
    </w:p>
    <w:p w14:paraId="585F51BA">
      <w:pPr>
        <w:pageBreakBefore/>
        <w:jc w:val="both"/>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附件：全流程电子招标采购具体要求</w:t>
      </w:r>
      <w:r>
        <w:rPr>
          <w:rStyle w:val="26"/>
          <w:rFonts w:hint="eastAsia" w:ascii="宋体" w:hAnsi="宋体" w:eastAsia="宋体" w:cs="宋体"/>
          <w:b/>
          <w:bCs/>
          <w:color w:val="auto"/>
          <w:sz w:val="44"/>
          <w:szCs w:val="44"/>
          <w:highlight w:val="none"/>
        </w:rPr>
        <w:footnoteReference w:id="0"/>
      </w:r>
    </w:p>
    <w:p w14:paraId="78932E43">
      <w:pPr>
        <w:spacing w:line="400" w:lineRule="exact"/>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说明：当采用非招标方式进行全流程电子采购活动时，按照本规定执行，其中本要求“投标人”按“供应商”理解，“投标文件”按“响应文件”理解，“招标文件”按“采购文件”理解，“投标文件递交截止时间”按“首次递交响应文件截止时间”理解，“开标”按“开启响应文件”理解，“评标委员会”按“评审小组”理解，“投标无效”按“响应文件无效”理解。</w:t>
      </w:r>
    </w:p>
    <w:p w14:paraId="7F8ECE1C">
      <w:pPr>
        <w:spacing w:line="400" w:lineRule="exact"/>
        <w:ind w:firstLine="420" w:firstLineChars="200"/>
        <w:rPr>
          <w:rFonts w:hint="eastAsia" w:ascii="宋体" w:hAnsi="宋体" w:eastAsia="宋体" w:cs="宋体"/>
          <w:color w:val="auto"/>
          <w:szCs w:val="24"/>
          <w:highlight w:val="none"/>
        </w:rPr>
      </w:pPr>
    </w:p>
    <w:p w14:paraId="3E57E6CA">
      <w:pPr>
        <w:spacing w:line="400" w:lineRule="exact"/>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一、</w:t>
      </w:r>
      <w:r>
        <w:rPr>
          <w:rFonts w:hint="eastAsia" w:ascii="宋体" w:hAnsi="宋体" w:eastAsia="宋体" w:cs="宋体"/>
          <w:color w:val="auto"/>
          <w:highlight w:val="none"/>
        </w:rPr>
        <w:t>CA</w:t>
      </w:r>
      <w:r>
        <w:rPr>
          <w:rFonts w:hint="eastAsia" w:ascii="宋体" w:hAnsi="宋体" w:eastAsia="宋体" w:cs="宋体"/>
          <w:color w:val="auto"/>
          <w:szCs w:val="24"/>
          <w:highlight w:val="none"/>
        </w:rPr>
        <w:t>证书办理和注意事项</w:t>
      </w:r>
    </w:p>
    <w:p w14:paraId="7453063D">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Cs w:val="24"/>
          <w:highlight w:val="none"/>
        </w:rPr>
        <w:t>1.本项目采用全流程电子招标采购方式，</w:t>
      </w:r>
      <w:r>
        <w:rPr>
          <w:rFonts w:hint="eastAsia" w:ascii="宋体" w:hAnsi="宋体" w:eastAsia="宋体" w:cs="宋体"/>
          <w:color w:val="auto"/>
          <w:highlight w:val="none"/>
        </w:rPr>
        <w:t>潜在投标人应及时办理CA证书，用于对投标文件进行电子签章及加、解密。</w:t>
      </w:r>
    </w:p>
    <w:p w14:paraId="189164CF">
      <w:pPr>
        <w:spacing w:line="400" w:lineRule="exact"/>
        <w:ind w:firstLine="420" w:firstLineChars="200"/>
        <w:rPr>
          <w:rFonts w:hint="eastAsia" w:ascii="宋体" w:hAnsi="宋体" w:eastAsia="宋体" w:cs="宋体"/>
          <w:bCs/>
          <w:color w:val="auto"/>
          <w:highlight w:val="none"/>
        </w:rPr>
      </w:pPr>
      <w:r>
        <w:rPr>
          <w:rFonts w:hint="eastAsia" w:ascii="宋体" w:hAnsi="宋体" w:eastAsia="宋体" w:cs="宋体"/>
          <w:color w:val="auto"/>
          <w:szCs w:val="24"/>
          <w:highlight w:val="none"/>
        </w:rPr>
        <w:t>2.CA</w:t>
      </w:r>
      <w:r>
        <w:rPr>
          <w:rFonts w:hint="eastAsia" w:ascii="宋体" w:hAnsi="宋体" w:eastAsia="宋体" w:cs="宋体"/>
          <w:color w:val="auto"/>
          <w:highlight w:val="none"/>
        </w:rPr>
        <w:t>证书</w:t>
      </w:r>
      <w:r>
        <w:rPr>
          <w:rFonts w:hint="eastAsia" w:ascii="宋体" w:hAnsi="宋体" w:eastAsia="宋体" w:cs="宋体"/>
          <w:color w:val="auto"/>
          <w:szCs w:val="24"/>
          <w:highlight w:val="none"/>
        </w:rPr>
        <w:t>办理详见</w:t>
      </w:r>
      <w:r>
        <w:rPr>
          <w:rFonts w:hint="eastAsia" w:ascii="宋体" w:hAnsi="宋体" w:eastAsia="宋体" w:cs="宋体"/>
          <w:bCs/>
          <w:color w:val="auto"/>
          <w:highlight w:val="none"/>
        </w:rPr>
        <w:t>《优质采平台CA数字证书办理说明》：</w:t>
      </w:r>
    </w:p>
    <w:p w14:paraId="37B4573A">
      <w:pPr>
        <w:spacing w:line="400" w:lineRule="exact"/>
        <w:rPr>
          <w:rFonts w:hint="eastAsia" w:ascii="宋体" w:hAnsi="宋体" w:eastAsia="宋体" w:cs="宋体"/>
          <w:b/>
          <w:bCs/>
          <w:color w:val="auto"/>
          <w:highlight w:val="none"/>
        </w:rPr>
      </w:pPr>
      <w:r>
        <w:rPr>
          <w:rFonts w:hint="eastAsia" w:ascii="宋体" w:hAnsi="宋体" w:eastAsia="宋体" w:cs="宋体"/>
          <w:bCs/>
          <w:color w:val="auto"/>
          <w:highlight w:val="none"/>
          <w:u w:val="single"/>
        </w:rPr>
        <w:fldChar w:fldCharType="begin"/>
      </w:r>
      <w:r>
        <w:rPr>
          <w:rFonts w:hint="eastAsia" w:ascii="宋体" w:hAnsi="宋体" w:eastAsia="宋体" w:cs="宋体"/>
          <w:bCs/>
          <w:color w:val="auto"/>
          <w:highlight w:val="none"/>
          <w:u w:val="single"/>
        </w:rPr>
        <w:instrText xml:space="preserve"> HYPERLINK "http://www.youzhicai.com/ActivityTopic/AdviceDetail/8f80a7ec-911f-4c4d-a123-f8849880f045" </w:instrText>
      </w:r>
      <w:r>
        <w:rPr>
          <w:rFonts w:hint="eastAsia" w:ascii="宋体" w:hAnsi="宋体" w:eastAsia="宋体" w:cs="宋体"/>
          <w:bCs/>
          <w:color w:val="auto"/>
          <w:highlight w:val="none"/>
          <w:u w:val="single"/>
        </w:rPr>
        <w:fldChar w:fldCharType="separate"/>
      </w:r>
      <w:r>
        <w:rPr>
          <w:rStyle w:val="25"/>
          <w:rFonts w:hint="eastAsia" w:ascii="宋体" w:hAnsi="宋体" w:eastAsia="宋体" w:cs="宋体"/>
          <w:bCs/>
          <w:color w:val="auto"/>
          <w:highlight w:val="none"/>
        </w:rPr>
        <w:t>http://www.youzhicai.com/ActivityTopic/AdviceDetail/8f80a7ec-911f-4c4d-a123-f</w:t>
      </w:r>
      <w:bookmarkStart w:id="217" w:name="_Hlt105085548"/>
      <w:bookmarkStart w:id="218" w:name="_Hlt105085547"/>
      <w:r>
        <w:rPr>
          <w:rStyle w:val="25"/>
          <w:rFonts w:hint="eastAsia" w:ascii="宋体" w:hAnsi="宋体" w:eastAsia="宋体" w:cs="宋体"/>
          <w:bCs/>
          <w:color w:val="auto"/>
          <w:highlight w:val="none"/>
        </w:rPr>
        <w:t>8</w:t>
      </w:r>
      <w:bookmarkEnd w:id="217"/>
      <w:bookmarkEnd w:id="218"/>
      <w:r>
        <w:rPr>
          <w:rStyle w:val="25"/>
          <w:rFonts w:hint="eastAsia" w:ascii="宋体" w:hAnsi="宋体" w:eastAsia="宋体" w:cs="宋体"/>
          <w:bCs/>
          <w:color w:val="auto"/>
          <w:highlight w:val="none"/>
        </w:rPr>
        <w:t>849880f045</w:t>
      </w:r>
      <w:r>
        <w:rPr>
          <w:rFonts w:hint="eastAsia" w:ascii="宋体" w:hAnsi="宋体" w:eastAsia="宋体" w:cs="宋体"/>
          <w:bCs/>
          <w:color w:val="auto"/>
          <w:highlight w:val="none"/>
          <w:u w:val="single"/>
        </w:rPr>
        <w:fldChar w:fldCharType="end"/>
      </w:r>
      <w:r>
        <w:rPr>
          <w:rFonts w:hint="eastAsia" w:ascii="宋体" w:hAnsi="宋体" w:eastAsia="宋体" w:cs="宋体"/>
          <w:bCs/>
          <w:color w:val="auto"/>
          <w:highlight w:val="none"/>
        </w:rPr>
        <w:t>。</w:t>
      </w:r>
    </w:p>
    <w:p w14:paraId="66C9F03C">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Cs w:val="24"/>
          <w:highlight w:val="none"/>
        </w:rPr>
        <w:t>3.CA</w:t>
      </w:r>
      <w:r>
        <w:rPr>
          <w:rFonts w:hint="eastAsia" w:ascii="宋体" w:hAnsi="宋体" w:eastAsia="宋体" w:cs="宋体"/>
          <w:color w:val="auto"/>
          <w:highlight w:val="none"/>
        </w:rPr>
        <w:t>证书</w:t>
      </w:r>
      <w:r>
        <w:rPr>
          <w:rFonts w:hint="eastAsia" w:ascii="宋体" w:hAnsi="宋体" w:eastAsia="宋体" w:cs="宋体"/>
          <w:color w:val="auto"/>
          <w:szCs w:val="24"/>
          <w:highlight w:val="none"/>
        </w:rPr>
        <w:t>到期或即将到期，须在</w:t>
      </w:r>
      <w:r>
        <w:rPr>
          <w:rFonts w:hint="eastAsia" w:ascii="宋体" w:hAnsi="宋体" w:eastAsia="宋体" w:cs="宋体"/>
          <w:color w:val="auto"/>
          <w:szCs w:val="24"/>
          <w:highlight w:val="none"/>
        </w:rPr>
        <w:t>递交投标文件前办理续期</w:t>
      </w:r>
      <w:r>
        <w:rPr>
          <w:rFonts w:hint="eastAsia" w:ascii="宋体" w:hAnsi="宋体" w:eastAsia="宋体" w:cs="宋体"/>
          <w:color w:val="auto"/>
          <w:szCs w:val="24"/>
          <w:highlight w:val="none"/>
        </w:rPr>
        <w:t>。</w:t>
      </w:r>
    </w:p>
    <w:p w14:paraId="4A670766">
      <w:pPr>
        <w:spacing w:line="400" w:lineRule="exact"/>
        <w:ind w:firstLine="420"/>
        <w:rPr>
          <w:rFonts w:hint="eastAsia" w:ascii="宋体" w:hAnsi="宋体" w:eastAsia="宋体" w:cs="宋体"/>
          <w:color w:val="auto"/>
          <w:highlight w:val="none"/>
        </w:rPr>
      </w:pPr>
      <w:r>
        <w:rPr>
          <w:rFonts w:hint="eastAsia" w:ascii="宋体" w:hAnsi="宋体" w:eastAsia="宋体" w:cs="宋体"/>
          <w:color w:val="auto"/>
          <w:szCs w:val="24"/>
          <w:highlight w:val="none"/>
        </w:rPr>
        <w:t>4.CA锁</w:t>
      </w:r>
      <w:r>
        <w:rPr>
          <w:rFonts w:hint="eastAsia" w:ascii="宋体" w:hAnsi="宋体" w:eastAsia="宋体" w:cs="宋体"/>
          <w:color w:val="auto"/>
          <w:highlight w:val="none"/>
        </w:rPr>
        <w:t>遗失、损坏等无法使用，须在</w:t>
      </w:r>
      <w:r>
        <w:rPr>
          <w:rFonts w:hint="eastAsia" w:ascii="宋体" w:hAnsi="宋体" w:eastAsia="宋体" w:cs="宋体"/>
          <w:color w:val="auto"/>
          <w:highlight w:val="none"/>
        </w:rPr>
        <w:t>递交投标文件前补办CA锁</w:t>
      </w:r>
      <w:r>
        <w:rPr>
          <w:rFonts w:hint="eastAsia" w:ascii="宋体" w:hAnsi="宋体" w:eastAsia="宋体" w:cs="宋体"/>
          <w:color w:val="auto"/>
          <w:highlight w:val="none"/>
        </w:rPr>
        <w:t>。</w:t>
      </w:r>
    </w:p>
    <w:p w14:paraId="1BEB1ADE">
      <w:pPr>
        <w:spacing w:line="400" w:lineRule="exact"/>
        <w:ind w:firstLine="420"/>
        <w:rPr>
          <w:rFonts w:hint="eastAsia" w:ascii="宋体" w:hAnsi="宋体" w:eastAsia="宋体" w:cs="宋体"/>
          <w:color w:val="auto"/>
          <w:highlight w:val="none"/>
        </w:rPr>
      </w:pPr>
      <w:r>
        <w:rPr>
          <w:rFonts w:hint="eastAsia" w:ascii="宋体" w:hAnsi="宋体" w:eastAsia="宋体" w:cs="宋体"/>
          <w:color w:val="auto"/>
          <w:szCs w:val="24"/>
          <w:highlight w:val="none"/>
        </w:rPr>
        <w:t>5.企业</w:t>
      </w:r>
      <w:r>
        <w:rPr>
          <w:rFonts w:hint="eastAsia" w:ascii="宋体" w:hAnsi="宋体" w:eastAsia="宋体" w:cs="宋体"/>
          <w:color w:val="auto"/>
          <w:highlight w:val="none"/>
        </w:rPr>
        <w:t>信息（包括但不限于企业名称和法定代表人信息）发生变更的，须在</w:t>
      </w:r>
      <w:r>
        <w:rPr>
          <w:rFonts w:hint="eastAsia" w:ascii="宋体" w:hAnsi="宋体" w:eastAsia="宋体" w:cs="宋体"/>
          <w:color w:val="auto"/>
          <w:highlight w:val="none"/>
        </w:rPr>
        <w:t>递交投标文件前变更CA证书</w:t>
      </w:r>
      <w:r>
        <w:rPr>
          <w:rFonts w:hint="eastAsia" w:ascii="宋体" w:hAnsi="宋体" w:eastAsia="宋体" w:cs="宋体"/>
          <w:color w:val="auto"/>
          <w:highlight w:val="none"/>
        </w:rPr>
        <w:t>。</w:t>
      </w:r>
    </w:p>
    <w:p w14:paraId="60D04195">
      <w:pPr>
        <w:spacing w:line="400" w:lineRule="exact"/>
        <w:rPr>
          <w:rFonts w:hint="eastAsia" w:ascii="宋体" w:hAnsi="宋体" w:eastAsia="宋体" w:cs="宋体"/>
          <w:color w:val="auto"/>
          <w:szCs w:val="24"/>
          <w:highlight w:val="none"/>
        </w:rPr>
      </w:pPr>
      <w:r>
        <w:rPr>
          <w:rFonts w:hint="eastAsia" w:ascii="宋体" w:hAnsi="宋体" w:eastAsia="宋体" w:cs="宋体"/>
          <w:color w:val="auto"/>
          <w:szCs w:val="24"/>
          <w:highlight w:val="none"/>
        </w:rPr>
        <w:tab/>
      </w:r>
      <w:r>
        <w:rPr>
          <w:rFonts w:hint="eastAsia" w:ascii="宋体" w:hAnsi="宋体" w:eastAsia="宋体" w:cs="宋体"/>
          <w:color w:val="auto"/>
          <w:szCs w:val="24"/>
          <w:highlight w:val="none"/>
        </w:rPr>
        <w:t>6.投标人由于</w:t>
      </w:r>
      <w:r>
        <w:rPr>
          <w:rFonts w:hint="eastAsia" w:ascii="宋体" w:hAnsi="宋体" w:eastAsia="宋体" w:cs="宋体"/>
          <w:color w:val="auto"/>
          <w:highlight w:val="none"/>
        </w:rPr>
        <w:t>CA证书</w:t>
      </w:r>
      <w:r>
        <w:rPr>
          <w:rFonts w:hint="eastAsia" w:ascii="宋体" w:hAnsi="宋体" w:eastAsia="宋体" w:cs="宋体"/>
          <w:color w:val="auto"/>
          <w:szCs w:val="24"/>
          <w:highlight w:val="none"/>
        </w:rPr>
        <w:t>遗失、损坏、更换、续期、企业信息变更等情况导致投标文件无法解密的，由投标人自行承担责任；</w:t>
      </w:r>
    </w:p>
    <w:p w14:paraId="0AB9825C">
      <w:pPr>
        <w:spacing w:line="400" w:lineRule="exact"/>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7.加密和解密投标文件</w:t>
      </w:r>
      <w:r>
        <w:rPr>
          <w:rFonts w:hint="eastAsia" w:ascii="宋体" w:hAnsi="宋体" w:eastAsia="宋体" w:cs="宋体"/>
          <w:color w:val="auto"/>
          <w:highlight w:val="none"/>
        </w:rPr>
        <w:t>必须使用同一个CA证书</w:t>
      </w:r>
      <w:r>
        <w:rPr>
          <w:rFonts w:hint="eastAsia" w:ascii="宋体" w:hAnsi="宋体" w:eastAsia="宋体" w:cs="宋体"/>
          <w:color w:val="auto"/>
          <w:szCs w:val="24"/>
          <w:highlight w:val="none"/>
        </w:rPr>
        <w:t>。</w:t>
      </w:r>
    </w:p>
    <w:p w14:paraId="6DB467AD">
      <w:pPr>
        <w:spacing w:line="400" w:lineRule="exact"/>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二、制作、签章、加密、上传电子投标文件</w:t>
      </w:r>
    </w:p>
    <w:p w14:paraId="5E777667">
      <w:pPr>
        <w:spacing w:line="400" w:lineRule="exact"/>
        <w:ind w:firstLine="420" w:firstLineChars="200"/>
        <w:rPr>
          <w:rStyle w:val="25"/>
          <w:rFonts w:hint="eastAsia" w:ascii="宋体" w:hAnsi="宋体" w:eastAsia="宋体" w:cs="宋体"/>
          <w:color w:val="auto"/>
          <w:highlight w:val="none"/>
        </w:rPr>
      </w:pPr>
      <w:r>
        <w:rPr>
          <w:rFonts w:hint="eastAsia" w:ascii="宋体" w:hAnsi="宋体" w:eastAsia="宋体" w:cs="宋体"/>
          <w:color w:val="auto"/>
          <w:szCs w:val="24"/>
          <w:highlight w:val="none"/>
        </w:rPr>
        <w:t>8.本项目采用全流程电子化招标采购方式，潜在</w:t>
      </w:r>
      <w:r>
        <w:rPr>
          <w:rFonts w:hint="eastAsia" w:ascii="宋体" w:hAnsi="宋体" w:eastAsia="宋体" w:cs="宋体"/>
          <w:color w:val="auto"/>
          <w:highlight w:val="none"/>
        </w:rPr>
        <w:t>投标人需使用</w:t>
      </w:r>
      <w:r>
        <w:rPr>
          <w:rFonts w:hint="eastAsia" w:ascii="宋体" w:hAnsi="宋体" w:eastAsia="宋体" w:cs="宋体"/>
          <w:color w:val="auto"/>
          <w:szCs w:val="24"/>
          <w:highlight w:val="none"/>
        </w:rPr>
        <w:t>“优质采投标工具客户端”（以下简称“投标工具”）制作</w:t>
      </w:r>
      <w:r>
        <w:rPr>
          <w:rFonts w:hint="eastAsia" w:ascii="宋体" w:hAnsi="宋体" w:eastAsia="宋体" w:cs="宋体"/>
          <w:color w:val="auto"/>
          <w:highlight w:val="none"/>
        </w:rPr>
        <w:t>电子投标文件，</w:t>
      </w:r>
      <w:r>
        <w:rPr>
          <w:rFonts w:hint="eastAsia" w:ascii="宋体" w:hAnsi="宋体" w:eastAsia="宋体" w:cs="宋体"/>
          <w:color w:val="auto"/>
          <w:szCs w:val="24"/>
          <w:highlight w:val="none"/>
        </w:rPr>
        <w:t>投标工具及操作说明下载地址：</w:t>
      </w:r>
      <w:r>
        <w:rPr>
          <w:rStyle w:val="25"/>
          <w:rFonts w:hint="eastAsia" w:ascii="宋体" w:hAnsi="宋体" w:eastAsia="宋体" w:cs="宋体"/>
          <w:color w:val="auto"/>
          <w:highlight w:val="none"/>
        </w:rPr>
        <w:fldChar w:fldCharType="begin"/>
      </w:r>
      <w:r>
        <w:rPr>
          <w:rStyle w:val="25"/>
          <w:rFonts w:hint="eastAsia" w:ascii="宋体" w:hAnsi="宋体" w:eastAsia="宋体" w:cs="宋体"/>
          <w:color w:val="auto"/>
          <w:highlight w:val="none"/>
        </w:rPr>
        <w:instrText xml:space="preserve"> HYPERLINK "https://toolcdn.youzhicai.com/tools/BidderTools.zip" </w:instrText>
      </w:r>
      <w:r>
        <w:rPr>
          <w:rStyle w:val="25"/>
          <w:rFonts w:hint="eastAsia" w:ascii="宋体" w:hAnsi="宋体" w:eastAsia="宋体" w:cs="宋体"/>
          <w:color w:val="auto"/>
          <w:highlight w:val="none"/>
        </w:rPr>
        <w:fldChar w:fldCharType="separate"/>
      </w:r>
      <w:r>
        <w:rPr>
          <w:rStyle w:val="25"/>
          <w:rFonts w:hint="eastAsia" w:ascii="宋体" w:hAnsi="宋体" w:eastAsia="宋体" w:cs="宋体"/>
          <w:color w:val="auto"/>
          <w:highlight w:val="none"/>
        </w:rPr>
        <w:t>https://toolcdn.youzhicai.com/tools/BidderTools.zip</w:t>
      </w:r>
      <w:r>
        <w:rPr>
          <w:rStyle w:val="25"/>
          <w:rFonts w:hint="eastAsia" w:ascii="宋体" w:hAnsi="宋体" w:eastAsia="宋体" w:cs="宋体"/>
          <w:color w:val="auto"/>
          <w:highlight w:val="none"/>
        </w:rPr>
        <w:fldChar w:fldCharType="end"/>
      </w:r>
      <w:r>
        <w:rPr>
          <w:rStyle w:val="25"/>
          <w:rFonts w:hint="eastAsia" w:ascii="宋体" w:hAnsi="宋体" w:eastAsia="宋体" w:cs="宋体"/>
          <w:color w:val="auto"/>
          <w:highlight w:val="none"/>
        </w:rPr>
        <w:t>。</w:t>
      </w:r>
    </w:p>
    <w:p w14:paraId="3EF15184">
      <w:pPr>
        <w:spacing w:line="400" w:lineRule="exact"/>
        <w:ind w:firstLine="420" w:firstLineChars="200"/>
        <w:rPr>
          <w:rStyle w:val="25"/>
          <w:rFonts w:hint="eastAsia" w:ascii="宋体" w:hAnsi="宋体" w:eastAsia="宋体" w:cs="宋体"/>
          <w:color w:val="auto"/>
          <w:highlight w:val="none"/>
          <w:u w:val="none"/>
        </w:rPr>
      </w:pPr>
      <w:r>
        <w:rPr>
          <w:rStyle w:val="25"/>
          <w:rFonts w:hint="eastAsia" w:ascii="宋体" w:hAnsi="宋体" w:eastAsia="宋体" w:cs="宋体"/>
          <w:color w:val="auto"/>
          <w:highlight w:val="none"/>
          <w:u w:val="none"/>
        </w:rPr>
        <w:tab/>
      </w:r>
      <w:r>
        <w:rPr>
          <w:rStyle w:val="25"/>
          <w:rFonts w:hint="eastAsia" w:ascii="宋体" w:hAnsi="宋体" w:eastAsia="宋体" w:cs="宋体"/>
          <w:color w:val="auto"/>
          <w:highlight w:val="none"/>
          <w:u w:val="none"/>
        </w:rPr>
        <w:t>8.1.投标工具建议在window7或windows10操作系统下使用；</w:t>
      </w:r>
    </w:p>
    <w:p w14:paraId="10FF312A">
      <w:pPr>
        <w:spacing w:line="400" w:lineRule="exact"/>
        <w:ind w:firstLine="420" w:firstLineChars="200"/>
        <w:rPr>
          <w:rFonts w:hint="eastAsia" w:ascii="宋体" w:hAnsi="宋体" w:eastAsia="宋体" w:cs="宋体"/>
          <w:bCs/>
          <w:color w:val="auto"/>
          <w:sz w:val="18"/>
          <w:highlight w:val="none"/>
        </w:rPr>
      </w:pPr>
      <w:r>
        <w:rPr>
          <w:rStyle w:val="25"/>
          <w:rFonts w:hint="eastAsia" w:ascii="宋体" w:hAnsi="宋体" w:eastAsia="宋体" w:cs="宋体"/>
          <w:color w:val="auto"/>
          <w:highlight w:val="none"/>
          <w:u w:val="none"/>
        </w:rPr>
        <w:tab/>
      </w:r>
      <w:r>
        <w:rPr>
          <w:rStyle w:val="25"/>
          <w:rFonts w:hint="eastAsia" w:ascii="宋体" w:hAnsi="宋体" w:eastAsia="宋体" w:cs="宋体"/>
          <w:color w:val="auto"/>
          <w:highlight w:val="none"/>
          <w:u w:val="none"/>
        </w:rPr>
        <w:t>8.2.电子投标文件编制建议使用</w:t>
      </w:r>
      <w:r>
        <w:rPr>
          <w:rFonts w:hint="eastAsia" w:ascii="宋体" w:hAnsi="宋体" w:eastAsia="宋体" w:cs="宋体"/>
          <w:color w:val="auto"/>
          <w:highlight w:val="none"/>
        </w:rPr>
        <w:t>office2010版本。</w:t>
      </w:r>
    </w:p>
    <w:p w14:paraId="748C0206">
      <w:pPr>
        <w:wordWrap w:val="0"/>
        <w:spacing w:line="400" w:lineRule="exact"/>
        <w:rPr>
          <w:rFonts w:hint="eastAsia" w:ascii="宋体" w:hAnsi="宋体" w:eastAsia="宋体" w:cs="宋体"/>
          <w:bCs/>
          <w:color w:val="auto"/>
          <w:highlight w:val="none"/>
          <w:u w:val="single"/>
        </w:rPr>
      </w:pPr>
      <w:r>
        <w:rPr>
          <w:rFonts w:hint="eastAsia" w:ascii="宋体" w:hAnsi="宋体" w:eastAsia="宋体" w:cs="宋体"/>
          <w:color w:val="auto"/>
          <w:szCs w:val="24"/>
          <w:highlight w:val="none"/>
        </w:rPr>
        <w:tab/>
      </w:r>
      <w:r>
        <w:rPr>
          <w:rFonts w:hint="eastAsia" w:ascii="宋体" w:hAnsi="宋体" w:eastAsia="宋体" w:cs="宋体"/>
          <w:color w:val="auto"/>
          <w:szCs w:val="24"/>
          <w:highlight w:val="none"/>
        </w:rPr>
        <w:t>9.</w:t>
      </w:r>
      <w:r>
        <w:rPr>
          <w:rFonts w:hint="eastAsia" w:ascii="宋体" w:hAnsi="宋体" w:eastAsia="宋体" w:cs="宋体"/>
          <w:color w:val="auto"/>
          <w:highlight w:val="none"/>
        </w:rPr>
        <w:t>潜在投标人制作电子投标文件后，需在</w:t>
      </w:r>
      <w:r>
        <w:rPr>
          <w:rFonts w:hint="eastAsia" w:ascii="宋体" w:hAnsi="宋体" w:eastAsia="宋体" w:cs="宋体"/>
          <w:color w:val="auto"/>
          <w:szCs w:val="24"/>
          <w:highlight w:val="none"/>
        </w:rPr>
        <w:t>投标工具</w:t>
      </w:r>
      <w:r>
        <w:rPr>
          <w:rFonts w:hint="eastAsia" w:ascii="宋体" w:hAnsi="宋体" w:eastAsia="宋体" w:cs="宋体"/>
          <w:color w:val="auto"/>
          <w:highlight w:val="none"/>
        </w:rPr>
        <w:t>对电子投标文件进行电子签章（项目有特殊说明的除外），并使用CA</w:t>
      </w:r>
      <w:r>
        <w:rPr>
          <w:rFonts w:hint="eastAsia" w:ascii="宋体" w:hAnsi="宋体" w:eastAsia="宋体" w:cs="宋体"/>
          <w:color w:val="auto"/>
          <w:szCs w:val="24"/>
          <w:highlight w:val="none"/>
        </w:rPr>
        <w:t>证书进行</w:t>
      </w:r>
      <w:r>
        <w:rPr>
          <w:rFonts w:hint="eastAsia" w:ascii="宋体" w:hAnsi="宋体" w:eastAsia="宋体" w:cs="宋体"/>
          <w:color w:val="auto"/>
          <w:highlight w:val="none"/>
        </w:rPr>
        <w:t>加密。在</w:t>
      </w:r>
      <w:r>
        <w:rPr>
          <w:rFonts w:hint="eastAsia" w:ascii="宋体" w:hAnsi="宋体" w:eastAsia="宋体" w:cs="宋体"/>
          <w:color w:val="auto"/>
          <w:szCs w:val="24"/>
          <w:highlight w:val="none"/>
        </w:rPr>
        <w:t>投标工具使用CA证书</w:t>
      </w:r>
      <w:r>
        <w:rPr>
          <w:rFonts w:hint="eastAsia" w:ascii="宋体" w:hAnsi="宋体" w:eastAsia="宋体" w:cs="宋体"/>
          <w:color w:val="auto"/>
          <w:highlight w:val="none"/>
        </w:rPr>
        <w:t>时需安装“优质采数字证书助手”</w:t>
      </w:r>
      <w:r>
        <w:rPr>
          <w:rFonts w:hint="eastAsia" w:ascii="宋体" w:hAnsi="宋体" w:eastAsia="宋体" w:cs="宋体"/>
          <w:color w:val="auto"/>
          <w:szCs w:val="24"/>
          <w:highlight w:val="none"/>
        </w:rPr>
        <w:t xml:space="preserve"> （即数字证书驱动）</w:t>
      </w:r>
      <w:r>
        <w:rPr>
          <w:rFonts w:hint="eastAsia" w:ascii="宋体" w:hAnsi="宋体" w:eastAsia="宋体" w:cs="宋体"/>
          <w:color w:val="auto"/>
          <w:highlight w:val="none"/>
        </w:rPr>
        <w:t>，下载地址：</w:t>
      </w:r>
      <w:r>
        <w:rPr>
          <w:rStyle w:val="25"/>
          <w:rFonts w:hint="eastAsia" w:ascii="宋体" w:hAnsi="宋体" w:eastAsia="宋体" w:cs="宋体"/>
          <w:color w:val="auto"/>
          <w:highlight w:val="none"/>
        </w:rPr>
        <w:fldChar w:fldCharType="begin"/>
      </w:r>
      <w:r>
        <w:rPr>
          <w:rStyle w:val="25"/>
          <w:rFonts w:hint="eastAsia" w:ascii="宋体" w:hAnsi="宋体" w:eastAsia="宋体" w:cs="宋体"/>
          <w:color w:val="auto"/>
          <w:highlight w:val="none"/>
        </w:rPr>
        <w:instrText xml:space="preserve"> HYPERLINK "https://toolcdn.youzhicai.com/ca.zip" </w:instrText>
      </w:r>
      <w:r>
        <w:rPr>
          <w:rStyle w:val="25"/>
          <w:rFonts w:hint="eastAsia" w:ascii="宋体" w:hAnsi="宋体" w:eastAsia="宋体" w:cs="宋体"/>
          <w:color w:val="auto"/>
          <w:highlight w:val="none"/>
        </w:rPr>
        <w:fldChar w:fldCharType="separate"/>
      </w:r>
      <w:r>
        <w:rPr>
          <w:rStyle w:val="25"/>
          <w:rFonts w:hint="eastAsia" w:ascii="宋体" w:hAnsi="宋体" w:eastAsia="宋体" w:cs="宋体"/>
          <w:color w:val="auto"/>
          <w:highlight w:val="none"/>
        </w:rPr>
        <w:t>https://toolcdn.youzhicai.com/ca.zip</w:t>
      </w:r>
      <w:r>
        <w:rPr>
          <w:rStyle w:val="25"/>
          <w:rFonts w:hint="eastAsia" w:ascii="宋体" w:hAnsi="宋体" w:eastAsia="宋体" w:cs="宋体"/>
          <w:color w:val="auto"/>
          <w:highlight w:val="none"/>
        </w:rPr>
        <w:fldChar w:fldCharType="end"/>
      </w:r>
      <w:r>
        <w:rPr>
          <w:rStyle w:val="25"/>
          <w:rFonts w:hint="eastAsia" w:ascii="宋体" w:hAnsi="宋体" w:eastAsia="宋体" w:cs="宋体"/>
          <w:color w:val="auto"/>
          <w:highlight w:val="none"/>
        </w:rPr>
        <w:t>。</w:t>
      </w:r>
    </w:p>
    <w:p w14:paraId="5265BB0D">
      <w:pPr>
        <w:wordWrap w:val="0"/>
        <w:spacing w:line="400" w:lineRule="exact"/>
        <w:rPr>
          <w:rFonts w:hint="eastAsia" w:ascii="宋体" w:hAnsi="宋体" w:eastAsia="宋体" w:cs="宋体"/>
          <w:color w:val="auto"/>
          <w:szCs w:val="24"/>
          <w:highlight w:val="none"/>
        </w:rPr>
      </w:pPr>
      <w:r>
        <w:rPr>
          <w:rFonts w:hint="eastAsia" w:ascii="宋体" w:hAnsi="宋体" w:eastAsia="宋体" w:cs="宋体"/>
          <w:color w:val="auto"/>
          <w:highlight w:val="none"/>
        </w:rPr>
        <w:tab/>
      </w:r>
      <w:r>
        <w:rPr>
          <w:rFonts w:hint="eastAsia" w:ascii="宋体" w:hAnsi="宋体" w:eastAsia="宋体" w:cs="宋体"/>
          <w:color w:val="auto"/>
          <w:szCs w:val="24"/>
          <w:highlight w:val="none"/>
        </w:rPr>
        <w:t>10.潜在投标人完成制作、签章、加密投标文件后，需在</w:t>
      </w:r>
      <w:r>
        <w:rPr>
          <w:rFonts w:hint="eastAsia" w:ascii="宋体" w:hAnsi="宋体" w:eastAsia="宋体" w:cs="宋体"/>
          <w:color w:val="auto"/>
          <w:highlight w:val="none"/>
        </w:rPr>
        <w:t>招标文件规定的投标截止时间前在</w:t>
      </w:r>
      <w:r>
        <w:rPr>
          <w:rFonts w:hint="eastAsia" w:ascii="宋体" w:hAnsi="宋体" w:eastAsia="宋体" w:cs="宋体"/>
          <w:color w:val="auto"/>
          <w:szCs w:val="24"/>
          <w:highlight w:val="none"/>
        </w:rPr>
        <w:t>投标工具</w:t>
      </w:r>
      <w:r>
        <w:rPr>
          <w:rFonts w:hint="eastAsia" w:ascii="宋体" w:hAnsi="宋体" w:eastAsia="宋体" w:cs="宋体"/>
          <w:color w:val="auto"/>
          <w:highlight w:val="none"/>
        </w:rPr>
        <w:t>完成上传。</w:t>
      </w:r>
      <w:r>
        <w:rPr>
          <w:rFonts w:hint="eastAsia" w:ascii="宋体" w:hAnsi="宋体" w:eastAsia="宋体" w:cs="宋体"/>
          <w:color w:val="auto"/>
          <w:szCs w:val="24"/>
          <w:highlight w:val="none"/>
        </w:rPr>
        <w:t>投标截止时间以优质采云采购平台（www.youzhicai.com）系统的时间为准，如未在投标截止时间前完成电子投标文件上传，系统将自动关闭上传通道。潜在投标人未完成电子投标文件上传的，视为没有递交投标文件。</w:t>
      </w:r>
    </w:p>
    <w:p w14:paraId="4F9E91C0">
      <w:pPr>
        <w:wordWrap w:val="0"/>
        <w:spacing w:line="400" w:lineRule="exact"/>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11.潜在投标人在投标文件递交截止时间前，可以对其所递交的电子投标文件进行撤回，修改后重新上传。</w:t>
      </w:r>
    </w:p>
    <w:p w14:paraId="5DC62A1B">
      <w:pPr>
        <w:spacing w:line="400" w:lineRule="exact"/>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12.潜在投标人在制作、签章、加密、上传电子投标文件过程中，若存在技术操作问题，请及时联系优质采云采购平台客服人员，客服电话：400-0099-555，0551-62220164。</w:t>
      </w:r>
    </w:p>
    <w:p w14:paraId="0B637138">
      <w:pPr>
        <w:spacing w:line="400" w:lineRule="exact"/>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三、开标和解密</w:t>
      </w:r>
    </w:p>
    <w:p w14:paraId="07054AF7">
      <w:pPr>
        <w:spacing w:line="400" w:lineRule="exact"/>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13.招标人或招标代理机构工作人员（以下简称工作人员）根据有关规定登录系统组织开标。投标文件递交截止时间后由投标人使用</w:t>
      </w:r>
      <w:r>
        <w:rPr>
          <w:rFonts w:hint="eastAsia" w:ascii="宋体" w:hAnsi="宋体" w:eastAsia="宋体" w:cs="宋体"/>
          <w:color w:val="auto"/>
          <w:highlight w:val="none"/>
        </w:rPr>
        <w:t>CA证书</w:t>
      </w:r>
      <w:r>
        <w:rPr>
          <w:rFonts w:hint="eastAsia" w:ascii="宋体" w:hAnsi="宋体" w:eastAsia="宋体" w:cs="宋体"/>
          <w:color w:val="auto"/>
          <w:szCs w:val="24"/>
          <w:highlight w:val="none"/>
        </w:rPr>
        <w:t>解密投标文件，工作人员导入已解密投标文件并公布开标结果。</w:t>
      </w:r>
    </w:p>
    <w:p w14:paraId="4F9D03CC">
      <w:pPr>
        <w:spacing w:line="400" w:lineRule="exact"/>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14.投标文件可远程解密，投标人无需到达开标现场。招标文件“投标人须知”中另有规定的，从其规定。</w:t>
      </w:r>
    </w:p>
    <w:p w14:paraId="32DE8242">
      <w:pPr>
        <w:spacing w:line="400" w:lineRule="exact"/>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15.潜在投标人须按照招标文件的要求在投标文件递交截止时间前登录投标工具并保持在线，关注开标互动大厅消息直到项目评审结束。</w:t>
      </w:r>
    </w:p>
    <w:p w14:paraId="440EEDFF">
      <w:pPr>
        <w:spacing w:line="400" w:lineRule="exact"/>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16.投标文件解密时限为投标文件递交截止时间后</w:t>
      </w:r>
      <w:r>
        <w:rPr>
          <w:rFonts w:hint="eastAsia" w:ascii="宋体" w:hAnsi="宋体" w:eastAsia="宋体" w:cs="宋体"/>
          <w:color w:val="auto"/>
          <w:szCs w:val="24"/>
          <w:highlight w:val="none"/>
        </w:rPr>
        <w:t>30</w:t>
      </w:r>
      <w:r>
        <w:rPr>
          <w:rFonts w:hint="eastAsia" w:ascii="宋体" w:hAnsi="宋体" w:eastAsia="宋体" w:cs="宋体"/>
          <w:color w:val="auto"/>
          <w:szCs w:val="24"/>
          <w:highlight w:val="none"/>
        </w:rPr>
        <w:t>分钟（招标文件“投标人须知”中另有规定的，从其规定）。潜在投标人须在投标文件解密时限内完成投标文件解密，未能成功解密的视为放弃投标。招标文件“投标人须知”中对投标文件解密设有线下补救方案的，执行该补救方案。</w:t>
      </w:r>
    </w:p>
    <w:p w14:paraId="3ABFBF6A">
      <w:pPr>
        <w:spacing w:line="400" w:lineRule="exact"/>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四、评标和询标</w:t>
      </w:r>
    </w:p>
    <w:p w14:paraId="70D29C94">
      <w:pPr>
        <w:spacing w:line="400" w:lineRule="exact"/>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17.评标委员会通过优质采电子评标工具将需要澄清、说明或补正的内容以询标函的形式发送给投标人，投标人/供应商应登录投标工具并保持在线状态，以便及时接收评标委员会可能发出的询标函，并在询标函载明的时间内回复，若投标人未及时回复，视为放弃澄清。</w:t>
      </w:r>
    </w:p>
    <w:p w14:paraId="42E8D41D">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五、异常情形</w:t>
      </w:r>
    </w:p>
    <w:p w14:paraId="644260C6">
      <w:pPr>
        <w:spacing w:line="400" w:lineRule="exact"/>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18.出现下列情形导致电子交易系统无法正常运行，影响招投标过程的公平、公正和信息安全，经第三方机构认定后，各方当事人免责：</w:t>
      </w:r>
    </w:p>
    <w:p w14:paraId="40F8ADEC">
      <w:pPr>
        <w:spacing w:line="400" w:lineRule="exact"/>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(1)网络、服务器、数据库发生故障造成无法访问或使用的；</w:t>
      </w:r>
    </w:p>
    <w:p w14:paraId="6159D5B4">
      <w:pPr>
        <w:spacing w:line="400" w:lineRule="exact"/>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(2)电力系统发生故障导致电子服务系统或电子交易系统无法运行；</w:t>
      </w:r>
    </w:p>
    <w:p w14:paraId="32E4CD64">
      <w:pPr>
        <w:spacing w:line="400" w:lineRule="exact"/>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(3)出现网络攻击、病毒入侵以及电子服务系统或电子交易系统安全漏洞导致无法正常提供服务的；</w:t>
      </w:r>
    </w:p>
    <w:p w14:paraId="133D294D">
      <w:pPr>
        <w:spacing w:line="400" w:lineRule="exact"/>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(4)其他无法保证招投标过程公平、公正和信息安全的情形。</w:t>
      </w:r>
    </w:p>
    <w:p w14:paraId="1193CA27">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六、异常情形处理</w:t>
      </w:r>
    </w:p>
    <w:p w14:paraId="685694C3">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19.出现上述情形，优质采平台及时组织相关方查明原因，排除故障。若能保证在开标前恢复系统运行的，招投标程序继续进行；若导致开评标程序无法按时开展，但能在原开标时间后2小时内恢复系统运行的，招投标程序继续进行；若导致开评标程序无法按时开展，在原开标时间后2小时内无法恢复系统运行的，按以下程序操作：</w:t>
      </w:r>
    </w:p>
    <w:p w14:paraId="732A0BC4">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项目中止，中止期限由招标人或招标代理机构根据项目具体情况确定。中止期限届满后中止情形尚未消除的，招标人或代理机构可以根据实际情况决定延长中止期限。决定延长中止期限的，应向投标人发出延长中止期限通知，并发布公布。</w:t>
      </w:r>
    </w:p>
    <w:p w14:paraId="4DC8F687">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（2）项目恢复，导致项目中止的情形消除后，招标人或代理机构应当尽快恢复招投标程序，向投标人发出恢复交易通知，并发布公布；已发出延长中止期限通知的，按通知执行。</w:t>
      </w:r>
    </w:p>
    <w:p w14:paraId="79A00514">
      <w:pPr>
        <w:rPr>
          <w:color w:val="auto"/>
          <w:highlight w:val="none"/>
        </w:rPr>
      </w:pPr>
    </w:p>
    <w:sectPr>
      <w:headerReference r:id="rId7" w:type="default"/>
      <w:footerReference r:id="rId8" w:type="default"/>
      <w:footerReference r:id="rId9" w:type="even"/>
      <w:pgSz w:w="11907" w:h="16840"/>
      <w:pgMar w:top="1440" w:right="1247" w:bottom="1440" w:left="1247" w:header="851" w:footer="992" w:gutter="0"/>
      <w:pgBorders>
        <w:top w:val="none" w:sz="0" w:space="0"/>
        <w:left w:val="none" w:sz="0" w:space="0"/>
        <w:bottom w:val="none" w:sz="0" w:space="0"/>
        <w:right w:val="none" w:sz="0" w:space="0"/>
      </w:pgBorders>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99809">
    <w:pPr>
      <w:pStyle w:val="12"/>
      <w:framePr w:wrap="around" w:vAnchor="text" w:hAnchor="margin" w:xAlign="center" w:y="1"/>
      <w:rPr>
        <w:rStyle w:val="24"/>
      </w:rPr>
    </w:pPr>
    <w:r>
      <w:rPr>
        <w:rStyle w:val="24"/>
      </w:rPr>
      <w:fldChar w:fldCharType="begin"/>
    </w:r>
    <w:r>
      <w:rPr>
        <w:rStyle w:val="24"/>
      </w:rPr>
      <w:instrText xml:space="preserve">PAGE  </w:instrText>
    </w:r>
    <w:r>
      <w:rPr>
        <w:rStyle w:val="24"/>
      </w:rPr>
      <w:fldChar w:fldCharType="end"/>
    </w:r>
  </w:p>
  <w:p w14:paraId="5BDC7977">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0E12E">
    <w:pPr>
      <w:pStyle w:val="12"/>
      <w:jc w:val="center"/>
      <w:rPr>
        <w:rFonts w:ascii="宋体" w:hAnsi="宋体"/>
        <w:sz w:val="24"/>
      </w:rPr>
    </w:pPr>
    <w:r>
      <w:rPr>
        <w:rFonts w:hint="eastAsia" w:ascii="宋体" w:hAnsi="宋体"/>
        <w:kern w:val="0"/>
        <w:sz w:val="24"/>
        <w:szCs w:val="21"/>
      </w:rPr>
      <w:t xml:space="preserve">第 </w:t>
    </w:r>
    <w:r>
      <w:rPr>
        <w:rFonts w:ascii="宋体" w:hAnsi="宋体"/>
        <w:kern w:val="0"/>
        <w:sz w:val="24"/>
        <w:szCs w:val="21"/>
      </w:rPr>
      <w:fldChar w:fldCharType="begin"/>
    </w:r>
    <w:r>
      <w:rPr>
        <w:rFonts w:ascii="宋体" w:hAnsi="宋体"/>
        <w:kern w:val="0"/>
        <w:sz w:val="24"/>
        <w:szCs w:val="21"/>
      </w:rPr>
      <w:instrText xml:space="preserve"> PAGE </w:instrText>
    </w:r>
    <w:r>
      <w:rPr>
        <w:rFonts w:ascii="宋体" w:hAnsi="宋体"/>
        <w:kern w:val="0"/>
        <w:sz w:val="24"/>
        <w:szCs w:val="21"/>
      </w:rPr>
      <w:fldChar w:fldCharType="separate"/>
    </w:r>
    <w:r>
      <w:rPr>
        <w:rFonts w:ascii="宋体" w:hAnsi="宋体"/>
        <w:kern w:val="0"/>
        <w:sz w:val="24"/>
        <w:szCs w:val="21"/>
      </w:rPr>
      <w:t>1</w:t>
    </w:r>
    <w:r>
      <w:rPr>
        <w:rFonts w:ascii="宋体" w:hAnsi="宋体"/>
        <w:kern w:val="0"/>
        <w:sz w:val="24"/>
        <w:szCs w:val="21"/>
      </w:rPr>
      <w:fldChar w:fldCharType="end"/>
    </w:r>
    <w:r>
      <w:rPr>
        <w:rFonts w:hint="eastAsia" w:ascii="宋体" w:hAnsi="宋体"/>
        <w:kern w:val="0"/>
        <w:sz w:val="24"/>
        <w:szCs w:val="21"/>
      </w:rPr>
      <w:t xml:space="preserve"> 页 共 </w:t>
    </w:r>
    <w:r>
      <w:rPr>
        <w:rFonts w:ascii="宋体" w:hAnsi="宋体"/>
        <w:kern w:val="0"/>
        <w:sz w:val="24"/>
        <w:szCs w:val="21"/>
      </w:rPr>
      <w:fldChar w:fldCharType="begin"/>
    </w:r>
    <w:r>
      <w:rPr>
        <w:rFonts w:ascii="宋体" w:hAnsi="宋体"/>
        <w:kern w:val="0"/>
        <w:sz w:val="24"/>
        <w:szCs w:val="21"/>
      </w:rPr>
      <w:instrText xml:space="preserve"> NUMPAGES </w:instrText>
    </w:r>
    <w:r>
      <w:rPr>
        <w:rFonts w:ascii="宋体" w:hAnsi="宋体"/>
        <w:kern w:val="0"/>
        <w:sz w:val="24"/>
        <w:szCs w:val="21"/>
      </w:rPr>
      <w:fldChar w:fldCharType="separate"/>
    </w:r>
    <w:r>
      <w:rPr>
        <w:rFonts w:ascii="宋体" w:hAnsi="宋体"/>
        <w:kern w:val="0"/>
        <w:sz w:val="24"/>
        <w:szCs w:val="21"/>
      </w:rPr>
      <w:t>58</w:t>
    </w:r>
    <w:r>
      <w:rPr>
        <w:rFonts w:ascii="宋体" w:hAnsi="宋体"/>
        <w:kern w:val="0"/>
        <w:sz w:val="24"/>
        <w:szCs w:val="21"/>
      </w:rPr>
      <w:fldChar w:fldCharType="end"/>
    </w:r>
    <w:r>
      <w:rPr>
        <w:rFonts w:hint="eastAsia" w:ascii="宋体" w:hAnsi="宋体"/>
        <w:kern w:val="0"/>
        <w:sz w:val="24"/>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26B48">
    <w:pPr>
      <w:pStyle w:val="12"/>
      <w:jc w:val="center"/>
      <w:rPr>
        <w:rFonts w:ascii="宋体" w:hAnsi="宋体"/>
        <w:sz w:val="24"/>
      </w:rPr>
    </w:pPr>
    <w:r>
      <w:rPr>
        <w:rFonts w:hint="eastAsia" w:ascii="宋体" w:hAnsi="宋体"/>
        <w:kern w:val="0"/>
        <w:sz w:val="24"/>
        <w:szCs w:val="21"/>
      </w:rPr>
      <w:t xml:space="preserve">第 </w:t>
    </w:r>
    <w:r>
      <w:rPr>
        <w:rFonts w:ascii="宋体" w:hAnsi="宋体"/>
        <w:kern w:val="0"/>
        <w:sz w:val="24"/>
        <w:szCs w:val="21"/>
      </w:rPr>
      <w:fldChar w:fldCharType="begin"/>
    </w:r>
    <w:r>
      <w:rPr>
        <w:rFonts w:ascii="宋体" w:hAnsi="宋体"/>
        <w:kern w:val="0"/>
        <w:sz w:val="24"/>
        <w:szCs w:val="21"/>
      </w:rPr>
      <w:instrText xml:space="preserve"> PAGE </w:instrText>
    </w:r>
    <w:r>
      <w:rPr>
        <w:rFonts w:ascii="宋体" w:hAnsi="宋体"/>
        <w:kern w:val="0"/>
        <w:sz w:val="24"/>
        <w:szCs w:val="21"/>
      </w:rPr>
      <w:fldChar w:fldCharType="separate"/>
    </w:r>
    <w:r>
      <w:rPr>
        <w:rFonts w:ascii="宋体" w:hAnsi="宋体"/>
        <w:kern w:val="0"/>
        <w:sz w:val="24"/>
        <w:szCs w:val="21"/>
      </w:rPr>
      <w:t>49</w:t>
    </w:r>
    <w:r>
      <w:rPr>
        <w:rFonts w:ascii="宋体" w:hAnsi="宋体"/>
        <w:kern w:val="0"/>
        <w:sz w:val="24"/>
        <w:szCs w:val="21"/>
      </w:rPr>
      <w:fldChar w:fldCharType="end"/>
    </w:r>
    <w:r>
      <w:rPr>
        <w:rFonts w:hint="eastAsia" w:ascii="宋体" w:hAnsi="宋体"/>
        <w:kern w:val="0"/>
        <w:sz w:val="24"/>
        <w:szCs w:val="21"/>
      </w:rPr>
      <w:t xml:space="preserve"> 页 共 </w:t>
    </w:r>
    <w:r>
      <w:rPr>
        <w:rFonts w:ascii="宋体" w:hAnsi="宋体"/>
        <w:kern w:val="0"/>
        <w:sz w:val="24"/>
        <w:szCs w:val="21"/>
      </w:rPr>
      <w:fldChar w:fldCharType="begin"/>
    </w:r>
    <w:r>
      <w:rPr>
        <w:rFonts w:ascii="宋体" w:hAnsi="宋体"/>
        <w:kern w:val="0"/>
        <w:sz w:val="24"/>
        <w:szCs w:val="21"/>
      </w:rPr>
      <w:instrText xml:space="preserve"> NUMPAGES </w:instrText>
    </w:r>
    <w:r>
      <w:rPr>
        <w:rFonts w:ascii="宋体" w:hAnsi="宋体"/>
        <w:kern w:val="0"/>
        <w:sz w:val="24"/>
        <w:szCs w:val="21"/>
      </w:rPr>
      <w:fldChar w:fldCharType="separate"/>
    </w:r>
    <w:r>
      <w:rPr>
        <w:rFonts w:ascii="宋体" w:hAnsi="宋体"/>
        <w:kern w:val="0"/>
        <w:sz w:val="24"/>
        <w:szCs w:val="21"/>
      </w:rPr>
      <w:t>58</w:t>
    </w:r>
    <w:r>
      <w:rPr>
        <w:rFonts w:ascii="宋体" w:hAnsi="宋体"/>
        <w:kern w:val="0"/>
        <w:sz w:val="24"/>
        <w:szCs w:val="21"/>
      </w:rPr>
      <w:fldChar w:fldCharType="end"/>
    </w:r>
    <w:r>
      <w:rPr>
        <w:rFonts w:hint="eastAsia" w:ascii="宋体" w:hAnsi="宋体"/>
        <w:kern w:val="0"/>
        <w:sz w:val="24"/>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67FA1">
    <w:pPr>
      <w:pStyle w:val="12"/>
      <w:framePr w:wrap="around" w:vAnchor="text" w:hAnchor="margin" w:xAlign="center" w:y="1"/>
      <w:rPr>
        <w:rStyle w:val="24"/>
      </w:rPr>
    </w:pPr>
    <w:r>
      <w:rPr>
        <w:rStyle w:val="24"/>
      </w:rPr>
      <w:fldChar w:fldCharType="begin"/>
    </w:r>
    <w:r>
      <w:rPr>
        <w:rStyle w:val="24"/>
      </w:rPr>
      <w:instrText xml:space="preserve">PAGE  </w:instrText>
    </w:r>
    <w:r>
      <w:rPr>
        <w:rStyle w:val="24"/>
      </w:rPr>
      <w:fldChar w:fldCharType="end"/>
    </w:r>
  </w:p>
  <w:p w14:paraId="447C195C">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2C08BDDF">
      <w:pPr>
        <w:pStyle w:val="16"/>
      </w:pPr>
      <w:r>
        <w:rPr>
          <w:rStyle w:val="26"/>
        </w:rPr>
        <w:footnoteRef/>
      </w:r>
      <w:r>
        <w:rPr>
          <w:rFonts w:hint="eastAsia"/>
        </w:rPr>
        <w:t>解密、询标时间可以根据项目情况予以调整。其他内容如需调整，请联系优质采后予以办理。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646B4">
    <w:pPr>
      <w:pStyle w:val="14"/>
      <w:jc w:val="both"/>
      <w:rPr>
        <w:rFonts w:hint="eastAsia" w:ascii="宋体" w:hAnsi="宋体"/>
        <w:b/>
        <w:i/>
        <w:color w:val="0000FF"/>
        <w:sz w:val="24"/>
      </w:rPr>
    </w:pPr>
    <w:r>
      <w:rPr>
        <w:rFonts w:hint="eastAsia"/>
      </w:rPr>
      <w:t>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75343">
    <w:pPr>
      <w:pStyle w:val="14"/>
      <w:jc w:val="both"/>
      <w:rPr>
        <w:rFonts w:hint="eastAsia" w:ascii="宋体" w:hAnsi="宋体"/>
        <w:b/>
        <w:i/>
        <w:color w:val="0000FF"/>
        <w:sz w:val="24"/>
      </w:rPr>
    </w:pPr>
    <w:r>
      <w:rPr>
        <w:rFonts w:hint="eastAsia"/>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5BF4D1"/>
    <w:multiLevelType w:val="singleLevel"/>
    <w:tmpl w:val="BC5BF4D1"/>
    <w:lvl w:ilvl="0" w:tentative="0">
      <w:start w:val="1"/>
      <w:numFmt w:val="chineseCounting"/>
      <w:suff w:val="nothing"/>
      <w:lvlText w:val="（%1）"/>
      <w:lvlJc w:val="left"/>
      <w:rPr>
        <w:rFonts w:hint="eastAsia"/>
      </w:rPr>
    </w:lvl>
  </w:abstractNum>
  <w:abstractNum w:abstractNumId="1">
    <w:nsid w:val="D7D9785B"/>
    <w:multiLevelType w:val="singleLevel"/>
    <w:tmpl w:val="D7D9785B"/>
    <w:lvl w:ilvl="0" w:tentative="0">
      <w:start w:val="1"/>
      <w:numFmt w:val="decimal"/>
      <w:pStyle w:val="32"/>
      <w:suff w:val="nothing"/>
      <w:lvlText w:val="%1、"/>
      <w:lvlJc w:val="left"/>
    </w:lvl>
  </w:abstractNum>
  <w:abstractNum w:abstractNumId="2">
    <w:nsid w:val="00000005"/>
    <w:multiLevelType w:val="multilevel"/>
    <w:tmpl w:val="00000005"/>
    <w:lvl w:ilvl="0" w:tentative="0">
      <w:start w:val="1"/>
      <w:numFmt w:val="decimal"/>
      <w:pStyle w:val="3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MGMwZDBhYWZhOTllNjljOGQ4MzE3OWEwNDRhMWMifQ=="/>
  </w:docVars>
  <w:rsids>
    <w:rsidRoot w:val="32DE7282"/>
    <w:rsid w:val="01050F22"/>
    <w:rsid w:val="070313E4"/>
    <w:rsid w:val="0B574A70"/>
    <w:rsid w:val="111D5E14"/>
    <w:rsid w:val="172123D6"/>
    <w:rsid w:val="1D8611E5"/>
    <w:rsid w:val="1E026ABD"/>
    <w:rsid w:val="21FE759C"/>
    <w:rsid w:val="24F50390"/>
    <w:rsid w:val="26E01966"/>
    <w:rsid w:val="29CA2D48"/>
    <w:rsid w:val="301C25D9"/>
    <w:rsid w:val="302F051F"/>
    <w:rsid w:val="3274548D"/>
    <w:rsid w:val="32DE7282"/>
    <w:rsid w:val="3F8F587F"/>
    <w:rsid w:val="48F350D1"/>
    <w:rsid w:val="49A009F0"/>
    <w:rsid w:val="50762D6A"/>
    <w:rsid w:val="52943481"/>
    <w:rsid w:val="54882B71"/>
    <w:rsid w:val="5F6F3089"/>
    <w:rsid w:val="69BE2560"/>
    <w:rsid w:val="706B361B"/>
    <w:rsid w:val="767D3BAF"/>
    <w:rsid w:val="7A4B1DC7"/>
    <w:rsid w:val="7A74131E"/>
    <w:rsid w:val="7BCE0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name="toc 6"/>
    <w:lsdException w:qFormat="1" w:uiPriority="39"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qFormat/>
    <w:uiPriority w:val="0"/>
    <w:pPr>
      <w:keepNext/>
      <w:keepLines/>
      <w:spacing w:before="260" w:after="260" w:line="416" w:lineRule="auto"/>
      <w:ind w:firstLine="628"/>
      <w:jc w:val="center"/>
      <w:outlineLvl w:val="1"/>
    </w:pPr>
    <w:rPr>
      <w:rFonts w:ascii="Arial" w:hAnsi="Arial" w:eastAsia="黑体"/>
      <w:b/>
      <w:bCs/>
      <w:sz w:val="32"/>
      <w:szCs w:val="32"/>
    </w:rPr>
  </w:style>
  <w:style w:type="paragraph" w:styleId="2">
    <w:name w:val="heading 3"/>
    <w:basedOn w:val="1"/>
    <w:next w:val="1"/>
    <w:autoRedefine/>
    <w:qFormat/>
    <w:uiPriority w:val="0"/>
    <w:pPr>
      <w:keepNext/>
      <w:keepLines/>
      <w:spacing w:before="260" w:after="260" w:line="416" w:lineRule="auto"/>
      <w:jc w:val="center"/>
      <w:outlineLvl w:val="2"/>
    </w:pPr>
    <w:rPr>
      <w:rFonts w:ascii="宋体"/>
      <w:b/>
      <w:bCs/>
      <w:sz w:val="32"/>
      <w:szCs w:val="32"/>
    </w:rPr>
  </w:style>
  <w:style w:type="character" w:default="1" w:styleId="22">
    <w:name w:val="Default Paragraph Font"/>
    <w:autoRedefine/>
    <w:semiHidden/>
    <w:qFormat/>
    <w:uiPriority w:val="0"/>
  </w:style>
  <w:style w:type="table" w:default="1" w:styleId="20">
    <w:name w:val="Normal Table"/>
    <w:autoRedefine/>
    <w:semiHidden/>
    <w:qFormat/>
    <w:uiPriority w:val="0"/>
    <w:tblPr>
      <w:tblCellMar>
        <w:top w:w="0" w:type="dxa"/>
        <w:left w:w="108" w:type="dxa"/>
        <w:bottom w:w="0" w:type="dxa"/>
        <w:right w:w="108" w:type="dxa"/>
      </w:tblCellMar>
    </w:tblPr>
  </w:style>
  <w:style w:type="paragraph" w:styleId="4">
    <w:name w:val="toc 7"/>
    <w:basedOn w:val="1"/>
    <w:next w:val="1"/>
    <w:unhideWhenUsed/>
    <w:qFormat/>
    <w:uiPriority w:val="39"/>
    <w:pPr>
      <w:ind w:left="2520" w:leftChars="1200"/>
    </w:pPr>
  </w:style>
  <w:style w:type="paragraph" w:styleId="5">
    <w:name w:val="annotation text"/>
    <w:basedOn w:val="1"/>
    <w:qFormat/>
    <w:uiPriority w:val="0"/>
    <w:pPr>
      <w:jc w:val="left"/>
    </w:pPr>
  </w:style>
  <w:style w:type="paragraph" w:styleId="6">
    <w:name w:val="Body Text"/>
    <w:basedOn w:val="1"/>
    <w:next w:val="7"/>
    <w:qFormat/>
    <w:uiPriority w:val="0"/>
    <w:rPr>
      <w:rFonts w:ascii="宋体" w:hAnsi="Arial"/>
      <w:sz w:val="28"/>
    </w:rPr>
  </w:style>
  <w:style w:type="paragraph" w:styleId="7">
    <w:name w:val="Body Text First Indent"/>
    <w:basedOn w:val="6"/>
    <w:next w:val="8"/>
    <w:autoRedefine/>
    <w:qFormat/>
    <w:uiPriority w:val="0"/>
    <w:pPr>
      <w:autoSpaceDE w:val="0"/>
      <w:autoSpaceDN w:val="0"/>
      <w:adjustRightInd w:val="0"/>
      <w:spacing w:line="360" w:lineRule="auto"/>
      <w:ind w:right="-24" w:rightChars="-10" w:firstLine="425" w:firstLineChars="225"/>
    </w:pPr>
    <w:rPr>
      <w:rFonts w:ascii="Arial" w:hAnsi="Arial" w:eastAsia="仿宋_GB2312" w:cs="Arial"/>
      <w:kern w:val="0"/>
      <w:sz w:val="24"/>
      <w:szCs w:val="32"/>
    </w:rPr>
  </w:style>
  <w:style w:type="paragraph" w:styleId="8">
    <w:name w:val="toc 6"/>
    <w:basedOn w:val="1"/>
    <w:next w:val="1"/>
    <w:semiHidden/>
    <w:qFormat/>
    <w:uiPriority w:val="0"/>
    <w:pPr>
      <w:ind w:left="2100" w:leftChars="1000"/>
    </w:pPr>
  </w:style>
  <w:style w:type="paragraph" w:styleId="9">
    <w:name w:val="Body Text Indent"/>
    <w:basedOn w:val="1"/>
    <w:autoRedefine/>
    <w:qFormat/>
    <w:uiPriority w:val="0"/>
    <w:pPr>
      <w:ind w:firstLine="645"/>
    </w:pPr>
    <w:rPr>
      <w:rFonts w:ascii="楷体_GB2312" w:eastAsia="楷体_GB2312"/>
      <w:sz w:val="32"/>
    </w:rPr>
  </w:style>
  <w:style w:type="paragraph" w:styleId="10">
    <w:name w:val="Plain Text"/>
    <w:basedOn w:val="1"/>
    <w:autoRedefine/>
    <w:qFormat/>
    <w:uiPriority w:val="0"/>
    <w:rPr>
      <w:rFonts w:ascii="宋体" w:hAnsi="Courier New"/>
    </w:rPr>
  </w:style>
  <w:style w:type="paragraph" w:styleId="11">
    <w:name w:val="Date"/>
    <w:basedOn w:val="1"/>
    <w:next w:val="1"/>
    <w:autoRedefine/>
    <w:qFormat/>
    <w:uiPriority w:val="0"/>
    <w:rPr>
      <w:b/>
      <w:sz w:val="28"/>
    </w:r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envelope return"/>
    <w:basedOn w:val="1"/>
    <w:autoRedefine/>
    <w:qFormat/>
    <w:uiPriority w:val="99"/>
    <w:rPr>
      <w:rFonts w:ascii="Arial" w:hAnsi="Arial" w:cs="Arial"/>
      <w:kern w:val="1"/>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15">
    <w:name w:val="List"/>
    <w:basedOn w:val="1"/>
    <w:autoRedefine/>
    <w:qFormat/>
    <w:uiPriority w:val="0"/>
    <w:pPr>
      <w:ind w:left="420" w:hanging="420"/>
    </w:pPr>
    <w:rPr>
      <w:rFonts w:ascii="Arial" w:hAnsi="Arial" w:eastAsia="楷体_GB2312"/>
      <w:sz w:val="28"/>
    </w:rPr>
  </w:style>
  <w:style w:type="paragraph" w:styleId="16">
    <w:name w:val="footnote text"/>
    <w:basedOn w:val="1"/>
    <w:autoRedefine/>
    <w:unhideWhenUsed/>
    <w:qFormat/>
    <w:uiPriority w:val="99"/>
    <w:pPr>
      <w:snapToGrid w:val="0"/>
      <w:jc w:val="left"/>
    </w:pPr>
    <w:rPr>
      <w:rFonts w:ascii="Times New Roman" w:hAnsi="Times New Roman" w:eastAsia="宋体" w:cs="Times New Roman"/>
      <w:sz w:val="18"/>
      <w:szCs w:val="18"/>
    </w:rPr>
  </w:style>
  <w:style w:type="paragraph" w:styleId="17">
    <w:name w:val="toc 2"/>
    <w:basedOn w:val="1"/>
    <w:next w:val="1"/>
    <w:autoRedefine/>
    <w:qFormat/>
    <w:uiPriority w:val="39"/>
    <w:pPr>
      <w:ind w:left="210"/>
      <w:jc w:val="left"/>
    </w:pPr>
    <w:rPr>
      <w:smallCaps/>
      <w:sz w:val="28"/>
      <w:szCs w:val="24"/>
    </w:rPr>
  </w:style>
  <w:style w:type="paragraph" w:styleId="18">
    <w:name w:val="index 1"/>
    <w:basedOn w:val="1"/>
    <w:next w:val="1"/>
    <w:autoRedefine/>
    <w:qFormat/>
    <w:uiPriority w:val="0"/>
    <w:pPr>
      <w:spacing w:line="360" w:lineRule="auto"/>
      <w:jc w:val="center"/>
    </w:pPr>
    <w:rPr>
      <w:rFonts w:ascii="宋体" w:hAnsi="宋体"/>
      <w:b/>
      <w:bCs/>
      <w:color w:val="FF0000"/>
      <w:sz w:val="24"/>
    </w:rPr>
  </w:style>
  <w:style w:type="paragraph" w:styleId="19">
    <w:name w:val="Body Text First Indent 2"/>
    <w:basedOn w:val="9"/>
    <w:next w:val="1"/>
    <w:autoRedefine/>
    <w:qFormat/>
    <w:uiPriority w:val="0"/>
    <w:pPr>
      <w:ind w:firstLine="420" w:firstLineChars="200"/>
    </w:pPr>
  </w:style>
  <w:style w:type="table" w:styleId="21">
    <w:name w:val="Table Grid"/>
    <w:basedOn w:val="2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autoRedefine/>
    <w:qFormat/>
    <w:uiPriority w:val="0"/>
    <w:rPr>
      <w:b/>
      <w:bCs/>
    </w:rPr>
  </w:style>
  <w:style w:type="character" w:styleId="24">
    <w:name w:val="page number"/>
    <w:autoRedefine/>
    <w:qFormat/>
    <w:uiPriority w:val="0"/>
  </w:style>
  <w:style w:type="character" w:styleId="25">
    <w:name w:val="Hyperlink"/>
    <w:basedOn w:val="22"/>
    <w:autoRedefine/>
    <w:unhideWhenUsed/>
    <w:qFormat/>
    <w:uiPriority w:val="99"/>
    <w:rPr>
      <w:color w:val="0000FF"/>
      <w:u w:val="none"/>
    </w:rPr>
  </w:style>
  <w:style w:type="character" w:styleId="26">
    <w:name w:val="footnote reference"/>
    <w:autoRedefine/>
    <w:unhideWhenUsed/>
    <w:qFormat/>
    <w:uiPriority w:val="99"/>
    <w:rPr>
      <w:vertAlign w:val="superscript"/>
    </w:rPr>
  </w:style>
  <w:style w:type="paragraph" w:customStyle="1" w:styleId="27">
    <w:name w:val="正文（缩进）"/>
    <w:basedOn w:val="1"/>
    <w:autoRedefine/>
    <w:qFormat/>
    <w:uiPriority w:val="0"/>
    <w:pPr>
      <w:widowControl/>
      <w:spacing w:before="156" w:after="156"/>
      <w:ind w:firstLine="480" w:firstLineChars="200"/>
      <w:jc w:val="left"/>
    </w:pPr>
    <w:rPr>
      <w:rFonts w:ascii="仿宋_GB2312" w:eastAsia="仿宋_GB2312"/>
      <w:kern w:val="0"/>
      <w:sz w:val="24"/>
      <w:szCs w:val="24"/>
    </w:rPr>
  </w:style>
  <w:style w:type="paragraph" w:customStyle="1" w:styleId="28">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29">
    <w:name w:val="D&amp;L"/>
    <w:basedOn w:val="14"/>
    <w:autoRedefine/>
    <w:qFormat/>
    <w:uiPriority w:val="0"/>
    <w:pPr>
      <w:pBdr>
        <w:bottom w:val="thinThickSmallGap" w:color="auto" w:sz="18" w:space="1"/>
      </w:pBdr>
      <w:adjustRightInd w:val="0"/>
      <w:snapToGrid/>
      <w:spacing w:line="240" w:lineRule="atLeast"/>
      <w:textAlignment w:val="baseline"/>
    </w:pPr>
    <w:rPr>
      <w:kern w:val="0"/>
      <w:sz w:val="24"/>
    </w:rPr>
  </w:style>
  <w:style w:type="paragraph" w:customStyle="1" w:styleId="30">
    <w:name w:val="Char Char Char Char Char Char Char1 Char"/>
    <w:basedOn w:val="1"/>
    <w:autoRedefine/>
    <w:qFormat/>
    <w:uiPriority w:val="0"/>
    <w:rPr>
      <w:rFonts w:ascii="Tahoma" w:hAnsi="Tahoma"/>
      <w:sz w:val="24"/>
    </w:rPr>
  </w:style>
  <w:style w:type="paragraph" w:customStyle="1" w:styleId="31">
    <w:name w:val="样式1"/>
    <w:basedOn w:val="1"/>
    <w:autoRedefine/>
    <w:qFormat/>
    <w:uiPriority w:val="0"/>
    <w:pPr>
      <w:numPr>
        <w:ilvl w:val="0"/>
        <w:numId w:val="1"/>
      </w:numPr>
      <w:adjustRightInd w:val="0"/>
      <w:textAlignment w:val="baseline"/>
    </w:pPr>
    <w:rPr>
      <w:rFonts w:ascii="宋体" w:hAnsi="宋体"/>
      <w:kern w:val="0"/>
    </w:rPr>
  </w:style>
  <w:style w:type="paragraph" w:styleId="32">
    <w:name w:val="List Paragraph"/>
    <w:basedOn w:val="1"/>
    <w:autoRedefine/>
    <w:qFormat/>
    <w:uiPriority w:val="34"/>
    <w:pPr>
      <w:numPr>
        <w:ilvl w:val="0"/>
        <w:numId w:val="2"/>
      </w:numPr>
      <w:ind w:left="440" w:hanging="440"/>
    </w:pPr>
    <w:rPr>
      <w:rFonts w:ascii="仿宋" w:hAnsi="仿宋" w:eastAsia="仿宋" w:cs="@仿宋_GB2312"/>
      <w:szCs w:val="20"/>
    </w:rPr>
  </w:style>
  <w:style w:type="paragraph" w:customStyle="1" w:styleId="33">
    <w:name w:val="纯文本1"/>
    <w:basedOn w:val="1"/>
    <w:autoRedefine/>
    <w:qFormat/>
    <w:uiPriority w:val="0"/>
    <w:rPr>
      <w:rFonts w:ascii="Arial" w:hAnsi="Arial" w:eastAsia="Arial"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69</Pages>
  <Words>34701</Words>
  <Characters>38621</Characters>
  <Lines>0</Lines>
  <Paragraphs>0</Paragraphs>
  <TotalTime>25</TotalTime>
  <ScaleCrop>false</ScaleCrop>
  <LinksUpToDate>false</LinksUpToDate>
  <CharactersWithSpaces>40495</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2024-04-03T01:09:00Z</dcterms:created>
  <dc:creator>南梦</dc:creator>
  <cp:lastModifiedBy>朱文斌</cp:lastModifiedBy>
  <dcterms:modified xsi:type="dcterms:W3CDTF">2026-09-15T09:01:47Z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21EEA53C85604B748339D86C81A75651_11</vt:lpwstr>
  </property>
  <property fmtid="{D5CDD505-2E9C-101B-9397-08002B2CF9AE}" pid="4" name="KSOTemplateDocerSaveRecord">
    <vt:lpwstr>eyJoZGlkIjoiN2RiMDM1MzMzMDI2YTFhZjJjMWE3MjZhYWVlYjFlNTMiLCJ1c2VySWQiOiIxNTY2MDI5NTc1In0=</vt:lpwstr>
  </property>
</Properties>
</file>