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B5E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color w:val="auto"/>
          <w:sz w:val="52"/>
          <w:szCs w:val="52"/>
          <w:highlight w:val="none"/>
          <w:lang w:eastAsia="zh-CN"/>
        </w:rPr>
      </w:pPr>
      <w:r>
        <w:rPr>
          <w:rFonts w:hint="eastAsia"/>
          <w:color w:val="auto"/>
          <w:sz w:val="52"/>
          <w:szCs w:val="52"/>
          <w:highlight w:val="none"/>
        </w:rPr>
        <w:t xml:space="preserve">   </w:t>
      </w:r>
      <w:r>
        <w:rPr>
          <w:rFonts w:hint="eastAsia"/>
          <w:color w:val="auto"/>
          <w:sz w:val="52"/>
          <w:szCs w:val="52"/>
          <w:highlight w:val="none"/>
          <w:lang w:eastAsia="zh-CN"/>
        </w:rPr>
        <w:t>肥西县公共资源交易有限责任公司</w:t>
      </w:r>
    </w:p>
    <w:p w14:paraId="15ED01E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color w:val="auto"/>
          <w:sz w:val="52"/>
          <w:szCs w:val="52"/>
          <w:highlight w:val="none"/>
        </w:rPr>
      </w:pPr>
      <w:r>
        <w:rPr>
          <w:rFonts w:hint="eastAsia"/>
          <w:color w:val="auto"/>
          <w:sz w:val="52"/>
          <w:szCs w:val="52"/>
          <w:highlight w:val="none"/>
        </w:rPr>
        <w:t>招标文件</w:t>
      </w:r>
    </w:p>
    <w:p w14:paraId="61CA44E0">
      <w:pPr>
        <w:tabs>
          <w:tab w:val="left" w:pos="315"/>
          <w:tab w:val="left" w:pos="8820"/>
        </w:tabs>
        <w:spacing w:line="500" w:lineRule="exact"/>
        <w:rPr>
          <w:rFonts w:hint="eastAsia" w:ascii="宋体" w:hAnsi="宋体"/>
          <w:bCs/>
          <w:color w:val="auto"/>
          <w:szCs w:val="24"/>
          <w:highlight w:val="none"/>
        </w:rPr>
      </w:pPr>
    </w:p>
    <w:p w14:paraId="4D3138D0">
      <w:pPr>
        <w:tabs>
          <w:tab w:val="left" w:pos="315"/>
          <w:tab w:val="left" w:pos="8820"/>
        </w:tabs>
        <w:spacing w:line="500" w:lineRule="exact"/>
        <w:jc w:val="right"/>
        <w:rPr>
          <w:rFonts w:hint="eastAsia" w:ascii="宋体" w:hAnsi="宋体"/>
          <w:bCs/>
          <w:color w:val="auto"/>
          <w:szCs w:val="24"/>
          <w:highlight w:val="none"/>
        </w:rPr>
      </w:pPr>
    </w:p>
    <w:p w14:paraId="297DF99A">
      <w:pPr>
        <w:spacing w:line="360" w:lineRule="auto"/>
        <w:jc w:val="left"/>
        <w:rPr>
          <w:rFonts w:hint="eastAsia" w:ascii="宋体" w:hAnsi="宋体"/>
          <w:color w:val="auto"/>
          <w:szCs w:val="24"/>
          <w:highlight w:val="none"/>
        </w:rPr>
      </w:pPr>
    </w:p>
    <w:p w14:paraId="4650C3E8">
      <w:pPr>
        <w:tabs>
          <w:tab w:val="left" w:pos="2410"/>
        </w:tabs>
        <w:autoSpaceDE w:val="0"/>
        <w:autoSpaceDN w:val="0"/>
        <w:adjustRightInd w:val="0"/>
        <w:snapToGrid w:val="0"/>
        <w:spacing w:line="360" w:lineRule="auto"/>
        <w:jc w:val="center"/>
        <w:rPr>
          <w:rFonts w:hint="eastAsia" w:ascii="宋体" w:hAnsi="宋体" w:cs="宋体"/>
          <w:b/>
          <w:color w:val="auto"/>
          <w:spacing w:val="20"/>
          <w:kern w:val="0"/>
          <w:szCs w:val="24"/>
          <w:highlight w:val="none"/>
        </w:rPr>
      </w:pPr>
      <w:r>
        <w:rPr>
          <w:rFonts w:hint="eastAsia" w:ascii="宋体" w:hAnsi="宋体"/>
          <w:color w:val="auto"/>
          <w:szCs w:val="24"/>
          <w:highlight w:val="none"/>
        </w:rPr>
        <w:drawing>
          <wp:inline distT="0" distB="0" distL="114300" distR="114300">
            <wp:extent cx="2508250" cy="2519680"/>
            <wp:effectExtent l="0" t="0" r="6350" b="13970"/>
            <wp:docPr id="4"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
                    <pic:cNvPicPr>
                      <a:picLocks noChangeAspect="1"/>
                    </pic:cNvPicPr>
                  </pic:nvPicPr>
                  <pic:blipFill>
                    <a:blip r:embed="rId16"/>
                    <a:stretch>
                      <a:fillRect/>
                    </a:stretch>
                  </pic:blipFill>
                  <pic:spPr>
                    <a:xfrm>
                      <a:off x="0" y="0"/>
                      <a:ext cx="2508250" cy="2519680"/>
                    </a:xfrm>
                    <a:prstGeom prst="rect">
                      <a:avLst/>
                    </a:prstGeom>
                    <a:noFill/>
                    <a:ln>
                      <a:noFill/>
                    </a:ln>
                  </pic:spPr>
                </pic:pic>
              </a:graphicData>
            </a:graphic>
          </wp:inline>
        </w:drawing>
      </w:r>
    </w:p>
    <w:p w14:paraId="78ADEB62">
      <w:pPr>
        <w:rPr>
          <w:rFonts w:hint="eastAsia" w:ascii="宋体" w:hAnsi="宋体" w:cs="宋体"/>
          <w:b/>
          <w:color w:val="auto"/>
          <w:spacing w:val="20"/>
          <w:kern w:val="0"/>
          <w:szCs w:val="24"/>
          <w:highlight w:val="none"/>
        </w:rPr>
      </w:pPr>
    </w:p>
    <w:p w14:paraId="30E635A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36"/>
          <w:szCs w:val="24"/>
          <w:highlight w:val="none"/>
        </w:rPr>
      </w:pPr>
    </w:p>
    <w:p w14:paraId="07D0BFB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FF"/>
          <w:sz w:val="36"/>
          <w:szCs w:val="24"/>
          <w:highlight w:val="none"/>
          <w:lang w:eastAsia="zh-CN"/>
        </w:rPr>
      </w:pPr>
      <w:r>
        <w:rPr>
          <w:rFonts w:hint="eastAsia" w:ascii="宋体" w:hAnsi="宋体" w:eastAsia="宋体" w:cs="宋体"/>
          <w:b w:val="0"/>
          <w:bCs w:val="0"/>
          <w:color w:val="auto"/>
          <w:sz w:val="36"/>
          <w:szCs w:val="24"/>
          <w:highlight w:val="none"/>
        </w:rPr>
        <w:t>项目名称：肥西县智慧平安小区统一运维项目</w:t>
      </w:r>
    </w:p>
    <w:p w14:paraId="1022046E">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0000FF"/>
          <w:sz w:val="36"/>
          <w:szCs w:val="24"/>
          <w:highlight w:val="none"/>
          <w:lang w:val="en-US" w:eastAsia="zh-CN"/>
        </w:rPr>
      </w:pPr>
      <w:r>
        <w:rPr>
          <w:rFonts w:hint="eastAsia" w:ascii="宋体" w:hAnsi="宋体" w:eastAsia="宋体" w:cs="宋体"/>
          <w:b w:val="0"/>
          <w:bCs w:val="0"/>
          <w:color w:val="auto"/>
          <w:sz w:val="36"/>
          <w:szCs w:val="24"/>
          <w:highlight w:val="none"/>
        </w:rPr>
        <w:t>项目编号:</w:t>
      </w:r>
      <w:r>
        <w:rPr>
          <w:rFonts w:hint="eastAsia" w:ascii="宋体" w:hAnsi="宋体" w:cs="宋体"/>
          <w:b w:val="0"/>
          <w:bCs w:val="0"/>
          <w:color w:val="auto"/>
          <w:sz w:val="36"/>
          <w:szCs w:val="24"/>
          <w:highlight w:val="none"/>
          <w:lang w:eastAsia="zh-CN"/>
        </w:rPr>
        <w:t>2026PHBZ311</w:t>
      </w:r>
    </w:p>
    <w:p w14:paraId="4DD7F5A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36"/>
          <w:szCs w:val="24"/>
          <w:highlight w:val="none"/>
          <w:lang w:eastAsia="zh-CN"/>
        </w:rPr>
      </w:pPr>
      <w:r>
        <w:rPr>
          <w:rFonts w:hint="eastAsia" w:ascii="宋体" w:hAnsi="宋体" w:eastAsia="宋体" w:cs="宋体"/>
          <w:b w:val="0"/>
          <w:bCs w:val="0"/>
          <w:color w:val="auto"/>
          <w:sz w:val="36"/>
          <w:szCs w:val="24"/>
          <w:highlight w:val="none"/>
        </w:rPr>
        <w:t>招 标 人：</w:t>
      </w:r>
      <w:r>
        <w:rPr>
          <w:rFonts w:hint="eastAsia" w:ascii="宋体" w:hAnsi="宋体" w:eastAsia="宋体" w:cs="宋体"/>
          <w:b w:val="0"/>
          <w:bCs w:val="0"/>
          <w:color w:val="auto"/>
          <w:sz w:val="36"/>
          <w:szCs w:val="24"/>
          <w:highlight w:val="none"/>
          <w:lang w:eastAsia="zh-CN"/>
        </w:rPr>
        <w:t>肥西县数字化建设发展有限责任公司</w:t>
      </w:r>
    </w:p>
    <w:p w14:paraId="7E6CB47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36"/>
          <w:szCs w:val="24"/>
          <w:highlight w:val="none"/>
          <w:lang w:eastAsia="zh-CN"/>
        </w:rPr>
      </w:pPr>
      <w:r>
        <w:rPr>
          <w:rFonts w:hint="eastAsia" w:ascii="宋体" w:hAnsi="宋体" w:eastAsia="宋体" w:cs="宋体"/>
          <w:b w:val="0"/>
          <w:bCs w:val="0"/>
          <w:color w:val="auto"/>
          <w:sz w:val="36"/>
          <w:szCs w:val="24"/>
          <w:highlight w:val="none"/>
        </w:rPr>
        <w:t>代理机构：</w:t>
      </w:r>
      <w:r>
        <w:rPr>
          <w:rFonts w:hint="eastAsia" w:ascii="宋体" w:hAnsi="宋体" w:eastAsia="宋体" w:cs="宋体"/>
          <w:b w:val="0"/>
          <w:bCs w:val="0"/>
          <w:color w:val="auto"/>
          <w:sz w:val="36"/>
          <w:szCs w:val="24"/>
          <w:highlight w:val="none"/>
          <w:lang w:eastAsia="zh-CN"/>
        </w:rPr>
        <w:t>肥西县公共资源交易有限责任公司</w:t>
      </w:r>
    </w:p>
    <w:p w14:paraId="16D6AA3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36"/>
          <w:szCs w:val="24"/>
          <w:highlight w:val="yellow"/>
        </w:rPr>
      </w:pPr>
      <w:r>
        <w:rPr>
          <w:rFonts w:hint="eastAsia" w:ascii="宋体" w:hAnsi="宋体" w:eastAsia="宋体" w:cs="宋体"/>
          <w:b w:val="0"/>
          <w:bCs w:val="0"/>
          <w:color w:val="auto"/>
          <w:sz w:val="36"/>
          <w:szCs w:val="24"/>
          <w:highlight w:val="none"/>
        </w:rPr>
        <w:t>时间：</w:t>
      </w:r>
      <w:r>
        <w:rPr>
          <w:rFonts w:hint="eastAsia" w:ascii="宋体" w:hAnsi="宋体" w:eastAsia="宋体" w:cs="宋体"/>
          <w:b w:val="0"/>
          <w:bCs w:val="0"/>
          <w:color w:val="auto"/>
          <w:sz w:val="36"/>
          <w:szCs w:val="24"/>
          <w:highlight w:val="none"/>
          <w:lang w:val="en-US" w:eastAsia="zh-CN"/>
        </w:rPr>
        <w:t>2026年</w:t>
      </w:r>
      <w:r>
        <w:rPr>
          <w:rFonts w:hint="eastAsia" w:ascii="宋体" w:hAnsi="宋体" w:cs="宋体"/>
          <w:b w:val="0"/>
          <w:bCs w:val="0"/>
          <w:color w:val="auto"/>
          <w:sz w:val="36"/>
          <w:szCs w:val="24"/>
          <w:highlight w:val="none"/>
          <w:lang w:val="en-US" w:eastAsia="zh-CN"/>
        </w:rPr>
        <w:t>6</w:t>
      </w:r>
      <w:r>
        <w:rPr>
          <w:rFonts w:hint="eastAsia" w:ascii="宋体" w:hAnsi="宋体" w:eastAsia="宋体" w:cs="宋体"/>
          <w:b w:val="0"/>
          <w:bCs w:val="0"/>
          <w:color w:val="auto"/>
          <w:sz w:val="36"/>
          <w:szCs w:val="24"/>
          <w:highlight w:val="none"/>
        </w:rPr>
        <w:t>月</w:t>
      </w:r>
    </w:p>
    <w:p w14:paraId="580BCDBF">
      <w:pPr>
        <w:rPr>
          <w:rFonts w:hint="eastAsia" w:ascii="宋体" w:hAnsi="宋体" w:eastAsia="宋体" w:cs="宋体"/>
          <w:b w:val="0"/>
          <w:bCs w:val="0"/>
          <w:color w:val="auto"/>
          <w:sz w:val="28"/>
          <w:szCs w:val="21"/>
          <w:highlight w:val="none"/>
          <w:lang w:val="en-US" w:eastAsia="zh-CN"/>
        </w:rPr>
      </w:pPr>
    </w:p>
    <w:p w14:paraId="09604151">
      <w:pPr>
        <w:bidi w:val="0"/>
        <w:jc w:val="center"/>
        <w:rPr>
          <w:rFonts w:hint="eastAsia" w:ascii="宋体" w:hAnsi="宋体" w:eastAsia="宋体" w:cs="宋体"/>
          <w:b w:val="0"/>
          <w:bCs w:val="0"/>
          <w:color w:val="auto"/>
          <w:sz w:val="28"/>
          <w:szCs w:val="21"/>
          <w:highlight w:val="none"/>
          <w:lang w:val="en-US" w:eastAsia="zh-CN"/>
        </w:rPr>
      </w:pPr>
    </w:p>
    <w:p w14:paraId="10BD3A46">
      <w:pPr>
        <w:bidi w:val="0"/>
        <w:jc w:val="center"/>
        <w:rPr>
          <w:rFonts w:hint="eastAsia" w:ascii="宋体" w:hAnsi="宋体" w:eastAsia="宋体" w:cs="宋体"/>
          <w:b/>
          <w:bCs/>
          <w:color w:val="auto"/>
          <w:sz w:val="32"/>
          <w:szCs w:val="22"/>
          <w:highlight w:val="none"/>
          <w:lang w:val="en-US" w:eastAsia="zh-CN"/>
        </w:rPr>
        <w:sectPr>
          <w:headerReference r:id="rId6" w:type="first"/>
          <w:footerReference r:id="rId9" w:type="first"/>
          <w:headerReference r:id="rId4" w:type="default"/>
          <w:footerReference r:id="rId7" w:type="default"/>
          <w:headerReference r:id="rId5" w:type="even"/>
          <w:footerReference r:id="rId8" w:type="even"/>
          <w:pgSz w:w="11906" w:h="16838"/>
          <w:pgMar w:top="1440" w:right="1247" w:bottom="1440" w:left="1247" w:header="851" w:footer="992" w:gutter="0"/>
          <w:cols w:space="720" w:num="1"/>
          <w:docGrid w:linePitch="303" w:charSpace="0"/>
        </w:sectPr>
      </w:pPr>
    </w:p>
    <w:p w14:paraId="105F8FCD">
      <w:pPr>
        <w:bidi w:val="0"/>
        <w:jc w:val="center"/>
        <w:rPr>
          <w:rFonts w:hint="eastAsia" w:ascii="宋体" w:hAnsi="宋体" w:eastAsia="宋体" w:cs="宋体"/>
          <w:b/>
          <w:bCs/>
          <w:color w:val="auto"/>
          <w:sz w:val="32"/>
          <w:szCs w:val="22"/>
          <w:highlight w:val="none"/>
          <w:lang w:val="en-US" w:eastAsia="zh-CN"/>
        </w:rPr>
      </w:pPr>
      <w:r>
        <w:rPr>
          <w:rFonts w:hint="eastAsia" w:ascii="宋体" w:hAnsi="宋体" w:eastAsia="宋体" w:cs="宋体"/>
          <w:b/>
          <w:bCs/>
          <w:color w:val="auto"/>
          <w:sz w:val="32"/>
          <w:szCs w:val="22"/>
          <w:highlight w:val="none"/>
          <w:lang w:val="en-US" w:eastAsia="zh-CN"/>
        </w:rPr>
        <w:t>目录</w:t>
      </w:r>
    </w:p>
    <w:sdt>
      <w:sdtPr>
        <w:rPr>
          <w:rFonts w:hint="eastAsia" w:ascii="宋体" w:hAnsi="宋体" w:eastAsia="宋体" w:cs="宋体"/>
          <w:b/>
          <w:bCs/>
          <w:color w:val="auto"/>
          <w:kern w:val="2"/>
          <w:sz w:val="24"/>
          <w:szCs w:val="22"/>
          <w:highlight w:val="none"/>
          <w:lang w:val="en-US" w:eastAsia="zh-CN" w:bidi="ar-SA"/>
        </w:rPr>
        <w:id w:val="147458782"/>
        <w15:color w:val="DBDBDB"/>
        <w:docPartObj>
          <w:docPartGallery w:val="Table of Contents"/>
          <w:docPartUnique/>
        </w:docPartObj>
      </w:sdtPr>
      <w:sdtEndPr>
        <w:rPr>
          <w:rFonts w:hint="eastAsia" w:ascii="Times New Roman" w:hAnsi="Times New Roman" w:eastAsia="宋体" w:cs="Times New Roman"/>
          <w:b/>
          <w:bCs/>
          <w:color w:val="auto"/>
          <w:kern w:val="2"/>
          <w:sz w:val="24"/>
          <w:szCs w:val="22"/>
          <w:highlight w:val="none"/>
          <w:lang w:val="en-US" w:eastAsia="zh-CN" w:bidi="ar-SA"/>
        </w:rPr>
      </w:sdtEndPr>
      <w:sdtContent>
        <w:p w14:paraId="059884C3">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2"/>
              <w:szCs w:val="22"/>
              <w:highlight w:val="none"/>
            </w:rPr>
          </w:pPr>
        </w:p>
        <w:p w14:paraId="424A1F53">
          <w:pPr>
            <w:pStyle w:val="17"/>
            <w:tabs>
              <w:tab w:val="right" w:leader="dot" w:pos="9412"/>
            </w:tabs>
            <w:rPr>
              <w:sz w:val="28"/>
              <w:szCs w:val="28"/>
            </w:rPr>
          </w:pP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TOC \o "1-1" \h \u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Cs w:val="0"/>
              <w:color w:val="auto"/>
              <w:sz w:val="28"/>
              <w:szCs w:val="28"/>
              <w:highlight w:val="none"/>
              <w:lang w:val="en-US" w:eastAsia="zh-CN"/>
            </w:rPr>
            <w:fldChar w:fldCharType="begin"/>
          </w:r>
          <w:r>
            <w:rPr>
              <w:rFonts w:hint="eastAsia" w:ascii="宋体" w:hAnsi="宋体" w:eastAsia="宋体" w:cs="宋体"/>
              <w:bCs w:val="0"/>
              <w:sz w:val="28"/>
              <w:szCs w:val="28"/>
              <w:highlight w:val="none"/>
              <w:lang w:val="en-US" w:eastAsia="zh-CN"/>
            </w:rPr>
            <w:instrText xml:space="preserve"> HYPERLINK \l _Toc17081 </w:instrText>
          </w:r>
          <w:r>
            <w:rPr>
              <w:rFonts w:hint="eastAsia" w:ascii="宋体" w:hAnsi="宋体" w:eastAsia="宋体" w:cs="宋体"/>
              <w:bCs w:val="0"/>
              <w:sz w:val="28"/>
              <w:szCs w:val="28"/>
              <w:highlight w:val="none"/>
              <w:lang w:val="en-US" w:eastAsia="zh-CN"/>
            </w:rPr>
            <w:fldChar w:fldCharType="separate"/>
          </w:r>
          <w:r>
            <w:rPr>
              <w:rFonts w:hint="eastAsia" w:ascii="宋体" w:hAnsi="宋体" w:eastAsia="宋体"/>
              <w:sz w:val="28"/>
              <w:szCs w:val="28"/>
              <w:highlight w:val="none"/>
            </w:rPr>
            <w:t>第一章 招标公告</w:t>
          </w:r>
          <w:r>
            <w:rPr>
              <w:sz w:val="28"/>
              <w:szCs w:val="28"/>
            </w:rPr>
            <w:tab/>
          </w:r>
          <w:r>
            <w:rPr>
              <w:sz w:val="28"/>
              <w:szCs w:val="28"/>
            </w:rPr>
            <w:fldChar w:fldCharType="begin"/>
          </w:r>
          <w:r>
            <w:rPr>
              <w:sz w:val="28"/>
              <w:szCs w:val="28"/>
            </w:rPr>
            <w:instrText xml:space="preserve"> PAGEREF _Toc17081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val="0"/>
              <w:color w:val="auto"/>
              <w:sz w:val="28"/>
              <w:szCs w:val="28"/>
              <w:highlight w:val="none"/>
              <w:lang w:val="en-US" w:eastAsia="zh-CN"/>
            </w:rPr>
            <w:fldChar w:fldCharType="end"/>
          </w:r>
        </w:p>
        <w:p w14:paraId="2A3409CB">
          <w:pPr>
            <w:pStyle w:val="17"/>
            <w:tabs>
              <w:tab w:val="right" w:leader="dot" w:pos="9412"/>
            </w:tabs>
            <w:rPr>
              <w:sz w:val="28"/>
              <w:szCs w:val="28"/>
            </w:rPr>
          </w:pPr>
          <w:r>
            <w:rPr>
              <w:rFonts w:hint="eastAsia" w:ascii="宋体" w:hAnsi="宋体" w:eastAsia="宋体" w:cs="宋体"/>
              <w:bCs w:val="0"/>
              <w:color w:val="auto"/>
              <w:sz w:val="28"/>
              <w:szCs w:val="28"/>
              <w:highlight w:val="none"/>
              <w:lang w:val="en-US" w:eastAsia="zh-CN"/>
            </w:rPr>
            <w:fldChar w:fldCharType="begin"/>
          </w:r>
          <w:r>
            <w:rPr>
              <w:rFonts w:hint="eastAsia" w:ascii="宋体" w:hAnsi="宋体" w:eastAsia="宋体" w:cs="宋体"/>
              <w:bCs w:val="0"/>
              <w:sz w:val="28"/>
              <w:szCs w:val="28"/>
              <w:highlight w:val="none"/>
              <w:lang w:val="en-US" w:eastAsia="zh-CN"/>
            </w:rPr>
            <w:instrText xml:space="preserve"> HYPERLINK \l _Toc20096 </w:instrText>
          </w:r>
          <w:r>
            <w:rPr>
              <w:rFonts w:hint="eastAsia" w:ascii="宋体" w:hAnsi="宋体" w:eastAsia="宋体" w:cs="宋体"/>
              <w:bCs w:val="0"/>
              <w:sz w:val="28"/>
              <w:szCs w:val="28"/>
              <w:highlight w:val="none"/>
              <w:lang w:val="en-US" w:eastAsia="zh-CN"/>
            </w:rPr>
            <w:fldChar w:fldCharType="separate"/>
          </w:r>
          <w:r>
            <w:rPr>
              <w:rFonts w:hint="eastAsia" w:ascii="宋体" w:hAnsi="宋体" w:eastAsia="宋体"/>
              <w:sz w:val="28"/>
              <w:szCs w:val="28"/>
              <w:highlight w:val="none"/>
            </w:rPr>
            <w:t>第二章 投标人须知前附表</w:t>
          </w:r>
          <w:r>
            <w:rPr>
              <w:sz w:val="28"/>
              <w:szCs w:val="28"/>
            </w:rPr>
            <w:tab/>
          </w:r>
          <w:r>
            <w:rPr>
              <w:sz w:val="28"/>
              <w:szCs w:val="28"/>
            </w:rPr>
            <w:fldChar w:fldCharType="begin"/>
          </w:r>
          <w:r>
            <w:rPr>
              <w:sz w:val="28"/>
              <w:szCs w:val="28"/>
            </w:rPr>
            <w:instrText xml:space="preserve"> PAGEREF _Toc20096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bCs w:val="0"/>
              <w:color w:val="auto"/>
              <w:sz w:val="28"/>
              <w:szCs w:val="28"/>
              <w:highlight w:val="none"/>
              <w:lang w:val="en-US" w:eastAsia="zh-CN"/>
            </w:rPr>
            <w:fldChar w:fldCharType="end"/>
          </w:r>
        </w:p>
        <w:p w14:paraId="7C96F79F">
          <w:pPr>
            <w:pStyle w:val="17"/>
            <w:tabs>
              <w:tab w:val="right" w:leader="dot" w:pos="9412"/>
            </w:tabs>
            <w:rPr>
              <w:sz w:val="28"/>
              <w:szCs w:val="28"/>
            </w:rPr>
          </w:pPr>
          <w:r>
            <w:rPr>
              <w:rFonts w:hint="eastAsia" w:ascii="宋体" w:hAnsi="宋体" w:eastAsia="宋体" w:cs="宋体"/>
              <w:bCs w:val="0"/>
              <w:color w:val="auto"/>
              <w:sz w:val="28"/>
              <w:szCs w:val="28"/>
              <w:highlight w:val="none"/>
              <w:lang w:val="en-US" w:eastAsia="zh-CN"/>
            </w:rPr>
            <w:fldChar w:fldCharType="begin"/>
          </w:r>
          <w:r>
            <w:rPr>
              <w:rFonts w:hint="eastAsia" w:ascii="宋体" w:hAnsi="宋体" w:eastAsia="宋体" w:cs="宋体"/>
              <w:bCs w:val="0"/>
              <w:sz w:val="28"/>
              <w:szCs w:val="28"/>
              <w:highlight w:val="none"/>
              <w:lang w:val="en-US" w:eastAsia="zh-CN"/>
            </w:rPr>
            <w:instrText xml:space="preserve"> HYPERLINK \l _Toc15302 </w:instrText>
          </w:r>
          <w:r>
            <w:rPr>
              <w:rFonts w:hint="eastAsia" w:ascii="宋体" w:hAnsi="宋体" w:eastAsia="宋体" w:cs="宋体"/>
              <w:bCs w:val="0"/>
              <w:sz w:val="28"/>
              <w:szCs w:val="28"/>
              <w:highlight w:val="none"/>
              <w:lang w:val="en-US" w:eastAsia="zh-CN"/>
            </w:rPr>
            <w:fldChar w:fldCharType="separate"/>
          </w:r>
          <w:r>
            <w:rPr>
              <w:rFonts w:hint="eastAsia" w:ascii="宋体" w:hAnsi="宋体" w:eastAsia="宋体"/>
              <w:sz w:val="28"/>
              <w:szCs w:val="28"/>
              <w:highlight w:val="none"/>
            </w:rPr>
            <w:t>第三章 投标人须知</w:t>
          </w:r>
          <w:r>
            <w:rPr>
              <w:sz w:val="28"/>
              <w:szCs w:val="28"/>
            </w:rPr>
            <w:tab/>
          </w:r>
          <w:r>
            <w:rPr>
              <w:sz w:val="28"/>
              <w:szCs w:val="28"/>
            </w:rPr>
            <w:fldChar w:fldCharType="begin"/>
          </w:r>
          <w:r>
            <w:rPr>
              <w:sz w:val="28"/>
              <w:szCs w:val="28"/>
            </w:rPr>
            <w:instrText xml:space="preserve"> PAGEREF _Toc15302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bCs w:val="0"/>
              <w:color w:val="auto"/>
              <w:sz w:val="28"/>
              <w:szCs w:val="28"/>
              <w:highlight w:val="none"/>
              <w:lang w:val="en-US" w:eastAsia="zh-CN"/>
            </w:rPr>
            <w:fldChar w:fldCharType="end"/>
          </w:r>
        </w:p>
        <w:p w14:paraId="79E9FF55">
          <w:pPr>
            <w:pStyle w:val="17"/>
            <w:tabs>
              <w:tab w:val="right" w:leader="dot" w:pos="9412"/>
            </w:tabs>
            <w:rPr>
              <w:sz w:val="28"/>
              <w:szCs w:val="28"/>
            </w:rPr>
          </w:pPr>
          <w:r>
            <w:rPr>
              <w:rFonts w:hint="eastAsia" w:ascii="宋体" w:hAnsi="宋体" w:eastAsia="宋体" w:cs="宋体"/>
              <w:bCs w:val="0"/>
              <w:color w:val="auto"/>
              <w:sz w:val="28"/>
              <w:szCs w:val="28"/>
              <w:highlight w:val="none"/>
              <w:lang w:val="en-US" w:eastAsia="zh-CN"/>
            </w:rPr>
            <w:fldChar w:fldCharType="begin"/>
          </w:r>
          <w:r>
            <w:rPr>
              <w:rFonts w:hint="eastAsia" w:ascii="宋体" w:hAnsi="宋体" w:eastAsia="宋体" w:cs="宋体"/>
              <w:bCs w:val="0"/>
              <w:sz w:val="28"/>
              <w:szCs w:val="28"/>
              <w:highlight w:val="none"/>
              <w:lang w:val="en-US" w:eastAsia="zh-CN"/>
            </w:rPr>
            <w:instrText xml:space="preserve"> HYPERLINK \l _Toc31567 </w:instrText>
          </w:r>
          <w:r>
            <w:rPr>
              <w:rFonts w:hint="eastAsia" w:ascii="宋体" w:hAnsi="宋体" w:eastAsia="宋体" w:cs="宋体"/>
              <w:bCs w:val="0"/>
              <w:sz w:val="28"/>
              <w:szCs w:val="28"/>
              <w:highlight w:val="none"/>
              <w:lang w:val="en-US" w:eastAsia="zh-CN"/>
            </w:rPr>
            <w:fldChar w:fldCharType="separate"/>
          </w:r>
          <w:r>
            <w:rPr>
              <w:rFonts w:hint="eastAsia" w:ascii="宋体" w:hAnsi="宋体" w:eastAsia="宋体"/>
              <w:sz w:val="28"/>
              <w:szCs w:val="28"/>
              <w:highlight w:val="none"/>
            </w:rPr>
            <w:t>第四章 招标需求</w:t>
          </w:r>
          <w:r>
            <w:rPr>
              <w:sz w:val="28"/>
              <w:szCs w:val="28"/>
            </w:rPr>
            <w:tab/>
          </w:r>
          <w:r>
            <w:rPr>
              <w:sz w:val="28"/>
              <w:szCs w:val="28"/>
            </w:rPr>
            <w:fldChar w:fldCharType="begin"/>
          </w:r>
          <w:r>
            <w:rPr>
              <w:sz w:val="28"/>
              <w:szCs w:val="28"/>
            </w:rPr>
            <w:instrText xml:space="preserve"> PAGEREF _Toc31567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bCs w:val="0"/>
              <w:color w:val="auto"/>
              <w:sz w:val="28"/>
              <w:szCs w:val="28"/>
              <w:highlight w:val="none"/>
              <w:lang w:val="en-US" w:eastAsia="zh-CN"/>
            </w:rPr>
            <w:fldChar w:fldCharType="end"/>
          </w:r>
        </w:p>
        <w:p w14:paraId="4FC4938B">
          <w:pPr>
            <w:pStyle w:val="17"/>
            <w:tabs>
              <w:tab w:val="right" w:leader="dot" w:pos="9412"/>
            </w:tabs>
            <w:rPr>
              <w:sz w:val="28"/>
              <w:szCs w:val="28"/>
            </w:rPr>
          </w:pPr>
          <w:r>
            <w:rPr>
              <w:rFonts w:hint="eastAsia" w:ascii="宋体" w:hAnsi="宋体" w:eastAsia="宋体" w:cs="宋体"/>
              <w:bCs w:val="0"/>
              <w:color w:val="auto"/>
              <w:sz w:val="28"/>
              <w:szCs w:val="28"/>
              <w:highlight w:val="none"/>
              <w:lang w:val="en-US" w:eastAsia="zh-CN"/>
            </w:rPr>
            <w:fldChar w:fldCharType="begin"/>
          </w:r>
          <w:r>
            <w:rPr>
              <w:rFonts w:hint="eastAsia" w:ascii="宋体" w:hAnsi="宋体" w:eastAsia="宋体" w:cs="宋体"/>
              <w:bCs w:val="0"/>
              <w:sz w:val="28"/>
              <w:szCs w:val="28"/>
              <w:highlight w:val="none"/>
              <w:lang w:val="en-US" w:eastAsia="zh-CN"/>
            </w:rPr>
            <w:instrText xml:space="preserve"> HYPERLINK \l _Toc15126 </w:instrText>
          </w:r>
          <w:r>
            <w:rPr>
              <w:rFonts w:hint="eastAsia" w:ascii="宋体" w:hAnsi="宋体" w:eastAsia="宋体" w:cs="宋体"/>
              <w:bCs w:val="0"/>
              <w:sz w:val="28"/>
              <w:szCs w:val="28"/>
              <w:highlight w:val="none"/>
              <w:lang w:val="en-US" w:eastAsia="zh-CN"/>
            </w:rPr>
            <w:fldChar w:fldCharType="separate"/>
          </w:r>
          <w:r>
            <w:rPr>
              <w:rFonts w:hint="eastAsia" w:ascii="宋体" w:hAnsi="宋体" w:eastAsia="宋体" w:cs="Times New Roman"/>
              <w:bCs/>
              <w:kern w:val="2"/>
              <w:sz w:val="28"/>
              <w:szCs w:val="28"/>
              <w:highlight w:val="none"/>
              <w:lang w:val="en-US" w:eastAsia="zh-CN" w:bidi="ar-SA"/>
            </w:rPr>
            <w:t>第五章 评标办法</w:t>
          </w:r>
          <w:r>
            <w:rPr>
              <w:sz w:val="28"/>
              <w:szCs w:val="28"/>
            </w:rPr>
            <w:tab/>
          </w:r>
          <w:r>
            <w:rPr>
              <w:sz w:val="28"/>
              <w:szCs w:val="28"/>
            </w:rPr>
            <w:fldChar w:fldCharType="begin"/>
          </w:r>
          <w:r>
            <w:rPr>
              <w:sz w:val="28"/>
              <w:szCs w:val="28"/>
            </w:rPr>
            <w:instrText xml:space="preserve"> PAGEREF _Toc15126 \h </w:instrText>
          </w:r>
          <w:r>
            <w:rPr>
              <w:sz w:val="28"/>
              <w:szCs w:val="28"/>
            </w:rPr>
            <w:fldChar w:fldCharType="separate"/>
          </w:r>
          <w:r>
            <w:rPr>
              <w:sz w:val="28"/>
              <w:szCs w:val="28"/>
            </w:rPr>
            <w:t>48</w:t>
          </w:r>
          <w:r>
            <w:rPr>
              <w:sz w:val="28"/>
              <w:szCs w:val="28"/>
            </w:rPr>
            <w:fldChar w:fldCharType="end"/>
          </w:r>
          <w:r>
            <w:rPr>
              <w:rFonts w:hint="eastAsia" w:ascii="宋体" w:hAnsi="宋体" w:eastAsia="宋体" w:cs="宋体"/>
              <w:bCs w:val="0"/>
              <w:color w:val="auto"/>
              <w:sz w:val="28"/>
              <w:szCs w:val="28"/>
              <w:highlight w:val="none"/>
              <w:lang w:val="en-US" w:eastAsia="zh-CN"/>
            </w:rPr>
            <w:fldChar w:fldCharType="end"/>
          </w:r>
        </w:p>
        <w:p w14:paraId="395EE85D">
          <w:pPr>
            <w:pStyle w:val="17"/>
            <w:tabs>
              <w:tab w:val="right" w:leader="dot" w:pos="9412"/>
            </w:tabs>
            <w:rPr>
              <w:sz w:val="28"/>
              <w:szCs w:val="28"/>
            </w:rPr>
          </w:pPr>
          <w:r>
            <w:rPr>
              <w:rFonts w:hint="eastAsia" w:ascii="宋体" w:hAnsi="宋体" w:eastAsia="宋体" w:cs="宋体"/>
              <w:bCs w:val="0"/>
              <w:color w:val="auto"/>
              <w:sz w:val="28"/>
              <w:szCs w:val="28"/>
              <w:highlight w:val="none"/>
              <w:lang w:val="en-US" w:eastAsia="zh-CN"/>
            </w:rPr>
            <w:fldChar w:fldCharType="begin"/>
          </w:r>
          <w:r>
            <w:rPr>
              <w:rFonts w:hint="eastAsia" w:ascii="宋体" w:hAnsi="宋体" w:eastAsia="宋体" w:cs="宋体"/>
              <w:bCs w:val="0"/>
              <w:sz w:val="28"/>
              <w:szCs w:val="28"/>
              <w:highlight w:val="none"/>
              <w:lang w:val="en-US" w:eastAsia="zh-CN"/>
            </w:rPr>
            <w:instrText xml:space="preserve"> HYPERLINK \l _Toc845 </w:instrText>
          </w:r>
          <w:r>
            <w:rPr>
              <w:rFonts w:hint="eastAsia" w:ascii="宋体" w:hAnsi="宋体" w:eastAsia="宋体" w:cs="宋体"/>
              <w:bCs w:val="0"/>
              <w:sz w:val="28"/>
              <w:szCs w:val="28"/>
              <w:highlight w:val="none"/>
              <w:lang w:val="en-US" w:eastAsia="zh-CN"/>
            </w:rPr>
            <w:fldChar w:fldCharType="separate"/>
          </w:r>
          <w:r>
            <w:rPr>
              <w:rFonts w:hint="eastAsia" w:ascii="宋体" w:hAnsi="宋体"/>
              <w:sz w:val="28"/>
              <w:szCs w:val="28"/>
            </w:rPr>
            <w:t xml:space="preserve">第六章 </w:t>
          </w:r>
          <w:r>
            <w:rPr>
              <w:rFonts w:hint="eastAsia" w:ascii="宋体" w:hAnsi="宋体" w:eastAsia="宋体" w:cs="Times New Roman"/>
              <w:sz w:val="28"/>
              <w:szCs w:val="28"/>
              <w:highlight w:val="none"/>
            </w:rPr>
            <w:t>合同</w:t>
          </w:r>
          <w:r>
            <w:rPr>
              <w:rFonts w:hint="eastAsia" w:ascii="宋体" w:hAnsi="宋体" w:eastAsia="宋体" w:cs="Times New Roman"/>
              <w:sz w:val="28"/>
              <w:szCs w:val="28"/>
              <w:highlight w:val="none"/>
              <w:lang w:val="en-US" w:eastAsia="zh-CN"/>
            </w:rPr>
            <w:t>条款及格式</w:t>
          </w:r>
          <w:r>
            <w:rPr>
              <w:sz w:val="28"/>
              <w:szCs w:val="28"/>
            </w:rPr>
            <w:tab/>
          </w:r>
          <w:r>
            <w:rPr>
              <w:sz w:val="28"/>
              <w:szCs w:val="28"/>
            </w:rPr>
            <w:fldChar w:fldCharType="begin"/>
          </w:r>
          <w:r>
            <w:rPr>
              <w:sz w:val="28"/>
              <w:szCs w:val="28"/>
            </w:rPr>
            <w:instrText xml:space="preserve"> PAGEREF _Toc845 \h </w:instrText>
          </w:r>
          <w:r>
            <w:rPr>
              <w:sz w:val="28"/>
              <w:szCs w:val="28"/>
            </w:rPr>
            <w:fldChar w:fldCharType="separate"/>
          </w:r>
          <w:r>
            <w:rPr>
              <w:sz w:val="28"/>
              <w:szCs w:val="28"/>
            </w:rPr>
            <w:t>60</w:t>
          </w:r>
          <w:r>
            <w:rPr>
              <w:sz w:val="28"/>
              <w:szCs w:val="28"/>
            </w:rPr>
            <w:fldChar w:fldCharType="end"/>
          </w:r>
          <w:r>
            <w:rPr>
              <w:rFonts w:hint="eastAsia" w:ascii="宋体" w:hAnsi="宋体" w:eastAsia="宋体" w:cs="宋体"/>
              <w:bCs w:val="0"/>
              <w:color w:val="auto"/>
              <w:sz w:val="28"/>
              <w:szCs w:val="28"/>
              <w:highlight w:val="none"/>
              <w:lang w:val="en-US" w:eastAsia="zh-CN"/>
            </w:rPr>
            <w:fldChar w:fldCharType="end"/>
          </w:r>
        </w:p>
        <w:p w14:paraId="39462545">
          <w:pPr>
            <w:pStyle w:val="17"/>
            <w:tabs>
              <w:tab w:val="right" w:leader="dot" w:pos="9412"/>
            </w:tabs>
            <w:rPr>
              <w:sz w:val="28"/>
              <w:szCs w:val="28"/>
            </w:rPr>
          </w:pPr>
          <w:r>
            <w:rPr>
              <w:rFonts w:hint="eastAsia" w:ascii="宋体" w:hAnsi="宋体" w:eastAsia="宋体" w:cs="宋体"/>
              <w:bCs w:val="0"/>
              <w:color w:val="auto"/>
              <w:sz w:val="28"/>
              <w:szCs w:val="28"/>
              <w:highlight w:val="none"/>
              <w:lang w:val="en-US" w:eastAsia="zh-CN"/>
            </w:rPr>
            <w:fldChar w:fldCharType="begin"/>
          </w:r>
          <w:r>
            <w:rPr>
              <w:rFonts w:hint="eastAsia" w:ascii="宋体" w:hAnsi="宋体" w:eastAsia="宋体" w:cs="宋体"/>
              <w:bCs w:val="0"/>
              <w:sz w:val="28"/>
              <w:szCs w:val="28"/>
              <w:highlight w:val="none"/>
              <w:lang w:val="en-US" w:eastAsia="zh-CN"/>
            </w:rPr>
            <w:instrText xml:space="preserve"> HYPERLINK \l _Toc19442 </w:instrText>
          </w:r>
          <w:r>
            <w:rPr>
              <w:rFonts w:hint="eastAsia" w:ascii="宋体" w:hAnsi="宋体" w:eastAsia="宋体" w:cs="宋体"/>
              <w:bCs w:val="0"/>
              <w:sz w:val="28"/>
              <w:szCs w:val="28"/>
              <w:highlight w:val="none"/>
              <w:lang w:val="en-US" w:eastAsia="zh-CN"/>
            </w:rPr>
            <w:fldChar w:fldCharType="separate"/>
          </w:r>
          <w:r>
            <w:rPr>
              <w:rFonts w:hint="eastAsia" w:ascii="宋体" w:hAnsi="宋体" w:eastAsia="宋体"/>
              <w:sz w:val="28"/>
              <w:szCs w:val="28"/>
              <w:highlight w:val="none"/>
            </w:rPr>
            <w:t>第七章 投标文件格式</w:t>
          </w:r>
          <w:r>
            <w:rPr>
              <w:sz w:val="28"/>
              <w:szCs w:val="28"/>
            </w:rPr>
            <w:tab/>
          </w:r>
          <w:r>
            <w:rPr>
              <w:sz w:val="28"/>
              <w:szCs w:val="28"/>
            </w:rPr>
            <w:fldChar w:fldCharType="begin"/>
          </w:r>
          <w:r>
            <w:rPr>
              <w:sz w:val="28"/>
              <w:szCs w:val="28"/>
            </w:rPr>
            <w:instrText xml:space="preserve"> PAGEREF _Toc19442 \h </w:instrText>
          </w:r>
          <w:r>
            <w:rPr>
              <w:sz w:val="28"/>
              <w:szCs w:val="28"/>
            </w:rPr>
            <w:fldChar w:fldCharType="separate"/>
          </w:r>
          <w:r>
            <w:rPr>
              <w:sz w:val="28"/>
              <w:szCs w:val="28"/>
            </w:rPr>
            <w:t>69</w:t>
          </w:r>
          <w:r>
            <w:rPr>
              <w:sz w:val="28"/>
              <w:szCs w:val="28"/>
            </w:rPr>
            <w:fldChar w:fldCharType="end"/>
          </w:r>
          <w:r>
            <w:rPr>
              <w:rFonts w:hint="eastAsia" w:ascii="宋体" w:hAnsi="宋体" w:eastAsia="宋体" w:cs="宋体"/>
              <w:bCs w:val="0"/>
              <w:color w:val="auto"/>
              <w:sz w:val="28"/>
              <w:szCs w:val="28"/>
              <w:highlight w:val="none"/>
              <w:lang w:val="en-US" w:eastAsia="zh-CN"/>
            </w:rPr>
            <w:fldChar w:fldCharType="end"/>
          </w:r>
        </w:p>
        <w:p w14:paraId="47EBD90B">
          <w:pPr>
            <w:rPr>
              <w:rFonts w:hint="eastAsia"/>
              <w:color w:val="auto"/>
              <w:highlight w:val="none"/>
              <w:lang w:val="en-US" w:eastAsia="zh-CN"/>
            </w:rPr>
          </w:pPr>
          <w:r>
            <w:rPr>
              <w:rFonts w:hint="eastAsia" w:ascii="宋体" w:hAnsi="宋体" w:eastAsia="宋体" w:cs="宋体"/>
              <w:bCs w:val="0"/>
              <w:color w:val="auto"/>
              <w:sz w:val="28"/>
              <w:szCs w:val="28"/>
              <w:highlight w:val="none"/>
              <w:lang w:val="en-US" w:eastAsia="zh-CN"/>
            </w:rPr>
            <w:fldChar w:fldCharType="end"/>
          </w:r>
        </w:p>
      </w:sdtContent>
    </w:sdt>
    <w:p w14:paraId="4C4582AF">
      <w:pPr>
        <w:pStyle w:val="19"/>
        <w:tabs>
          <w:tab w:val="right" w:leader="dot" w:pos="9403"/>
        </w:tabs>
        <w:spacing w:line="500" w:lineRule="exact"/>
        <w:ind w:left="0" w:leftChars="0" w:firstLine="0" w:firstLineChars="0"/>
        <w:rPr>
          <w:rFonts w:hint="eastAsia" w:ascii="宋体" w:hAnsi="宋体"/>
          <w:color w:val="auto"/>
          <w:szCs w:val="28"/>
          <w:highlight w:val="none"/>
        </w:rPr>
      </w:pPr>
      <w:bookmarkStart w:id="0" w:name="_Toc20341"/>
    </w:p>
    <w:p w14:paraId="0A4E925A">
      <w:pPr>
        <w:widowControl/>
        <w:jc w:val="left"/>
        <w:rPr>
          <w:rFonts w:hint="eastAsia" w:ascii="宋体" w:hAnsi="宋体"/>
          <w:b/>
          <w:bCs/>
          <w:color w:val="auto"/>
          <w:sz w:val="28"/>
          <w:szCs w:val="28"/>
          <w:highlight w:val="none"/>
        </w:rPr>
      </w:pPr>
      <w:r>
        <w:rPr>
          <w:rFonts w:hint="eastAsia" w:ascii="宋体" w:hAnsi="宋体"/>
          <w:color w:val="auto"/>
          <w:sz w:val="28"/>
          <w:szCs w:val="28"/>
          <w:highlight w:val="none"/>
        </w:rPr>
        <w:br w:type="page"/>
      </w:r>
    </w:p>
    <w:p w14:paraId="1D596DBF">
      <w:pPr>
        <w:pStyle w:val="4"/>
        <w:spacing w:before="120" w:line="500" w:lineRule="exact"/>
        <w:ind w:firstLine="0"/>
        <w:outlineLvl w:val="0"/>
        <w:rPr>
          <w:rFonts w:hint="eastAsia" w:ascii="宋体" w:hAnsi="宋体" w:eastAsia="宋体"/>
          <w:color w:val="auto"/>
          <w:sz w:val="28"/>
          <w:szCs w:val="28"/>
          <w:highlight w:val="none"/>
        </w:rPr>
      </w:pPr>
      <w:bookmarkStart w:id="1" w:name="_Toc17081"/>
      <w:r>
        <w:rPr>
          <w:rFonts w:hint="eastAsia" w:ascii="宋体" w:hAnsi="宋体" w:eastAsia="宋体"/>
          <w:color w:val="auto"/>
          <w:sz w:val="28"/>
          <w:szCs w:val="28"/>
          <w:highlight w:val="none"/>
        </w:rPr>
        <w:t>第一章</w:t>
      </w:r>
      <w:bookmarkStart w:id="2" w:name="_Toc462215727"/>
      <w:r>
        <w:rPr>
          <w:rFonts w:hint="eastAsia" w:ascii="宋体" w:hAnsi="宋体" w:eastAsia="宋体"/>
          <w:color w:val="auto"/>
          <w:sz w:val="28"/>
          <w:szCs w:val="28"/>
          <w:highlight w:val="none"/>
        </w:rPr>
        <w:t xml:space="preserve"> 招标公告</w:t>
      </w:r>
      <w:bookmarkEnd w:id="0"/>
      <w:bookmarkEnd w:id="1"/>
      <w:bookmarkEnd w:id="2"/>
    </w:p>
    <w:p w14:paraId="61BBBB60">
      <w:pPr>
        <w:pStyle w:val="32"/>
        <w:widowControl w:val="0"/>
        <w:autoSpaceDE w:val="0"/>
        <w:autoSpaceDN w:val="0"/>
        <w:adjustRightInd w:val="0"/>
        <w:spacing w:before="0" w:after="0" w:line="360" w:lineRule="auto"/>
        <w:ind w:firstLine="0" w:firstLineChars="0"/>
        <w:rPr>
          <w:rFonts w:hint="eastAsia" w:ascii="宋体" w:hAnsi="宋体" w:eastAsia="宋体"/>
          <w:color w:val="auto"/>
          <w:kern w:val="2"/>
          <w:highlight w:val="none"/>
        </w:rPr>
      </w:pPr>
      <w:r>
        <w:rPr>
          <w:rFonts w:hint="eastAsia" w:ascii="宋体" w:hAnsi="宋体" w:eastAsia="宋体"/>
          <w:color w:val="auto"/>
          <w:kern w:val="2"/>
          <w:highlight w:val="none"/>
        </w:rPr>
        <w:t xml:space="preserve">    </w:t>
      </w:r>
      <w:r>
        <w:rPr>
          <w:rFonts w:hint="eastAsia" w:ascii="宋体" w:hAnsi="宋体" w:eastAsia="宋体"/>
          <w:color w:val="auto"/>
          <w:kern w:val="2"/>
          <w:highlight w:val="none"/>
          <w:lang w:eastAsia="zh-CN"/>
        </w:rPr>
        <w:t>肥西县公共资源交易有限责任公司</w:t>
      </w:r>
      <w:r>
        <w:rPr>
          <w:rFonts w:hint="eastAsia" w:ascii="宋体" w:hAnsi="宋体" w:eastAsia="宋体"/>
          <w:color w:val="auto"/>
          <w:kern w:val="2"/>
          <w:highlight w:val="none"/>
        </w:rPr>
        <w:t>受</w:t>
      </w:r>
      <w:r>
        <w:rPr>
          <w:rFonts w:hint="eastAsia" w:ascii="宋体" w:hAnsi="宋体" w:eastAsia="宋体"/>
          <w:color w:val="auto"/>
          <w:kern w:val="2"/>
          <w:highlight w:val="none"/>
          <w:lang w:eastAsia="zh-CN"/>
        </w:rPr>
        <w:t>肥西县数字化建设发展有限责任公司</w:t>
      </w:r>
      <w:r>
        <w:rPr>
          <w:rFonts w:hint="eastAsia" w:ascii="宋体" w:hAnsi="宋体" w:eastAsia="宋体"/>
          <w:color w:val="auto"/>
          <w:kern w:val="2"/>
          <w:highlight w:val="none"/>
        </w:rPr>
        <w:t>委托，现对“</w:t>
      </w:r>
      <w:r>
        <w:rPr>
          <w:rFonts w:hint="eastAsia" w:ascii="宋体" w:hAnsi="宋体" w:eastAsia="宋体"/>
          <w:color w:val="auto"/>
          <w:kern w:val="2"/>
          <w:highlight w:val="none"/>
          <w:lang w:eastAsia="zh-CN"/>
        </w:rPr>
        <w:t>肥西县智慧平安小区统一运维项目</w:t>
      </w:r>
      <w:r>
        <w:rPr>
          <w:rFonts w:hint="eastAsia" w:ascii="宋体" w:hAnsi="宋体" w:eastAsia="宋体"/>
          <w:color w:val="auto"/>
          <w:kern w:val="2"/>
          <w:highlight w:val="none"/>
        </w:rPr>
        <w:t>”进行公开招标，欢迎具备条件的投标人参加投标。</w:t>
      </w:r>
    </w:p>
    <w:p w14:paraId="40E16DF6">
      <w:pPr>
        <w:autoSpaceDE w:val="0"/>
        <w:autoSpaceDN w:val="0"/>
        <w:adjustRightInd w:val="0"/>
        <w:spacing w:line="360" w:lineRule="auto"/>
        <w:ind w:firstLine="200"/>
        <w:jc w:val="left"/>
        <w:rPr>
          <w:rFonts w:hint="eastAsia" w:ascii="宋体" w:hAnsi="宋体"/>
          <w:b/>
          <w:bCs/>
          <w:color w:val="auto"/>
          <w:szCs w:val="24"/>
          <w:highlight w:val="none"/>
        </w:rPr>
      </w:pPr>
      <w:r>
        <w:rPr>
          <w:rFonts w:hint="eastAsia" w:ascii="宋体" w:hAnsi="宋体"/>
          <w:b/>
          <w:bCs/>
          <w:color w:val="auto"/>
          <w:szCs w:val="24"/>
          <w:highlight w:val="none"/>
        </w:rPr>
        <w:t>一、项目名称及内容</w:t>
      </w:r>
    </w:p>
    <w:p w14:paraId="5B46347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2026PHBZ311</w:t>
      </w:r>
    </w:p>
    <w:p w14:paraId="22E6E94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olor w:val="auto"/>
          <w:kern w:val="2"/>
          <w:highlight w:val="none"/>
          <w:lang w:eastAsia="zh-CN"/>
        </w:rPr>
        <w:t>肥西县智慧平安小区统一运维项目</w:t>
      </w:r>
    </w:p>
    <w:p w14:paraId="6C179223">
      <w:pPr>
        <w:autoSpaceDE w:val="0"/>
        <w:autoSpaceDN w:val="0"/>
        <w:adjustRightIn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3.项目地点：</w:t>
      </w:r>
      <w:r>
        <w:rPr>
          <w:rFonts w:hint="eastAsia" w:ascii="宋体" w:hAnsi="宋体" w:cs="宋体"/>
          <w:color w:val="auto"/>
          <w:sz w:val="24"/>
          <w:szCs w:val="24"/>
          <w:highlight w:val="none"/>
          <w:lang w:val="en-US" w:eastAsia="zh-CN"/>
        </w:rPr>
        <w:t>肥西县</w:t>
      </w:r>
    </w:p>
    <w:p w14:paraId="61557E8E">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肥西县数字化建设发展有限责任公司</w:t>
      </w:r>
    </w:p>
    <w:p w14:paraId="49AA481F">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5.项目概况：为提升全县智慧平安小区建设、运维、管理、应用水平和效能，深化城市运行管理中的智能分析与场景应用。拟通过按标准采购全县统一的运维服务，充分发挥</w:t>
      </w:r>
      <w:r>
        <w:rPr>
          <w:rFonts w:hint="eastAsia" w:ascii="宋体" w:hAnsi="宋体" w:cs="宋体"/>
          <w:color w:val="auto"/>
          <w:sz w:val="24"/>
          <w:szCs w:val="24"/>
          <w:highlight w:val="none"/>
          <w:lang w:val="en-US" w:eastAsia="zh-CN"/>
        </w:rPr>
        <w:t>视频</w:t>
      </w:r>
      <w:r>
        <w:rPr>
          <w:rFonts w:hint="eastAsia" w:ascii="宋体" w:hAnsi="宋体" w:eastAsia="宋体" w:cs="宋体"/>
          <w:color w:val="auto"/>
          <w:sz w:val="24"/>
          <w:szCs w:val="24"/>
          <w:highlight w:val="none"/>
        </w:rPr>
        <w:t>和数据资源价值，推动小区治理模式从被动处置向主动发现转变，全面提升城市精细化治理水平。</w:t>
      </w:r>
    </w:p>
    <w:p w14:paraId="44CDD2AA">
      <w:pPr>
        <w:autoSpaceDE w:val="0"/>
        <w:autoSpaceDN w:val="0"/>
        <w:adjustRightIn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6.资金来源：</w:t>
      </w:r>
      <w:r>
        <w:rPr>
          <w:rFonts w:hint="eastAsia" w:ascii="宋体" w:hAnsi="宋体" w:cs="宋体"/>
          <w:color w:val="auto"/>
          <w:sz w:val="24"/>
          <w:szCs w:val="24"/>
          <w:highlight w:val="none"/>
          <w:lang w:val="en-US" w:eastAsia="zh-CN"/>
        </w:rPr>
        <w:t>自筹</w:t>
      </w:r>
    </w:p>
    <w:p w14:paraId="0A21C5B6">
      <w:pPr>
        <w:autoSpaceDE w:val="0"/>
        <w:autoSpaceDN w:val="0"/>
        <w:adjustRightInd w:val="0"/>
        <w:spacing w:line="360" w:lineRule="auto"/>
        <w:ind w:firstLine="480" w:firstLineChars="200"/>
        <w:jc w:val="left"/>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7.项目概算：</w:t>
      </w:r>
      <w:r>
        <w:rPr>
          <w:rFonts w:hint="eastAsia" w:ascii="宋体" w:hAnsi="宋体" w:eastAsia="宋体" w:cs="宋体"/>
          <w:color w:val="auto"/>
          <w:sz w:val="24"/>
          <w:szCs w:val="24"/>
          <w:highlight w:val="none"/>
          <w:lang w:val="en-US" w:eastAsia="zh-CN"/>
        </w:rPr>
        <w:t>1430834</w:t>
      </w:r>
      <w:r>
        <w:rPr>
          <w:rFonts w:hint="eastAsia" w:cs="Times New Roman" w:asciiTheme="minorEastAsia" w:hAnsiTheme="minorEastAsia" w:eastAsiaTheme="minorEastAsia"/>
          <w:sz w:val="24"/>
          <w:szCs w:val="24"/>
          <w:lang w:val="en-US" w:eastAsia="zh-CN"/>
        </w:rPr>
        <w:t>.00</w:t>
      </w:r>
      <w:r>
        <w:rPr>
          <w:rFonts w:hint="eastAsia" w:ascii="宋体" w:hAnsi="宋体" w:cs="宋体"/>
          <w:color w:val="auto"/>
          <w:sz w:val="24"/>
          <w:szCs w:val="24"/>
          <w:highlight w:val="none"/>
          <w:lang w:val="en-US" w:eastAsia="zh-CN"/>
        </w:rPr>
        <w:t>元</w:t>
      </w:r>
    </w:p>
    <w:p w14:paraId="31E9857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8.服务期限：服务期为1年，</w:t>
      </w:r>
      <w:r>
        <w:rPr>
          <w:rFonts w:hint="eastAsia" w:ascii="宋体" w:hAnsi="宋体" w:cs="宋体"/>
          <w:color w:val="auto"/>
          <w:sz w:val="24"/>
          <w:szCs w:val="24"/>
          <w:highlight w:val="none"/>
          <w:lang w:val="en-US" w:eastAsia="zh-CN"/>
        </w:rPr>
        <w:t>开工令发布</w:t>
      </w:r>
      <w:r>
        <w:rPr>
          <w:rFonts w:hint="eastAsia" w:ascii="宋体" w:hAnsi="宋体" w:eastAsia="宋体" w:cs="宋体"/>
          <w:color w:val="auto"/>
          <w:sz w:val="24"/>
          <w:szCs w:val="24"/>
          <w:highlight w:val="none"/>
          <w:lang w:val="en-US" w:eastAsia="zh-CN"/>
        </w:rPr>
        <w:t>之日起至365个日历日届满之日止。</w:t>
      </w:r>
    </w:p>
    <w:p w14:paraId="35AA677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Cs/>
          <w:kern w:val="0"/>
          <w:sz w:val="24"/>
          <w:szCs w:val="28"/>
        </w:rPr>
        <w:t>本次合同服务期限1年。如合同履约情况良好，经采购人考核合格，且在资金能保障的前提下，经双方协商同意，可续签下一年合同，合同一年一签，最多续签1年。采购人与中标单位有任何一方不同意续签，合同不予续签。合同续签依据：前11个月的月度考核结果。</w:t>
      </w:r>
      <w:r>
        <w:rPr>
          <w:rFonts w:hint="eastAsia" w:ascii="宋体" w:hAnsi="宋体" w:eastAsia="宋体" w:cs="宋体"/>
          <w:color w:val="auto"/>
          <w:sz w:val="24"/>
          <w:szCs w:val="24"/>
          <w:highlight w:val="none"/>
          <w:lang w:val="en-US" w:eastAsia="zh-CN"/>
        </w:rPr>
        <w:t>）</w:t>
      </w:r>
    </w:p>
    <w:p w14:paraId="5C8DFCF7">
      <w:pPr>
        <w:autoSpaceDE w:val="0"/>
        <w:autoSpaceDN w:val="0"/>
        <w:adjustRightIn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项目类别：</w:t>
      </w:r>
      <w:r>
        <w:rPr>
          <w:rFonts w:hint="eastAsia" w:ascii="宋体" w:hAnsi="宋体" w:cs="宋体"/>
          <w:color w:val="auto"/>
          <w:sz w:val="24"/>
          <w:szCs w:val="24"/>
          <w:highlight w:val="none"/>
          <w:lang w:val="en-US" w:eastAsia="zh-CN"/>
        </w:rPr>
        <w:t>服务类</w:t>
      </w:r>
    </w:p>
    <w:p w14:paraId="446B323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.标的（包别）划分：本项目共一个标段</w:t>
      </w:r>
    </w:p>
    <w:p w14:paraId="0FF1382F">
      <w:pPr>
        <w:autoSpaceDE w:val="0"/>
        <w:autoSpaceDN w:val="0"/>
        <w:adjustRightInd w:val="0"/>
        <w:spacing w:line="360" w:lineRule="auto"/>
        <w:ind w:firstLine="200"/>
        <w:jc w:val="left"/>
        <w:rPr>
          <w:rFonts w:hint="eastAsia" w:ascii="宋体" w:hAnsi="宋体"/>
          <w:b/>
          <w:bCs/>
          <w:color w:val="auto"/>
          <w:szCs w:val="24"/>
          <w:highlight w:val="none"/>
        </w:rPr>
      </w:pPr>
      <w:r>
        <w:rPr>
          <w:rFonts w:hint="eastAsia" w:ascii="宋体" w:hAnsi="宋体"/>
          <w:b/>
          <w:bCs/>
          <w:color w:val="auto"/>
          <w:szCs w:val="24"/>
          <w:highlight w:val="none"/>
        </w:rPr>
        <w:t>二、投标人资格</w:t>
      </w:r>
    </w:p>
    <w:p w14:paraId="16FCDCCC">
      <w:pPr>
        <w:autoSpaceDE w:val="0"/>
        <w:autoSpaceDN w:val="0"/>
        <w:adjustRightInd w:val="0"/>
        <w:spacing w:line="360" w:lineRule="auto"/>
        <w:ind w:firstLine="480" w:firstLineChars="200"/>
        <w:jc w:val="left"/>
        <w:rPr>
          <w:rFonts w:hint="default" w:ascii="宋体" w:hAnsi="宋体" w:eastAsia="宋体" w:cs="宋体"/>
          <w:b w:val="0"/>
          <w:bCs w:val="0"/>
          <w:color w:val="0000FF"/>
          <w:sz w:val="24"/>
          <w:szCs w:val="24"/>
          <w:highlight w:val="none"/>
          <w:lang w:val="en-US"/>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投标人资质要求</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具有独立承担民事责任能力。</w:t>
      </w:r>
    </w:p>
    <w:p w14:paraId="67F8483D">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2、项目负责人</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无</w:t>
      </w:r>
    </w:p>
    <w:p w14:paraId="10FF8701">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3、投标人业绩要求：无</w:t>
      </w:r>
    </w:p>
    <w:p w14:paraId="5529E0C4">
      <w:pPr>
        <w:autoSpaceDE w:val="0"/>
        <w:autoSpaceDN w:val="0"/>
        <w:adjustRightIn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本项目</w:t>
      </w:r>
      <w:r>
        <w:rPr>
          <w:rFonts w:hint="eastAsia" w:ascii="宋体" w:hAnsi="宋体" w:cs="宋体"/>
          <w:b/>
          <w:bCs/>
          <w:color w:val="auto"/>
          <w:sz w:val="24"/>
          <w:szCs w:val="24"/>
          <w:highlight w:val="none"/>
          <w:lang w:val="en-US" w:eastAsia="zh-CN"/>
        </w:rPr>
        <w:t>不</w:t>
      </w:r>
      <w:r>
        <w:rPr>
          <w:rFonts w:hint="eastAsia" w:ascii="宋体" w:hAnsi="宋体" w:eastAsia="宋体" w:cs="宋体"/>
          <w:b/>
          <w:bCs/>
          <w:color w:val="auto"/>
          <w:sz w:val="24"/>
          <w:szCs w:val="24"/>
          <w:highlight w:val="none"/>
        </w:rPr>
        <w:t>接受</w:t>
      </w:r>
      <w:r>
        <w:rPr>
          <w:rFonts w:hint="eastAsia" w:ascii="宋体" w:hAnsi="宋体" w:eastAsia="宋体" w:cs="宋体"/>
          <w:color w:val="auto"/>
          <w:sz w:val="24"/>
          <w:szCs w:val="24"/>
          <w:highlight w:val="none"/>
        </w:rPr>
        <w:t>联合体投标</w:t>
      </w:r>
      <w:r>
        <w:rPr>
          <w:rFonts w:hint="eastAsia" w:ascii="宋体" w:hAnsi="宋体" w:cs="宋体"/>
          <w:color w:val="auto"/>
          <w:sz w:val="24"/>
          <w:szCs w:val="24"/>
          <w:highlight w:val="none"/>
          <w:lang w:eastAsia="zh-CN"/>
        </w:rPr>
        <w:t>；</w:t>
      </w:r>
    </w:p>
    <w:p w14:paraId="1FB1DF34">
      <w:pPr>
        <w:autoSpaceDE w:val="0"/>
        <w:autoSpaceDN w:val="0"/>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投标人存在以下不良信用记录情形之一的，不得推荐为中标候选人，不得确定为中标人：</w:t>
      </w:r>
    </w:p>
    <w:p w14:paraId="5D01ADB0">
      <w:pPr>
        <w:keepNext w:val="0"/>
        <w:keepLines w:val="0"/>
        <w:pageBreakBefore w:val="0"/>
        <w:widowControl w:val="0"/>
        <w:kinsoku/>
        <w:wordWrap/>
        <w:overflowPunct/>
        <w:topLinePunct w:val="0"/>
        <w:autoSpaceDE/>
        <w:autoSpaceDN/>
        <w:bidi w:val="0"/>
        <w:adjustRightInd/>
        <w:snapToGrid/>
        <w:spacing w:before="93" w:beforeLines="30" w:after="93" w:afterLines="30" w:line="360" w:lineRule="auto"/>
        <w:ind w:firstLine="482"/>
        <w:textAlignment w:val="auto"/>
        <w:rPr>
          <w:rFonts w:hint="eastAsia" w:asciiTheme="majorEastAsia" w:hAnsiTheme="majorEastAsia" w:eastAsiaTheme="majorEastAsia" w:cstheme="majorEastAsia"/>
          <w:color w:val="auto"/>
          <w:szCs w:val="24"/>
          <w:highlight w:val="none"/>
        </w:rPr>
      </w:pPr>
      <w:bookmarkStart w:id="3" w:name="_Hlt510343011"/>
      <w:bookmarkStart w:id="4" w:name="_Hlt510342998"/>
      <w:bookmarkStart w:id="5" w:name="_Toc28801"/>
      <w:r>
        <w:rPr>
          <w:rFonts w:hint="eastAsia" w:asciiTheme="majorEastAsia" w:hAnsiTheme="majorEastAsia" w:eastAsiaTheme="majorEastAsia" w:cstheme="majorEastAsia"/>
          <w:color w:val="auto"/>
          <w:szCs w:val="24"/>
          <w:highlight w:val="none"/>
        </w:rPr>
        <w:t>（1）在“信用中国”网站（http://www.creditchina.gov.cn/）中被列入失信被执行人名单；</w:t>
      </w:r>
    </w:p>
    <w:p w14:paraId="1354A18A">
      <w:pPr>
        <w:keepNext w:val="0"/>
        <w:keepLines w:val="0"/>
        <w:pageBreakBefore w:val="0"/>
        <w:widowControl w:val="0"/>
        <w:kinsoku/>
        <w:wordWrap/>
        <w:overflowPunct/>
        <w:topLinePunct w:val="0"/>
        <w:autoSpaceDE/>
        <w:autoSpaceDN/>
        <w:bidi w:val="0"/>
        <w:adjustRightInd/>
        <w:snapToGrid/>
        <w:spacing w:before="93" w:beforeLines="30" w:after="93" w:afterLines="30" w:line="360" w:lineRule="auto"/>
        <w:ind w:firstLine="482"/>
        <w:textAlignment w:val="auto"/>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color w:val="auto"/>
          <w:szCs w:val="24"/>
          <w:highlight w:val="none"/>
        </w:rPr>
        <w:t>（2）在“信用中国”网站（http://www.creditchina.gov.cn/）中被列入重大税收违法失信主体名单；</w:t>
      </w:r>
    </w:p>
    <w:p w14:paraId="5E7921B9">
      <w:pPr>
        <w:autoSpaceDE w:val="0"/>
        <w:autoSpaceDN w:val="0"/>
        <w:adjustRightInd w:val="0"/>
        <w:spacing w:line="360" w:lineRule="auto"/>
        <w:ind w:firstLine="482"/>
        <w:jc w:val="left"/>
        <w:rPr>
          <w:rFonts w:hint="eastAsia" w:ascii="宋体" w:hAnsi="宋体" w:cs="宋体"/>
          <w:b/>
          <w:bCs/>
          <w:color w:val="auto"/>
          <w:szCs w:val="24"/>
          <w:highlight w:val="none"/>
        </w:rPr>
      </w:pPr>
      <w:r>
        <w:rPr>
          <w:rFonts w:hint="eastAsia" w:ascii="宋体" w:hAnsi="宋体" w:cs="宋体"/>
          <w:b/>
          <w:bCs/>
          <w:color w:val="auto"/>
          <w:szCs w:val="24"/>
          <w:highlight w:val="none"/>
        </w:rPr>
        <w:t>三、招标文件的获取</w:t>
      </w:r>
    </w:p>
    <w:p w14:paraId="5A26665B">
      <w:pPr>
        <w:autoSpaceDE w:val="0"/>
        <w:autoSpaceDN w:val="0"/>
        <w:adjustRightInd w:val="0"/>
        <w:spacing w:line="360" w:lineRule="auto"/>
        <w:ind w:firstLine="436" w:firstLineChars="182"/>
        <w:jc w:val="left"/>
        <w:rPr>
          <w:rFonts w:hint="eastAsia" w:ascii="宋体" w:hAnsi="宋体" w:cs="宋体"/>
          <w:color w:val="auto"/>
          <w:szCs w:val="18"/>
          <w:highlight w:val="yellow"/>
        </w:rPr>
      </w:pPr>
      <w:r>
        <w:rPr>
          <w:rFonts w:hint="eastAsia" w:ascii="宋体" w:hAnsi="宋体" w:cs="宋体"/>
          <w:color w:val="auto"/>
          <w:szCs w:val="18"/>
          <w:highlight w:val="none"/>
          <w:lang w:val="en-US" w:eastAsia="zh-CN"/>
        </w:rPr>
        <w:t>1.获取</w:t>
      </w:r>
      <w:r>
        <w:rPr>
          <w:rFonts w:hint="eastAsia" w:ascii="宋体" w:hAnsi="宋体" w:cs="宋体"/>
          <w:color w:val="auto"/>
          <w:szCs w:val="18"/>
          <w:highlight w:val="none"/>
        </w:rPr>
        <w:t>时间：202</w:t>
      </w:r>
      <w:r>
        <w:rPr>
          <w:rFonts w:hint="eastAsia" w:ascii="宋体" w:hAnsi="宋体" w:cs="宋体"/>
          <w:color w:val="auto"/>
          <w:szCs w:val="18"/>
          <w:highlight w:val="none"/>
          <w:lang w:val="en-US" w:eastAsia="zh-CN"/>
        </w:rPr>
        <w:t>6</w:t>
      </w:r>
      <w:r>
        <w:rPr>
          <w:rFonts w:hint="eastAsia" w:ascii="宋体" w:hAnsi="宋体" w:cs="宋体"/>
          <w:color w:val="auto"/>
          <w:szCs w:val="18"/>
          <w:highlight w:val="none"/>
        </w:rPr>
        <w:t>年</w:t>
      </w:r>
      <w:r>
        <w:rPr>
          <w:rFonts w:hint="eastAsia" w:ascii="宋体" w:hAnsi="宋体" w:cs="宋体"/>
          <w:color w:val="auto"/>
          <w:szCs w:val="18"/>
          <w:highlight w:val="none"/>
          <w:lang w:val="en-US" w:eastAsia="zh-CN"/>
        </w:rPr>
        <w:t>6</w:t>
      </w:r>
      <w:r>
        <w:rPr>
          <w:rFonts w:hint="eastAsia" w:ascii="宋体" w:hAnsi="宋体" w:cs="宋体"/>
          <w:color w:val="auto"/>
          <w:szCs w:val="18"/>
          <w:highlight w:val="none"/>
        </w:rPr>
        <w:t>月</w:t>
      </w:r>
      <w:r>
        <w:rPr>
          <w:rFonts w:hint="eastAsia" w:ascii="宋体" w:hAnsi="宋体" w:cs="宋体"/>
          <w:color w:val="auto"/>
          <w:szCs w:val="18"/>
          <w:highlight w:val="none"/>
          <w:lang w:val="en-US" w:eastAsia="zh-CN"/>
        </w:rPr>
        <w:t>18</w:t>
      </w:r>
      <w:r>
        <w:rPr>
          <w:rFonts w:hint="eastAsia" w:ascii="宋体" w:hAnsi="宋体" w:cs="宋体"/>
          <w:color w:val="auto"/>
          <w:szCs w:val="18"/>
          <w:highlight w:val="none"/>
        </w:rPr>
        <w:t>日至</w:t>
      </w:r>
      <w:r>
        <w:rPr>
          <w:rFonts w:hint="eastAsia" w:ascii="宋体" w:hAnsi="宋体" w:cs="宋体"/>
          <w:color w:val="auto"/>
          <w:szCs w:val="18"/>
          <w:highlight w:val="none"/>
          <w:lang w:val="en-US" w:eastAsia="zh-CN"/>
        </w:rPr>
        <w:t>投标截止</w:t>
      </w:r>
      <w:r>
        <w:rPr>
          <w:rFonts w:hint="eastAsia" w:ascii="宋体" w:hAnsi="宋体" w:cs="宋体"/>
          <w:color w:val="auto"/>
          <w:szCs w:val="18"/>
          <w:highlight w:val="none"/>
        </w:rPr>
        <w:t>时间。</w:t>
      </w:r>
    </w:p>
    <w:p w14:paraId="1BAF8C72">
      <w:pPr>
        <w:autoSpaceDE w:val="0"/>
        <w:autoSpaceDN w:val="0"/>
        <w:adjustRightInd w:val="0"/>
        <w:spacing w:line="360" w:lineRule="auto"/>
        <w:ind w:firstLine="436" w:firstLineChars="182"/>
        <w:jc w:val="left"/>
        <w:rPr>
          <w:rFonts w:hint="eastAsia" w:ascii="宋体" w:hAnsi="宋体" w:cs="宋体"/>
          <w:color w:val="auto"/>
          <w:szCs w:val="18"/>
          <w:highlight w:val="none"/>
        </w:rPr>
      </w:pPr>
      <w:r>
        <w:rPr>
          <w:rFonts w:hint="eastAsia" w:ascii="宋体" w:hAnsi="宋体" w:cs="宋体"/>
          <w:color w:val="auto"/>
          <w:szCs w:val="18"/>
          <w:highlight w:val="none"/>
          <w:lang w:val="en-US" w:eastAsia="zh-CN"/>
        </w:rPr>
        <w:t>2.获取</w:t>
      </w:r>
      <w:r>
        <w:rPr>
          <w:rFonts w:hint="eastAsia" w:ascii="宋体" w:hAnsi="宋体" w:cs="宋体"/>
          <w:color w:val="auto"/>
          <w:szCs w:val="18"/>
          <w:highlight w:val="none"/>
        </w:rPr>
        <w:t>地点：“优质采云采购平台”（http://www.youzhicai.com/）</w:t>
      </w:r>
    </w:p>
    <w:p w14:paraId="3A099B01">
      <w:pPr>
        <w:autoSpaceDE w:val="0"/>
        <w:autoSpaceDN w:val="0"/>
        <w:adjustRightInd w:val="0"/>
        <w:spacing w:line="360" w:lineRule="auto"/>
        <w:ind w:firstLine="436" w:firstLineChars="182"/>
        <w:jc w:val="left"/>
        <w:rPr>
          <w:rFonts w:hint="eastAsia" w:ascii="宋体" w:hAnsi="宋体" w:cs="宋体"/>
          <w:color w:val="auto"/>
          <w:szCs w:val="18"/>
          <w:highlight w:val="none"/>
        </w:rPr>
      </w:pPr>
      <w:r>
        <w:rPr>
          <w:rFonts w:hint="eastAsia" w:ascii="宋体" w:hAnsi="宋体" w:cs="宋体"/>
          <w:color w:val="auto"/>
          <w:szCs w:val="18"/>
          <w:highlight w:val="none"/>
          <w:lang w:val="en-US" w:eastAsia="zh-CN"/>
        </w:rPr>
        <w:t>3.获取</w:t>
      </w:r>
      <w:r>
        <w:rPr>
          <w:rFonts w:hint="eastAsia" w:ascii="宋体" w:hAnsi="宋体" w:cs="宋体"/>
          <w:color w:val="auto"/>
          <w:szCs w:val="18"/>
          <w:highlight w:val="none"/>
        </w:rPr>
        <w:t>方式：在线下载</w:t>
      </w:r>
    </w:p>
    <w:p w14:paraId="19D36FC2">
      <w:pPr>
        <w:autoSpaceDE w:val="0"/>
        <w:autoSpaceDN w:val="0"/>
        <w:adjustRightInd w:val="0"/>
        <w:spacing w:line="360" w:lineRule="auto"/>
        <w:ind w:firstLine="482"/>
        <w:jc w:val="left"/>
        <w:rPr>
          <w:rFonts w:hint="default" w:ascii="宋体" w:hAnsi="宋体" w:eastAsia="宋体" w:cs="宋体"/>
          <w:b/>
          <w:bCs/>
          <w:color w:val="auto"/>
          <w:szCs w:val="18"/>
          <w:highlight w:val="none"/>
          <w:lang w:val="en-US" w:eastAsia="zh-CN"/>
        </w:rPr>
      </w:pPr>
      <w:r>
        <w:rPr>
          <w:rFonts w:hint="eastAsia" w:ascii="宋体" w:hAnsi="宋体" w:cs="宋体"/>
          <w:b/>
          <w:bCs/>
          <w:color w:val="auto"/>
          <w:szCs w:val="18"/>
          <w:highlight w:val="none"/>
          <w:lang w:val="en-US" w:eastAsia="zh-CN"/>
        </w:rPr>
        <w:t>四</w:t>
      </w:r>
      <w:r>
        <w:rPr>
          <w:rFonts w:hint="eastAsia" w:ascii="宋体" w:hAnsi="宋体" w:cs="宋体"/>
          <w:b/>
          <w:bCs/>
          <w:color w:val="auto"/>
          <w:szCs w:val="18"/>
          <w:highlight w:val="none"/>
        </w:rPr>
        <w:t>、</w:t>
      </w:r>
      <w:r>
        <w:rPr>
          <w:rFonts w:hint="eastAsia" w:ascii="宋体" w:hAnsi="宋体" w:cs="宋体"/>
          <w:b/>
          <w:bCs/>
          <w:color w:val="auto"/>
          <w:szCs w:val="18"/>
          <w:highlight w:val="none"/>
          <w:lang w:val="en-US" w:eastAsia="zh-CN"/>
        </w:rPr>
        <w:t>投标文件的递交</w:t>
      </w:r>
    </w:p>
    <w:p w14:paraId="72F474B4">
      <w:pPr>
        <w:tabs>
          <w:tab w:val="left" w:pos="5960"/>
        </w:tabs>
        <w:autoSpaceDE w:val="0"/>
        <w:autoSpaceDN w:val="0"/>
        <w:adjustRightInd w:val="0"/>
        <w:spacing w:line="360" w:lineRule="auto"/>
        <w:ind w:firstLine="480" w:firstLineChars="200"/>
        <w:jc w:val="left"/>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 xml:space="preserve">投标文件递交的截止时间（投标截止时间，下同）为 </w:t>
      </w:r>
      <w:r>
        <w:rPr>
          <w:rFonts w:ascii="TimesNewRomanPSMT" w:hAnsi="TimesNewRomanPSMT" w:eastAsia="TimesNewRomanPSMT" w:cs="TimesNewRomanPSMT"/>
          <w:b w:val="0"/>
          <w:bCs w:val="0"/>
          <w:color w:val="auto"/>
          <w:sz w:val="24"/>
          <w:szCs w:val="24"/>
          <w:highlight w:val="none"/>
        </w:rPr>
        <w:t>202</w:t>
      </w:r>
      <w:r>
        <w:rPr>
          <w:rFonts w:hint="eastAsia" w:ascii="TimesNewRomanPSMT" w:hAnsi="TimesNewRomanPSMT" w:cs="TimesNewRomanPSMT"/>
          <w:b w:val="0"/>
          <w:bCs w:val="0"/>
          <w:color w:val="auto"/>
          <w:sz w:val="24"/>
          <w:szCs w:val="24"/>
          <w:highlight w:val="none"/>
          <w:lang w:val="en-US" w:eastAsia="zh-CN"/>
        </w:rPr>
        <w:t>6</w:t>
      </w:r>
      <w:r>
        <w:rPr>
          <w:rFonts w:ascii="宋体" w:hAnsi="宋体" w:eastAsia="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7</w:t>
      </w:r>
      <w:r>
        <w:rPr>
          <w:rFonts w:ascii="宋体" w:hAnsi="宋体" w:eastAsia="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9</w:t>
      </w:r>
      <w:r>
        <w:rPr>
          <w:rFonts w:ascii="宋体" w:hAnsi="宋体" w:eastAsia="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9</w:t>
      </w:r>
      <w:r>
        <w:rPr>
          <w:rFonts w:ascii="宋体" w:hAnsi="宋体" w:eastAsia="宋体" w:cs="宋体"/>
          <w:b w:val="0"/>
          <w:bCs w:val="0"/>
          <w:color w:val="auto"/>
          <w:sz w:val="24"/>
          <w:szCs w:val="24"/>
          <w:highlight w:val="none"/>
        </w:rPr>
        <w:t>时</w:t>
      </w:r>
      <w:r>
        <w:rPr>
          <w:rFonts w:hint="default" w:ascii="TimesNewRomanPSMT" w:hAnsi="TimesNewRomanPSMT" w:eastAsia="TimesNewRomanPSMT" w:cs="TimesNewRomanPSMT"/>
          <w:b w:val="0"/>
          <w:bCs w:val="0"/>
          <w:color w:val="auto"/>
          <w:sz w:val="24"/>
          <w:szCs w:val="24"/>
          <w:highlight w:val="none"/>
        </w:rPr>
        <w:t>00</w:t>
      </w:r>
      <w:r>
        <w:rPr>
          <w:rFonts w:ascii="宋体" w:hAnsi="宋体" w:eastAsia="宋体" w:cs="宋体"/>
          <w:b w:val="0"/>
          <w:bCs w:val="0"/>
          <w:color w:val="auto"/>
          <w:sz w:val="24"/>
          <w:szCs w:val="24"/>
          <w:highlight w:val="none"/>
        </w:rPr>
        <w:t>分，投标人应在投标截止时间前通过</w:t>
      </w:r>
      <w:r>
        <w:rPr>
          <w:rFonts w:hint="eastAsia" w:ascii="宋体" w:hAnsi="宋体" w:cs="宋体"/>
          <w:color w:val="auto"/>
          <w:szCs w:val="18"/>
          <w:highlight w:val="none"/>
        </w:rPr>
        <w:t>优质采云采购平台（http://www.youzhicai.com/）</w:t>
      </w:r>
      <w:r>
        <w:rPr>
          <w:rFonts w:ascii="宋体" w:hAnsi="宋体" w:eastAsia="宋体" w:cs="宋体"/>
          <w:b w:val="0"/>
          <w:bCs w:val="0"/>
          <w:color w:val="auto"/>
          <w:sz w:val="24"/>
          <w:szCs w:val="24"/>
          <w:highlight w:val="none"/>
        </w:rPr>
        <w:t>递交电子投标文件。</w:t>
      </w:r>
    </w:p>
    <w:p w14:paraId="4AFE0EF9">
      <w:pPr>
        <w:tabs>
          <w:tab w:val="left" w:pos="5960"/>
        </w:tabs>
        <w:autoSpaceDE w:val="0"/>
        <w:autoSpaceDN w:val="0"/>
        <w:adjustRightInd w:val="0"/>
        <w:spacing w:line="360" w:lineRule="auto"/>
        <w:ind w:firstLine="482" w:firstLineChars="200"/>
        <w:jc w:val="left"/>
        <w:rPr>
          <w:rFonts w:hint="eastAsia" w:ascii="宋体" w:hAnsi="宋体" w:cs="宋体"/>
          <w:b/>
          <w:bCs/>
          <w:color w:val="auto"/>
          <w:szCs w:val="18"/>
          <w:highlight w:val="none"/>
        </w:rPr>
      </w:pPr>
      <w:r>
        <w:rPr>
          <w:rFonts w:hint="eastAsia" w:ascii="宋体" w:hAnsi="宋体" w:cs="宋体"/>
          <w:b/>
          <w:bCs/>
          <w:color w:val="auto"/>
          <w:szCs w:val="18"/>
          <w:highlight w:val="none"/>
          <w:lang w:val="en-US" w:eastAsia="zh-CN"/>
        </w:rPr>
        <w:t>五</w:t>
      </w:r>
      <w:r>
        <w:rPr>
          <w:rFonts w:hint="eastAsia" w:ascii="宋体" w:hAnsi="宋体" w:cs="宋体"/>
          <w:b/>
          <w:bCs/>
          <w:color w:val="auto"/>
          <w:szCs w:val="18"/>
          <w:highlight w:val="none"/>
        </w:rPr>
        <w:t>、</w:t>
      </w:r>
      <w:r>
        <w:rPr>
          <w:rFonts w:hint="eastAsia" w:ascii="宋体" w:hAnsi="宋体" w:cs="宋体"/>
          <w:b/>
          <w:bCs/>
          <w:color w:val="auto"/>
          <w:szCs w:val="18"/>
          <w:highlight w:val="none"/>
          <w:lang w:val="en-US" w:eastAsia="zh-CN"/>
        </w:rPr>
        <w:t>开标</w:t>
      </w:r>
      <w:r>
        <w:rPr>
          <w:rFonts w:hint="eastAsia" w:ascii="宋体" w:hAnsi="宋体" w:cs="宋体"/>
          <w:b/>
          <w:bCs/>
          <w:color w:val="auto"/>
          <w:szCs w:val="18"/>
          <w:highlight w:val="none"/>
        </w:rPr>
        <w:t>时间及地点</w:t>
      </w:r>
      <w:r>
        <w:rPr>
          <w:rFonts w:hint="eastAsia" w:ascii="宋体" w:hAnsi="宋体" w:cs="宋体"/>
          <w:b/>
          <w:bCs/>
          <w:color w:val="auto"/>
          <w:szCs w:val="18"/>
          <w:highlight w:val="none"/>
        </w:rPr>
        <w:tab/>
      </w:r>
    </w:p>
    <w:p w14:paraId="4B2A915D">
      <w:pPr>
        <w:autoSpaceDE w:val="0"/>
        <w:autoSpaceDN w:val="0"/>
        <w:adjustRightInd w:val="0"/>
        <w:spacing w:line="360" w:lineRule="auto"/>
        <w:ind w:firstLine="480" w:firstLineChars="200"/>
        <w:jc w:val="left"/>
        <w:rPr>
          <w:rFonts w:hint="eastAsia" w:ascii="宋体" w:hAnsi="宋体" w:cs="宋体"/>
          <w:color w:val="auto"/>
          <w:szCs w:val="18"/>
          <w:highlight w:val="yellow"/>
        </w:rPr>
      </w:pPr>
      <w:r>
        <w:rPr>
          <w:rFonts w:hint="eastAsia" w:ascii="宋体" w:hAnsi="宋体" w:cs="宋体"/>
          <w:color w:val="auto"/>
          <w:szCs w:val="18"/>
          <w:highlight w:val="none"/>
        </w:rPr>
        <w:t>1.</w:t>
      </w:r>
      <w:r>
        <w:rPr>
          <w:rFonts w:hint="eastAsia" w:ascii="宋体" w:hAnsi="宋体" w:cs="宋体"/>
          <w:color w:val="auto"/>
          <w:szCs w:val="18"/>
          <w:highlight w:val="none"/>
          <w:lang w:val="en-US" w:eastAsia="zh-CN"/>
        </w:rPr>
        <w:t>开标</w:t>
      </w:r>
      <w:r>
        <w:rPr>
          <w:rFonts w:hint="eastAsia" w:ascii="宋体" w:hAnsi="宋体" w:cs="宋体"/>
          <w:color w:val="auto"/>
          <w:szCs w:val="18"/>
          <w:highlight w:val="none"/>
        </w:rPr>
        <w:t>时间：202</w:t>
      </w:r>
      <w:r>
        <w:rPr>
          <w:rFonts w:hint="eastAsia" w:ascii="宋体" w:hAnsi="宋体" w:cs="宋体"/>
          <w:color w:val="auto"/>
          <w:szCs w:val="18"/>
          <w:highlight w:val="none"/>
          <w:lang w:val="en-US" w:eastAsia="zh-CN"/>
        </w:rPr>
        <w:t>6</w:t>
      </w:r>
      <w:r>
        <w:rPr>
          <w:rFonts w:hint="eastAsia" w:ascii="宋体" w:hAnsi="宋体" w:cs="宋体"/>
          <w:color w:val="auto"/>
          <w:szCs w:val="18"/>
          <w:highlight w:val="none"/>
        </w:rPr>
        <w:t>年</w:t>
      </w:r>
      <w:r>
        <w:rPr>
          <w:rFonts w:hint="eastAsia" w:ascii="宋体" w:hAnsi="宋体" w:cs="宋体"/>
          <w:color w:val="auto"/>
          <w:szCs w:val="18"/>
          <w:highlight w:val="none"/>
          <w:lang w:val="en-US" w:eastAsia="zh-CN"/>
        </w:rPr>
        <w:t>7</w:t>
      </w:r>
      <w:r>
        <w:rPr>
          <w:rFonts w:hint="eastAsia" w:ascii="宋体" w:hAnsi="宋体" w:cs="宋体"/>
          <w:color w:val="auto"/>
          <w:szCs w:val="18"/>
          <w:highlight w:val="none"/>
        </w:rPr>
        <w:t>月</w:t>
      </w:r>
      <w:r>
        <w:rPr>
          <w:rFonts w:hint="eastAsia" w:ascii="宋体" w:hAnsi="宋体" w:cs="宋体"/>
          <w:color w:val="auto"/>
          <w:szCs w:val="18"/>
          <w:highlight w:val="none"/>
          <w:lang w:val="en-US" w:eastAsia="zh-CN"/>
        </w:rPr>
        <w:t>9</w:t>
      </w:r>
      <w:r>
        <w:rPr>
          <w:rFonts w:hint="eastAsia" w:ascii="宋体" w:hAnsi="宋体" w:cs="宋体"/>
          <w:color w:val="auto"/>
          <w:szCs w:val="18"/>
          <w:highlight w:val="none"/>
        </w:rPr>
        <w:t>日</w:t>
      </w:r>
      <w:r>
        <w:rPr>
          <w:rFonts w:hint="eastAsia" w:ascii="宋体" w:hAnsi="宋体" w:cs="宋体"/>
          <w:color w:val="auto"/>
          <w:szCs w:val="18"/>
          <w:highlight w:val="none"/>
          <w:lang w:val="en-US" w:eastAsia="zh-CN"/>
        </w:rPr>
        <w:t>9</w:t>
      </w:r>
      <w:r>
        <w:rPr>
          <w:rFonts w:hint="eastAsia" w:ascii="宋体" w:hAnsi="宋体" w:cs="宋体"/>
          <w:color w:val="auto"/>
          <w:szCs w:val="18"/>
          <w:highlight w:val="none"/>
        </w:rPr>
        <w:t>时</w:t>
      </w:r>
      <w:r>
        <w:rPr>
          <w:rFonts w:hint="eastAsia" w:ascii="宋体" w:hAnsi="宋体" w:cs="宋体"/>
          <w:color w:val="auto"/>
          <w:szCs w:val="18"/>
          <w:highlight w:val="none"/>
          <w:lang w:val="en-US" w:eastAsia="zh-CN"/>
        </w:rPr>
        <w:t>0</w:t>
      </w:r>
      <w:r>
        <w:rPr>
          <w:rFonts w:hint="eastAsia" w:ascii="宋体" w:hAnsi="宋体" w:cs="宋体"/>
          <w:color w:val="auto"/>
          <w:szCs w:val="18"/>
          <w:highlight w:val="none"/>
        </w:rPr>
        <w:t>0分</w:t>
      </w:r>
    </w:p>
    <w:p w14:paraId="510A794B">
      <w:pPr>
        <w:autoSpaceDE w:val="0"/>
        <w:autoSpaceDN w:val="0"/>
        <w:adjustRightInd w:val="0"/>
        <w:spacing w:line="360" w:lineRule="auto"/>
        <w:ind w:firstLine="480" w:firstLineChars="200"/>
        <w:jc w:val="left"/>
        <w:rPr>
          <w:rFonts w:hint="eastAsia" w:ascii="宋体" w:hAnsi="宋体" w:cs="宋体"/>
          <w:color w:val="auto"/>
          <w:szCs w:val="18"/>
          <w:highlight w:val="none"/>
        </w:rPr>
      </w:pPr>
      <w:r>
        <w:rPr>
          <w:rFonts w:hint="eastAsia" w:ascii="宋体" w:hAnsi="宋体" w:cs="宋体"/>
          <w:color w:val="auto"/>
          <w:szCs w:val="18"/>
          <w:highlight w:val="none"/>
        </w:rPr>
        <w:t>2.</w:t>
      </w:r>
      <w:r>
        <w:rPr>
          <w:rFonts w:hint="eastAsia" w:ascii="宋体" w:hAnsi="宋体" w:cs="宋体"/>
          <w:color w:val="auto"/>
          <w:szCs w:val="18"/>
          <w:highlight w:val="none"/>
          <w:lang w:val="en-US" w:eastAsia="zh-CN"/>
        </w:rPr>
        <w:t>开</w:t>
      </w:r>
      <w:r>
        <w:rPr>
          <w:rFonts w:hint="eastAsia" w:ascii="宋体" w:hAnsi="宋体" w:cs="宋体"/>
          <w:color w:val="auto"/>
          <w:szCs w:val="18"/>
          <w:highlight w:val="none"/>
        </w:rPr>
        <w:t>标地点：优质采云采购平台（http://www.youzhicai.com/）；</w:t>
      </w:r>
    </w:p>
    <w:p w14:paraId="5ABDC82D">
      <w:pPr>
        <w:pStyle w:val="23"/>
        <w:ind w:left="0" w:leftChars="0" w:firstLine="482" w:firstLineChars="200"/>
        <w:rPr>
          <w:rFonts w:ascii="黑体" w:hAnsi="宋体" w:eastAsia="黑体" w:cs="黑体"/>
          <w:b w:val="0"/>
          <w:bCs w:val="0"/>
          <w:color w:val="auto"/>
          <w:sz w:val="31"/>
          <w:szCs w:val="31"/>
          <w:highlight w:val="none"/>
        </w:rPr>
      </w:pPr>
      <w:r>
        <w:rPr>
          <w:rFonts w:hint="eastAsia" w:ascii="宋体" w:hAnsi="宋体" w:eastAsia="宋体" w:cs="宋体"/>
          <w:b/>
          <w:bCs/>
          <w:color w:val="auto"/>
          <w:kern w:val="2"/>
          <w:sz w:val="24"/>
          <w:szCs w:val="18"/>
          <w:highlight w:val="none"/>
          <w:lang w:val="en-US" w:eastAsia="zh-CN" w:bidi="ar-SA"/>
        </w:rPr>
        <w:t>六、发布公告的媒介</w:t>
      </w:r>
      <w:r>
        <w:rPr>
          <w:rFonts w:ascii="黑体" w:hAnsi="宋体" w:eastAsia="黑体" w:cs="黑体"/>
          <w:b w:val="0"/>
          <w:bCs w:val="0"/>
          <w:color w:val="auto"/>
          <w:sz w:val="31"/>
          <w:szCs w:val="31"/>
          <w:highlight w:val="none"/>
        </w:rPr>
        <w:t xml:space="preserve"> </w:t>
      </w:r>
    </w:p>
    <w:p w14:paraId="257BBDBB">
      <w:pPr>
        <w:keepNext w:val="0"/>
        <w:keepLines w:val="0"/>
        <w:pageBreakBefore w:val="0"/>
        <w:widowControl w:val="0"/>
        <w:kinsoku/>
        <w:wordWrap/>
        <w:overflowPunct/>
        <w:topLinePunct w:val="0"/>
        <w:bidi w:val="0"/>
        <w:snapToGrid/>
        <w:spacing w:before="93" w:beforeLines="30" w:after="93" w:afterLines="30" w:line="360" w:lineRule="auto"/>
        <w:ind w:firstLine="482"/>
        <w:textAlignment w:val="auto"/>
        <w:rPr>
          <w:rFonts w:hint="eastAsia" w:asciiTheme="majorEastAsia" w:hAnsiTheme="majorEastAsia" w:eastAsiaTheme="majorEastAsia" w:cstheme="majorEastAsia"/>
          <w:color w:val="auto"/>
          <w:szCs w:val="24"/>
          <w:highlight w:val="none"/>
          <w:lang w:eastAsia="zh-CN"/>
        </w:rPr>
      </w:pPr>
      <w:r>
        <w:rPr>
          <w:rFonts w:hint="eastAsia" w:asciiTheme="majorEastAsia" w:hAnsiTheme="majorEastAsia" w:eastAsiaTheme="majorEastAsia" w:cstheme="majorEastAsia"/>
          <w:color w:val="auto"/>
          <w:szCs w:val="24"/>
          <w:highlight w:val="none"/>
          <w:lang w:eastAsia="zh-CN"/>
        </w:rPr>
        <w:t>本次招标公告同时在</w:t>
      </w:r>
      <w:bookmarkStart w:id="6" w:name="_Hlk195718398"/>
      <w:r>
        <w:rPr>
          <w:rFonts w:hint="eastAsia" w:asciiTheme="majorEastAsia" w:hAnsiTheme="majorEastAsia" w:eastAsiaTheme="majorEastAsia" w:cstheme="majorEastAsia"/>
          <w:color w:val="auto"/>
          <w:szCs w:val="24"/>
          <w:highlight w:val="none"/>
          <w:lang w:eastAsia="zh-CN"/>
        </w:rPr>
        <w:t>肥西县公共资源交易有限责任公司</w:t>
      </w:r>
      <w:bookmarkEnd w:id="6"/>
      <w:r>
        <w:rPr>
          <w:rFonts w:hint="eastAsia" w:asciiTheme="majorEastAsia" w:hAnsiTheme="majorEastAsia" w:eastAsiaTheme="majorEastAsia" w:cstheme="majorEastAsia"/>
          <w:color w:val="auto"/>
          <w:szCs w:val="24"/>
          <w:highlight w:val="none"/>
          <w:lang w:eastAsia="zh-CN"/>
        </w:rPr>
        <w:t>、优质采云采购平台、安徽省招标投标信息网、中国采购与招标网上发布。</w:t>
      </w:r>
    </w:p>
    <w:p w14:paraId="7BDA757D">
      <w:pPr>
        <w:autoSpaceDE w:val="0"/>
        <w:autoSpaceDN w:val="0"/>
        <w:adjustRightInd w:val="0"/>
        <w:spacing w:line="360" w:lineRule="auto"/>
        <w:ind w:firstLine="482"/>
        <w:jc w:val="left"/>
        <w:rPr>
          <w:rFonts w:hint="eastAsia" w:ascii="宋体" w:hAnsi="宋体" w:cs="宋体"/>
          <w:b/>
          <w:bCs/>
          <w:color w:val="auto"/>
          <w:szCs w:val="18"/>
          <w:highlight w:val="none"/>
        </w:rPr>
      </w:pPr>
      <w:r>
        <w:rPr>
          <w:rFonts w:hint="eastAsia" w:ascii="宋体" w:hAnsi="宋体" w:cs="宋体"/>
          <w:b/>
          <w:bCs/>
          <w:color w:val="auto"/>
          <w:szCs w:val="18"/>
          <w:highlight w:val="none"/>
        </w:rPr>
        <w:t>六、联系方法</w:t>
      </w:r>
    </w:p>
    <w:p w14:paraId="446E3C40">
      <w:pPr>
        <w:keepNext w:val="0"/>
        <w:keepLines w:val="0"/>
        <w:pageBreakBefore w:val="0"/>
        <w:widowControl w:val="0"/>
        <w:kinsoku/>
        <w:wordWrap/>
        <w:overflowPunct/>
        <w:topLinePunct w:val="0"/>
        <w:bidi w:val="0"/>
        <w:snapToGrid/>
        <w:spacing w:before="93" w:beforeLines="30" w:after="93" w:afterLines="30" w:line="360" w:lineRule="auto"/>
        <w:ind w:firstLine="482"/>
        <w:textAlignment w:val="auto"/>
        <w:rPr>
          <w:rFonts w:hint="eastAsia"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lang w:val="en-US" w:eastAsia="zh-CN"/>
        </w:rPr>
        <w:t>招标人名称：肥西县数字化建设发展有限责任公司</w:t>
      </w:r>
    </w:p>
    <w:p w14:paraId="5FAE9BFB">
      <w:pPr>
        <w:keepNext w:val="0"/>
        <w:keepLines w:val="0"/>
        <w:pageBreakBefore w:val="0"/>
        <w:widowControl w:val="0"/>
        <w:kinsoku/>
        <w:wordWrap/>
        <w:overflowPunct/>
        <w:topLinePunct w:val="0"/>
        <w:bidi w:val="0"/>
        <w:snapToGrid/>
        <w:spacing w:before="93" w:beforeLines="30" w:after="93" w:afterLines="30" w:line="360" w:lineRule="auto"/>
        <w:ind w:firstLine="482"/>
        <w:textAlignment w:val="auto"/>
        <w:rPr>
          <w:rFonts w:hint="eastAsia"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lang w:val="en-US" w:eastAsia="zh-CN"/>
        </w:rPr>
        <w:t>地址： 安徽省合肥市</w:t>
      </w:r>
      <w:r>
        <w:rPr>
          <w:rFonts w:hint="eastAsia" w:cs="@仿宋_GB2312"/>
          <w:color w:val="auto"/>
          <w:kern w:val="2"/>
          <w:sz w:val="24"/>
          <w:szCs w:val="18"/>
          <w:highlight w:val="none"/>
          <w:lang w:val="en-US" w:eastAsia="zh-CN"/>
        </w:rPr>
        <w:t>肥西县</w:t>
      </w:r>
      <w:r>
        <w:rPr>
          <w:rFonts w:hint="default" w:cs="@仿宋_GB2312"/>
          <w:color w:val="auto"/>
          <w:kern w:val="2"/>
          <w:sz w:val="24"/>
          <w:szCs w:val="18"/>
          <w:highlight w:val="none"/>
          <w:lang w:val="en-US" w:eastAsia="zh-CN"/>
        </w:rPr>
        <w:t>上派镇中派片区芮祠路与宜城路交叉口灯塔小区商业一号楼1-4层</w:t>
      </w:r>
      <w:r>
        <w:rPr>
          <w:rFonts w:hint="eastAsia" w:cs="@仿宋_GB2312"/>
          <w:color w:val="auto"/>
          <w:kern w:val="2"/>
          <w:sz w:val="24"/>
          <w:szCs w:val="18"/>
          <w:highlight w:val="none"/>
          <w:lang w:val="en-US" w:eastAsia="zh-CN"/>
        </w:rPr>
        <w:t xml:space="preserve"> </w:t>
      </w:r>
    </w:p>
    <w:p w14:paraId="1FD6A171">
      <w:pPr>
        <w:keepNext w:val="0"/>
        <w:keepLines w:val="0"/>
        <w:pageBreakBefore w:val="0"/>
        <w:widowControl w:val="0"/>
        <w:kinsoku/>
        <w:wordWrap/>
        <w:overflowPunct/>
        <w:topLinePunct w:val="0"/>
        <w:bidi w:val="0"/>
        <w:snapToGrid/>
        <w:spacing w:before="93" w:beforeLines="30" w:after="93" w:afterLines="30" w:line="360" w:lineRule="auto"/>
        <w:ind w:firstLine="482"/>
        <w:textAlignment w:val="auto"/>
        <w:rPr>
          <w:rFonts w:hint="default"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lang w:val="en-US" w:eastAsia="zh-CN"/>
        </w:rPr>
        <w:t>联系人：张工</w:t>
      </w:r>
    </w:p>
    <w:p w14:paraId="54F9D522">
      <w:pPr>
        <w:keepNext w:val="0"/>
        <w:keepLines w:val="0"/>
        <w:pageBreakBefore w:val="0"/>
        <w:widowControl w:val="0"/>
        <w:kinsoku/>
        <w:wordWrap/>
        <w:overflowPunct/>
        <w:topLinePunct w:val="0"/>
        <w:bidi w:val="0"/>
        <w:snapToGrid/>
        <w:spacing w:before="93" w:beforeLines="30" w:after="93" w:afterLines="30" w:line="360" w:lineRule="auto"/>
        <w:ind w:firstLine="482"/>
        <w:textAlignment w:val="auto"/>
        <w:rPr>
          <w:rFonts w:hint="eastAsia" w:asciiTheme="majorEastAsia" w:hAnsiTheme="majorEastAsia" w:eastAsiaTheme="majorEastAsia" w:cstheme="majorEastAsia"/>
          <w:color w:val="auto"/>
          <w:szCs w:val="24"/>
          <w:highlight w:val="none"/>
          <w:lang w:val="en-US" w:eastAsia="zh-CN"/>
        </w:rPr>
      </w:pPr>
      <w:r>
        <w:rPr>
          <w:rFonts w:hint="eastAsia" w:asciiTheme="majorEastAsia" w:hAnsiTheme="majorEastAsia" w:eastAsiaTheme="majorEastAsia" w:cstheme="majorEastAsia"/>
          <w:color w:val="auto"/>
          <w:szCs w:val="24"/>
          <w:highlight w:val="none"/>
          <w:lang w:val="en-US" w:eastAsia="zh-CN"/>
        </w:rPr>
        <w:t>电话：</w:t>
      </w:r>
      <w:r>
        <w:rPr>
          <w:rFonts w:hint="eastAsia" w:ascii="宋体" w:hAnsi="宋体"/>
          <w:color w:val="auto"/>
          <w:sz w:val="24"/>
          <w:highlight w:val="none"/>
          <w:lang w:val="en-US" w:eastAsia="zh-CN"/>
        </w:rPr>
        <w:t>18655193728</w:t>
      </w:r>
      <w:r>
        <w:rPr>
          <w:rFonts w:hint="eastAsia" w:asciiTheme="majorEastAsia" w:hAnsiTheme="majorEastAsia" w:eastAsiaTheme="majorEastAsia" w:cstheme="majorEastAsia"/>
          <w:color w:val="auto"/>
          <w:szCs w:val="24"/>
          <w:highlight w:val="none"/>
          <w:lang w:val="en-US" w:eastAsia="zh-CN"/>
        </w:rPr>
        <w:t xml:space="preserve"> </w:t>
      </w:r>
    </w:p>
    <w:p w14:paraId="25C87940">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bCs/>
          <w:color w:val="auto"/>
          <w:szCs w:val="18"/>
          <w:highlight w:val="none"/>
          <w:lang w:eastAsia="zh-CN"/>
        </w:rPr>
      </w:pPr>
      <w:r>
        <w:rPr>
          <w:rFonts w:hint="eastAsia" w:ascii="宋体" w:hAnsi="宋体" w:cs="宋体"/>
          <w:bCs/>
          <w:color w:val="auto"/>
          <w:szCs w:val="18"/>
          <w:highlight w:val="none"/>
        </w:rPr>
        <w:t>（二）代理机构：</w:t>
      </w:r>
      <w:r>
        <w:rPr>
          <w:rFonts w:hint="eastAsia" w:ascii="宋体" w:hAnsi="宋体" w:cs="宋体"/>
          <w:bCs/>
          <w:color w:val="auto"/>
          <w:szCs w:val="18"/>
          <w:highlight w:val="none"/>
          <w:lang w:eastAsia="zh-CN"/>
        </w:rPr>
        <w:t>肥西县公共资源交易有限责任公司</w:t>
      </w:r>
    </w:p>
    <w:p w14:paraId="55B5F0AA">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cs="宋体"/>
          <w:bCs/>
          <w:color w:val="auto"/>
          <w:szCs w:val="18"/>
          <w:highlight w:val="none"/>
        </w:rPr>
      </w:pPr>
      <w:r>
        <w:rPr>
          <w:rFonts w:hint="eastAsia" w:ascii="宋体" w:hAnsi="宋体" w:cs="宋体"/>
          <w:bCs/>
          <w:color w:val="auto"/>
          <w:szCs w:val="18"/>
          <w:highlight w:val="none"/>
        </w:rPr>
        <w:t>地址：肥西县上派镇紫石路与佛光路交叉口肥光办公区3号楼2楼321</w:t>
      </w:r>
      <w:r>
        <w:rPr>
          <w:rFonts w:hint="eastAsia" w:ascii="宋体" w:hAnsi="宋体" w:cs="宋体"/>
          <w:bCs/>
          <w:color w:val="auto"/>
          <w:szCs w:val="18"/>
          <w:highlight w:val="none"/>
          <w:lang w:val="en-US" w:eastAsia="zh-CN"/>
        </w:rPr>
        <w:t>7</w:t>
      </w:r>
      <w:r>
        <w:rPr>
          <w:rFonts w:hint="eastAsia" w:ascii="宋体" w:hAnsi="宋体" w:cs="宋体"/>
          <w:bCs/>
          <w:color w:val="auto"/>
          <w:szCs w:val="18"/>
          <w:highlight w:val="none"/>
        </w:rPr>
        <w:t>室</w:t>
      </w:r>
    </w:p>
    <w:p w14:paraId="0797D2A8">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default" w:ascii="宋体" w:hAnsi="宋体" w:cs="宋体"/>
          <w:bCs/>
          <w:color w:val="auto"/>
          <w:szCs w:val="18"/>
          <w:highlight w:val="none"/>
          <w:lang w:val="en-US"/>
        </w:rPr>
      </w:pPr>
      <w:r>
        <w:rPr>
          <w:rFonts w:hint="eastAsia" w:ascii="宋体" w:hAnsi="宋体" w:cs="宋体"/>
          <w:bCs/>
          <w:color w:val="auto"/>
          <w:szCs w:val="18"/>
          <w:highlight w:val="none"/>
        </w:rPr>
        <w:t>联系人：</w:t>
      </w:r>
      <w:r>
        <w:rPr>
          <w:rFonts w:hint="eastAsia" w:ascii="宋体" w:hAnsi="宋体" w:cs="宋体"/>
          <w:bCs/>
          <w:color w:val="auto"/>
          <w:szCs w:val="18"/>
          <w:highlight w:val="none"/>
          <w:lang w:val="en-US" w:eastAsia="zh-CN"/>
        </w:rPr>
        <w:t xml:space="preserve">谭工 </w:t>
      </w:r>
    </w:p>
    <w:p w14:paraId="1C7364CF">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default" w:ascii="宋体" w:hAnsi="宋体" w:cs="宋体"/>
          <w:bCs/>
          <w:color w:val="auto"/>
          <w:szCs w:val="18"/>
          <w:highlight w:val="none"/>
          <w:lang w:val="en-US"/>
        </w:rPr>
      </w:pPr>
      <w:r>
        <w:rPr>
          <w:rFonts w:hint="eastAsia" w:ascii="宋体" w:hAnsi="宋体" w:cs="宋体"/>
          <w:bCs/>
          <w:color w:val="auto"/>
          <w:szCs w:val="18"/>
          <w:highlight w:val="none"/>
        </w:rPr>
        <w:t>电话：0551-688250</w:t>
      </w:r>
      <w:r>
        <w:rPr>
          <w:rFonts w:hint="eastAsia" w:ascii="宋体" w:hAnsi="宋体" w:cs="宋体"/>
          <w:bCs/>
          <w:color w:val="auto"/>
          <w:szCs w:val="18"/>
          <w:highlight w:val="none"/>
          <w:lang w:val="en-US" w:eastAsia="zh-CN"/>
        </w:rPr>
        <w:t>07</w:t>
      </w:r>
    </w:p>
    <w:p w14:paraId="7FE005AF">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bCs/>
          <w:color w:val="auto"/>
          <w:szCs w:val="18"/>
          <w:highlight w:val="none"/>
          <w:lang w:eastAsia="zh-CN"/>
        </w:rPr>
      </w:pPr>
      <w:r>
        <w:rPr>
          <w:rFonts w:hint="eastAsia" w:ascii="宋体" w:hAnsi="宋体" w:cs="宋体"/>
          <w:bCs/>
          <w:color w:val="auto"/>
          <w:szCs w:val="18"/>
          <w:highlight w:val="none"/>
        </w:rPr>
        <w:t>（三）监督管理部门:</w:t>
      </w:r>
      <w:r>
        <w:rPr>
          <w:rFonts w:hint="eastAsia" w:cs="@仿宋_GB2312"/>
          <w:color w:val="auto"/>
          <w:kern w:val="2"/>
          <w:sz w:val="24"/>
          <w:szCs w:val="18"/>
          <w:highlight w:val="none"/>
          <w:lang w:eastAsia="zh-CN"/>
        </w:rPr>
        <w:t>肥西县产城国创控股集团有限公司工程管理采购中心</w:t>
      </w:r>
    </w:p>
    <w:p w14:paraId="286F5772">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default" w:ascii="宋体" w:hAnsi="宋体" w:eastAsia="宋体" w:cs="宋体"/>
          <w:bCs/>
          <w:color w:val="auto"/>
          <w:szCs w:val="18"/>
          <w:highlight w:val="none"/>
          <w:lang w:val="en-US" w:eastAsia="zh-CN"/>
        </w:rPr>
      </w:pPr>
      <w:r>
        <w:rPr>
          <w:rFonts w:hint="eastAsia" w:ascii="宋体" w:hAnsi="宋体" w:eastAsia="宋体" w:cs="宋体"/>
          <w:bCs/>
          <w:color w:val="auto"/>
          <w:szCs w:val="18"/>
          <w:highlight w:val="none"/>
        </w:rPr>
        <w:t>地  址：</w:t>
      </w:r>
      <w:r>
        <w:rPr>
          <w:rFonts w:hint="eastAsia" w:ascii="宋体" w:hAnsi="宋体" w:eastAsia="宋体" w:cs="宋体"/>
          <w:bCs/>
          <w:color w:val="auto"/>
          <w:szCs w:val="18"/>
          <w:highlight w:val="none"/>
          <w:lang w:val="en-US" w:eastAsia="zh-CN"/>
        </w:rPr>
        <w:t xml:space="preserve"> </w:t>
      </w:r>
      <w:r>
        <w:rPr>
          <w:rFonts w:hint="eastAsia" w:cs="@仿宋_GB2312"/>
          <w:color w:val="auto"/>
          <w:kern w:val="2"/>
          <w:sz w:val="24"/>
          <w:szCs w:val="18"/>
          <w:highlight w:val="none"/>
          <w:lang w:val="en-US" w:eastAsia="zh-CN"/>
        </w:rPr>
        <w:t>安徽省合肥市肥西县经济开发区创新大道与玉兰大道交口药谷科技创业园C1幢产业园</w:t>
      </w:r>
    </w:p>
    <w:p w14:paraId="42F5718B">
      <w:pPr>
        <w:keepNext w:val="0"/>
        <w:keepLines w:val="0"/>
        <w:pageBreakBefore w:val="0"/>
        <w:widowControl w:val="0"/>
        <w:kinsoku/>
        <w:wordWrap/>
        <w:overflowPunct/>
        <w:topLinePunct w:val="0"/>
        <w:autoSpaceDE w:val="0"/>
        <w:autoSpaceDN w:val="0"/>
        <w:bidi w:val="0"/>
        <w:adjustRightInd w:val="0"/>
        <w:snapToGrid/>
        <w:spacing w:line="360" w:lineRule="auto"/>
        <w:ind w:firstLine="482"/>
        <w:jc w:val="left"/>
        <w:textAlignment w:val="auto"/>
        <w:rPr>
          <w:rFonts w:hint="eastAsia" w:ascii="宋体" w:hAnsi="宋体" w:eastAsia="宋体" w:cs="宋体"/>
          <w:bCs/>
          <w:color w:val="auto"/>
          <w:szCs w:val="18"/>
          <w:highlight w:val="none"/>
          <w:lang w:eastAsia="zh-CN"/>
        </w:rPr>
      </w:pPr>
      <w:r>
        <w:rPr>
          <w:rFonts w:hint="eastAsia" w:ascii="宋体" w:hAnsi="宋体" w:eastAsia="宋体" w:cs="宋体"/>
          <w:bCs/>
          <w:color w:val="auto"/>
          <w:szCs w:val="18"/>
          <w:highlight w:val="none"/>
        </w:rPr>
        <w:t>电  话：</w:t>
      </w:r>
      <w:r>
        <w:rPr>
          <w:rFonts w:hint="eastAsia" w:cs="@仿宋_GB2312"/>
          <w:color w:val="auto"/>
          <w:kern w:val="2"/>
          <w:sz w:val="24"/>
          <w:szCs w:val="18"/>
          <w:highlight w:val="none"/>
          <w:lang w:val="en-US" w:eastAsia="zh-CN"/>
        </w:rPr>
        <w:t>0551-68895776</w:t>
      </w:r>
    </w:p>
    <w:p w14:paraId="2CCF415B">
      <w:pPr>
        <w:autoSpaceDE w:val="0"/>
        <w:autoSpaceDN w:val="0"/>
        <w:adjustRightInd w:val="0"/>
        <w:spacing w:line="360" w:lineRule="auto"/>
        <w:ind w:firstLine="482"/>
        <w:jc w:val="left"/>
        <w:rPr>
          <w:rFonts w:hint="eastAsia" w:ascii="宋体" w:hAnsi="宋体" w:cs="宋体"/>
          <w:b/>
          <w:bCs/>
          <w:color w:val="auto"/>
          <w:szCs w:val="18"/>
          <w:highlight w:val="none"/>
        </w:rPr>
      </w:pPr>
      <w:r>
        <w:rPr>
          <w:rFonts w:hint="eastAsia" w:ascii="宋体" w:hAnsi="宋体" w:cs="宋体"/>
          <w:b/>
          <w:bCs/>
          <w:color w:val="auto"/>
          <w:szCs w:val="18"/>
          <w:highlight w:val="none"/>
        </w:rPr>
        <w:t>七、其他事项说明</w:t>
      </w:r>
    </w:p>
    <w:p w14:paraId="32513718">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1.本项目相关信息同时在肥西县公共资源交易有限责任公司、优质采云采购平台、安徽省招标投标信息网、中国采购与招标网上发布；</w:t>
      </w:r>
    </w:p>
    <w:p w14:paraId="4D008FB3">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2.政府采购电子化交易要求：</w:t>
      </w:r>
    </w:p>
    <w:p w14:paraId="4C7DDE02">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1）潜在投标人须登录“优质采云采购平台”（网址：www.youzhicai.com，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6DFFBFF2">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（2）已注册的潜在投标人可登录优质采平台获取采购文件，本项目的采购文件及其他资料（含澄清、答疑及相关补充文件）通过优质采平台发布，</w:t>
      </w:r>
      <w:r>
        <w:rPr>
          <w:rFonts w:hint="eastAsia" w:ascii="宋体" w:hAnsi="宋体" w:cs="宋体"/>
          <w:color w:val="auto"/>
          <w:szCs w:val="18"/>
          <w:highlight w:val="none"/>
          <w:lang w:eastAsia="zh-CN"/>
        </w:rPr>
        <w:t>招标人</w:t>
      </w:r>
      <w:r>
        <w:rPr>
          <w:rFonts w:hint="eastAsia" w:ascii="宋体" w:hAnsi="宋体" w:cs="宋体"/>
          <w:color w:val="auto"/>
          <w:szCs w:val="18"/>
          <w:highlight w:val="none"/>
        </w:rPr>
        <w:t>/代理机构不再另行书面通知，潜在投标人应及时关注、查阅优质采平台。因未及时查看导致不利后果的，责任自负。</w:t>
      </w:r>
    </w:p>
    <w:p w14:paraId="4E846D59">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（3）已注册的潜在投标人若注册信息发生变更（如：与初始注册信息不一致），应及时网上提交变更申请。因未及时变更导致不利后果的，责任自负。</w:t>
      </w:r>
    </w:p>
    <w:p w14:paraId="598BE461">
      <w:pPr>
        <w:spacing w:line="360" w:lineRule="auto"/>
        <w:ind w:firstLine="480"/>
        <w:jc w:val="left"/>
        <w:rPr>
          <w:rFonts w:hint="eastAsia" w:ascii="宋体" w:hAnsi="宋体" w:cs="宋体"/>
          <w:color w:val="auto"/>
          <w:szCs w:val="18"/>
          <w:highlight w:val="none"/>
        </w:rPr>
      </w:pPr>
      <w:r>
        <w:rPr>
          <w:rFonts w:hint="eastAsia" w:ascii="宋体" w:hAnsi="宋体" w:cs="宋体"/>
          <w:color w:val="auto"/>
          <w:szCs w:val="18"/>
          <w:highlight w:val="none"/>
        </w:rPr>
        <w:t>（4）本项目采用全流程电子化采购方式，潜在投标人须办理CA数字证书（以下简称CA），CA用于电子投标/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548951CA">
      <w:pPr>
        <w:autoSpaceDE w:val="0"/>
        <w:autoSpaceDN w:val="0"/>
        <w:adjustRightInd w:val="0"/>
        <w:spacing w:line="360" w:lineRule="auto"/>
        <w:ind w:firstLine="480" w:firstLineChars="200"/>
        <w:jc w:val="left"/>
        <w:rPr>
          <w:rFonts w:hint="eastAsia" w:ascii="宋体" w:hAnsi="宋体" w:cs="宋体"/>
          <w:color w:val="auto"/>
          <w:szCs w:val="18"/>
          <w:highlight w:val="none"/>
        </w:rPr>
      </w:pPr>
      <w:r>
        <w:rPr>
          <w:rFonts w:hint="eastAsia" w:ascii="宋体" w:hAnsi="宋体" w:cs="宋体"/>
          <w:color w:val="auto"/>
          <w:szCs w:val="18"/>
          <w:highlight w:val="none"/>
        </w:rPr>
        <w:t>（5）电子投标/响应文件必须使用“优质采响应文件制作工具”制作生成并上传。下载地址：http://toolcdn.youzhicai.com/tools/BidderTools.zip，使用说明书及视频教程下载地址:http://file.youzhicai.com/files/BidderHelp.rar。</w:t>
      </w:r>
    </w:p>
    <w:p w14:paraId="604F999D">
      <w:pPr>
        <w:autoSpaceDE w:val="0"/>
        <w:autoSpaceDN w:val="0"/>
        <w:adjustRightInd w:val="0"/>
        <w:spacing w:line="360" w:lineRule="auto"/>
        <w:ind w:firstLine="480" w:firstLineChars="200"/>
        <w:jc w:val="left"/>
        <w:rPr>
          <w:rFonts w:hint="eastAsia" w:ascii="宋体" w:hAnsi="宋体" w:cs="宋体"/>
          <w:color w:val="auto"/>
          <w:szCs w:val="18"/>
          <w:highlight w:val="none"/>
        </w:rPr>
      </w:pPr>
      <w:r>
        <w:rPr>
          <w:rFonts w:hint="eastAsia" w:ascii="宋体" w:hAnsi="宋体" w:cs="宋体"/>
          <w:color w:val="auto"/>
          <w:szCs w:val="18"/>
          <w:highlight w:val="none"/>
        </w:rPr>
        <w:t>3.投标人应合理安排招标文件获取时间，特别是网络速度慢的地区防止在系统关闭前网络拥堵无法操作。如果因计算机及网络故障造成无法完成招标文件获取，责任自负。</w:t>
      </w:r>
    </w:p>
    <w:p w14:paraId="2F58C221">
      <w:pPr>
        <w:autoSpaceDE w:val="0"/>
        <w:autoSpaceDN w:val="0"/>
        <w:adjustRightInd w:val="0"/>
        <w:spacing w:line="360" w:lineRule="auto"/>
        <w:ind w:firstLine="480" w:firstLineChars="200"/>
        <w:jc w:val="left"/>
        <w:rPr>
          <w:rFonts w:hint="eastAsia" w:ascii="宋体" w:hAnsi="宋体" w:cs="宋体"/>
          <w:color w:val="auto"/>
          <w:szCs w:val="18"/>
          <w:highlight w:val="none"/>
        </w:rPr>
      </w:pPr>
      <w:r>
        <w:rPr>
          <w:rFonts w:hint="eastAsia" w:ascii="宋体" w:hAnsi="宋体" w:cs="宋体"/>
          <w:color w:val="auto"/>
          <w:szCs w:val="18"/>
          <w:highlight w:val="none"/>
        </w:rPr>
        <w:t>4.本项目实施全流程电子化交易，响应文件实施网上解密，投标人无需前往招标现场。</w:t>
      </w:r>
    </w:p>
    <w:p w14:paraId="2F626664">
      <w:pPr>
        <w:widowControl/>
        <w:jc w:val="left"/>
        <w:rPr>
          <w:rFonts w:hint="eastAsia" w:ascii="宋体" w:hAnsi="宋体" w:cs="宋体"/>
          <w:color w:val="auto"/>
          <w:szCs w:val="18"/>
          <w:highlight w:val="none"/>
        </w:rPr>
      </w:pPr>
      <w:r>
        <w:rPr>
          <w:rFonts w:hint="eastAsia" w:ascii="宋体" w:hAnsi="宋体" w:cs="宋体"/>
          <w:color w:val="auto"/>
          <w:szCs w:val="18"/>
          <w:highlight w:val="none"/>
        </w:rPr>
        <w:br w:type="page"/>
      </w:r>
    </w:p>
    <w:p w14:paraId="38335902">
      <w:pPr>
        <w:pStyle w:val="4"/>
        <w:outlineLvl w:val="0"/>
        <w:rPr>
          <w:rFonts w:hint="eastAsia" w:ascii="宋体" w:hAnsi="宋体" w:eastAsia="宋体"/>
          <w:color w:val="auto"/>
          <w:highlight w:val="none"/>
        </w:rPr>
      </w:pPr>
      <w:bookmarkStart w:id="7" w:name="_Toc20096"/>
      <w:r>
        <w:rPr>
          <w:rFonts w:hint="eastAsia" w:ascii="宋体" w:hAnsi="宋体" w:eastAsia="宋体"/>
          <w:color w:val="auto"/>
          <w:highlight w:val="none"/>
        </w:rPr>
        <w:t>第二章 投标人须</w:t>
      </w:r>
      <w:bookmarkEnd w:id="3"/>
      <w:r>
        <w:rPr>
          <w:rFonts w:hint="eastAsia" w:ascii="宋体" w:hAnsi="宋体" w:eastAsia="宋体"/>
          <w:color w:val="auto"/>
          <w:highlight w:val="none"/>
        </w:rPr>
        <w:t>知前</w:t>
      </w:r>
      <w:bookmarkEnd w:id="4"/>
      <w:r>
        <w:rPr>
          <w:rFonts w:hint="eastAsia" w:ascii="宋体" w:hAnsi="宋体" w:eastAsia="宋体"/>
          <w:color w:val="auto"/>
          <w:highlight w:val="none"/>
        </w:rPr>
        <w:t>附表</w:t>
      </w:r>
      <w:bookmarkEnd w:id="5"/>
      <w:bookmarkEnd w:id="7"/>
    </w:p>
    <w:tbl>
      <w:tblPr>
        <w:tblStyle w:val="2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15"/>
        <w:gridCol w:w="7174"/>
      </w:tblGrid>
      <w:tr w14:paraId="1AFC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370F0E1B">
            <w:pPr>
              <w:spacing w:line="460" w:lineRule="exact"/>
              <w:rPr>
                <w:rFonts w:hint="eastAsia" w:ascii="宋体" w:hAnsi="宋体" w:cs="宋体"/>
                <w:b/>
                <w:color w:val="000000" w:themeColor="text1"/>
                <w:szCs w:val="24"/>
                <w:highlight w:val="none"/>
                <w14:textFill>
                  <w14:solidFill>
                    <w14:schemeClr w14:val="tx1"/>
                  </w14:solidFill>
                </w14:textFill>
              </w:rPr>
            </w:pPr>
            <w:bookmarkStart w:id="8" w:name="_Hlt516969057"/>
            <w:bookmarkEnd w:id="8"/>
            <w:bookmarkStart w:id="9" w:name="_Hlt519045778"/>
            <w:bookmarkEnd w:id="9"/>
            <w:bookmarkStart w:id="10" w:name="_Hlt509650027"/>
            <w:bookmarkEnd w:id="10"/>
            <w:bookmarkStart w:id="11" w:name="_Hlt204508754"/>
            <w:bookmarkEnd w:id="11"/>
            <w:bookmarkStart w:id="12" w:name="_Hlt509650351"/>
            <w:bookmarkEnd w:id="12"/>
            <w:bookmarkStart w:id="13" w:name="_Toc13065"/>
            <w:r>
              <w:rPr>
                <w:rFonts w:hint="eastAsia" w:ascii="宋体" w:hAnsi="宋体" w:cs="宋体"/>
                <w:b/>
                <w:color w:val="000000" w:themeColor="text1"/>
                <w:szCs w:val="24"/>
                <w:highlight w:val="none"/>
                <w14:textFill>
                  <w14:solidFill>
                    <w14:schemeClr w14:val="tx1"/>
                  </w14:solidFill>
                </w14:textFill>
              </w:rPr>
              <w:t>序号</w:t>
            </w:r>
          </w:p>
        </w:tc>
        <w:tc>
          <w:tcPr>
            <w:tcW w:w="1515" w:type="dxa"/>
            <w:shd w:val="clear" w:color="auto" w:fill="auto"/>
          </w:tcPr>
          <w:p w14:paraId="7748D2FE">
            <w:pPr>
              <w:spacing w:line="460" w:lineRule="exact"/>
              <w:ind w:firstLine="241" w:firstLineChars="100"/>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内容</w:t>
            </w:r>
          </w:p>
        </w:tc>
        <w:tc>
          <w:tcPr>
            <w:tcW w:w="7174" w:type="dxa"/>
            <w:shd w:val="clear" w:color="auto" w:fill="auto"/>
          </w:tcPr>
          <w:p w14:paraId="5C10F0CC">
            <w:pPr>
              <w:pStyle w:val="33"/>
              <w:widowControl w:val="0"/>
              <w:spacing w:before="0" w:beforeAutospacing="0" w:after="0" w:afterAutospacing="0" w:line="460" w:lineRule="exact"/>
              <w:ind w:firstLine="482"/>
              <w:rPr>
                <w:rFonts w:hint="eastAsia" w:cs="宋体"/>
                <w:bCs w:val="0"/>
                <w:color w:val="000000" w:themeColor="text1"/>
                <w:kern w:val="2"/>
                <w:sz w:val="24"/>
                <w:szCs w:val="24"/>
                <w:highlight w:val="none"/>
                <w14:textFill>
                  <w14:solidFill>
                    <w14:schemeClr w14:val="tx1"/>
                  </w14:solidFill>
                </w14:textFill>
              </w:rPr>
            </w:pPr>
            <w:r>
              <w:rPr>
                <w:rFonts w:hint="eastAsia" w:cs="宋体"/>
                <w:bCs w:val="0"/>
                <w:color w:val="000000" w:themeColor="text1"/>
                <w:kern w:val="2"/>
                <w:sz w:val="24"/>
                <w:szCs w:val="24"/>
                <w:highlight w:val="none"/>
                <w14:textFill>
                  <w14:solidFill>
                    <w14:schemeClr w14:val="tx1"/>
                  </w14:solidFill>
                </w14:textFill>
              </w:rPr>
              <w:t>说明与要求</w:t>
            </w:r>
          </w:p>
        </w:tc>
      </w:tr>
      <w:tr w14:paraId="6215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72C9427B">
            <w:pPr>
              <w:spacing w:line="46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515" w:type="dxa"/>
            <w:shd w:val="clear" w:color="auto" w:fill="auto"/>
            <w:vAlign w:val="center"/>
          </w:tcPr>
          <w:p w14:paraId="561A4569">
            <w:pPr>
              <w:spacing w:line="460" w:lineRule="exact"/>
              <w:rPr>
                <w:rFonts w:hint="eastAsia" w:ascii="宋体" w:hAnsi="宋体" w:eastAsia="宋体" w:cs="宋体"/>
                <w:bCs/>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招标人</w:t>
            </w:r>
          </w:p>
        </w:tc>
        <w:tc>
          <w:tcPr>
            <w:tcW w:w="7174" w:type="dxa"/>
            <w:shd w:val="clear" w:color="auto" w:fill="auto"/>
          </w:tcPr>
          <w:p w14:paraId="32D99B96">
            <w:pPr>
              <w:pStyle w:val="33"/>
              <w:widowControl w:val="0"/>
              <w:spacing w:before="0" w:beforeAutospacing="0" w:after="0" w:afterAutospacing="0" w:line="460" w:lineRule="exact"/>
              <w:jc w:val="both"/>
              <w:rPr>
                <w:rFonts w:hint="eastAsia" w:eastAsia="宋体" w:cs="宋体"/>
                <w:b w:val="0"/>
                <w:color w:val="000000" w:themeColor="text1"/>
                <w:kern w:val="2"/>
                <w:sz w:val="24"/>
                <w:szCs w:val="24"/>
                <w:highlight w:val="none"/>
                <w:lang w:eastAsia="zh-CN"/>
                <w14:textFill>
                  <w14:solidFill>
                    <w14:schemeClr w14:val="tx1"/>
                  </w14:solidFill>
                </w14:textFill>
              </w:rPr>
            </w:pPr>
            <w:r>
              <w:rPr>
                <w:rFonts w:hint="eastAsia" w:cs="宋体"/>
                <w:b w:val="0"/>
                <w:color w:val="000000" w:themeColor="text1"/>
                <w:kern w:val="2"/>
                <w:sz w:val="24"/>
                <w:szCs w:val="24"/>
                <w:highlight w:val="none"/>
                <w:lang w:eastAsia="zh-CN"/>
                <w14:textFill>
                  <w14:solidFill>
                    <w14:schemeClr w14:val="tx1"/>
                  </w14:solidFill>
                </w14:textFill>
              </w:rPr>
              <w:t>肥西县数字化建设发展有限责任公司</w:t>
            </w:r>
          </w:p>
        </w:tc>
      </w:tr>
      <w:tr w14:paraId="4413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6E33DC4A">
            <w:pPr>
              <w:spacing w:line="460" w:lineRule="exact"/>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2</w:t>
            </w:r>
          </w:p>
        </w:tc>
        <w:tc>
          <w:tcPr>
            <w:tcW w:w="1515" w:type="dxa"/>
            <w:shd w:val="clear" w:color="auto" w:fill="auto"/>
            <w:vAlign w:val="center"/>
          </w:tcPr>
          <w:p w14:paraId="169A8C2E">
            <w:pPr>
              <w:spacing w:line="460" w:lineRule="exact"/>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委托人</w:t>
            </w:r>
          </w:p>
        </w:tc>
        <w:tc>
          <w:tcPr>
            <w:tcW w:w="7174" w:type="dxa"/>
            <w:shd w:val="clear" w:color="auto" w:fill="auto"/>
          </w:tcPr>
          <w:p w14:paraId="586BAD86">
            <w:pPr>
              <w:pStyle w:val="33"/>
              <w:widowControl w:val="0"/>
              <w:spacing w:before="0" w:beforeAutospacing="0" w:after="0" w:afterAutospacing="0" w:line="460" w:lineRule="exact"/>
              <w:jc w:val="both"/>
              <w:rPr>
                <w:rFonts w:hint="eastAsia" w:eastAsia="宋体" w:cs="宋体"/>
                <w:b w:val="0"/>
                <w:bCs w:val="0"/>
                <w:color w:val="000000" w:themeColor="text1"/>
                <w:sz w:val="24"/>
                <w:szCs w:val="24"/>
                <w:highlight w:val="none"/>
                <w:lang w:eastAsia="zh-CN"/>
                <w14:textFill>
                  <w14:solidFill>
                    <w14:schemeClr w14:val="tx1"/>
                  </w14:solidFill>
                </w14:textFill>
              </w:rPr>
            </w:pPr>
            <w:r>
              <w:rPr>
                <w:rFonts w:hint="eastAsia" w:cs="宋体"/>
                <w:b w:val="0"/>
                <w:color w:val="000000" w:themeColor="text1"/>
                <w:kern w:val="2"/>
                <w:sz w:val="24"/>
                <w:szCs w:val="24"/>
                <w:highlight w:val="none"/>
                <w:lang w:eastAsia="zh-CN"/>
                <w14:textFill>
                  <w14:solidFill>
                    <w14:schemeClr w14:val="tx1"/>
                  </w14:solidFill>
                </w14:textFill>
              </w:rPr>
              <w:t>肥西县数字化建设发展有限责任公司</w:t>
            </w:r>
          </w:p>
        </w:tc>
      </w:tr>
      <w:tr w14:paraId="55F5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26B9EB13">
            <w:pPr>
              <w:spacing w:line="460" w:lineRule="exact"/>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3</w:t>
            </w:r>
          </w:p>
        </w:tc>
        <w:tc>
          <w:tcPr>
            <w:tcW w:w="1515" w:type="dxa"/>
            <w:shd w:val="clear" w:color="auto" w:fill="auto"/>
            <w:vAlign w:val="center"/>
          </w:tcPr>
          <w:p w14:paraId="5F3BF0B7">
            <w:pPr>
              <w:spacing w:line="460" w:lineRule="exact"/>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代理机构</w:t>
            </w:r>
          </w:p>
        </w:tc>
        <w:tc>
          <w:tcPr>
            <w:tcW w:w="7174" w:type="dxa"/>
            <w:shd w:val="clear" w:color="auto" w:fill="auto"/>
          </w:tcPr>
          <w:p w14:paraId="0960C484">
            <w:pPr>
              <w:spacing w:line="460" w:lineRule="exact"/>
              <w:rPr>
                <w:rFonts w:hint="eastAsia" w:ascii="宋体" w:hAnsi="宋体" w:cs="宋体"/>
                <w:color w:val="000000" w:themeColor="text1"/>
                <w:szCs w:val="24"/>
                <w:highlight w:val="none"/>
                <w:lang w:val="zh-CN"/>
                <w14:textFill>
                  <w14:solidFill>
                    <w14:schemeClr w14:val="tx1"/>
                  </w14:solidFill>
                </w14:textFill>
              </w:rPr>
            </w:pPr>
            <w:r>
              <w:rPr>
                <w:rFonts w:hint="eastAsia" w:ascii="宋体" w:hAnsi="宋体" w:cs="宋体"/>
                <w:color w:val="000000" w:themeColor="text1"/>
                <w:szCs w:val="24"/>
                <w:highlight w:val="none"/>
                <w:lang w:val="zh-CN"/>
                <w14:textFill>
                  <w14:solidFill>
                    <w14:schemeClr w14:val="tx1"/>
                  </w14:solidFill>
                </w14:textFill>
              </w:rPr>
              <w:t>名  称：肥西县公共资源交易有限责任公司</w:t>
            </w:r>
          </w:p>
          <w:p w14:paraId="7D8525A6">
            <w:pPr>
              <w:spacing w:line="460" w:lineRule="exact"/>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zh-CN"/>
                <w14:textFill>
                  <w14:solidFill>
                    <w14:schemeClr w14:val="tx1"/>
                  </w14:solidFill>
                </w14:textFill>
              </w:rPr>
              <w:t>地  址：</w:t>
            </w:r>
            <w:r>
              <w:rPr>
                <w:rFonts w:hint="eastAsia" w:ascii="宋体" w:hAnsi="宋体" w:cs="宋体"/>
                <w:color w:val="000000" w:themeColor="text1"/>
                <w:szCs w:val="18"/>
                <w:highlight w:val="none"/>
                <w14:textFill>
                  <w14:solidFill>
                    <w14:schemeClr w14:val="tx1"/>
                  </w14:solidFill>
                </w14:textFill>
              </w:rPr>
              <w:t>肥西县上派镇紫石路与佛光路交叉口肥光办公区3号楼2楼</w:t>
            </w:r>
          </w:p>
        </w:tc>
      </w:tr>
      <w:tr w14:paraId="36F0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75" w:type="dxa"/>
            <w:shd w:val="clear" w:color="auto" w:fill="auto"/>
          </w:tcPr>
          <w:p w14:paraId="03E4F636">
            <w:pPr>
              <w:spacing w:line="460" w:lineRule="exact"/>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4</w:t>
            </w:r>
          </w:p>
        </w:tc>
        <w:tc>
          <w:tcPr>
            <w:tcW w:w="1515" w:type="dxa"/>
            <w:shd w:val="clear" w:color="auto" w:fill="auto"/>
            <w:vAlign w:val="center"/>
          </w:tcPr>
          <w:p w14:paraId="149296A0">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项目名称</w:t>
            </w:r>
          </w:p>
        </w:tc>
        <w:tc>
          <w:tcPr>
            <w:tcW w:w="7174" w:type="dxa"/>
            <w:shd w:val="clear" w:color="auto" w:fill="auto"/>
          </w:tcPr>
          <w:p w14:paraId="10F49FA2">
            <w:pPr>
              <w:pStyle w:val="33"/>
              <w:widowControl w:val="0"/>
              <w:spacing w:before="0" w:beforeAutospacing="0" w:after="0" w:afterAutospacing="0" w:line="460" w:lineRule="exact"/>
              <w:jc w:val="both"/>
              <w:rPr>
                <w:rFonts w:hint="eastAsia" w:eastAsia="宋体" w:cs="宋体"/>
                <w:b w:val="0"/>
                <w:bCs w:val="0"/>
                <w:color w:val="000000" w:themeColor="text1"/>
                <w:sz w:val="24"/>
                <w:szCs w:val="24"/>
                <w:highlight w:val="none"/>
                <w:lang w:eastAsia="zh-CN"/>
                <w14:textFill>
                  <w14:solidFill>
                    <w14:schemeClr w14:val="tx1"/>
                  </w14:solidFill>
                </w14:textFill>
              </w:rPr>
            </w:pPr>
            <w:r>
              <w:rPr>
                <w:rFonts w:hint="eastAsia" w:eastAsia="宋体" w:cs="宋体"/>
                <w:b w:val="0"/>
                <w:bCs w:val="0"/>
                <w:color w:val="000000" w:themeColor="text1"/>
                <w:sz w:val="24"/>
                <w:szCs w:val="24"/>
                <w:highlight w:val="none"/>
                <w:lang w:eastAsia="zh-CN"/>
                <w14:textFill>
                  <w14:solidFill>
                    <w14:schemeClr w14:val="tx1"/>
                  </w14:solidFill>
                </w14:textFill>
              </w:rPr>
              <w:t>肥西县智慧平安小区统一运维项目</w:t>
            </w:r>
          </w:p>
        </w:tc>
      </w:tr>
      <w:tr w14:paraId="67DB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6E459421">
            <w:pPr>
              <w:spacing w:line="460" w:lineRule="exact"/>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5</w:t>
            </w:r>
          </w:p>
        </w:tc>
        <w:tc>
          <w:tcPr>
            <w:tcW w:w="1515" w:type="dxa"/>
            <w:shd w:val="clear" w:color="auto" w:fill="auto"/>
            <w:vAlign w:val="center"/>
          </w:tcPr>
          <w:p w14:paraId="50A20837">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项目编号</w:t>
            </w:r>
          </w:p>
        </w:tc>
        <w:tc>
          <w:tcPr>
            <w:tcW w:w="7174" w:type="dxa"/>
            <w:shd w:val="clear" w:color="auto" w:fill="auto"/>
          </w:tcPr>
          <w:p w14:paraId="2E63BFA8">
            <w:pPr>
              <w:pStyle w:val="33"/>
              <w:widowControl w:val="0"/>
              <w:spacing w:before="0" w:beforeAutospacing="0" w:after="0" w:afterAutospacing="0" w:line="460" w:lineRule="exact"/>
              <w:jc w:val="both"/>
              <w:rPr>
                <w:rFonts w:hint="eastAsia" w:eastAsia="宋体" w:cs="宋体"/>
                <w:b w:val="0"/>
                <w:bCs w:val="0"/>
                <w:color w:val="000000" w:themeColor="text1"/>
                <w:sz w:val="24"/>
                <w:szCs w:val="24"/>
                <w:highlight w:val="none"/>
                <w:lang w:eastAsia="zh-CN"/>
                <w14:textFill>
                  <w14:solidFill>
                    <w14:schemeClr w14:val="tx1"/>
                  </w14:solidFill>
                </w14:textFill>
              </w:rPr>
            </w:pPr>
            <w:r>
              <w:rPr>
                <w:rFonts w:hint="eastAsia" w:cs="宋体"/>
                <w:b w:val="0"/>
                <w:bCs w:val="0"/>
                <w:color w:val="000000" w:themeColor="text1"/>
                <w:sz w:val="24"/>
                <w:szCs w:val="24"/>
                <w:highlight w:val="none"/>
                <w:lang w:eastAsia="zh-CN"/>
                <w14:textFill>
                  <w14:solidFill>
                    <w14:schemeClr w14:val="tx1"/>
                  </w14:solidFill>
                </w14:textFill>
              </w:rPr>
              <w:t>2026PHBZ311</w:t>
            </w:r>
          </w:p>
        </w:tc>
      </w:tr>
      <w:tr w14:paraId="3691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0EE0EE68">
            <w:pPr>
              <w:spacing w:line="460" w:lineRule="exact"/>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6</w:t>
            </w:r>
          </w:p>
        </w:tc>
        <w:tc>
          <w:tcPr>
            <w:tcW w:w="1515" w:type="dxa"/>
            <w:shd w:val="clear" w:color="auto" w:fill="auto"/>
            <w:vAlign w:val="center"/>
          </w:tcPr>
          <w:p w14:paraId="3224105A">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项目性质</w:t>
            </w:r>
          </w:p>
        </w:tc>
        <w:tc>
          <w:tcPr>
            <w:tcW w:w="7174" w:type="dxa"/>
            <w:shd w:val="clear" w:color="auto" w:fill="auto"/>
          </w:tcPr>
          <w:p w14:paraId="61D4B2B9">
            <w:pPr>
              <w:pStyle w:val="33"/>
              <w:widowControl w:val="0"/>
              <w:spacing w:before="0" w:beforeAutospacing="0" w:after="0" w:afterAutospacing="0" w:line="460" w:lineRule="exact"/>
              <w:jc w:val="both"/>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服务类</w:t>
            </w:r>
          </w:p>
        </w:tc>
      </w:tr>
      <w:tr w14:paraId="2CF9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23D00CF0">
            <w:pPr>
              <w:spacing w:line="460" w:lineRule="exact"/>
              <w:jc w:val="center"/>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7</w:t>
            </w:r>
          </w:p>
        </w:tc>
        <w:tc>
          <w:tcPr>
            <w:tcW w:w="1515" w:type="dxa"/>
            <w:shd w:val="clear" w:color="auto" w:fill="auto"/>
            <w:vAlign w:val="center"/>
          </w:tcPr>
          <w:p w14:paraId="0E96C853">
            <w:pPr>
              <w:pStyle w:val="33"/>
              <w:widowControl w:val="0"/>
              <w:spacing w:before="0" w:beforeAutospacing="0" w:after="0" w:afterAutospacing="0" w:line="460" w:lineRule="exact"/>
              <w:jc w:val="both"/>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资金来源</w:t>
            </w:r>
          </w:p>
        </w:tc>
        <w:tc>
          <w:tcPr>
            <w:tcW w:w="7174" w:type="dxa"/>
            <w:shd w:val="clear" w:color="auto" w:fill="auto"/>
          </w:tcPr>
          <w:p w14:paraId="04D1CFC5">
            <w:pPr>
              <w:pStyle w:val="33"/>
              <w:widowControl w:val="0"/>
              <w:spacing w:before="0" w:beforeAutospacing="0" w:after="0" w:afterAutospacing="0" w:line="460" w:lineRule="exact"/>
              <w:jc w:val="both"/>
              <w:rPr>
                <w:rFonts w:hint="eastAsia"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14:textFill>
                  <w14:solidFill>
                    <w14:schemeClr w14:val="tx1"/>
                  </w14:solidFill>
                </w14:textFill>
              </w:rPr>
              <w:t xml:space="preserve">财政投资   </w:t>
            </w:r>
            <w:r>
              <w:rPr>
                <w:rFonts w:hint="eastAsia" w:cs="宋体"/>
                <w:b w:val="0"/>
                <w:bCs w:val="0"/>
                <w:color w:val="000000" w:themeColor="text1"/>
                <w:sz w:val="24"/>
                <w:szCs w:val="24"/>
                <w:highlight w:val="none"/>
                <w14:textFill>
                  <w14:solidFill>
                    <w14:schemeClr w14:val="tx1"/>
                  </w14:solidFill>
                </w14:textFill>
              </w:rPr>
              <w:sym w:font="Wingdings" w:char="00FE"/>
            </w:r>
            <w:r>
              <w:rPr>
                <w:rFonts w:hint="eastAsia" w:cs="宋体"/>
                <w:b w:val="0"/>
                <w:bCs w:val="0"/>
                <w:color w:val="000000" w:themeColor="text1"/>
                <w:sz w:val="24"/>
                <w:szCs w:val="24"/>
                <w:highlight w:val="none"/>
                <w:lang w:eastAsia="zh-CN"/>
                <w14:textFill>
                  <w14:solidFill>
                    <w14:schemeClr w14:val="tx1"/>
                  </w14:solidFill>
                </w14:textFill>
              </w:rPr>
              <w:t>招标人</w:t>
            </w:r>
            <w:r>
              <w:rPr>
                <w:rFonts w:hint="eastAsia" w:cs="宋体"/>
                <w:b w:val="0"/>
                <w:bCs w:val="0"/>
                <w:color w:val="000000" w:themeColor="text1"/>
                <w:sz w:val="24"/>
                <w:szCs w:val="24"/>
                <w:highlight w:val="none"/>
                <w14:textFill>
                  <w14:solidFill>
                    <w14:schemeClr w14:val="tx1"/>
                  </w14:solidFill>
                </w14:textFill>
              </w:rPr>
              <w:t xml:space="preserve">自筹  </w:t>
            </w:r>
            <w:r>
              <w:rPr>
                <w:rFonts w:hint="eastAsia" w:ascii="Segoe UI Symbol" w:hAnsi="Segoe UI Symbol" w:cs="Segoe UI Symbol"/>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14:textFill>
                  <w14:solidFill>
                    <w14:schemeClr w14:val="tx1"/>
                  </w14:solidFill>
                </w14:textFill>
              </w:rPr>
              <w:t>其他</w:t>
            </w:r>
          </w:p>
        </w:tc>
      </w:tr>
      <w:tr w14:paraId="5F82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75" w:type="dxa"/>
            <w:shd w:val="clear" w:color="auto" w:fill="auto"/>
          </w:tcPr>
          <w:p w14:paraId="28E1175E">
            <w:pPr>
              <w:spacing w:line="460" w:lineRule="exact"/>
              <w:jc w:val="center"/>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8</w:t>
            </w:r>
          </w:p>
        </w:tc>
        <w:tc>
          <w:tcPr>
            <w:tcW w:w="1515" w:type="dxa"/>
            <w:shd w:val="clear" w:color="auto" w:fill="auto"/>
            <w:vAlign w:val="center"/>
          </w:tcPr>
          <w:p w14:paraId="47413B4A">
            <w:pPr>
              <w:spacing w:line="460" w:lineRule="exact"/>
              <w:rPr>
                <w:rFonts w:hint="eastAsia" w:ascii="宋体" w:hAnsi="宋体" w:cs="宋体"/>
                <w:color w:val="000000" w:themeColor="text1"/>
                <w:szCs w:val="24"/>
                <w:highlight w:val="none"/>
                <w:lang w:val="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包别划分</w:t>
            </w:r>
          </w:p>
        </w:tc>
        <w:tc>
          <w:tcPr>
            <w:tcW w:w="7174" w:type="dxa"/>
            <w:shd w:val="clear" w:color="auto" w:fill="auto"/>
          </w:tcPr>
          <w:p w14:paraId="0E84315E">
            <w:pPr>
              <w:spacing w:line="460" w:lineRule="exact"/>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sym w:font="Wingdings" w:char="F0FE"/>
            </w:r>
            <w:r>
              <w:rPr>
                <w:rFonts w:hint="eastAsia" w:ascii="宋体" w:hAnsi="宋体" w:cs="宋体"/>
                <w:color w:val="000000" w:themeColor="text1"/>
                <w:szCs w:val="24"/>
                <w:highlight w:val="none"/>
                <w14:textFill>
                  <w14:solidFill>
                    <w14:schemeClr w14:val="tx1"/>
                  </w14:solidFill>
                </w14:textFill>
              </w:rPr>
              <w:t>不分包别    □分为  个包别</w:t>
            </w:r>
          </w:p>
        </w:tc>
      </w:tr>
      <w:tr w14:paraId="3690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5" w:type="dxa"/>
            <w:shd w:val="clear" w:color="auto" w:fill="auto"/>
          </w:tcPr>
          <w:p w14:paraId="52407AAF">
            <w:pPr>
              <w:spacing w:line="460" w:lineRule="exact"/>
              <w:jc w:val="center"/>
              <w:rPr>
                <w:rFonts w:hint="eastAsia" w:ascii="宋体" w:hAnsi="宋体" w:cs="宋体"/>
                <w:color w:val="000000" w:themeColor="text1"/>
                <w:szCs w:val="24"/>
                <w:highlight w:val="none"/>
                <w:lang w:val="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9</w:t>
            </w:r>
          </w:p>
        </w:tc>
        <w:tc>
          <w:tcPr>
            <w:tcW w:w="1515" w:type="dxa"/>
            <w:shd w:val="clear" w:color="auto" w:fill="auto"/>
            <w:vAlign w:val="center"/>
          </w:tcPr>
          <w:p w14:paraId="64734F74">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联合体</w:t>
            </w:r>
            <w:r>
              <w:rPr>
                <w:rFonts w:hint="eastAsia" w:ascii="宋体" w:hAnsi="宋体" w:cs="宋体"/>
                <w:color w:val="000000" w:themeColor="text1"/>
                <w:szCs w:val="24"/>
                <w:highlight w:val="none"/>
                <w:lang w:val="en-US" w:eastAsia="zh-CN"/>
                <w14:textFill>
                  <w14:solidFill>
                    <w14:schemeClr w14:val="tx1"/>
                  </w14:solidFill>
                </w14:textFill>
              </w:rPr>
              <w:t>投</w:t>
            </w:r>
            <w:r>
              <w:rPr>
                <w:rFonts w:hint="eastAsia" w:ascii="宋体" w:hAnsi="宋体" w:cs="宋体"/>
                <w:color w:val="000000" w:themeColor="text1"/>
                <w:szCs w:val="24"/>
                <w:highlight w:val="none"/>
                <w14:textFill>
                  <w14:solidFill>
                    <w14:schemeClr w14:val="tx1"/>
                  </w14:solidFill>
                </w14:textFill>
              </w:rPr>
              <w:t>标</w:t>
            </w:r>
          </w:p>
        </w:tc>
        <w:tc>
          <w:tcPr>
            <w:tcW w:w="7174" w:type="dxa"/>
            <w:shd w:val="clear" w:color="auto" w:fill="auto"/>
          </w:tcPr>
          <w:p w14:paraId="34B109C6">
            <w:pPr>
              <w:keepNext w:val="0"/>
              <w:keepLines w:val="0"/>
              <w:widowControl/>
              <w:suppressLineNumbers w:val="0"/>
              <w:jc w:val="left"/>
              <w:rPr>
                <w:rFonts w:hint="eastAsia"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lang w:val="zh-CN"/>
                <w14:textFill>
                  <w14:solidFill>
                    <w14:schemeClr w14:val="tx1"/>
                  </w14:solidFill>
                </w14:textFill>
              </w:rPr>
              <w:t xml:space="preserve"> </w:t>
            </w:r>
            <w:r>
              <w:rPr>
                <w:rFonts w:hint="eastAsia" w:ascii="宋体" w:hAnsi="宋体" w:cs="宋体"/>
                <w:b/>
                <w:bCs/>
                <w:color w:val="000000" w:themeColor="text1"/>
                <w:szCs w:val="24"/>
                <w:highlight w:val="none"/>
                <w14:textFill>
                  <w14:solidFill>
                    <w14:schemeClr w14:val="tx1"/>
                  </w14:solidFill>
                </w14:textFill>
              </w:rPr>
              <w:sym w:font="Wingdings" w:char="00FE"/>
            </w:r>
            <w:r>
              <w:rPr>
                <w:rFonts w:hint="eastAsia" w:ascii="宋体" w:hAnsi="宋体" w:cs="宋体"/>
                <w:color w:val="000000" w:themeColor="text1"/>
                <w:szCs w:val="24"/>
                <w:highlight w:val="none"/>
                <w14:textFill>
                  <w14:solidFill>
                    <w14:schemeClr w14:val="tx1"/>
                  </w14:solidFill>
                </w14:textFill>
              </w:rPr>
              <w:t>不</w:t>
            </w:r>
            <w:r>
              <w:rPr>
                <w:rFonts w:hint="eastAsia" w:ascii="宋体" w:hAnsi="宋体" w:cs="宋体"/>
                <w:color w:val="000000" w:themeColor="text1"/>
                <w:szCs w:val="24"/>
                <w:highlight w:val="none"/>
                <w:lang w:val="zh-CN"/>
                <w14:textFill>
                  <w14:solidFill>
                    <w14:schemeClr w14:val="tx1"/>
                  </w14:solidFill>
                </w14:textFill>
              </w:rPr>
              <w:t>接受</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zh-CN"/>
                <w14:textFill>
                  <w14:solidFill>
                    <w14:schemeClr w14:val="tx1"/>
                  </w14:solidFill>
                </w14:textFill>
              </w:rPr>
              <w:t>接受，</w:t>
            </w:r>
            <w:r>
              <w:rPr>
                <w:rFonts w:hint="eastAsia" w:cs="宋体"/>
                <w:color w:val="000000" w:themeColor="text1"/>
                <w:highlight w:val="none"/>
                <w14:textFill>
                  <w14:solidFill>
                    <w14:schemeClr w14:val="tx1"/>
                  </w14:solidFill>
                </w14:textFill>
              </w:rPr>
              <w:t>应满足下列要求：</w:t>
            </w:r>
          </w:p>
          <w:p w14:paraId="3F14C5EC">
            <w:pPr>
              <w:keepNext w:val="0"/>
              <w:keepLines w:val="0"/>
              <w:widowControl/>
              <w:suppressLineNumbers w:val="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ascii="宋体" w:hAnsi="宋体" w:eastAsia="宋体" w:cs="宋体"/>
                <w:b w:val="0"/>
                <w:bCs w:val="0"/>
                <w:color w:val="000000" w:themeColor="text1"/>
                <w:sz w:val="24"/>
                <w:szCs w:val="24"/>
                <w:highlight w:val="none"/>
                <w14:textFill>
                  <w14:solidFill>
                    <w14:schemeClr w14:val="tx1"/>
                  </w14:solidFill>
                </w14:textFill>
              </w:rPr>
              <w:t>联合体投标时，联合体各成员应当签订联合体协议书，并将联合体协议书连同投标文件一起提交给招标人。如果联合体投标时没有向招标人提交联合体协议书，联合体的投标将会被招标人拒绝</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ascii="宋体" w:hAnsi="宋体" w:eastAsia="宋体" w:cs="宋体"/>
                <w:b w:val="0"/>
                <w:bCs w:val="0"/>
                <w:color w:val="000000" w:themeColor="text1"/>
                <w:sz w:val="24"/>
                <w:szCs w:val="24"/>
                <w:highlight w:val="none"/>
                <w14:textFill>
                  <w14:solidFill>
                    <w14:schemeClr w14:val="tx1"/>
                  </w14:solidFill>
                </w14:textFill>
              </w:rPr>
              <w:t>联合体协议需有各方盖章（可以盖章后上传扫描件），联合体成员方其他资料可交由联合体牵头人上传至投标文件中，除“联合体协议书”外，其余需落款及盖章处仅由牵头人盖章即可。</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3CE3F71">
            <w:pPr>
              <w:keepNext w:val="0"/>
              <w:keepLines w:val="0"/>
              <w:widowControl/>
              <w:suppressLineNumbers w:val="0"/>
              <w:jc w:val="left"/>
              <w:rPr>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r>
              <w:rPr>
                <w:rFonts w:hint="eastAsia" w:ascii="Times New Roman" w:hAnsi="Times New Roman" w:eastAsia="宋体" w:cs="宋体"/>
                <w:bCs/>
                <w:snapToGrid w:val="0"/>
                <w:color w:val="000000" w:themeColor="text1"/>
                <w:highlight w:val="none"/>
                <w:lang w:val="en-US" w:eastAsia="zh-CN"/>
                <w14:textFill>
                  <w14:solidFill>
                    <w14:schemeClr w14:val="tx1"/>
                  </w14:solidFill>
                </w14:textFill>
              </w:rPr>
              <w:t>联合体投标的，</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牵头人负责本项目的招标文件获取。 </w:t>
            </w:r>
          </w:p>
          <w:p w14:paraId="217D751E">
            <w:pPr>
              <w:keepNext w:val="0"/>
              <w:keepLines w:val="0"/>
              <w:widowControl/>
              <w:suppressLineNumbers w:val="0"/>
              <w:jc w:val="left"/>
              <w:rPr>
                <w:rFonts w:hint="default"/>
                <w:color w:val="000000" w:themeColor="text1"/>
                <w:highlight w:val="none"/>
                <w:lang w:val="en-US"/>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、联合体各方不得再以自己名义单独或参加其他联合体在同一标段中投标。</w:t>
            </w:r>
          </w:p>
          <w:p w14:paraId="3A0A35EE">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联合体中标后，在签订合同之前，除了投标文件中提交的联合体协议书外，还应该向招标人提交一份联合体全体成员签署的就各成员间权利、义务、利益、责任的分配和承担的详细的工作协议，该工作协议作为合同文件的一部分。当联合体成员间发生纠纷时该协议作为招标人或联合体处理纠纷的直接依据。</w:t>
            </w:r>
          </w:p>
          <w:p w14:paraId="0A962C37">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5、招标人关于联合体中标的其他相关要求：</w:t>
            </w:r>
          </w:p>
          <w:p w14:paraId="57209A16">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1）联合体牵头人负责与招标人联系；</w:t>
            </w:r>
          </w:p>
          <w:p w14:paraId="4646927D">
            <w:pPr>
              <w:spacing w:line="460" w:lineRule="exact"/>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2）履约保证金缴纳的要求：由联合体牵头人负责缴纳。</w:t>
            </w:r>
          </w:p>
        </w:tc>
      </w:tr>
      <w:tr w14:paraId="4D98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5" w:type="dxa"/>
            <w:shd w:val="clear" w:color="auto" w:fill="auto"/>
            <w:vAlign w:val="center"/>
          </w:tcPr>
          <w:p w14:paraId="29BE9111">
            <w:pPr>
              <w:pStyle w:val="34"/>
              <w:pBdr>
                <w:bottom w:val="none" w:color="auto" w:sz="0" w:space="0"/>
              </w:pBdr>
              <w:tabs>
                <w:tab w:val="clear" w:pos="4153"/>
                <w:tab w:val="clear" w:pos="8306"/>
              </w:tabs>
              <w:adjustRightInd/>
              <w:spacing w:line="240" w:lineRule="auto"/>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10</w:t>
            </w:r>
          </w:p>
        </w:tc>
        <w:tc>
          <w:tcPr>
            <w:tcW w:w="1515" w:type="dxa"/>
            <w:shd w:val="clear" w:color="auto" w:fill="auto"/>
            <w:vAlign w:val="center"/>
          </w:tcPr>
          <w:p w14:paraId="6AF88FA4">
            <w:pPr>
              <w:pStyle w:val="34"/>
              <w:pBdr>
                <w:bottom w:val="none" w:color="auto" w:sz="0" w:space="0"/>
              </w:pBdr>
              <w:tabs>
                <w:tab w:val="clear" w:pos="4153"/>
                <w:tab w:val="clear" w:pos="8306"/>
              </w:tabs>
              <w:adjustRightInd/>
              <w:spacing w:line="240" w:lineRule="auto"/>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报价方式</w:t>
            </w:r>
          </w:p>
        </w:tc>
        <w:tc>
          <w:tcPr>
            <w:tcW w:w="7174" w:type="dxa"/>
            <w:shd w:val="clear" w:color="auto" w:fill="auto"/>
            <w:vAlign w:val="center"/>
          </w:tcPr>
          <w:p w14:paraId="768C2EBD">
            <w:pPr>
              <w:pStyle w:val="34"/>
              <w:pBdr>
                <w:bottom w:val="none" w:color="auto" w:sz="0" w:space="0"/>
              </w:pBdr>
              <w:tabs>
                <w:tab w:val="clear" w:pos="4153"/>
                <w:tab w:val="clear" w:pos="8306"/>
              </w:tabs>
              <w:adjustRightInd/>
              <w:spacing w:line="240" w:lineRule="auto"/>
              <w:jc w:val="left"/>
              <w:textAlignment w:val="auto"/>
              <w:rPr>
                <w:rFonts w:hint="default" w:ascii="宋体" w:hAnsi="宋体" w:eastAsia="宋体"/>
                <w:bCs/>
                <w:color w:val="000000" w:themeColor="text1"/>
                <w:kern w:val="2"/>
                <w:highlight w:val="none"/>
                <w:lang w:val="en-US" w:eastAsia="zh-CN"/>
                <w14:textFill>
                  <w14:solidFill>
                    <w14:schemeClr w14:val="tx1"/>
                  </w14:solidFill>
                </w14:textFill>
              </w:rPr>
            </w:pPr>
            <w:r>
              <w:rPr>
                <w:rFonts w:hint="eastAsia" w:ascii="宋体" w:hAnsi="宋体"/>
                <w:bCs/>
                <w:color w:val="000000" w:themeColor="text1"/>
                <w:kern w:val="2"/>
                <w:highlight w:val="none"/>
                <w:lang w:val="en-US" w:eastAsia="zh-CN"/>
                <w14:textFill>
                  <w14:solidFill>
                    <w14:schemeClr w14:val="tx1"/>
                  </w14:solidFill>
                </w14:textFill>
              </w:rPr>
              <w:t>☑</w:t>
            </w:r>
            <w:r>
              <w:rPr>
                <w:rFonts w:hint="eastAsia" w:ascii="宋体" w:hAnsi="宋体" w:eastAsia="宋体"/>
                <w:bCs/>
                <w:color w:val="000000" w:themeColor="text1"/>
                <w:kern w:val="2"/>
                <w:highlight w:val="none"/>
                <w:lang w:val="en-US" w:eastAsia="zh-CN"/>
                <w14:textFill>
                  <w14:solidFill>
                    <w14:schemeClr w14:val="tx1"/>
                  </w14:solidFill>
                </w14:textFill>
              </w:rPr>
              <w:t xml:space="preserve">总价：        </w:t>
            </w:r>
          </w:p>
          <w:p w14:paraId="3FB214DB">
            <w:pPr>
              <w:pStyle w:val="34"/>
              <w:pBdr>
                <w:bottom w:val="none" w:color="auto" w:sz="0" w:space="0"/>
              </w:pBdr>
              <w:tabs>
                <w:tab w:val="clear" w:pos="4153"/>
                <w:tab w:val="clear" w:pos="8306"/>
              </w:tabs>
              <w:adjustRightInd/>
              <w:spacing w:line="240" w:lineRule="auto"/>
              <w:jc w:val="left"/>
              <w:textAlignment w:val="auto"/>
              <w:rPr>
                <w:rFonts w:hint="eastAsia" w:ascii="宋体" w:hAnsi="宋体" w:eastAsia="宋体"/>
                <w:bCs/>
                <w:color w:val="000000" w:themeColor="text1"/>
                <w:kern w:val="2"/>
                <w:highlight w:val="none"/>
                <w:lang w:val="en-US" w:eastAsia="zh-CN"/>
                <w14:textFill>
                  <w14:solidFill>
                    <w14:schemeClr w14:val="tx1"/>
                  </w14:solidFill>
                </w14:textFill>
              </w:rPr>
            </w:pPr>
            <w:r>
              <w:rPr>
                <w:rFonts w:hint="eastAsia" w:ascii="宋体" w:hAnsi="宋体"/>
                <w:bCs/>
                <w:color w:val="000000" w:themeColor="text1"/>
                <w:kern w:val="2"/>
                <w:highlight w:val="none"/>
                <w:lang w:val="en-US" w:eastAsia="zh-CN"/>
                <w14:textFill>
                  <w14:solidFill>
                    <w14:schemeClr w14:val="tx1"/>
                  </w14:solidFill>
                </w14:textFill>
              </w:rPr>
              <w:t>□</w:t>
            </w:r>
            <w:r>
              <w:rPr>
                <w:rFonts w:hint="eastAsia" w:ascii="宋体" w:hAnsi="宋体" w:eastAsia="宋体"/>
                <w:bCs/>
                <w:color w:val="000000" w:themeColor="text1"/>
                <w:kern w:val="2"/>
                <w:highlight w:val="none"/>
                <w:lang w:val="en-US" w:eastAsia="zh-CN"/>
                <w14:textFill>
                  <w14:solidFill>
                    <w14:schemeClr w14:val="tx1"/>
                  </w14:solidFill>
                </w14:textFill>
              </w:rPr>
              <w:t xml:space="preserve">单价：   </w:t>
            </w:r>
          </w:p>
          <w:p w14:paraId="7B9C4C9A">
            <w:pPr>
              <w:pStyle w:val="34"/>
              <w:pBdr>
                <w:bottom w:val="none" w:color="auto" w:sz="0" w:space="0"/>
              </w:pBdr>
              <w:tabs>
                <w:tab w:val="clear" w:pos="4153"/>
                <w:tab w:val="clear" w:pos="8306"/>
              </w:tabs>
              <w:adjustRightInd/>
              <w:spacing w:line="240" w:lineRule="auto"/>
              <w:jc w:val="left"/>
              <w:textAlignment w:val="auto"/>
              <w:rPr>
                <w:rFonts w:hint="default" w:ascii="宋体" w:hAnsi="宋体" w:eastAsia="宋体"/>
                <w:bCs/>
                <w:color w:val="000000" w:themeColor="text1"/>
                <w:kern w:val="2"/>
                <w:highlight w:val="none"/>
                <w:lang w:val="en-US" w:eastAsia="zh-CN"/>
                <w14:textFill>
                  <w14:solidFill>
                    <w14:schemeClr w14:val="tx1"/>
                  </w14:solidFill>
                </w14:textFill>
              </w:rPr>
            </w:pPr>
            <w:r>
              <w:rPr>
                <w:rFonts w:hint="eastAsia" w:ascii="宋体" w:hAnsi="宋体"/>
                <w:bCs/>
                <w:color w:val="000000" w:themeColor="text1"/>
                <w:kern w:val="2"/>
                <w:highlight w:val="none"/>
                <w:lang w:val="en-US" w:eastAsia="zh-CN"/>
                <w14:textFill>
                  <w14:solidFill>
                    <w14:schemeClr w14:val="tx1"/>
                  </w14:solidFill>
                </w14:textFill>
              </w:rPr>
              <w:t>□</w:t>
            </w:r>
            <w:r>
              <w:rPr>
                <w:rFonts w:hint="eastAsia" w:ascii="宋体" w:hAnsi="宋体" w:eastAsia="宋体"/>
                <w:bCs/>
                <w:color w:val="000000" w:themeColor="text1"/>
                <w:kern w:val="2"/>
                <w:highlight w:val="none"/>
                <w:lang w:val="en-US" w:eastAsia="zh-CN"/>
                <w14:textFill>
                  <w14:solidFill>
                    <w14:schemeClr w14:val="tx1"/>
                  </w14:solidFill>
                </w14:textFill>
              </w:rPr>
              <w:t>费率：</w:t>
            </w:r>
          </w:p>
          <w:p w14:paraId="2992D022">
            <w:pPr>
              <w:pStyle w:val="34"/>
              <w:pBdr>
                <w:bottom w:val="none" w:color="auto" w:sz="0" w:space="0"/>
              </w:pBdr>
              <w:tabs>
                <w:tab w:val="clear" w:pos="4153"/>
                <w:tab w:val="clear" w:pos="8306"/>
              </w:tabs>
              <w:adjustRightInd/>
              <w:spacing w:line="240" w:lineRule="auto"/>
              <w:jc w:val="left"/>
              <w:textAlignment w:val="auto"/>
              <w:rPr>
                <w:rFonts w:hint="eastAsia" w:ascii="宋体" w:hAnsi="宋体" w:cs="宋体"/>
                <w:color w:val="000000" w:themeColor="text1"/>
                <w:szCs w:val="24"/>
                <w:highlight w:val="none"/>
                <w:lang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 xml:space="preserve">□定价：        </w:t>
            </w:r>
          </w:p>
        </w:tc>
      </w:tr>
      <w:tr w14:paraId="54E6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75" w:type="dxa"/>
            <w:shd w:val="clear" w:color="auto" w:fill="auto"/>
            <w:vAlign w:val="center"/>
          </w:tcPr>
          <w:p w14:paraId="7D76FAC0">
            <w:pPr>
              <w:pStyle w:val="34"/>
              <w:pBdr>
                <w:bottom w:val="none" w:color="auto" w:sz="0" w:space="0"/>
              </w:pBdr>
              <w:tabs>
                <w:tab w:val="clear" w:pos="4153"/>
                <w:tab w:val="clear" w:pos="8306"/>
              </w:tabs>
              <w:adjustRightInd/>
              <w:spacing w:line="240" w:lineRule="auto"/>
              <w:textAlignment w:val="auto"/>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11</w:t>
            </w:r>
          </w:p>
        </w:tc>
        <w:tc>
          <w:tcPr>
            <w:tcW w:w="1515" w:type="dxa"/>
            <w:shd w:val="clear" w:color="auto" w:fill="auto"/>
            <w:vAlign w:val="center"/>
          </w:tcPr>
          <w:p w14:paraId="3137CC02">
            <w:pPr>
              <w:pStyle w:val="34"/>
              <w:pBdr>
                <w:bottom w:val="none" w:color="auto" w:sz="0" w:space="0"/>
              </w:pBdr>
              <w:tabs>
                <w:tab w:val="clear" w:pos="4153"/>
                <w:tab w:val="clear" w:pos="8306"/>
              </w:tabs>
              <w:adjustRightInd/>
              <w:spacing w:line="240" w:lineRule="auto"/>
              <w:textAlignment w:val="auto"/>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最高投标限价</w:t>
            </w:r>
          </w:p>
        </w:tc>
        <w:tc>
          <w:tcPr>
            <w:tcW w:w="7174" w:type="dxa"/>
            <w:shd w:val="clear" w:color="auto" w:fill="auto"/>
            <w:vAlign w:val="center"/>
          </w:tcPr>
          <w:p w14:paraId="410AB29A">
            <w:pPr>
              <w:pStyle w:val="34"/>
              <w:pBdr>
                <w:bottom w:val="none" w:color="auto" w:sz="0" w:space="0"/>
              </w:pBdr>
              <w:tabs>
                <w:tab w:val="clear" w:pos="4153"/>
                <w:tab w:val="clear" w:pos="8306"/>
              </w:tabs>
              <w:adjustRightInd/>
              <w:spacing w:line="240" w:lineRule="auto"/>
              <w:jc w:val="left"/>
              <w:textAlignment w:val="auto"/>
              <w:rPr>
                <w:rFonts w:hint="eastAsia" w:ascii="宋体" w:hAnsi="宋体" w:eastAsia="宋体"/>
                <w:bCs/>
                <w:color w:val="000000" w:themeColor="text1"/>
                <w:kern w:val="2"/>
                <w:highlight w:val="none"/>
                <w:lang w:val="en-US" w:eastAsia="zh-CN"/>
                <w14:textFill>
                  <w14:solidFill>
                    <w14:schemeClr w14:val="tx1"/>
                  </w14:solidFill>
                </w14:textFill>
              </w:rPr>
            </w:pPr>
            <w:r>
              <w:rPr>
                <w:rFonts w:hint="eastAsia" w:ascii="宋体" w:hAnsi="宋体" w:eastAsia="宋体"/>
                <w:bCs/>
                <w:color w:val="000000" w:themeColor="text1"/>
                <w:kern w:val="2"/>
                <w:highlight w:val="none"/>
                <w:lang w:val="en-US" w:eastAsia="zh-CN"/>
                <w14:textFill>
                  <w14:solidFill>
                    <w14:schemeClr w14:val="tx1"/>
                  </w14:solidFill>
                </w14:textFill>
              </w:rPr>
              <w:t>□无</w:t>
            </w:r>
          </w:p>
          <w:p w14:paraId="6E051C0D">
            <w:pPr>
              <w:pStyle w:val="34"/>
              <w:pBdr>
                <w:bottom w:val="none" w:color="auto" w:sz="0" w:space="0"/>
              </w:pBdr>
              <w:tabs>
                <w:tab w:val="clear" w:pos="4153"/>
                <w:tab w:val="clear" w:pos="8306"/>
              </w:tabs>
              <w:adjustRightInd/>
              <w:spacing w:line="240" w:lineRule="auto"/>
              <w:jc w:val="left"/>
              <w:textAlignment w:val="auto"/>
              <w:rPr>
                <w:rFonts w:hint="default" w:ascii="宋体" w:hAnsi="宋体" w:eastAsia="宋体"/>
                <w:bCs/>
                <w:color w:val="000000" w:themeColor="text1"/>
                <w:kern w:val="2"/>
                <w:highlight w:val="none"/>
                <w:lang w:val="en-US" w:eastAsia="zh-CN"/>
                <w14:textFill>
                  <w14:solidFill>
                    <w14:schemeClr w14:val="tx1"/>
                  </w14:solidFill>
                </w14:textFill>
              </w:rPr>
            </w:pPr>
            <w:r>
              <w:rPr>
                <w:rFonts w:hint="eastAsia" w:ascii="宋体" w:hAnsi="宋体"/>
                <w:bCs/>
                <w:color w:val="000000" w:themeColor="text1"/>
                <w:kern w:val="2"/>
                <w:highlight w:val="none"/>
                <w:lang w:val="en-US" w:eastAsia="zh-CN"/>
                <w14:textFill>
                  <w14:solidFill>
                    <w14:schemeClr w14:val="tx1"/>
                  </w14:solidFill>
                </w14:textFill>
              </w:rPr>
              <w:t>☑</w:t>
            </w:r>
            <w:r>
              <w:rPr>
                <w:rFonts w:hint="eastAsia" w:ascii="宋体" w:hAnsi="宋体" w:eastAsia="宋体"/>
                <w:bCs/>
                <w:color w:val="000000" w:themeColor="text1"/>
                <w:kern w:val="2"/>
                <w:highlight w:val="none"/>
                <w:lang w:val="en-US" w:eastAsia="zh-CN"/>
                <w14:textFill>
                  <w14:solidFill>
                    <w14:schemeClr w14:val="tx1"/>
                  </w14:solidFill>
                </w14:textFill>
              </w:rPr>
              <w:t>有，</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最高限价</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：1430834.00元。</w:t>
            </w:r>
          </w:p>
        </w:tc>
      </w:tr>
      <w:tr w14:paraId="67A3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75" w:type="dxa"/>
            <w:shd w:val="clear" w:color="auto" w:fill="auto"/>
          </w:tcPr>
          <w:p w14:paraId="61B77114">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lang w:val="en-US" w:eastAsia="zh-CN"/>
                <w14:textFill>
                  <w14:solidFill>
                    <w14:schemeClr w14:val="tx1"/>
                  </w14:solidFill>
                </w14:textFill>
              </w:rPr>
              <w:t>2</w:t>
            </w:r>
          </w:p>
        </w:tc>
        <w:tc>
          <w:tcPr>
            <w:tcW w:w="1515" w:type="dxa"/>
            <w:shd w:val="clear" w:color="auto" w:fill="auto"/>
            <w:vAlign w:val="center"/>
          </w:tcPr>
          <w:p w14:paraId="2B45D590">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投</w:t>
            </w:r>
            <w:r>
              <w:rPr>
                <w:rFonts w:hint="eastAsia" w:ascii="宋体" w:hAnsi="宋体" w:cs="宋体"/>
                <w:color w:val="000000" w:themeColor="text1"/>
                <w:szCs w:val="24"/>
                <w:highlight w:val="none"/>
                <w14:textFill>
                  <w14:solidFill>
                    <w14:schemeClr w14:val="tx1"/>
                  </w14:solidFill>
                </w14:textFill>
              </w:rPr>
              <w:t>标有效期</w:t>
            </w:r>
          </w:p>
        </w:tc>
        <w:tc>
          <w:tcPr>
            <w:tcW w:w="7174" w:type="dxa"/>
            <w:shd w:val="clear" w:color="auto" w:fill="auto"/>
          </w:tcPr>
          <w:p w14:paraId="33D9B190">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120天</w:t>
            </w:r>
          </w:p>
        </w:tc>
      </w:tr>
      <w:tr w14:paraId="29A4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75" w:type="dxa"/>
            <w:shd w:val="clear" w:color="auto" w:fill="auto"/>
            <w:vAlign w:val="center"/>
          </w:tcPr>
          <w:p w14:paraId="77D54436">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lang w:val="en-US" w:eastAsia="zh-CN"/>
                <w14:textFill>
                  <w14:solidFill>
                    <w14:schemeClr w14:val="tx1"/>
                  </w14:solidFill>
                </w14:textFill>
              </w:rPr>
              <w:t>3</w:t>
            </w:r>
          </w:p>
        </w:tc>
        <w:tc>
          <w:tcPr>
            <w:tcW w:w="1515" w:type="dxa"/>
            <w:shd w:val="clear" w:color="auto" w:fill="auto"/>
            <w:vAlign w:val="center"/>
          </w:tcPr>
          <w:p w14:paraId="32262DCD">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投标保证金及电子交易服务费</w:t>
            </w:r>
          </w:p>
        </w:tc>
        <w:tc>
          <w:tcPr>
            <w:tcW w:w="7174" w:type="dxa"/>
            <w:shd w:val="clear" w:color="auto" w:fill="auto"/>
          </w:tcPr>
          <w:p w14:paraId="00D65454">
            <w:pPr>
              <w:snapToGrid w:val="0"/>
              <w:spacing w:line="460" w:lineRule="exact"/>
              <w:ind w:firstLine="120" w:firstLineChars="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是否要求投标人递交投标保证金：</w:t>
            </w:r>
            <w:r>
              <w:rPr>
                <w:rFonts w:ascii="Segoe UI Symbol" w:hAnsi="Segoe UI Symbol" w:cs="Segoe UI Symbol"/>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不要求</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Segoe UI Symbol" w:hAnsi="Segoe UI Symbol" w:cs="Segoe UI Symbol"/>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要求</w:t>
            </w:r>
          </w:p>
          <w:p w14:paraId="20CE8E76">
            <w:pPr>
              <w:snapToGrid w:val="0"/>
              <w:spacing w:line="460" w:lineRule="exact"/>
              <w:ind w:firstLine="120" w:firstLineChars="50"/>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是否要求投标人递交电子交易服务费：</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14:textFill>
                  <w14:solidFill>
                    <w14:schemeClr w14:val="tx1"/>
                  </w14:solidFill>
                </w14:textFill>
              </w:rPr>
              <w:t>不要求</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Segoe UI Symbol" w:hAnsi="Segoe UI Symbol" w:cs="Segoe UI Symbol"/>
                <w:b/>
                <w:bCs/>
                <w:color w:val="000000" w:themeColor="text1"/>
                <w:szCs w:val="24"/>
                <w:highlight w:val="none"/>
                <w:lang w:eastAsia="zh-CN"/>
                <w14:textFill>
                  <w14:solidFill>
                    <w14:schemeClr w14:val="tx1"/>
                  </w14:solidFill>
                </w14:textFill>
              </w:rPr>
              <w:t>☑</w:t>
            </w:r>
            <w:r>
              <w:rPr>
                <w:rFonts w:hint="eastAsia" w:ascii="宋体" w:hAnsi="宋体" w:cs="宋体"/>
                <w:b/>
                <w:bCs/>
                <w:color w:val="000000" w:themeColor="text1"/>
                <w:szCs w:val="24"/>
                <w:highlight w:val="none"/>
                <w14:textFill>
                  <w14:solidFill>
                    <w14:schemeClr w14:val="tx1"/>
                  </w14:solidFill>
                </w14:textFill>
              </w:rPr>
              <w:t>要求</w:t>
            </w:r>
          </w:p>
          <w:p w14:paraId="5090E8D6">
            <w:pPr>
              <w:snapToGrid w:val="0"/>
              <w:spacing w:line="460" w:lineRule="exact"/>
              <w:ind w:firstLine="120" w:firstLineChars="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电子交易服务费的形式：</w:t>
            </w:r>
            <w:r>
              <w:rPr>
                <w:rFonts w:hint="eastAsia" w:ascii="宋体" w:hAnsi="宋体" w:cs="宋体"/>
                <w:b/>
                <w:bCs/>
                <w:color w:val="000000" w:themeColor="text1"/>
                <w:szCs w:val="24"/>
                <w:highlight w:val="none"/>
                <w14:textFill>
                  <w14:solidFill>
                    <w14:schemeClr w14:val="tx1"/>
                  </w14:solidFill>
                </w14:textFill>
              </w:rPr>
              <w:sym w:font="Wingdings" w:char="00FE"/>
            </w:r>
            <w:r>
              <w:rPr>
                <w:rFonts w:hint="eastAsia" w:ascii="宋体" w:hAnsi="宋体" w:cs="宋体"/>
                <w:color w:val="000000" w:themeColor="text1"/>
                <w:szCs w:val="24"/>
                <w:highlight w:val="none"/>
                <w14:textFill>
                  <w14:solidFill>
                    <w14:schemeClr w14:val="tx1"/>
                  </w14:solidFill>
                </w14:textFill>
              </w:rPr>
              <w:t xml:space="preserve">银行转账  </w:t>
            </w:r>
            <w:r>
              <w:rPr>
                <w:rFonts w:hint="eastAsia" w:ascii="宋体" w:hAnsi="宋体" w:cs="宋体"/>
                <w:b/>
                <w:bCs/>
                <w:color w:val="000000" w:themeColor="text1"/>
                <w:szCs w:val="24"/>
                <w:highlight w:val="none"/>
                <w14:textFill>
                  <w14:solidFill>
                    <w14:schemeClr w14:val="tx1"/>
                  </w14:solidFill>
                </w14:textFill>
              </w:rPr>
              <w:sym w:font="Wingdings" w:char="00FE"/>
            </w:r>
            <w:r>
              <w:rPr>
                <w:rFonts w:hint="eastAsia" w:ascii="宋体" w:hAnsi="宋体" w:cs="宋体"/>
                <w:color w:val="000000" w:themeColor="text1"/>
                <w:szCs w:val="24"/>
                <w:highlight w:val="none"/>
                <w14:textFill>
                  <w14:solidFill>
                    <w14:schemeClr w14:val="tx1"/>
                  </w14:solidFill>
                </w14:textFill>
              </w:rPr>
              <w:t xml:space="preserve">银行电汇 </w:t>
            </w:r>
          </w:p>
          <w:p w14:paraId="518FDF27">
            <w:pPr>
              <w:snapToGrid w:val="0"/>
              <w:spacing w:line="460" w:lineRule="exact"/>
              <w:ind w:firstLine="120" w:firstLineChars="50"/>
              <w:rPr>
                <w:rFonts w:hint="eastAsia" w:ascii="宋体" w:hAnsi="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电子交易服务费的金额：人民币200元，售后不退。</w:t>
            </w:r>
          </w:p>
          <w:p w14:paraId="7756D5B9">
            <w:pPr>
              <w:snapToGrid w:val="0"/>
              <w:spacing w:line="460" w:lineRule="exact"/>
              <w:ind w:firstLine="120" w:firstLineChars="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递交要求： </w:t>
            </w:r>
          </w:p>
          <w:p w14:paraId="4A5B9D5E">
            <w:pPr>
              <w:snapToGri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①电子交易服务费的到账截止时间：同</w:t>
            </w:r>
            <w:r>
              <w:rPr>
                <w:rFonts w:hint="eastAsia" w:ascii="宋体" w:hAnsi="宋体" w:cs="宋体"/>
                <w:color w:val="000000" w:themeColor="text1"/>
                <w:szCs w:val="24"/>
                <w:highlight w:val="none"/>
                <w:lang w:val="en-US" w:eastAsia="zh-CN"/>
                <w14:textFill>
                  <w14:solidFill>
                    <w14:schemeClr w14:val="tx1"/>
                  </w14:solidFill>
                </w14:textFill>
              </w:rPr>
              <w:t>开</w:t>
            </w:r>
            <w:r>
              <w:rPr>
                <w:rFonts w:hint="eastAsia" w:ascii="宋体" w:hAnsi="宋体" w:cs="宋体"/>
                <w:color w:val="000000" w:themeColor="text1"/>
                <w:szCs w:val="24"/>
                <w:highlight w:val="none"/>
                <w14:textFill>
                  <w14:solidFill>
                    <w14:schemeClr w14:val="tx1"/>
                  </w14:solidFill>
                </w14:textFill>
              </w:rPr>
              <w:t>标时间。</w:t>
            </w:r>
          </w:p>
          <w:p w14:paraId="0BEE1554">
            <w:pPr>
              <w:snapToGrid w:val="0"/>
              <w:spacing w:line="360" w:lineRule="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②电子交易服务费应当从投标人账户转出。</w:t>
            </w:r>
          </w:p>
          <w:p w14:paraId="27A5C6DB">
            <w:pPr>
              <w:spacing w:line="360" w:lineRule="auto"/>
              <w:jc w:val="left"/>
              <w:rPr>
                <w:rFonts w:hint="eastAsia" w:ascii="宋体" w:hAnsi="宋体" w:cs="宋体"/>
                <w:color w:val="000000" w:themeColor="text1"/>
                <w:szCs w:val="24"/>
                <w:highlight w:val="none"/>
                <w14:textFill>
                  <w14:solidFill>
                    <w14:schemeClr w14:val="tx1"/>
                  </w14:solidFill>
                </w14:textFill>
              </w:rPr>
            </w:pPr>
            <w:bookmarkStart w:id="14" w:name="OLE_LINK1"/>
            <w:r>
              <w:rPr>
                <w:rFonts w:hint="eastAsia" w:ascii="宋体" w:hAnsi="宋体" w:cs="宋体"/>
                <w:color w:val="000000" w:themeColor="text1"/>
                <w:szCs w:val="24"/>
                <w:highlight w:val="none"/>
                <w14:textFill>
                  <w14:solidFill>
                    <w14:schemeClr w14:val="tx1"/>
                  </w14:solidFill>
                </w14:textFill>
              </w:rPr>
              <w:t>③转入的开户银行及账号：</w:t>
            </w:r>
          </w:p>
          <w:p w14:paraId="6F9D32BA">
            <w:pPr>
              <w:snapToGrid w:val="0"/>
              <w:spacing w:line="360" w:lineRule="auto"/>
              <w:ind w:firstLine="482"/>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开户银行：广发银行股份有限公司合肥肥西支行</w:t>
            </w:r>
          </w:p>
          <w:p w14:paraId="08998BB0">
            <w:pPr>
              <w:snapToGrid w:val="0"/>
              <w:spacing w:line="360" w:lineRule="auto"/>
              <w:ind w:firstLine="482"/>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开户名：</w:t>
            </w:r>
            <w:bookmarkStart w:id="15" w:name="OLE_LINK5"/>
            <w:r>
              <w:rPr>
                <w:rFonts w:hint="eastAsia" w:ascii="宋体" w:hAnsi="宋体" w:cs="宋体"/>
                <w:color w:val="000000" w:themeColor="text1"/>
                <w:szCs w:val="24"/>
                <w:highlight w:val="none"/>
                <w:lang w:eastAsia="zh-CN"/>
                <w14:textFill>
                  <w14:solidFill>
                    <w14:schemeClr w14:val="tx1"/>
                  </w14:solidFill>
                </w14:textFill>
              </w:rPr>
              <w:t>肥西县公共资源交易有限责任公司</w:t>
            </w:r>
            <w:bookmarkEnd w:id="15"/>
          </w:p>
          <w:p w14:paraId="2EBF6566">
            <w:pPr>
              <w:snapToGrid w:val="0"/>
              <w:spacing w:line="360" w:lineRule="auto"/>
              <w:ind w:firstLine="482"/>
              <w:rPr>
                <w:rFonts w:hint="eastAsia" w:ascii="宋体" w:hAnsi="宋体" w:cs="宋体"/>
                <w:color w:val="000000" w:themeColor="text1"/>
                <w:szCs w:val="24"/>
                <w:highlight w:val="none"/>
                <w:lang w:eastAsia="zh-CN"/>
                <w14:textFill>
                  <w14:solidFill>
                    <w14:schemeClr w14:val="tx1"/>
                  </w14:solidFill>
                </w14:textFill>
              </w:rPr>
            </w:pPr>
            <w:r>
              <w:rPr>
                <w:rFonts w:hint="eastAsia" w:ascii="宋体" w:hAnsi="宋体" w:cs="宋体"/>
                <w:b/>
                <w:bCs/>
                <w:color w:val="000000" w:themeColor="text1"/>
                <w:szCs w:val="24"/>
                <w:highlight w:val="none"/>
                <w:lang w:eastAsia="zh-CN"/>
                <w14:textFill>
                  <w14:solidFill>
                    <w14:schemeClr w14:val="tx1"/>
                  </w14:solidFill>
                </w14:textFill>
              </w:rPr>
              <w:t>账号：</w:t>
            </w:r>
            <w:bookmarkEnd w:id="14"/>
            <w:r>
              <w:rPr>
                <w:rFonts w:hint="eastAsia" w:ascii="宋体" w:hAnsi="宋体" w:cs="宋体"/>
                <w:b/>
                <w:bCs/>
                <w:color w:val="000000" w:themeColor="text1"/>
                <w:szCs w:val="24"/>
                <w:highlight w:val="none"/>
                <w:lang w:eastAsia="zh-CN"/>
                <w14:textFill>
                  <w14:solidFill>
                    <w14:schemeClr w14:val="tx1"/>
                  </w14:solidFill>
                </w14:textFill>
              </w:rPr>
              <w:t>6232594999000548147</w:t>
            </w:r>
          </w:p>
          <w:p w14:paraId="233B0036">
            <w:pPr>
              <w:snapToGrid w:val="0"/>
              <w:spacing w:line="360" w:lineRule="auto"/>
              <w:ind w:firstLine="482"/>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注意事项：</w:t>
            </w:r>
          </w:p>
          <w:p w14:paraId="5727811E">
            <w:pPr>
              <w:snapToGrid w:val="0"/>
              <w:spacing w:line="460" w:lineRule="exact"/>
              <w:ind w:firstLine="120" w:firstLineChars="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（1）电子交易服务费采用虚拟账号，项目招标失败后，电子交易服务费交纳账号将会发生变化，请投标人参与后续招标时，注意勿将电子交易服务费错交至其他项目账号或前次公告账号。</w:t>
            </w:r>
          </w:p>
          <w:p w14:paraId="1E1E0872">
            <w:pPr>
              <w:snapToGrid w:val="0"/>
              <w:spacing w:line="460" w:lineRule="exact"/>
              <w:ind w:firstLine="120" w:firstLineChars="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（3）凡转账到其他项目账户或本项目前次公告账户的，电子交易服务费无效。</w:t>
            </w:r>
          </w:p>
          <w:p w14:paraId="5359FB1A">
            <w:pPr>
              <w:snapToGrid w:val="0"/>
              <w:spacing w:line="460" w:lineRule="exact"/>
              <w:ind w:firstLine="120" w:firstLineChars="50"/>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（4）投标人参与本项目多个包别招标的（如分多包别的），应该按包别分别递交电子交易服务费。未递交电子交易服务费的包别，其响应无效。</w:t>
            </w:r>
          </w:p>
        </w:tc>
      </w:tr>
      <w:tr w14:paraId="4E1E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shd w:val="clear" w:color="auto" w:fill="auto"/>
            <w:vAlign w:val="center"/>
          </w:tcPr>
          <w:p w14:paraId="0F8F477D">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lang w:val="en-US" w:eastAsia="zh-CN"/>
                <w14:textFill>
                  <w14:solidFill>
                    <w14:schemeClr w14:val="tx1"/>
                  </w14:solidFill>
                </w14:textFill>
              </w:rPr>
              <w:t>4</w:t>
            </w:r>
          </w:p>
        </w:tc>
        <w:tc>
          <w:tcPr>
            <w:tcW w:w="1515" w:type="dxa"/>
            <w:shd w:val="clear" w:color="auto" w:fill="auto"/>
            <w:vAlign w:val="center"/>
          </w:tcPr>
          <w:p w14:paraId="0D6B0DFF">
            <w:pPr>
              <w:pStyle w:val="33"/>
              <w:widowControl w:val="0"/>
              <w:spacing w:before="0" w:beforeAutospacing="0" w:after="0" w:afterAutospacing="0" w:line="360" w:lineRule="auto"/>
              <w:jc w:val="both"/>
              <w:rPr>
                <w:rFonts w:hint="eastAsia" w:cs="宋体"/>
                <w:color w:val="000000" w:themeColor="text1"/>
                <w:sz w:val="24"/>
                <w:szCs w:val="24"/>
                <w:highlight w:val="none"/>
                <w14:textFill>
                  <w14:solidFill>
                    <w14:schemeClr w14:val="tx1"/>
                  </w14:solidFill>
                </w14:textFill>
              </w:rPr>
            </w:pPr>
            <w:r>
              <w:rPr>
                <w:rFonts w:hint="eastAsia" w:cs="宋体"/>
                <w:b w:val="0"/>
                <w:color w:val="000000" w:themeColor="text1"/>
                <w:sz w:val="24"/>
                <w:highlight w:val="none"/>
                <w14:textFill>
                  <w14:solidFill>
                    <w14:schemeClr w14:val="tx1"/>
                  </w14:solidFill>
                </w14:textFill>
              </w:rPr>
              <w:t>网上询问截止时间</w:t>
            </w:r>
          </w:p>
        </w:tc>
        <w:tc>
          <w:tcPr>
            <w:tcW w:w="7174" w:type="dxa"/>
            <w:shd w:val="clear" w:color="auto" w:fill="auto"/>
            <w:vAlign w:val="center"/>
          </w:tcPr>
          <w:p w14:paraId="3F2CFFFB">
            <w:pPr>
              <w:pStyle w:val="33"/>
              <w:widowControl w:val="0"/>
              <w:spacing w:before="0" w:beforeAutospacing="0" w:after="0" w:afterAutospacing="0" w:line="360" w:lineRule="auto"/>
              <w:jc w:val="both"/>
              <w:rPr>
                <w:rFonts w:hint="eastAsia" w:cs="宋体"/>
                <w:color w:val="000000" w:themeColor="text1"/>
                <w:sz w:val="24"/>
                <w:szCs w:val="24"/>
                <w:highlight w:val="none"/>
                <w14:textFill>
                  <w14:solidFill>
                    <w14:schemeClr w14:val="tx1"/>
                  </w14:solidFill>
                </w14:textFill>
              </w:rPr>
            </w:pPr>
            <w:r>
              <w:rPr>
                <w:rFonts w:hint="eastAsia" w:cs="宋体"/>
                <w:b w:val="0"/>
                <w:color w:val="000000" w:themeColor="text1"/>
                <w:sz w:val="24"/>
                <w:highlight w:val="none"/>
                <w:u w:val="single"/>
                <w14:textFill>
                  <w14:solidFill>
                    <w14:schemeClr w14:val="tx1"/>
                  </w14:solidFill>
                </w14:textFill>
              </w:rPr>
              <w:t>202</w:t>
            </w:r>
            <w:r>
              <w:rPr>
                <w:rFonts w:hint="eastAsia" w:cs="宋体"/>
                <w:b w:val="0"/>
                <w:color w:val="000000" w:themeColor="text1"/>
                <w:sz w:val="24"/>
                <w:highlight w:val="none"/>
                <w:u w:val="single"/>
                <w:lang w:val="en-US" w:eastAsia="zh-CN"/>
                <w14:textFill>
                  <w14:solidFill>
                    <w14:schemeClr w14:val="tx1"/>
                  </w14:solidFill>
                </w14:textFill>
              </w:rPr>
              <w:t>6</w:t>
            </w:r>
            <w:r>
              <w:rPr>
                <w:rFonts w:hint="eastAsia" w:cs="宋体"/>
                <w:b w:val="0"/>
                <w:color w:val="000000" w:themeColor="text1"/>
                <w:sz w:val="24"/>
                <w:highlight w:val="none"/>
                <w14:textFill>
                  <w14:solidFill>
                    <w14:schemeClr w14:val="tx1"/>
                  </w14:solidFill>
                </w14:textFill>
              </w:rPr>
              <w:t>年</w:t>
            </w:r>
            <w:r>
              <w:rPr>
                <w:rFonts w:hint="eastAsia" w:cs="宋体"/>
                <w:b w:val="0"/>
                <w:color w:val="000000" w:themeColor="text1"/>
                <w:sz w:val="24"/>
                <w:highlight w:val="none"/>
                <w:lang w:val="en-US" w:eastAsia="zh-CN"/>
                <w14:textFill>
                  <w14:solidFill>
                    <w14:schemeClr w14:val="tx1"/>
                  </w14:solidFill>
                </w14:textFill>
              </w:rPr>
              <w:t>6</w:t>
            </w:r>
            <w:r>
              <w:rPr>
                <w:rFonts w:hint="eastAsia" w:cs="宋体"/>
                <w:b w:val="0"/>
                <w:color w:val="000000" w:themeColor="text1"/>
                <w:sz w:val="24"/>
                <w:highlight w:val="none"/>
                <w14:textFill>
                  <w14:solidFill>
                    <w14:schemeClr w14:val="tx1"/>
                  </w14:solidFill>
                </w14:textFill>
              </w:rPr>
              <w:t>月</w:t>
            </w:r>
            <w:r>
              <w:rPr>
                <w:rFonts w:hint="eastAsia" w:cs="宋体"/>
                <w:b w:val="0"/>
                <w:color w:val="000000" w:themeColor="text1"/>
                <w:sz w:val="24"/>
                <w:highlight w:val="none"/>
                <w:u w:val="single"/>
                <w:lang w:val="en-US" w:eastAsia="zh-CN"/>
                <w14:textFill>
                  <w14:solidFill>
                    <w14:schemeClr w14:val="tx1"/>
                  </w14:solidFill>
                </w14:textFill>
              </w:rPr>
              <w:t>29</w:t>
            </w:r>
            <w:r>
              <w:rPr>
                <w:rFonts w:hint="eastAsia" w:cs="宋体"/>
                <w:b w:val="0"/>
                <w:color w:val="000000" w:themeColor="text1"/>
                <w:sz w:val="24"/>
                <w:highlight w:val="none"/>
                <w14:textFill>
                  <w14:solidFill>
                    <w14:schemeClr w14:val="tx1"/>
                  </w14:solidFill>
                </w14:textFill>
              </w:rPr>
              <w:t>日</w:t>
            </w:r>
            <w:r>
              <w:rPr>
                <w:rFonts w:hint="eastAsia" w:cs="宋体"/>
                <w:b w:val="0"/>
                <w:color w:val="000000" w:themeColor="text1"/>
                <w:sz w:val="24"/>
                <w:highlight w:val="none"/>
                <w:u w:val="single"/>
                <w14:textFill>
                  <w14:solidFill>
                    <w14:schemeClr w14:val="tx1"/>
                  </w14:solidFill>
                </w14:textFill>
              </w:rPr>
              <w:t>17</w:t>
            </w:r>
            <w:r>
              <w:rPr>
                <w:rFonts w:hint="eastAsia" w:cs="宋体"/>
                <w:b w:val="0"/>
                <w:color w:val="000000" w:themeColor="text1"/>
                <w:sz w:val="24"/>
                <w:highlight w:val="none"/>
                <w14:textFill>
                  <w14:solidFill>
                    <w14:schemeClr w14:val="tx1"/>
                  </w14:solidFill>
                </w14:textFill>
              </w:rPr>
              <w:t>时</w:t>
            </w:r>
            <w:r>
              <w:rPr>
                <w:rFonts w:hint="eastAsia" w:cs="宋体"/>
                <w:b w:val="0"/>
                <w:color w:val="000000" w:themeColor="text1"/>
                <w:sz w:val="24"/>
                <w:highlight w:val="none"/>
                <w:u w:val="single"/>
                <w14:textFill>
                  <w14:solidFill>
                    <w14:schemeClr w14:val="tx1"/>
                  </w14:solidFill>
                </w14:textFill>
              </w:rPr>
              <w:t>30</w:t>
            </w:r>
            <w:r>
              <w:rPr>
                <w:rFonts w:hint="eastAsia" w:cs="宋体"/>
                <w:b w:val="0"/>
                <w:color w:val="000000" w:themeColor="text1"/>
                <w:sz w:val="24"/>
                <w:highlight w:val="none"/>
                <w14:textFill>
                  <w14:solidFill>
                    <w14:schemeClr w14:val="tx1"/>
                  </w14:solidFill>
                </w14:textFill>
              </w:rPr>
              <w:t>分</w:t>
            </w:r>
          </w:p>
        </w:tc>
      </w:tr>
      <w:tr w14:paraId="2D66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shd w:val="clear" w:color="auto" w:fill="auto"/>
            <w:vAlign w:val="center"/>
          </w:tcPr>
          <w:p w14:paraId="30DC2542">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lang w:val="en-US" w:eastAsia="zh-CN"/>
                <w14:textFill>
                  <w14:solidFill>
                    <w14:schemeClr w14:val="tx1"/>
                  </w14:solidFill>
                </w14:textFill>
              </w:rPr>
              <w:t>5</w:t>
            </w:r>
          </w:p>
        </w:tc>
        <w:tc>
          <w:tcPr>
            <w:tcW w:w="1515" w:type="dxa"/>
            <w:shd w:val="clear" w:color="auto" w:fill="auto"/>
            <w:vAlign w:val="center"/>
          </w:tcPr>
          <w:p w14:paraId="427DE2FE">
            <w:pPr>
              <w:spacing w:line="460" w:lineRule="exact"/>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bCs/>
                <w:color w:val="000000" w:themeColor="text1"/>
                <w:szCs w:val="24"/>
                <w:highlight w:val="none"/>
                <w14:textFill>
                  <w14:solidFill>
                    <w14:schemeClr w14:val="tx1"/>
                  </w14:solidFill>
                </w14:textFill>
              </w:rPr>
              <w:t>踏勘现场</w:t>
            </w:r>
          </w:p>
        </w:tc>
        <w:tc>
          <w:tcPr>
            <w:tcW w:w="7174" w:type="dxa"/>
            <w:shd w:val="clear" w:color="auto" w:fill="auto"/>
            <w:vAlign w:val="center"/>
          </w:tcPr>
          <w:p w14:paraId="6C850C84">
            <w:pPr>
              <w:spacing w:line="460" w:lineRule="exact"/>
              <w:jc w:val="both"/>
              <w:rPr>
                <w:rFonts w:hint="eastAsia" w:ascii="宋体" w:hAnsi="宋体" w:cs="宋体"/>
                <w:color w:val="000000" w:themeColor="text1"/>
                <w:szCs w:val="24"/>
                <w:highlight w:val="none"/>
                <w:lang w:val="zh-CN"/>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sym w:font="Wingdings" w:char="F0FE"/>
            </w:r>
            <w:r>
              <w:rPr>
                <w:rFonts w:hint="eastAsia" w:ascii="宋体" w:hAnsi="宋体" w:cs="宋体"/>
                <w:bCs/>
                <w:color w:val="000000" w:themeColor="text1"/>
                <w:szCs w:val="24"/>
                <w:highlight w:val="none"/>
                <w14:textFill>
                  <w14:solidFill>
                    <w14:schemeClr w14:val="tx1"/>
                  </w14:solidFill>
                </w14:textFill>
              </w:rPr>
              <w:t xml:space="preserve">自行踏勘  </w:t>
            </w:r>
            <w:r>
              <w:rPr>
                <w:rFonts w:hint="eastAsia" w:ascii="宋体" w:hAnsi="宋体" w:cs="宋体"/>
                <w:color w:val="000000" w:themeColor="text1"/>
                <w:szCs w:val="24"/>
                <w:highlight w:val="none"/>
                <w14:textFill>
                  <w14:solidFill>
                    <w14:schemeClr w14:val="tx1"/>
                  </w14:solidFill>
                </w14:textFill>
              </w:rPr>
              <w:t>□</w:t>
            </w: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lang w:val="zh-CN"/>
                <w14:textFill>
                  <w14:solidFill>
                    <w14:schemeClr w14:val="tx1"/>
                  </w14:solidFill>
                </w14:textFill>
              </w:rPr>
              <w:t>统一组织</w:t>
            </w:r>
          </w:p>
        </w:tc>
      </w:tr>
      <w:tr w14:paraId="7B01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shd w:val="clear" w:color="auto" w:fill="auto"/>
            <w:vAlign w:val="center"/>
          </w:tcPr>
          <w:p w14:paraId="454A4C04">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lang w:val="en-US" w:eastAsia="zh-CN"/>
                <w14:textFill>
                  <w14:solidFill>
                    <w14:schemeClr w14:val="tx1"/>
                  </w14:solidFill>
                </w14:textFill>
              </w:rPr>
              <w:t>6</w:t>
            </w:r>
          </w:p>
        </w:tc>
        <w:tc>
          <w:tcPr>
            <w:tcW w:w="1515" w:type="dxa"/>
            <w:shd w:val="clear" w:color="auto" w:fill="auto"/>
            <w:vAlign w:val="center"/>
          </w:tcPr>
          <w:p w14:paraId="2505428F">
            <w:pPr>
              <w:pStyle w:val="33"/>
              <w:widowControl w:val="0"/>
              <w:spacing w:before="0" w:beforeAutospacing="0" w:after="0" w:afterAutospacing="0" w:line="360" w:lineRule="auto"/>
              <w:jc w:val="both"/>
              <w:rPr>
                <w:rFonts w:hint="eastAsia" w:cs="宋体"/>
                <w:color w:val="000000" w:themeColor="text1"/>
                <w:sz w:val="24"/>
                <w:szCs w:val="24"/>
                <w:highlight w:val="none"/>
                <w14:textFill>
                  <w14:solidFill>
                    <w14:schemeClr w14:val="tx1"/>
                  </w14:solidFill>
                </w14:textFill>
              </w:rPr>
            </w:pPr>
            <w:r>
              <w:rPr>
                <w:rFonts w:hint="eastAsia" w:cs="宋体"/>
                <w:b w:val="0"/>
                <w:color w:val="000000" w:themeColor="text1"/>
                <w:sz w:val="24"/>
                <w:highlight w:val="none"/>
                <w:lang w:val="en-US" w:eastAsia="zh-CN"/>
                <w14:textFill>
                  <w14:solidFill>
                    <w14:schemeClr w14:val="tx1"/>
                  </w14:solidFill>
                </w14:textFill>
              </w:rPr>
              <w:t>投</w:t>
            </w:r>
            <w:r>
              <w:rPr>
                <w:rFonts w:hint="eastAsia" w:cs="宋体"/>
                <w:b w:val="0"/>
                <w:color w:val="000000" w:themeColor="text1"/>
                <w:sz w:val="24"/>
                <w:highlight w:val="none"/>
                <w14:textFill>
                  <w14:solidFill>
                    <w14:schemeClr w14:val="tx1"/>
                  </w14:solidFill>
                </w14:textFill>
              </w:rPr>
              <w:t>标文件要求</w:t>
            </w:r>
          </w:p>
        </w:tc>
        <w:tc>
          <w:tcPr>
            <w:tcW w:w="7174" w:type="dxa"/>
            <w:shd w:val="clear" w:color="auto" w:fill="auto"/>
            <w:vAlign w:val="center"/>
          </w:tcPr>
          <w:p w14:paraId="468B466A">
            <w:pPr>
              <w:pStyle w:val="33"/>
              <w:widowControl w:val="0"/>
              <w:spacing w:before="0" w:beforeAutospacing="0" w:after="0" w:afterAutospacing="0" w:line="360" w:lineRule="auto"/>
              <w:jc w:val="both"/>
              <w:rPr>
                <w:rFonts w:hint="default" w:eastAsia="宋体" w:cs="宋体"/>
                <w:b w:val="0"/>
                <w:color w:val="000000" w:themeColor="text1"/>
                <w:sz w:val="24"/>
                <w:highlight w:val="none"/>
                <w:u w:val="single"/>
                <w:lang w:val="en-US" w:eastAsia="zh-CN"/>
                <w14:textFill>
                  <w14:solidFill>
                    <w14:schemeClr w14:val="tx1"/>
                  </w14:solidFill>
                </w14:textFill>
              </w:rPr>
            </w:pPr>
            <w:r>
              <w:rPr>
                <w:rFonts w:hint="eastAsia" w:cs="宋体"/>
                <w:b w:val="0"/>
                <w:color w:val="000000" w:themeColor="text1"/>
                <w:sz w:val="24"/>
                <w:highlight w:val="none"/>
                <w:u w:val="none"/>
                <w14:textFill>
                  <w14:solidFill>
                    <w14:schemeClr w14:val="tx1"/>
                  </w14:solidFill>
                </w14:textFill>
              </w:rPr>
              <w:t>加密电子</w:t>
            </w:r>
            <w:r>
              <w:rPr>
                <w:rFonts w:hint="eastAsia" w:cs="宋体"/>
                <w:b w:val="0"/>
                <w:color w:val="000000" w:themeColor="text1"/>
                <w:sz w:val="24"/>
                <w:highlight w:val="none"/>
                <w:u w:val="none"/>
                <w:lang w:val="en-US" w:eastAsia="zh-CN"/>
                <w14:textFill>
                  <w14:solidFill>
                    <w14:schemeClr w14:val="tx1"/>
                  </w14:solidFill>
                </w14:textFill>
              </w:rPr>
              <w:t>投标</w:t>
            </w:r>
            <w:r>
              <w:rPr>
                <w:rFonts w:hint="eastAsia" w:cs="宋体"/>
                <w:b w:val="0"/>
                <w:color w:val="000000" w:themeColor="text1"/>
                <w:sz w:val="24"/>
                <w:highlight w:val="none"/>
                <w:u w:val="none"/>
                <w14:textFill>
                  <w14:solidFill>
                    <w14:schemeClr w14:val="tx1"/>
                  </w14:solidFill>
                </w14:textFill>
              </w:rPr>
              <w:t>文件</w:t>
            </w:r>
          </w:p>
        </w:tc>
      </w:tr>
      <w:tr w14:paraId="77EA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shd w:val="clear" w:color="auto" w:fill="auto"/>
            <w:vAlign w:val="center"/>
          </w:tcPr>
          <w:p w14:paraId="331BD861">
            <w:pPr>
              <w:spacing w:line="46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16.1</w:t>
            </w:r>
          </w:p>
        </w:tc>
        <w:tc>
          <w:tcPr>
            <w:tcW w:w="1515" w:type="dxa"/>
            <w:shd w:val="clear" w:color="auto" w:fill="auto"/>
            <w:vAlign w:val="center"/>
          </w:tcPr>
          <w:p w14:paraId="00881818">
            <w:pPr>
              <w:pStyle w:val="33"/>
              <w:widowControl w:val="0"/>
              <w:spacing w:before="0" w:beforeAutospacing="0" w:after="0" w:afterAutospacing="0" w:line="360" w:lineRule="auto"/>
              <w:jc w:val="both"/>
              <w:rPr>
                <w:rFonts w:hint="default" w:cs="宋体"/>
                <w:b w:val="0"/>
                <w:color w:val="000000" w:themeColor="text1"/>
                <w:sz w:val="24"/>
                <w:highlight w:val="none"/>
                <w:lang w:val="en-US" w:eastAsia="zh-CN"/>
                <w14:textFill>
                  <w14:solidFill>
                    <w14:schemeClr w14:val="tx1"/>
                  </w14:solidFill>
                </w14:textFill>
              </w:rPr>
            </w:pPr>
            <w:r>
              <w:rPr>
                <w:rFonts w:hint="eastAsia" w:cs="宋体"/>
                <w:b/>
                <w:bCs w:val="0"/>
                <w:color w:val="000000" w:themeColor="text1"/>
                <w:sz w:val="24"/>
                <w:highlight w:val="none"/>
                <w:u w:val="none"/>
                <w:lang w:val="en-US" w:eastAsia="zh-CN"/>
                <w14:textFill>
                  <w14:solidFill>
                    <w14:schemeClr w14:val="tx1"/>
                  </w14:solidFill>
                </w14:textFill>
              </w:rPr>
              <w:t>演示文件要求</w:t>
            </w:r>
          </w:p>
        </w:tc>
        <w:tc>
          <w:tcPr>
            <w:tcW w:w="7174" w:type="dxa"/>
            <w:shd w:val="clear" w:color="auto" w:fill="auto"/>
            <w:vAlign w:val="top"/>
          </w:tcPr>
          <w:p w14:paraId="5B87341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cs="宋体"/>
                <w:b w:val="0"/>
                <w:bCs/>
                <w:color w:val="000000" w:themeColor="text1"/>
                <w:sz w:val="24"/>
                <w:highlight w:val="none"/>
                <w14:textFill>
                  <w14:solidFill>
                    <w14:schemeClr w14:val="tx1"/>
                  </w14:solidFill>
                </w14:textFill>
              </w:rPr>
            </w:pPr>
            <w:r>
              <w:rPr>
                <w:rFonts w:hint="eastAsia" w:cs="宋体"/>
                <w:b w:val="0"/>
                <w:bCs/>
                <w:color w:val="000000" w:themeColor="text1"/>
                <w:sz w:val="24"/>
                <w:highlight w:val="none"/>
                <w14:textFill>
                  <w14:solidFill>
                    <w14:schemeClr w14:val="tx1"/>
                  </w14:solidFill>
                </w14:textFill>
              </w:rPr>
              <w:t>供应商需</w:t>
            </w:r>
            <w:r>
              <w:rPr>
                <w:rFonts w:hint="eastAsia" w:cs="宋体"/>
                <w:b w:val="0"/>
                <w:bCs/>
                <w:color w:val="000000" w:themeColor="text1"/>
                <w:sz w:val="24"/>
                <w:highlight w:val="none"/>
                <w:lang w:val="en-US" w:eastAsia="zh-CN"/>
                <w14:textFill>
                  <w14:solidFill>
                    <w14:schemeClr w14:val="tx1"/>
                  </w14:solidFill>
                </w14:textFill>
              </w:rPr>
              <w:t>提供演示文件，演示文件存储在电子U盘中。演示文件</w:t>
            </w:r>
            <w:r>
              <w:rPr>
                <w:rFonts w:hint="eastAsia" w:cs="宋体"/>
                <w:b w:val="0"/>
                <w:bCs/>
                <w:color w:val="000000" w:themeColor="text1"/>
                <w:sz w:val="24"/>
                <w:highlight w:val="none"/>
                <w14:textFill>
                  <w14:solidFill>
                    <w14:schemeClr w14:val="tx1"/>
                  </w14:solidFill>
                </w14:textFill>
              </w:rPr>
              <w:t>请于</w:t>
            </w:r>
            <w:r>
              <w:rPr>
                <w:rFonts w:hint="eastAsia" w:cs="宋体"/>
                <w:b w:val="0"/>
                <w:bCs/>
                <w:color w:val="000000" w:themeColor="text1"/>
                <w:sz w:val="24"/>
                <w:highlight w:val="none"/>
                <w:lang w:val="en-US" w:eastAsia="zh-CN"/>
                <w14:textFill>
                  <w14:solidFill>
                    <w14:schemeClr w14:val="tx1"/>
                  </w14:solidFill>
                </w14:textFill>
              </w:rPr>
              <w:t>招标</w:t>
            </w:r>
            <w:r>
              <w:rPr>
                <w:rFonts w:hint="eastAsia" w:cs="宋体"/>
                <w:b w:val="0"/>
                <w:bCs/>
                <w:color w:val="000000" w:themeColor="text1"/>
                <w:sz w:val="24"/>
                <w:highlight w:val="none"/>
                <w14:textFill>
                  <w14:solidFill>
                    <w14:schemeClr w14:val="tx1"/>
                  </w14:solidFill>
                </w14:textFill>
              </w:rPr>
              <w:t>文件</w:t>
            </w:r>
            <w:r>
              <w:rPr>
                <w:rFonts w:hint="eastAsia" w:cs="宋体"/>
                <w:b w:val="0"/>
                <w:bCs/>
                <w:color w:val="000000" w:themeColor="text1"/>
                <w:sz w:val="24"/>
                <w:highlight w:val="none"/>
                <w:lang w:val="en-US" w:eastAsia="zh-CN"/>
                <w14:textFill>
                  <w14:solidFill>
                    <w14:schemeClr w14:val="tx1"/>
                  </w14:solidFill>
                </w14:textFill>
              </w:rPr>
              <w:t>开标</w:t>
            </w:r>
            <w:r>
              <w:rPr>
                <w:rFonts w:hint="eastAsia" w:cs="宋体"/>
                <w:b w:val="0"/>
                <w:bCs/>
                <w:color w:val="000000" w:themeColor="text1"/>
                <w:sz w:val="24"/>
                <w:highlight w:val="none"/>
                <w14:textFill>
                  <w14:solidFill>
                    <w14:schemeClr w14:val="tx1"/>
                  </w14:solidFill>
                </w14:textFill>
              </w:rPr>
              <w:t>当天，现场递交或邮寄至肥西县上派镇紫石路与佛光路交叉口肥光办公区3号楼2楼3</w:t>
            </w:r>
            <w:r>
              <w:rPr>
                <w:rFonts w:hint="eastAsia" w:cs="宋体"/>
                <w:b w:val="0"/>
                <w:bCs/>
                <w:color w:val="000000" w:themeColor="text1"/>
                <w:sz w:val="24"/>
                <w:highlight w:val="none"/>
                <w:lang w:val="en-US" w:eastAsia="zh-CN"/>
                <w14:textFill>
                  <w14:solidFill>
                    <w14:schemeClr w14:val="tx1"/>
                  </w14:solidFill>
                </w14:textFill>
              </w:rPr>
              <w:t>217-1</w:t>
            </w:r>
            <w:r>
              <w:rPr>
                <w:rFonts w:hint="eastAsia" w:cs="宋体"/>
                <w:b w:val="0"/>
                <w:bCs/>
                <w:color w:val="000000" w:themeColor="text1"/>
                <w:sz w:val="24"/>
                <w:highlight w:val="none"/>
                <w14:textFill>
                  <w14:solidFill>
                    <w14:schemeClr w14:val="tx1"/>
                  </w14:solidFill>
                </w14:textFill>
              </w:rPr>
              <w:t>室。</w:t>
            </w:r>
          </w:p>
          <w:p w14:paraId="24F6B323">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cs="宋体"/>
                <w:b w:val="0"/>
                <w:bCs/>
                <w:color w:val="000000" w:themeColor="text1"/>
                <w:sz w:val="24"/>
                <w:highlight w:val="none"/>
                <w14:textFill>
                  <w14:solidFill>
                    <w14:schemeClr w14:val="tx1"/>
                  </w14:solidFill>
                </w14:textFill>
              </w:rPr>
            </w:pPr>
            <w:r>
              <w:rPr>
                <w:rFonts w:hint="eastAsia" w:cs="宋体"/>
                <w:b w:val="0"/>
                <w:bCs/>
                <w:color w:val="000000" w:themeColor="text1"/>
                <w:sz w:val="24"/>
                <w:highlight w:val="none"/>
                <w14:textFill>
                  <w14:solidFill>
                    <w14:schemeClr w14:val="tx1"/>
                  </w14:solidFill>
                </w14:textFill>
              </w:rPr>
              <w:t>样品递交注意事项如下：</w:t>
            </w:r>
          </w:p>
          <w:p w14:paraId="2B5F23C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cs="宋体"/>
                <w:b w:val="0"/>
                <w:bCs/>
                <w:color w:val="000000" w:themeColor="text1"/>
                <w:sz w:val="24"/>
                <w:highlight w:val="none"/>
                <w14:textFill>
                  <w14:solidFill>
                    <w14:schemeClr w14:val="tx1"/>
                  </w14:solidFill>
                </w14:textFill>
              </w:rPr>
            </w:pPr>
            <w:r>
              <w:rPr>
                <w:rFonts w:hint="eastAsia" w:cs="宋体"/>
                <w:b w:val="0"/>
                <w:bCs/>
                <w:color w:val="000000" w:themeColor="text1"/>
                <w:sz w:val="24"/>
                <w:highlight w:val="none"/>
                <w14:textFill>
                  <w14:solidFill>
                    <w14:schemeClr w14:val="tx1"/>
                  </w14:solidFill>
                </w14:textFill>
              </w:rPr>
              <w:t>①供应商递交的</w:t>
            </w:r>
            <w:r>
              <w:rPr>
                <w:rFonts w:hint="eastAsia" w:cs="宋体"/>
                <w:b w:val="0"/>
                <w:bCs/>
                <w:color w:val="000000" w:themeColor="text1"/>
                <w:sz w:val="24"/>
                <w:highlight w:val="none"/>
                <w:lang w:val="en-US" w:eastAsia="zh-CN"/>
                <w14:textFill>
                  <w14:solidFill>
                    <w14:schemeClr w14:val="tx1"/>
                  </w14:solidFill>
                </w14:textFill>
              </w:rPr>
              <w:t>演示文件需</w:t>
            </w:r>
            <w:r>
              <w:rPr>
                <w:rFonts w:hint="eastAsia" w:cs="宋体"/>
                <w:b w:val="0"/>
                <w:bCs/>
                <w:color w:val="000000" w:themeColor="text1"/>
                <w:sz w:val="24"/>
                <w:highlight w:val="none"/>
                <w14:textFill>
                  <w14:solidFill>
                    <w14:schemeClr w14:val="tx1"/>
                  </w14:solidFill>
                </w14:textFill>
              </w:rPr>
              <w:t>装入文件袋密封且加盖公章；邮寄最外层包装须注明：“肥西县智慧平安小区统一运维项目”项目名称。评审现场由监督员</w:t>
            </w:r>
            <w:r>
              <w:rPr>
                <w:rFonts w:hint="eastAsia" w:cs="宋体"/>
                <w:b w:val="0"/>
                <w:bCs/>
                <w:color w:val="000000" w:themeColor="text1"/>
                <w:sz w:val="24"/>
                <w:highlight w:val="none"/>
                <w:lang w:val="en-US" w:eastAsia="zh-CN"/>
                <w14:textFill>
                  <w14:solidFill>
                    <w14:schemeClr w14:val="tx1"/>
                  </w14:solidFill>
                </w14:textFill>
              </w:rPr>
              <w:t>或评标委员会</w:t>
            </w:r>
            <w:r>
              <w:rPr>
                <w:rFonts w:hint="eastAsia" w:cs="宋体"/>
                <w:b w:val="0"/>
                <w:bCs/>
                <w:color w:val="000000" w:themeColor="text1"/>
                <w:sz w:val="24"/>
                <w:highlight w:val="none"/>
                <w14:textFill>
                  <w14:solidFill>
                    <w14:schemeClr w14:val="tx1"/>
                  </w14:solidFill>
                </w14:textFill>
              </w:rPr>
              <w:t>在检查邮寄资料密封性后拆封。</w:t>
            </w:r>
          </w:p>
          <w:p w14:paraId="2755AE0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cs="宋体"/>
                <w:b w:val="0"/>
                <w:bCs/>
                <w:color w:val="000000" w:themeColor="text1"/>
                <w:sz w:val="24"/>
                <w:highlight w:val="none"/>
                <w14:textFill>
                  <w14:solidFill>
                    <w14:schemeClr w14:val="tx1"/>
                  </w14:solidFill>
                </w14:textFill>
              </w:rPr>
            </w:pPr>
            <w:r>
              <w:rPr>
                <w:rFonts w:hint="eastAsia" w:cs="宋体"/>
                <w:b w:val="0"/>
                <w:bCs/>
                <w:color w:val="000000" w:themeColor="text1"/>
                <w:sz w:val="24"/>
                <w:highlight w:val="none"/>
                <w14:textFill>
                  <w14:solidFill>
                    <w14:schemeClr w14:val="tx1"/>
                  </w14:solidFill>
                </w14:textFill>
              </w:rPr>
              <w:t>②邮寄地址：肥西县上派镇佛光路与紫石路交叉口肥光办公区3号楼2楼3217-1室（联系人/签收人：</w:t>
            </w:r>
            <w:r>
              <w:rPr>
                <w:rFonts w:hint="eastAsia" w:cs="宋体"/>
                <w:b w:val="0"/>
                <w:bCs/>
                <w:color w:val="000000" w:themeColor="text1"/>
                <w:sz w:val="24"/>
                <w:highlight w:val="none"/>
                <w:lang w:val="en-US" w:eastAsia="zh-CN"/>
                <w14:textFill>
                  <w14:solidFill>
                    <w14:schemeClr w14:val="tx1"/>
                  </w14:solidFill>
                </w14:textFill>
              </w:rPr>
              <w:t>谭</w:t>
            </w:r>
            <w:r>
              <w:rPr>
                <w:rFonts w:hint="eastAsia" w:cs="宋体"/>
                <w:b w:val="0"/>
                <w:bCs/>
                <w:color w:val="000000" w:themeColor="text1"/>
                <w:sz w:val="24"/>
                <w:highlight w:val="none"/>
                <w14:textFill>
                  <w14:solidFill>
                    <w14:schemeClr w14:val="tx1"/>
                  </w14:solidFill>
                </w14:textFill>
              </w:rPr>
              <w:t>工，联系方式：0551-68825007），快件需联系人/签收人本人接收，拒绝接收快递员代签收件或到付件。</w:t>
            </w:r>
          </w:p>
          <w:p w14:paraId="6F8A9D0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cs="宋体"/>
                <w:b w:val="0"/>
                <w:bCs/>
                <w:color w:val="000000" w:themeColor="text1"/>
                <w:sz w:val="24"/>
                <w:highlight w:val="none"/>
                <w14:textFill>
                  <w14:solidFill>
                    <w14:schemeClr w14:val="tx1"/>
                  </w14:solidFill>
                </w14:textFill>
              </w:rPr>
            </w:pPr>
            <w:r>
              <w:rPr>
                <w:rFonts w:hint="eastAsia" w:cs="宋体"/>
                <w:b w:val="0"/>
                <w:bCs/>
                <w:color w:val="000000" w:themeColor="text1"/>
                <w:sz w:val="24"/>
                <w:highlight w:val="none"/>
                <w14:textFill>
                  <w14:solidFill>
                    <w14:schemeClr w14:val="tx1"/>
                  </w14:solidFill>
                </w14:textFill>
              </w:rPr>
              <w:t>③</w:t>
            </w:r>
            <w:r>
              <w:rPr>
                <w:rFonts w:hint="eastAsia" w:cs="宋体"/>
                <w:b w:val="0"/>
                <w:bCs/>
                <w:color w:val="000000" w:themeColor="text1"/>
                <w:sz w:val="24"/>
                <w:highlight w:val="none"/>
                <w:lang w:val="en-US" w:eastAsia="zh-CN"/>
                <w14:textFill>
                  <w14:solidFill>
                    <w14:schemeClr w14:val="tx1"/>
                  </w14:solidFill>
                </w14:textFill>
              </w:rPr>
              <w:t>演示文件</w:t>
            </w:r>
            <w:r>
              <w:rPr>
                <w:rFonts w:hint="eastAsia" w:cs="宋体"/>
                <w:b w:val="0"/>
                <w:bCs/>
                <w:color w:val="000000" w:themeColor="text1"/>
                <w:sz w:val="24"/>
                <w:highlight w:val="none"/>
                <w14:textFill>
                  <w14:solidFill>
                    <w14:schemeClr w14:val="tx1"/>
                  </w14:solidFill>
                </w14:textFill>
              </w:rPr>
              <w:t>送达时间须在磋商文件当天且递交截止时间前，否则不予接收。任何导致在递交截止时间前未接收到</w:t>
            </w:r>
            <w:r>
              <w:rPr>
                <w:rFonts w:hint="eastAsia" w:cs="宋体"/>
                <w:b w:val="0"/>
                <w:bCs/>
                <w:color w:val="000000" w:themeColor="text1"/>
                <w:sz w:val="24"/>
                <w:highlight w:val="none"/>
                <w:lang w:val="en-US" w:eastAsia="zh-CN"/>
                <w14:textFill>
                  <w14:solidFill>
                    <w14:schemeClr w14:val="tx1"/>
                  </w14:solidFill>
                </w14:textFill>
              </w:rPr>
              <w:t>演示</w:t>
            </w:r>
            <w:r>
              <w:rPr>
                <w:rFonts w:hint="eastAsia" w:cs="宋体"/>
                <w:b w:val="0"/>
                <w:bCs/>
                <w:color w:val="000000" w:themeColor="text1"/>
                <w:sz w:val="24"/>
                <w:highlight w:val="none"/>
                <w14:textFill>
                  <w14:solidFill>
                    <w14:schemeClr w14:val="tx1"/>
                  </w14:solidFill>
                </w14:textFill>
              </w:rPr>
              <w:t>文件的，以及</w:t>
            </w:r>
            <w:r>
              <w:rPr>
                <w:rFonts w:hint="eastAsia" w:cs="宋体"/>
                <w:b w:val="0"/>
                <w:bCs/>
                <w:color w:val="000000" w:themeColor="text1"/>
                <w:sz w:val="24"/>
                <w:highlight w:val="none"/>
                <w:lang w:val="en-US" w:eastAsia="zh-CN"/>
                <w14:textFill>
                  <w14:solidFill>
                    <w14:schemeClr w14:val="tx1"/>
                  </w14:solidFill>
                </w14:textFill>
              </w:rPr>
              <w:t>演示文件</w:t>
            </w:r>
            <w:r>
              <w:rPr>
                <w:rFonts w:hint="eastAsia" w:cs="宋体"/>
                <w:b w:val="0"/>
                <w:bCs/>
                <w:color w:val="000000" w:themeColor="text1"/>
                <w:sz w:val="24"/>
                <w:highlight w:val="none"/>
                <w14:textFill>
                  <w14:solidFill>
                    <w14:schemeClr w14:val="tx1"/>
                  </w14:solidFill>
                </w14:textFill>
              </w:rPr>
              <w:t>送达后至开启响应文件前可能造成的破损、污渍等，由供应商自行承担一切风险和责任，请各供应商综合考虑邮寄的安全性、时效性、保密性。</w:t>
            </w:r>
          </w:p>
          <w:p w14:paraId="4BF838AD">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cs="宋体"/>
                <w:bCs w:val="0"/>
                <w:color w:val="000000" w:themeColor="text1"/>
                <w:sz w:val="24"/>
                <w:highlight w:val="none"/>
                <w14:textFill>
                  <w14:solidFill>
                    <w14:schemeClr w14:val="tx1"/>
                  </w14:solidFill>
                </w14:textFill>
              </w:rPr>
            </w:pPr>
            <w:r>
              <w:rPr>
                <w:rFonts w:hint="eastAsia" w:cs="宋体"/>
                <w:b w:val="0"/>
                <w:bCs/>
                <w:color w:val="000000" w:themeColor="text1"/>
                <w:sz w:val="24"/>
                <w:highlight w:val="none"/>
                <w14:textFill>
                  <w14:solidFill>
                    <w14:schemeClr w14:val="tx1"/>
                  </w14:solidFill>
                </w14:textFill>
              </w:rPr>
              <w:t>④</w:t>
            </w:r>
            <w:r>
              <w:rPr>
                <w:rFonts w:hint="eastAsia" w:cs="宋体"/>
                <w:b w:val="0"/>
                <w:bCs/>
                <w:color w:val="000000" w:themeColor="text1"/>
                <w:sz w:val="24"/>
                <w:highlight w:val="none"/>
                <w:lang w:val="en-US" w:eastAsia="zh-CN"/>
                <w14:textFill>
                  <w14:solidFill>
                    <w14:schemeClr w14:val="tx1"/>
                  </w14:solidFill>
                </w14:textFill>
              </w:rPr>
              <w:t>演示</w:t>
            </w:r>
            <w:r>
              <w:rPr>
                <w:rFonts w:hint="eastAsia" w:cs="宋体"/>
                <w:b w:val="0"/>
                <w:bCs/>
                <w:color w:val="000000" w:themeColor="text1"/>
                <w:sz w:val="24"/>
                <w:highlight w:val="none"/>
                <w14:textFill>
                  <w14:solidFill>
                    <w14:schemeClr w14:val="tx1"/>
                  </w14:solidFill>
                </w14:textFill>
              </w:rPr>
              <w:t>文件送达时间为上述签收人签收时间，邮寄单收件人签收“签名：xxx”作为我公司出具的签收回执。</w:t>
            </w:r>
          </w:p>
        </w:tc>
      </w:tr>
      <w:tr w14:paraId="780A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shd w:val="clear" w:color="auto" w:fill="auto"/>
            <w:vAlign w:val="center"/>
          </w:tcPr>
          <w:p w14:paraId="5B9CCA0C">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lang w:val="en-US" w:eastAsia="zh-CN"/>
                <w14:textFill>
                  <w14:solidFill>
                    <w14:schemeClr w14:val="tx1"/>
                  </w14:solidFill>
                </w14:textFill>
              </w:rPr>
              <w:t>7</w:t>
            </w:r>
          </w:p>
        </w:tc>
        <w:tc>
          <w:tcPr>
            <w:tcW w:w="1515" w:type="dxa"/>
            <w:shd w:val="clear" w:color="auto" w:fill="auto"/>
            <w:vAlign w:val="center"/>
          </w:tcPr>
          <w:p w14:paraId="29538C29">
            <w:pPr>
              <w:pStyle w:val="33"/>
              <w:widowControl w:val="0"/>
              <w:spacing w:before="0" w:beforeAutospacing="0" w:after="0" w:afterAutospacing="0" w:line="360" w:lineRule="auto"/>
              <w:jc w:val="both"/>
              <w:rPr>
                <w:rFonts w:hint="eastAsia" w:cs="宋体"/>
                <w:color w:val="000000" w:themeColor="text1"/>
                <w:sz w:val="24"/>
                <w:szCs w:val="24"/>
                <w:highlight w:val="none"/>
                <w14:textFill>
                  <w14:solidFill>
                    <w14:schemeClr w14:val="tx1"/>
                  </w14:solidFill>
                </w14:textFill>
              </w:rPr>
            </w:pPr>
            <w:r>
              <w:rPr>
                <w:rFonts w:hint="eastAsia" w:cs="宋体"/>
                <w:b w:val="0"/>
                <w:color w:val="000000" w:themeColor="text1"/>
                <w:sz w:val="24"/>
                <w:highlight w:val="none"/>
                <w:lang w:val="en-US" w:eastAsia="zh-CN"/>
                <w14:textFill>
                  <w14:solidFill>
                    <w14:schemeClr w14:val="tx1"/>
                  </w14:solidFill>
                </w14:textFill>
              </w:rPr>
              <w:t>投</w:t>
            </w:r>
            <w:r>
              <w:rPr>
                <w:rFonts w:hint="eastAsia" w:cs="宋体"/>
                <w:b w:val="0"/>
                <w:color w:val="000000" w:themeColor="text1"/>
                <w:sz w:val="24"/>
                <w:highlight w:val="none"/>
                <w14:textFill>
                  <w14:solidFill>
                    <w14:schemeClr w14:val="tx1"/>
                  </w14:solidFill>
                </w14:textFill>
              </w:rPr>
              <w:t>标文件解密时间</w:t>
            </w:r>
          </w:p>
        </w:tc>
        <w:tc>
          <w:tcPr>
            <w:tcW w:w="7174" w:type="dxa"/>
            <w:shd w:val="clear" w:color="auto" w:fill="auto"/>
            <w:vAlign w:val="top"/>
          </w:tcPr>
          <w:p w14:paraId="57363A2F">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cs="宋体"/>
                <w:b w:val="0"/>
                <w:color w:val="000000" w:themeColor="text1"/>
                <w:sz w:val="24"/>
                <w:highlight w:val="none"/>
                <w:u w:val="single"/>
                <w14:textFill>
                  <w14:solidFill>
                    <w14:schemeClr w14:val="tx1"/>
                  </w14:solidFill>
                </w14:textFill>
              </w:rPr>
            </w:pPr>
            <w:r>
              <w:rPr>
                <w:rFonts w:hint="eastAsia" w:cs="宋体"/>
                <w:b w:val="0"/>
                <w:color w:val="000000" w:themeColor="text1"/>
                <w:sz w:val="24"/>
                <w:highlight w:val="none"/>
                <w:u w:val="single"/>
                <w:lang w:val="en-US" w:eastAsia="zh-CN"/>
                <w14:textFill>
                  <w14:solidFill>
                    <w14:schemeClr w14:val="tx1"/>
                  </w14:solidFill>
                </w14:textFill>
              </w:rPr>
              <w:t>投</w:t>
            </w:r>
            <w:r>
              <w:rPr>
                <w:rFonts w:hint="eastAsia" w:cs="宋体"/>
                <w:b w:val="0"/>
                <w:color w:val="000000" w:themeColor="text1"/>
                <w:sz w:val="24"/>
                <w:highlight w:val="none"/>
                <w:u w:val="single"/>
                <w14:textFill>
                  <w14:solidFill>
                    <w14:schemeClr w14:val="tx1"/>
                  </w14:solidFill>
                </w14:textFill>
              </w:rPr>
              <w:t>标文件提交截止时间后30分钟内（以系统解密倒计时为准）</w:t>
            </w:r>
          </w:p>
          <w:p w14:paraId="1DB79170">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cs="宋体"/>
                <w:color w:val="000000" w:themeColor="text1"/>
                <w:sz w:val="24"/>
                <w:szCs w:val="24"/>
                <w:highlight w:val="none"/>
                <w14:textFill>
                  <w14:solidFill>
                    <w14:schemeClr w14:val="tx1"/>
                  </w14:solidFill>
                </w14:textFill>
              </w:rPr>
            </w:pPr>
            <w:r>
              <w:rPr>
                <w:rFonts w:hint="eastAsia" w:cs="宋体"/>
                <w:bCs w:val="0"/>
                <w:color w:val="000000" w:themeColor="text1"/>
                <w:sz w:val="24"/>
                <w:highlight w:val="none"/>
                <w14:textFill>
                  <w14:solidFill>
                    <w14:schemeClr w14:val="tx1"/>
                  </w14:solidFill>
                </w14:textFill>
              </w:rPr>
              <w:t>其他要求：</w:t>
            </w:r>
            <w:r>
              <w:rPr>
                <w:rFonts w:hint="eastAsia" w:cs="宋体"/>
                <w:bCs w:val="0"/>
                <w:color w:val="000000" w:themeColor="text1"/>
                <w:sz w:val="24"/>
                <w:highlight w:val="none"/>
                <w:lang w:val="en-US" w:eastAsia="zh-CN"/>
                <w14:textFill>
                  <w14:solidFill>
                    <w14:schemeClr w14:val="tx1"/>
                  </w14:solidFill>
                </w14:textFill>
              </w:rPr>
              <w:t>投标</w:t>
            </w:r>
            <w:r>
              <w:rPr>
                <w:rFonts w:hint="eastAsia" w:cs="宋体"/>
                <w:bCs w:val="0"/>
                <w:color w:val="000000" w:themeColor="text1"/>
                <w:sz w:val="24"/>
                <w:highlight w:val="none"/>
                <w14:textFill>
                  <w14:solidFill>
                    <w14:schemeClr w14:val="tx1"/>
                  </w14:solidFill>
                </w14:textFill>
              </w:rPr>
              <w:t>文件解密可以采用网上远程方式，无需到</w:t>
            </w:r>
            <w:r>
              <w:rPr>
                <w:rFonts w:hint="eastAsia" w:cs="宋体"/>
                <w:bCs w:val="0"/>
                <w:color w:val="000000" w:themeColor="text1"/>
                <w:sz w:val="24"/>
                <w:highlight w:val="none"/>
                <w:lang w:val="en-US" w:eastAsia="zh-CN"/>
                <w14:textFill>
                  <w14:solidFill>
                    <w14:schemeClr w14:val="tx1"/>
                  </w14:solidFill>
                </w14:textFill>
              </w:rPr>
              <w:t>开</w:t>
            </w:r>
            <w:r>
              <w:rPr>
                <w:rFonts w:hint="eastAsia" w:cs="宋体"/>
                <w:bCs w:val="0"/>
                <w:color w:val="000000" w:themeColor="text1"/>
                <w:sz w:val="24"/>
                <w:highlight w:val="none"/>
                <w14:textFill>
                  <w14:solidFill>
                    <w14:schemeClr w14:val="tx1"/>
                  </w14:solidFill>
                </w14:textFill>
              </w:rPr>
              <w:t>标现场进行解密。解密的CA锁必须与</w:t>
            </w:r>
            <w:r>
              <w:rPr>
                <w:rFonts w:hint="eastAsia" w:cs="宋体"/>
                <w:bCs w:val="0"/>
                <w:color w:val="000000" w:themeColor="text1"/>
                <w:sz w:val="24"/>
                <w:highlight w:val="none"/>
                <w:lang w:val="en-US" w:eastAsia="zh-CN"/>
                <w14:textFill>
                  <w14:solidFill>
                    <w14:schemeClr w14:val="tx1"/>
                  </w14:solidFill>
                </w14:textFill>
              </w:rPr>
              <w:t>投标</w:t>
            </w:r>
            <w:r>
              <w:rPr>
                <w:rFonts w:hint="eastAsia" w:cs="宋体"/>
                <w:bCs w:val="0"/>
                <w:color w:val="000000" w:themeColor="text1"/>
                <w:sz w:val="24"/>
                <w:highlight w:val="none"/>
                <w14:textFill>
                  <w14:solidFill>
                    <w14:schemeClr w14:val="tx1"/>
                  </w14:solidFill>
                </w14:textFill>
              </w:rPr>
              <w:t>文件加密的CA锁一致，否则造成的后果由投标人自行承担。</w:t>
            </w:r>
          </w:p>
        </w:tc>
      </w:tr>
      <w:tr w14:paraId="0445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5" w:type="dxa"/>
            <w:shd w:val="clear" w:color="auto" w:fill="auto"/>
            <w:vAlign w:val="center"/>
          </w:tcPr>
          <w:p w14:paraId="5099F961">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lang w:val="en-US" w:eastAsia="zh-CN"/>
                <w14:textFill>
                  <w14:solidFill>
                    <w14:schemeClr w14:val="tx1"/>
                  </w14:solidFill>
                </w14:textFill>
              </w:rPr>
              <w:t>8</w:t>
            </w:r>
          </w:p>
        </w:tc>
        <w:tc>
          <w:tcPr>
            <w:tcW w:w="1515" w:type="dxa"/>
            <w:shd w:val="clear" w:color="auto" w:fill="auto"/>
            <w:vAlign w:val="center"/>
          </w:tcPr>
          <w:p w14:paraId="7C1F03FA">
            <w:pPr>
              <w:spacing w:line="460" w:lineRule="exact"/>
              <w:rPr>
                <w:rFonts w:hint="eastAsia" w:ascii="宋体" w:hAnsi="宋体" w:cs="宋体"/>
                <w:bCs/>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开</w:t>
            </w:r>
            <w:r>
              <w:rPr>
                <w:rFonts w:hint="eastAsia" w:ascii="宋体" w:hAnsi="宋体" w:cs="宋体"/>
                <w:color w:val="000000" w:themeColor="text1"/>
                <w:szCs w:val="24"/>
                <w:highlight w:val="none"/>
                <w14:textFill>
                  <w14:solidFill>
                    <w14:schemeClr w14:val="tx1"/>
                  </w14:solidFill>
                </w14:textFill>
              </w:rPr>
              <w:t>标时间及地点</w:t>
            </w:r>
          </w:p>
        </w:tc>
        <w:tc>
          <w:tcPr>
            <w:tcW w:w="7174" w:type="dxa"/>
            <w:shd w:val="clear" w:color="auto" w:fill="auto"/>
            <w:vAlign w:val="center"/>
          </w:tcPr>
          <w:p w14:paraId="64CA82C2">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宋体" w:hAnsi="宋体" w:cs="宋体"/>
                <w:color w:val="000000" w:themeColor="text1"/>
                <w:szCs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详见招标公告</w:t>
            </w:r>
          </w:p>
        </w:tc>
      </w:tr>
      <w:tr w14:paraId="6CB3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5" w:type="dxa"/>
            <w:shd w:val="clear" w:color="auto" w:fill="auto"/>
            <w:vAlign w:val="center"/>
          </w:tcPr>
          <w:p w14:paraId="6FAE2010">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lang w:val="en-US" w:eastAsia="zh-CN"/>
                <w14:textFill>
                  <w14:solidFill>
                    <w14:schemeClr w14:val="tx1"/>
                  </w14:solidFill>
                </w14:textFill>
              </w:rPr>
              <w:t>9</w:t>
            </w:r>
          </w:p>
        </w:tc>
        <w:tc>
          <w:tcPr>
            <w:tcW w:w="1515" w:type="dxa"/>
            <w:shd w:val="clear" w:color="auto" w:fill="auto"/>
            <w:vAlign w:val="center"/>
          </w:tcPr>
          <w:p w14:paraId="6CADD641">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评</w:t>
            </w:r>
            <w:r>
              <w:rPr>
                <w:rFonts w:hint="eastAsia" w:ascii="宋体" w:hAnsi="宋体" w:cs="宋体"/>
                <w:color w:val="000000" w:themeColor="text1"/>
                <w:szCs w:val="24"/>
                <w:highlight w:val="none"/>
                <w:lang w:val="en-US" w:eastAsia="zh-CN"/>
                <w14:textFill>
                  <w14:solidFill>
                    <w14:schemeClr w14:val="tx1"/>
                  </w14:solidFill>
                </w14:textFill>
              </w:rPr>
              <w:t>标</w:t>
            </w:r>
            <w:r>
              <w:rPr>
                <w:rFonts w:hint="eastAsia" w:ascii="宋体" w:hAnsi="宋体" w:cs="宋体"/>
                <w:color w:val="000000" w:themeColor="text1"/>
                <w:szCs w:val="24"/>
                <w:highlight w:val="none"/>
                <w14:textFill>
                  <w14:solidFill>
                    <w14:schemeClr w14:val="tx1"/>
                  </w14:solidFill>
                </w14:textFill>
              </w:rPr>
              <w:t>办法</w:t>
            </w:r>
          </w:p>
        </w:tc>
        <w:tc>
          <w:tcPr>
            <w:tcW w:w="7174" w:type="dxa"/>
            <w:shd w:val="clear" w:color="auto" w:fill="auto"/>
            <w:vAlign w:val="center"/>
          </w:tcPr>
          <w:p w14:paraId="73A24976">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sym w:font="Wingdings" w:char="00FE"/>
            </w:r>
            <w:r>
              <w:rPr>
                <w:rFonts w:hint="eastAsia" w:ascii="宋体" w:hAnsi="宋体" w:cs="宋体"/>
                <w:color w:val="000000" w:themeColor="text1"/>
                <w:highlight w:val="none"/>
                <w:u w:val="single"/>
                <w14:textFill>
                  <w14:solidFill>
                    <w14:schemeClr w14:val="tx1"/>
                  </w14:solidFill>
                </w14:textFill>
              </w:rPr>
              <w:t>综合评分法</w:t>
            </w:r>
          </w:p>
        </w:tc>
      </w:tr>
      <w:tr w14:paraId="7DAD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5" w:type="dxa"/>
            <w:shd w:val="clear" w:color="auto" w:fill="auto"/>
            <w:vAlign w:val="center"/>
          </w:tcPr>
          <w:p w14:paraId="311A996E">
            <w:pPr>
              <w:spacing w:line="46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20</w:t>
            </w:r>
          </w:p>
        </w:tc>
        <w:tc>
          <w:tcPr>
            <w:tcW w:w="1515" w:type="dxa"/>
            <w:shd w:val="clear" w:color="auto" w:fill="auto"/>
            <w:vAlign w:val="center"/>
          </w:tcPr>
          <w:p w14:paraId="2B216BA7">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评标委员会</w:t>
            </w:r>
            <w:r>
              <w:rPr>
                <w:rFonts w:hint="eastAsia" w:ascii="宋体" w:hAnsi="宋体" w:cs="宋体"/>
                <w:color w:val="000000" w:themeColor="text1"/>
                <w:highlight w:val="none"/>
                <w14:textFill>
                  <w14:solidFill>
                    <w14:schemeClr w14:val="tx1"/>
                  </w14:solidFill>
                </w14:textFill>
              </w:rPr>
              <w:t>推荐</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候选人的数量</w:t>
            </w:r>
          </w:p>
        </w:tc>
        <w:tc>
          <w:tcPr>
            <w:tcW w:w="7174" w:type="dxa"/>
            <w:shd w:val="clear" w:color="auto" w:fill="auto"/>
            <w:vAlign w:val="center"/>
          </w:tcPr>
          <w:p w14:paraId="5BB60F3C">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b/>
                <w:bCs w:val="0"/>
                <w:color w:val="000000" w:themeColor="text1"/>
                <w:sz w:val="24"/>
                <w:szCs w:val="24"/>
                <w:highlight w:val="none"/>
                <w:u w:val="single"/>
                <w:lang w:val="en-US" w:eastAsia="zh-CN"/>
                <w14:textFill>
                  <w14:solidFill>
                    <w14:schemeClr w14:val="tx1"/>
                  </w14:solidFill>
                </w14:textFill>
              </w:rPr>
              <w:t>1</w:t>
            </w:r>
            <w:r>
              <w:rPr>
                <w:b/>
                <w:bCs w:val="0"/>
                <w:color w:val="000000" w:themeColor="text1"/>
                <w:sz w:val="24"/>
                <w:szCs w:val="24"/>
                <w:highlight w:val="none"/>
                <w:u w:val="single"/>
                <w14:textFill>
                  <w14:solidFill>
                    <w14:schemeClr w14:val="tx1"/>
                  </w14:solidFill>
                </w14:textFill>
              </w:rPr>
              <w:t>家</w:t>
            </w:r>
          </w:p>
        </w:tc>
      </w:tr>
      <w:tr w14:paraId="016A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5" w:type="dxa"/>
            <w:shd w:val="clear" w:color="auto" w:fill="auto"/>
            <w:vAlign w:val="center"/>
          </w:tcPr>
          <w:p w14:paraId="09D96E3D">
            <w:pPr>
              <w:spacing w:line="460" w:lineRule="exact"/>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21</w:t>
            </w:r>
          </w:p>
        </w:tc>
        <w:tc>
          <w:tcPr>
            <w:tcW w:w="1515" w:type="dxa"/>
            <w:shd w:val="clear" w:color="auto" w:fill="auto"/>
            <w:vAlign w:val="center"/>
          </w:tcPr>
          <w:p w14:paraId="5BCDF2CA">
            <w:pPr>
              <w:spacing w:line="460" w:lineRule="exact"/>
              <w:ind w:left="19"/>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代理服务费</w:t>
            </w:r>
          </w:p>
        </w:tc>
        <w:tc>
          <w:tcPr>
            <w:tcW w:w="7174" w:type="dxa"/>
            <w:shd w:val="clear" w:color="auto" w:fill="auto"/>
          </w:tcPr>
          <w:p w14:paraId="7386282E">
            <w:pPr>
              <w:pStyle w:val="33"/>
              <w:widowControl w:val="0"/>
              <w:spacing w:before="0" w:beforeAutospacing="0" w:after="0" w:afterAutospacing="0" w:line="360" w:lineRule="auto"/>
              <w:ind w:firstLine="240" w:firstLineChars="100"/>
              <w:jc w:val="both"/>
              <w:rPr>
                <w:rFonts w:hint="eastAsia" w:cs="宋体"/>
                <w:b w:val="0"/>
                <w:color w:val="000000" w:themeColor="text1"/>
                <w:sz w:val="24"/>
                <w:highlight w:val="none"/>
                <w14:textFill>
                  <w14:solidFill>
                    <w14:schemeClr w14:val="tx1"/>
                  </w14:solidFill>
                </w14:textFill>
              </w:rPr>
            </w:pPr>
            <w:r>
              <w:rPr>
                <w:rFonts w:hint="eastAsia" w:cs="宋体"/>
                <w:b w:val="0"/>
                <w:color w:val="000000" w:themeColor="text1"/>
                <w:sz w:val="24"/>
                <w:highlight w:val="none"/>
                <w14:textFill>
                  <w14:solidFill>
                    <w14:schemeClr w14:val="tx1"/>
                  </w14:solidFill>
                </w14:textFill>
              </w:rPr>
              <w:t>（1）金额：</w:t>
            </w:r>
          </w:p>
          <w:p w14:paraId="3B532850">
            <w:pPr>
              <w:pStyle w:val="33"/>
              <w:widowControl w:val="0"/>
              <w:spacing w:before="0" w:beforeAutospacing="0" w:after="0" w:afterAutospacing="0" w:line="360" w:lineRule="auto"/>
              <w:ind w:firstLine="482"/>
              <w:jc w:val="both"/>
              <w:rPr>
                <w:rFonts w:hint="eastAsia" w:cs="宋体"/>
                <w:b w:val="0"/>
                <w:color w:val="000000" w:themeColor="text1"/>
                <w:sz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w:t>
            </w:r>
            <w:r>
              <w:rPr>
                <w:rFonts w:hint="eastAsia" w:cs="宋体"/>
                <w:b w:val="0"/>
                <w:color w:val="000000" w:themeColor="text1"/>
                <w:sz w:val="24"/>
                <w:highlight w:val="none"/>
                <w14:textFill>
                  <w14:solidFill>
                    <w14:schemeClr w14:val="tx1"/>
                  </w14:solidFill>
                </w14:textFill>
              </w:rPr>
              <w:t>免收</w:t>
            </w:r>
          </w:p>
          <w:p w14:paraId="4733AC24">
            <w:pPr>
              <w:pStyle w:val="33"/>
              <w:widowControl w:val="0"/>
              <w:spacing w:before="0" w:beforeAutospacing="0" w:after="0" w:afterAutospacing="0" w:line="360" w:lineRule="auto"/>
              <w:ind w:firstLine="482"/>
              <w:jc w:val="both"/>
              <w:rPr>
                <w:rFonts w:hint="default" w:eastAsia="宋体" w:cs="宋体"/>
                <w:b/>
                <w:bCs/>
                <w:color w:val="000000" w:themeColor="text1"/>
                <w:sz w:val="24"/>
                <w:highlight w:val="none"/>
                <w:u w:val="single"/>
                <w:lang w:val="en-US" w:eastAsia="zh-CN"/>
                <w14:textFill>
                  <w14:solidFill>
                    <w14:schemeClr w14:val="tx1"/>
                  </w14:solidFill>
                </w14:textFill>
              </w:rPr>
            </w:pPr>
            <w:r>
              <w:rPr>
                <w:rFonts w:hint="eastAsia" w:cs="宋体"/>
                <w:b/>
                <w:bCs/>
                <w:color w:val="000000" w:themeColor="text1"/>
                <w:sz w:val="24"/>
                <w:szCs w:val="24"/>
                <w:highlight w:val="none"/>
                <w:lang w:eastAsia="zh-CN"/>
                <w14:textFill>
                  <w14:solidFill>
                    <w14:schemeClr w14:val="tx1"/>
                  </w14:solidFill>
                </w14:textFill>
              </w:rPr>
              <w:t>□</w:t>
            </w:r>
            <w:r>
              <w:rPr>
                <w:rFonts w:hint="eastAsia" w:cs="宋体"/>
                <w:b/>
                <w:bCs/>
                <w:color w:val="000000" w:themeColor="text1"/>
                <w:sz w:val="24"/>
                <w:highlight w:val="none"/>
                <w14:textFill>
                  <w14:solidFill>
                    <w14:schemeClr w14:val="tx1"/>
                  </w14:solidFill>
                </w14:textFill>
              </w:rPr>
              <w:t>定额收取：人民币</w:t>
            </w:r>
            <w:r>
              <w:rPr>
                <w:rFonts w:hint="eastAsia" w:cs="宋体"/>
                <w:b/>
                <w:bCs/>
                <w:color w:val="000000" w:themeColor="text1"/>
                <w:sz w:val="24"/>
                <w:highlight w:val="none"/>
                <w:u w:val="single"/>
                <w14:textFill>
                  <w14:solidFill>
                    <w14:schemeClr w14:val="tx1"/>
                  </w14:solidFill>
                </w14:textFill>
              </w:rPr>
              <w:t xml:space="preserve"> </w:t>
            </w:r>
            <w:r>
              <w:rPr>
                <w:rFonts w:hint="eastAsia" w:cs="宋体"/>
                <w:b/>
                <w:bCs/>
                <w:color w:val="000000" w:themeColor="text1"/>
                <w:sz w:val="24"/>
                <w:highlight w:val="none"/>
                <w:u w:val="single"/>
                <w:lang w:val="en-US" w:eastAsia="zh-CN"/>
                <w14:textFill>
                  <w14:solidFill>
                    <w14:schemeClr w14:val="tx1"/>
                  </w14:solidFill>
                </w14:textFill>
              </w:rPr>
              <w:t xml:space="preserve">    </w:t>
            </w:r>
            <w:r>
              <w:rPr>
                <w:rFonts w:hint="eastAsia" w:cs="宋体"/>
                <w:b/>
                <w:bCs/>
                <w:color w:val="000000" w:themeColor="text1"/>
                <w:sz w:val="24"/>
                <w:highlight w:val="none"/>
                <w14:textFill>
                  <w14:solidFill>
                    <w14:schemeClr w14:val="tx1"/>
                  </w14:solidFill>
                </w14:textFill>
              </w:rPr>
              <w:t>元</w:t>
            </w:r>
          </w:p>
          <w:p w14:paraId="1E20C118">
            <w:pPr>
              <w:pStyle w:val="33"/>
              <w:widowControl w:val="0"/>
              <w:spacing w:before="0" w:beforeAutospacing="0" w:after="0" w:afterAutospacing="0" w:line="360" w:lineRule="auto"/>
              <w:ind w:firstLine="482"/>
              <w:jc w:val="both"/>
              <w:rPr>
                <w:rFonts w:hint="eastAsia" w:cs="宋体"/>
                <w:color w:val="000000" w:themeColor="text1"/>
                <w:sz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sym w:font="Wingdings" w:char="00FE"/>
            </w:r>
            <w:r>
              <w:rPr>
                <w:rFonts w:hint="eastAsia" w:cs="宋体"/>
                <w:b w:val="0"/>
                <w:color w:val="000000" w:themeColor="text1"/>
                <w:sz w:val="24"/>
                <w:highlight w:val="none"/>
                <w14:textFill>
                  <w14:solidFill>
                    <w14:schemeClr w14:val="tx1"/>
                  </w14:solidFill>
                </w14:textFill>
              </w:rPr>
              <w:t>按下列标准收取：</w:t>
            </w:r>
            <w:r>
              <w:rPr>
                <w:rFonts w:hint="eastAsia" w:cs="宋体"/>
                <w:b w:val="0"/>
                <w:color w:val="000000" w:themeColor="text1"/>
                <w:sz w:val="24"/>
                <w:highlight w:val="none"/>
                <w:u w:val="single"/>
                <w14:textFill>
                  <w14:solidFill>
                    <w14:schemeClr w14:val="tx1"/>
                  </w14:solidFill>
                </w14:textFill>
              </w:rPr>
              <w:t xml:space="preserve"> 详见招标文件第三章投标人须知正文</w:t>
            </w:r>
            <w:r>
              <w:rPr>
                <w:rFonts w:hint="eastAsia" w:cs="宋体"/>
                <w:b w:val="0"/>
                <w:bCs w:val="0"/>
                <w:color w:val="000000" w:themeColor="text1"/>
                <w:sz w:val="24"/>
                <w:highlight w:val="none"/>
                <w:u w:val="single"/>
                <w14:textFill>
                  <w14:solidFill>
                    <w14:schemeClr w14:val="tx1"/>
                  </w14:solidFill>
                </w14:textFill>
              </w:rPr>
              <w:t>（如不足4000元的，按4000元收取）</w:t>
            </w:r>
          </w:p>
          <w:p w14:paraId="7A31B010">
            <w:pPr>
              <w:pStyle w:val="33"/>
              <w:widowControl w:val="0"/>
              <w:spacing w:before="0" w:beforeAutospacing="0" w:after="0" w:afterAutospacing="0" w:line="360" w:lineRule="auto"/>
              <w:ind w:firstLine="480"/>
              <w:jc w:val="both"/>
              <w:rPr>
                <w:rFonts w:hint="eastAsia" w:cs="宋体"/>
                <w:b w:val="0"/>
                <w:color w:val="000000" w:themeColor="text1"/>
                <w:sz w:val="24"/>
                <w:highlight w:val="none"/>
                <w14:textFill>
                  <w14:solidFill>
                    <w14:schemeClr w14:val="tx1"/>
                  </w14:solidFill>
                </w14:textFill>
              </w:rPr>
            </w:pPr>
            <w:r>
              <w:rPr>
                <w:rFonts w:hint="eastAsia" w:cs="宋体"/>
                <w:b w:val="0"/>
                <w:color w:val="000000" w:themeColor="text1"/>
                <w:sz w:val="24"/>
                <w:highlight w:val="none"/>
                <w14:textFill>
                  <w14:solidFill>
                    <w14:schemeClr w14:val="tx1"/>
                  </w14:solidFill>
                </w14:textFill>
              </w:rPr>
              <w:t>（2）支付方式：</w:t>
            </w:r>
            <w:r>
              <w:rPr>
                <w:rFonts w:hint="eastAsia" w:cs="宋体"/>
                <w:color w:val="000000" w:themeColor="text1"/>
                <w:sz w:val="24"/>
                <w:szCs w:val="24"/>
                <w:highlight w:val="none"/>
                <w14:textFill>
                  <w14:solidFill>
                    <w14:schemeClr w14:val="tx1"/>
                  </w14:solidFill>
                </w14:textFill>
              </w:rPr>
              <w:sym w:font="Wingdings" w:char="00FE"/>
            </w:r>
            <w:r>
              <w:rPr>
                <w:rFonts w:hint="eastAsia" w:cs="宋体"/>
                <w:b w:val="0"/>
                <w:color w:val="000000" w:themeColor="text1"/>
                <w:sz w:val="24"/>
                <w:highlight w:val="none"/>
                <w14:textFill>
                  <w14:solidFill>
                    <w14:schemeClr w14:val="tx1"/>
                  </w14:solidFill>
                </w14:textFill>
              </w:rPr>
              <w:t>转账/电汇</w:t>
            </w:r>
          </w:p>
          <w:p w14:paraId="1F8195B9">
            <w:pPr>
              <w:pStyle w:val="33"/>
              <w:widowControl w:val="0"/>
              <w:spacing w:before="0" w:beforeAutospacing="0" w:after="0" w:afterAutospacing="0" w:line="360" w:lineRule="auto"/>
              <w:ind w:firstLine="480"/>
              <w:jc w:val="both"/>
              <w:rPr>
                <w:rFonts w:hint="eastAsia" w:eastAsia="宋体" w:cs="宋体"/>
                <w:b w:val="0"/>
                <w:bCs w:val="0"/>
                <w:color w:val="000000" w:themeColor="text1"/>
                <w:sz w:val="24"/>
                <w:szCs w:val="24"/>
                <w:highlight w:val="none"/>
                <w:u w:val="none"/>
                <w:lang w:eastAsia="zh-CN"/>
                <w14:textFill>
                  <w14:solidFill>
                    <w14:schemeClr w14:val="tx1"/>
                  </w14:solidFill>
                </w14:textFill>
              </w:rPr>
            </w:pPr>
            <w:r>
              <w:rPr>
                <w:rFonts w:hint="eastAsia" w:cs="宋体"/>
                <w:b w:val="0"/>
                <w:bCs w:val="0"/>
                <w:color w:val="000000" w:themeColor="text1"/>
                <w:sz w:val="24"/>
                <w:szCs w:val="24"/>
                <w:highlight w:val="none"/>
                <w:u w:val="none"/>
                <w14:textFill>
                  <w14:solidFill>
                    <w14:schemeClr w14:val="tx1"/>
                  </w14:solidFill>
                </w14:textFill>
              </w:rPr>
              <w:t>（3）收取单位：</w:t>
            </w:r>
            <w:r>
              <w:rPr>
                <w:rFonts w:hint="eastAsia" w:cs="宋体"/>
                <w:b w:val="0"/>
                <w:bCs w:val="0"/>
                <w:color w:val="000000" w:themeColor="text1"/>
                <w:sz w:val="24"/>
                <w:szCs w:val="24"/>
                <w:highlight w:val="none"/>
                <w:u w:val="none"/>
                <w:lang w:eastAsia="zh-CN"/>
                <w14:textFill>
                  <w14:solidFill>
                    <w14:schemeClr w14:val="tx1"/>
                  </w14:solidFill>
                </w14:textFill>
              </w:rPr>
              <w:t>肥西县公共资源交易有限责任公司</w:t>
            </w:r>
          </w:p>
          <w:p w14:paraId="661F5334">
            <w:pPr>
              <w:pStyle w:val="33"/>
              <w:widowControl w:val="0"/>
              <w:spacing w:before="0" w:beforeAutospacing="0" w:after="0" w:afterAutospacing="0" w:line="360" w:lineRule="auto"/>
              <w:ind w:firstLine="480"/>
              <w:jc w:val="both"/>
              <w:rPr>
                <w:rFonts w:hint="eastAsia" w:cs="宋体"/>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u w:val="none"/>
                <w14:textFill>
                  <w14:solidFill>
                    <w14:schemeClr w14:val="tx1"/>
                  </w14:solidFill>
                </w14:textFill>
              </w:rPr>
              <w:t>（4）缴纳时间：</w:t>
            </w:r>
            <w:r>
              <w:rPr>
                <w:rFonts w:hint="eastAsia" w:cs="宋体"/>
                <w:b w:val="0"/>
                <w:bCs w:val="0"/>
                <w:color w:val="000000" w:themeColor="text1"/>
                <w:sz w:val="24"/>
                <w:szCs w:val="24"/>
                <w:highlight w:val="none"/>
                <w:u w:val="none"/>
                <w:lang w:val="en-US" w:eastAsia="zh-CN"/>
                <w14:textFill>
                  <w14:solidFill>
                    <w14:schemeClr w14:val="tx1"/>
                  </w14:solidFill>
                </w14:textFill>
              </w:rPr>
              <w:t>中标</w:t>
            </w:r>
            <w:r>
              <w:rPr>
                <w:rFonts w:hint="eastAsia" w:cs="宋体"/>
                <w:b w:val="0"/>
                <w:bCs w:val="0"/>
                <w:color w:val="000000" w:themeColor="text1"/>
                <w:sz w:val="24"/>
                <w:szCs w:val="24"/>
                <w:highlight w:val="none"/>
                <w:u w:val="none"/>
                <w14:textFill>
                  <w14:solidFill>
                    <w14:schemeClr w14:val="tx1"/>
                  </w14:solidFill>
                </w14:textFill>
              </w:rPr>
              <w:t>通知书发放后三个工作日内</w:t>
            </w:r>
          </w:p>
        </w:tc>
      </w:tr>
      <w:tr w14:paraId="1230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5" w:type="dxa"/>
            <w:shd w:val="clear" w:color="auto" w:fill="auto"/>
            <w:vAlign w:val="center"/>
          </w:tcPr>
          <w:p w14:paraId="51210475">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szCs w:val="24"/>
                <w:highlight w:val="none"/>
                <w:lang w:val="en-US" w:eastAsia="zh-CN"/>
                <w14:textFill>
                  <w14:solidFill>
                    <w14:schemeClr w14:val="tx1"/>
                  </w14:solidFill>
                </w14:textFill>
              </w:rPr>
              <w:t>2</w:t>
            </w:r>
          </w:p>
        </w:tc>
        <w:tc>
          <w:tcPr>
            <w:tcW w:w="1515" w:type="dxa"/>
            <w:shd w:val="clear" w:color="auto" w:fill="auto"/>
            <w:vAlign w:val="center"/>
          </w:tcPr>
          <w:p w14:paraId="116222F2">
            <w:pPr>
              <w:pStyle w:val="33"/>
              <w:widowControl w:val="0"/>
              <w:spacing w:before="0" w:beforeAutospacing="0" w:after="0" w:afterAutospacing="0" w:line="360" w:lineRule="auto"/>
              <w:jc w:val="both"/>
              <w:rPr>
                <w:rFonts w:hint="eastAsia" w:cs="宋体"/>
                <w:color w:val="000000" w:themeColor="text1"/>
                <w:sz w:val="24"/>
                <w:szCs w:val="24"/>
                <w:highlight w:val="none"/>
                <w14:textFill>
                  <w14:solidFill>
                    <w14:schemeClr w14:val="tx1"/>
                  </w14:solidFill>
                </w14:textFill>
              </w:rPr>
            </w:pPr>
            <w:r>
              <w:rPr>
                <w:rFonts w:hint="eastAsia" w:cs="宋体"/>
                <w:b w:val="0"/>
                <w:color w:val="000000" w:themeColor="text1"/>
                <w:sz w:val="24"/>
                <w:highlight w:val="none"/>
                <w14:textFill>
                  <w14:solidFill>
                    <w14:schemeClr w14:val="tx1"/>
                  </w14:solidFill>
                </w14:textFill>
              </w:rPr>
              <w:t>履约保证金</w:t>
            </w:r>
          </w:p>
        </w:tc>
        <w:tc>
          <w:tcPr>
            <w:tcW w:w="7174" w:type="dxa"/>
            <w:shd w:val="clear" w:color="auto" w:fill="auto"/>
          </w:tcPr>
          <w:p w14:paraId="49AC46D9">
            <w:pPr>
              <w:adjustRightInd w:val="0"/>
              <w:snapToGrid w:val="0"/>
              <w:spacing w:line="440" w:lineRule="exact"/>
              <w:rPr>
                <w:rFonts w:hint="default" w:ascii="宋体" w:hAnsi="宋体" w:eastAsia="宋体"/>
                <w:color w:val="000000" w:themeColor="text1"/>
                <w:szCs w:val="24"/>
                <w:highlight w:val="none"/>
                <w:u w:val="single"/>
                <w:lang w:val="en-US"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1.履约保证金数额：</w:t>
            </w:r>
            <w:r>
              <w:rPr>
                <w:rFonts w:hint="eastAsia" w:ascii="宋体" w:hAnsi="宋体"/>
                <w:color w:val="000000" w:themeColor="text1"/>
                <w:szCs w:val="24"/>
                <w:highlight w:val="none"/>
                <w:u w:val="single"/>
                <w:lang w:val="en-US" w:eastAsia="zh-CN"/>
                <w14:textFill>
                  <w14:solidFill>
                    <w14:schemeClr w14:val="tx1"/>
                  </w14:solidFill>
                </w14:textFill>
              </w:rPr>
              <w:t xml:space="preserve">  /</w:t>
            </w:r>
          </w:p>
          <w:p w14:paraId="1B514DAA">
            <w:pPr>
              <w:spacing w:line="440" w:lineRule="exact"/>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2.收受方式为</w:t>
            </w:r>
            <w:r>
              <w:rPr>
                <w:rFonts w:hint="eastAsia" w:ascii="宋体" w:hAnsi="宋体" w:cs="宋体"/>
                <w:color w:val="000000" w:themeColor="text1"/>
                <w:szCs w:val="24"/>
                <w:highlight w:val="none"/>
                <w14:textFill>
                  <w14:solidFill>
                    <w14:schemeClr w14:val="tx1"/>
                  </w14:solidFill>
                </w14:textFill>
              </w:rPr>
              <w:t>：</w:t>
            </w:r>
            <w:r>
              <w:rPr>
                <w:rFonts w:ascii="宋体" w:hAnsi="宋体"/>
                <w:color w:val="000000" w:themeColor="text1"/>
                <w:szCs w:val="24"/>
                <w:highlight w:val="none"/>
                <w14:textFill>
                  <w14:solidFill>
                    <w14:schemeClr w14:val="tx1"/>
                  </w14:solidFill>
                </w14:textFill>
              </w:rPr>
              <w:sym w:font="Wingdings" w:char="00FE"/>
            </w:r>
            <w:r>
              <w:rPr>
                <w:rFonts w:hint="eastAsia" w:ascii="宋体" w:hAnsi="宋体" w:cs="宋体"/>
                <w:color w:val="000000" w:themeColor="text1"/>
                <w:szCs w:val="24"/>
                <w:highlight w:val="none"/>
                <w14:textFill>
                  <w14:solidFill>
                    <w14:schemeClr w14:val="tx1"/>
                  </w14:solidFill>
                </w14:textFill>
              </w:rPr>
              <w:t xml:space="preserve">现金保证  </w:t>
            </w:r>
            <w:r>
              <w:rPr>
                <w:rFonts w:ascii="宋体" w:hAnsi="宋体"/>
                <w:color w:val="000000" w:themeColor="text1"/>
                <w:szCs w:val="24"/>
                <w:highlight w:val="none"/>
                <w14:textFill>
                  <w14:solidFill>
                    <w14:schemeClr w14:val="tx1"/>
                  </w14:solidFill>
                </w14:textFill>
              </w:rPr>
              <w:sym w:font="Wingdings" w:char="00FE"/>
            </w:r>
            <w:r>
              <w:rPr>
                <w:rFonts w:hint="eastAsia" w:ascii="宋体" w:hAnsi="宋体" w:cs="宋体"/>
                <w:color w:val="000000" w:themeColor="text1"/>
                <w:szCs w:val="24"/>
                <w:highlight w:val="none"/>
                <w14:textFill>
                  <w14:solidFill>
                    <w14:schemeClr w14:val="tx1"/>
                  </w14:solidFill>
                </w14:textFill>
              </w:rPr>
              <w:t>现金支票</w:t>
            </w:r>
            <w:r>
              <w:rPr>
                <w:rFonts w:hint="eastAsia" w:ascii="宋体" w:hAnsi="宋体"/>
                <w:color w:val="000000" w:themeColor="text1"/>
                <w:szCs w:val="24"/>
                <w:highlight w:val="none"/>
                <w14:textFill>
                  <w14:solidFill>
                    <w14:schemeClr w14:val="tx1"/>
                  </w14:solidFill>
                </w14:textFill>
              </w:rPr>
              <w:t xml:space="preserve">  </w:t>
            </w:r>
            <w:r>
              <w:rPr>
                <w:rFonts w:ascii="宋体" w:hAnsi="宋体"/>
                <w:color w:val="000000" w:themeColor="text1"/>
                <w:szCs w:val="24"/>
                <w:highlight w:val="none"/>
                <w14:textFill>
                  <w14:solidFill>
                    <w14:schemeClr w14:val="tx1"/>
                  </w14:solidFill>
                </w14:textFill>
              </w:rPr>
              <w:sym w:font="Wingdings" w:char="00FE"/>
            </w:r>
            <w:r>
              <w:rPr>
                <w:rFonts w:hint="eastAsia" w:ascii="宋体" w:hAnsi="宋体" w:cs="宋体"/>
                <w:color w:val="000000" w:themeColor="text1"/>
                <w:szCs w:val="24"/>
                <w:highlight w:val="none"/>
                <w14:textFill>
                  <w14:solidFill>
                    <w14:schemeClr w14:val="tx1"/>
                  </w14:solidFill>
                </w14:textFill>
              </w:rPr>
              <w:t>银行汇</w:t>
            </w:r>
            <w:r>
              <w:rPr>
                <w:rFonts w:hint="eastAsia" w:ascii="宋体" w:hAnsi="宋体"/>
                <w:color w:val="000000" w:themeColor="text1"/>
                <w:szCs w:val="24"/>
                <w:highlight w:val="none"/>
                <w14:textFill>
                  <w14:solidFill>
                    <w14:schemeClr w14:val="tx1"/>
                  </w14:solidFill>
                </w14:textFill>
              </w:rPr>
              <w:t>票</w:t>
            </w:r>
          </w:p>
          <w:p w14:paraId="6913E4DE">
            <w:pPr>
              <w:spacing w:line="440" w:lineRule="exact"/>
              <w:ind w:left="874" w:leftChars="114" w:hanging="600" w:hangingChars="250"/>
              <w:rPr>
                <w:rFonts w:hint="eastAsia"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sym w:font="Wingdings" w:char="00FE"/>
            </w:r>
            <w:r>
              <w:rPr>
                <w:rFonts w:hint="eastAsia" w:ascii="宋体" w:hAnsi="宋体" w:cs="宋体"/>
                <w:color w:val="000000" w:themeColor="text1"/>
                <w:szCs w:val="24"/>
                <w:highlight w:val="none"/>
                <w14:textFill>
                  <w14:solidFill>
                    <w14:schemeClr w14:val="tx1"/>
                  </w14:solidFill>
                </w14:textFill>
              </w:rPr>
              <w:t>银行保函</w:t>
            </w:r>
            <w:r>
              <w:rPr>
                <w:rFonts w:hint="eastAsia" w:ascii="宋体" w:hAnsi="宋体"/>
                <w:color w:val="000000" w:themeColor="text1"/>
                <w:szCs w:val="24"/>
                <w:highlight w:val="none"/>
                <w14:textFill>
                  <w14:solidFill>
                    <w14:schemeClr w14:val="tx1"/>
                  </w14:solidFill>
                </w14:textFill>
              </w:rPr>
              <w:t xml:space="preserve">  </w:t>
            </w:r>
            <w:r>
              <w:rPr>
                <w:rFonts w:ascii="宋体" w:hAnsi="宋体"/>
                <w:color w:val="000000" w:themeColor="text1"/>
                <w:szCs w:val="24"/>
                <w:highlight w:val="none"/>
                <w14:textFill>
                  <w14:solidFill>
                    <w14:schemeClr w14:val="tx1"/>
                  </w14:solidFill>
                </w14:textFill>
              </w:rPr>
              <w:sym w:font="Wingdings" w:char="00FE"/>
            </w:r>
            <w:r>
              <w:rPr>
                <w:rFonts w:hint="eastAsia" w:ascii="宋体" w:hAnsi="宋体" w:cs="宋体"/>
                <w:color w:val="000000" w:themeColor="text1"/>
                <w:szCs w:val="24"/>
                <w:highlight w:val="none"/>
                <w14:textFill>
                  <w14:solidFill>
                    <w14:schemeClr w14:val="tx1"/>
                  </w14:solidFill>
                </w14:textFill>
              </w:rPr>
              <w:t>银行转账</w:t>
            </w:r>
          </w:p>
          <w:p w14:paraId="2590BD1E">
            <w:pPr>
              <w:spacing w:line="440" w:lineRule="exact"/>
              <w:rPr>
                <w:rFonts w:hint="eastAsia" w:ascii="宋体" w:hAnsi="宋体" w:eastAsia="宋体"/>
                <w:color w:val="000000" w:themeColor="text1"/>
                <w:szCs w:val="24"/>
                <w:highlight w:val="none"/>
                <w:lang w:eastAsia="zh-CN"/>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3.收受人为:</w:t>
            </w:r>
            <w:r>
              <w:rPr>
                <w:rFonts w:ascii="宋体" w:hAnsi="宋体"/>
                <w:color w:val="000000" w:themeColor="text1"/>
                <w:szCs w:val="24"/>
                <w:highlight w:val="none"/>
                <w14:textFill>
                  <w14:solidFill>
                    <w14:schemeClr w14:val="tx1"/>
                  </w14:solidFill>
                </w14:textFill>
              </w:rPr>
              <w:t xml:space="preserve"> </w:t>
            </w:r>
            <w:r>
              <w:rPr>
                <w:rFonts w:ascii="宋体" w:hAnsi="宋体"/>
                <w:color w:val="000000" w:themeColor="text1"/>
                <w:szCs w:val="24"/>
                <w:highlight w:val="none"/>
                <w14:textFill>
                  <w14:solidFill>
                    <w14:schemeClr w14:val="tx1"/>
                  </w14:solidFill>
                </w14:textFill>
              </w:rPr>
              <w:sym w:font="Wingdings" w:char="F0FE"/>
            </w:r>
            <w:r>
              <w:rPr>
                <w:rFonts w:hint="eastAsia" w:ascii="宋体" w:hAnsi="宋体"/>
                <w:color w:val="000000" w:themeColor="text1"/>
                <w:szCs w:val="24"/>
                <w:highlight w:val="none"/>
                <w:lang w:eastAsia="zh-CN"/>
                <w14:textFill>
                  <w14:solidFill>
                    <w14:schemeClr w14:val="tx1"/>
                  </w14:solidFill>
                </w14:textFill>
              </w:rPr>
              <w:t>招标人</w:t>
            </w:r>
            <w:r>
              <w:rPr>
                <w:rFonts w:hint="eastAsia" w:ascii="宋体" w:hAnsi="宋体"/>
                <w:color w:val="000000" w:themeColor="text1"/>
                <w:szCs w:val="24"/>
                <w:highlight w:val="none"/>
                <w14:textFill>
                  <w14:solidFill>
                    <w14:schemeClr w14:val="tx1"/>
                  </w14:solidFill>
                </w14:textFill>
              </w:rPr>
              <w:t>、</w:t>
            </w:r>
            <w:r>
              <w:rPr>
                <w:rFonts w:ascii="宋体" w:hAnsi="宋体"/>
                <w:color w:val="000000" w:themeColor="text1"/>
                <w:szCs w:val="24"/>
                <w:highlight w:val="none"/>
                <w14:textFill>
                  <w14:solidFill>
                    <w14:schemeClr w14:val="tx1"/>
                  </w14:solidFill>
                </w14:textFill>
              </w:rPr>
              <w:sym w:font="Wingdings" w:char="F0FE"/>
            </w:r>
            <w:r>
              <w:rPr>
                <w:rFonts w:hint="eastAsia" w:ascii="宋体" w:hAnsi="宋体"/>
                <w:color w:val="000000" w:themeColor="text1"/>
                <w:szCs w:val="24"/>
                <w:highlight w:val="none"/>
                <w14:textFill>
                  <w14:solidFill>
                    <w14:schemeClr w14:val="tx1"/>
                  </w14:solidFill>
                </w14:textFill>
              </w:rPr>
              <w:t>委托人、□</w:t>
            </w:r>
            <w:r>
              <w:rPr>
                <w:rFonts w:hint="eastAsia" w:ascii="宋体" w:hAnsi="宋体"/>
                <w:color w:val="000000" w:themeColor="text1"/>
                <w:szCs w:val="24"/>
                <w:highlight w:val="none"/>
                <w:lang w:eastAsia="zh-CN"/>
                <w14:textFill>
                  <w14:solidFill>
                    <w14:schemeClr w14:val="tx1"/>
                  </w14:solidFill>
                </w14:textFill>
              </w:rPr>
              <w:t>肥西县公共资源交易有限责任公司</w:t>
            </w:r>
          </w:p>
          <w:p w14:paraId="1966BC4A">
            <w:pPr>
              <w:adjustRightInd w:val="0"/>
              <w:snapToGrid w:val="0"/>
              <w:spacing w:line="440" w:lineRule="exact"/>
              <w:jc w:val="left"/>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4.提交时限：合同签订前按规定提交履约保证金，若</w:t>
            </w:r>
            <w:r>
              <w:rPr>
                <w:rFonts w:hint="eastAsia" w:ascii="宋体" w:hAnsi="宋体"/>
                <w:color w:val="000000" w:themeColor="text1"/>
                <w:szCs w:val="24"/>
                <w:highlight w:val="none"/>
                <w:lang w:val="en-US" w:eastAsia="zh-CN"/>
                <w14:textFill>
                  <w14:solidFill>
                    <w14:schemeClr w14:val="tx1"/>
                  </w14:solidFill>
                </w14:textFill>
              </w:rPr>
              <w:t>中标</w:t>
            </w:r>
            <w:r>
              <w:rPr>
                <w:rFonts w:hint="eastAsia" w:ascii="宋体" w:hAnsi="宋体"/>
                <w:color w:val="000000" w:themeColor="text1"/>
                <w:szCs w:val="24"/>
                <w:highlight w:val="none"/>
                <w14:textFill>
                  <w14:solidFill>
                    <w14:schemeClr w14:val="tx1"/>
                  </w14:solidFill>
                </w14:textFill>
              </w:rPr>
              <w:t>人在规定时限内未提交</w:t>
            </w:r>
            <w:r>
              <w:rPr>
                <w:rFonts w:hint="eastAsia" w:ascii="宋体" w:hAnsi="宋体"/>
                <w:color w:val="000000" w:themeColor="text1"/>
                <w:szCs w:val="24"/>
                <w:highlight w:val="none"/>
                <w:lang w:val="en-US" w:eastAsia="zh-CN"/>
                <w14:textFill>
                  <w14:solidFill>
                    <w14:schemeClr w14:val="tx1"/>
                  </w14:solidFill>
                </w14:textFill>
              </w:rPr>
              <w:t>履约</w:t>
            </w:r>
            <w:r>
              <w:rPr>
                <w:rFonts w:hint="eastAsia" w:ascii="宋体" w:hAnsi="宋体"/>
                <w:color w:val="000000" w:themeColor="text1"/>
                <w:szCs w:val="24"/>
                <w:highlight w:val="none"/>
                <w14:textFill>
                  <w14:solidFill>
                    <w14:schemeClr w14:val="tx1"/>
                  </w14:solidFill>
                </w14:textFill>
              </w:rPr>
              <w:t>保证金的，</w:t>
            </w:r>
            <w:r>
              <w:rPr>
                <w:rFonts w:hint="eastAsia" w:ascii="宋体" w:hAnsi="宋体"/>
                <w:color w:val="000000" w:themeColor="text1"/>
                <w:szCs w:val="24"/>
                <w:highlight w:val="none"/>
                <w:lang w:val="en-US" w:eastAsia="zh-CN"/>
                <w14:textFill>
                  <w14:solidFill>
                    <w14:schemeClr w14:val="tx1"/>
                  </w14:solidFill>
                </w14:textFill>
              </w:rPr>
              <w:t>招标人</w:t>
            </w:r>
            <w:r>
              <w:rPr>
                <w:rFonts w:hint="eastAsia" w:ascii="宋体" w:hAnsi="宋体"/>
                <w:color w:val="000000" w:themeColor="text1"/>
                <w:szCs w:val="24"/>
                <w:highlight w:val="none"/>
                <w14:textFill>
                  <w14:solidFill>
                    <w14:schemeClr w14:val="tx1"/>
                  </w14:solidFill>
                </w14:textFill>
              </w:rPr>
              <w:t>将书面通知</w:t>
            </w:r>
            <w:r>
              <w:rPr>
                <w:rFonts w:hint="eastAsia" w:ascii="宋体" w:hAnsi="宋体"/>
                <w:color w:val="000000" w:themeColor="text1"/>
                <w:szCs w:val="24"/>
                <w:highlight w:val="none"/>
                <w:lang w:val="en-US" w:eastAsia="zh-CN"/>
                <w14:textFill>
                  <w14:solidFill>
                    <w14:schemeClr w14:val="tx1"/>
                  </w14:solidFill>
                </w14:textFill>
              </w:rPr>
              <w:t>中标人</w:t>
            </w:r>
            <w:r>
              <w:rPr>
                <w:rFonts w:hint="eastAsia" w:ascii="宋体" w:hAnsi="宋体"/>
                <w:color w:val="000000" w:themeColor="text1"/>
                <w:szCs w:val="24"/>
                <w:highlight w:val="none"/>
                <w14:textFill>
                  <w14:solidFill>
                    <w14:schemeClr w14:val="tx1"/>
                  </w14:solidFill>
                </w14:textFill>
              </w:rPr>
              <w:t>，5日内不能办理的，</w:t>
            </w:r>
            <w:r>
              <w:rPr>
                <w:rFonts w:hint="eastAsia" w:ascii="宋体" w:hAnsi="宋体"/>
                <w:color w:val="000000" w:themeColor="text1"/>
                <w:szCs w:val="24"/>
                <w:highlight w:val="none"/>
                <w:lang w:val="en-US" w:eastAsia="zh-CN"/>
                <w14:textFill>
                  <w14:solidFill>
                    <w14:schemeClr w14:val="tx1"/>
                  </w14:solidFill>
                </w14:textFill>
              </w:rPr>
              <w:t>招标人</w:t>
            </w:r>
            <w:r>
              <w:rPr>
                <w:rFonts w:hint="eastAsia" w:ascii="宋体" w:hAnsi="宋体"/>
                <w:color w:val="000000" w:themeColor="text1"/>
                <w:szCs w:val="24"/>
                <w:highlight w:val="none"/>
                <w14:textFill>
                  <w14:solidFill>
                    <w14:schemeClr w14:val="tx1"/>
                  </w14:solidFill>
                </w14:textFill>
              </w:rPr>
              <w:t>将有权取消其</w:t>
            </w:r>
            <w:r>
              <w:rPr>
                <w:rFonts w:hint="eastAsia" w:ascii="宋体" w:hAnsi="宋体"/>
                <w:color w:val="000000" w:themeColor="text1"/>
                <w:szCs w:val="24"/>
                <w:highlight w:val="none"/>
                <w:lang w:val="en-US" w:eastAsia="zh-CN"/>
                <w14:textFill>
                  <w14:solidFill>
                    <w14:schemeClr w14:val="tx1"/>
                  </w14:solidFill>
                </w14:textFill>
              </w:rPr>
              <w:t>中标</w:t>
            </w:r>
            <w:r>
              <w:rPr>
                <w:rFonts w:hint="eastAsia" w:ascii="宋体" w:hAnsi="宋体"/>
                <w:color w:val="000000" w:themeColor="text1"/>
                <w:szCs w:val="24"/>
                <w:highlight w:val="none"/>
                <w14:textFill>
                  <w14:solidFill>
                    <w14:schemeClr w14:val="tx1"/>
                  </w14:solidFill>
                </w14:textFill>
              </w:rPr>
              <w:t>资格,并没收其</w:t>
            </w:r>
            <w:r>
              <w:rPr>
                <w:rFonts w:hint="eastAsia" w:ascii="宋体" w:hAnsi="宋体"/>
                <w:color w:val="000000" w:themeColor="text1"/>
                <w:szCs w:val="24"/>
                <w:highlight w:val="none"/>
                <w:lang w:val="en-US" w:eastAsia="zh-CN"/>
                <w14:textFill>
                  <w14:solidFill>
                    <w14:schemeClr w14:val="tx1"/>
                  </w14:solidFill>
                </w14:textFill>
              </w:rPr>
              <w:t>履约</w:t>
            </w:r>
            <w:r>
              <w:rPr>
                <w:rFonts w:hint="eastAsia" w:ascii="宋体" w:hAnsi="宋体"/>
                <w:color w:val="000000" w:themeColor="text1"/>
                <w:szCs w:val="24"/>
                <w:highlight w:val="none"/>
                <w14:textFill>
                  <w14:solidFill>
                    <w14:schemeClr w14:val="tx1"/>
                  </w14:solidFill>
                </w14:textFill>
              </w:rPr>
              <w:t>保证金。在此情况下</w:t>
            </w:r>
            <w:r>
              <w:rPr>
                <w:rFonts w:hint="eastAsia" w:ascii="宋体" w:hAnsi="宋体"/>
                <w:color w:val="000000" w:themeColor="text1"/>
                <w:szCs w:val="24"/>
                <w:highlight w:val="none"/>
                <w:lang w:val="en-US" w:eastAsia="zh-CN"/>
                <w14:textFill>
                  <w14:solidFill>
                    <w14:schemeClr w14:val="tx1"/>
                  </w14:solidFill>
                </w14:textFill>
              </w:rPr>
              <w:t>招标人</w:t>
            </w:r>
            <w:r>
              <w:rPr>
                <w:rFonts w:hint="eastAsia" w:ascii="宋体" w:hAnsi="宋体"/>
                <w:color w:val="000000" w:themeColor="text1"/>
                <w:szCs w:val="24"/>
                <w:highlight w:val="none"/>
                <w14:textFill>
                  <w14:solidFill>
                    <w14:schemeClr w14:val="tx1"/>
                  </w14:solidFill>
                </w14:textFill>
              </w:rPr>
              <w:t>可将该项目授予排名第二的</w:t>
            </w:r>
            <w:r>
              <w:rPr>
                <w:rFonts w:hint="eastAsia" w:ascii="宋体" w:hAnsi="宋体"/>
                <w:color w:val="000000" w:themeColor="text1"/>
                <w:szCs w:val="24"/>
                <w:highlight w:val="none"/>
                <w:lang w:val="en-US" w:eastAsia="zh-CN"/>
                <w14:textFill>
                  <w14:solidFill>
                    <w14:schemeClr w14:val="tx1"/>
                  </w14:solidFill>
                </w14:textFill>
              </w:rPr>
              <w:t>中标候选</w:t>
            </w:r>
            <w:r>
              <w:rPr>
                <w:rFonts w:hint="eastAsia" w:ascii="宋体" w:hAnsi="宋体"/>
                <w:color w:val="000000" w:themeColor="text1"/>
                <w:szCs w:val="24"/>
                <w:highlight w:val="none"/>
                <w14:textFill>
                  <w14:solidFill>
                    <w14:schemeClr w14:val="tx1"/>
                  </w14:solidFill>
                </w14:textFill>
              </w:rPr>
              <w:t>人或重新招标。</w:t>
            </w:r>
          </w:p>
          <w:p w14:paraId="020F479A">
            <w:pPr>
              <w:adjustRightInd w:val="0"/>
              <w:snapToGrid w:val="0"/>
              <w:spacing w:line="440" w:lineRule="exact"/>
              <w:jc w:val="left"/>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5.退还：合同终止且无</w:t>
            </w:r>
            <w:r>
              <w:rPr>
                <w:rFonts w:hint="eastAsia" w:ascii="宋体" w:hAnsi="宋体"/>
                <w:color w:val="000000" w:themeColor="text1"/>
                <w:szCs w:val="24"/>
                <w:highlight w:val="none"/>
                <w:lang w:val="en-US" w:eastAsia="zh-CN"/>
                <w14:textFill>
                  <w14:solidFill>
                    <w14:schemeClr w14:val="tx1"/>
                  </w14:solidFill>
                </w14:textFill>
              </w:rPr>
              <w:t>中标</w:t>
            </w:r>
            <w:r>
              <w:rPr>
                <w:rFonts w:hint="eastAsia" w:ascii="宋体" w:hAnsi="宋体"/>
                <w:color w:val="000000" w:themeColor="text1"/>
                <w:szCs w:val="24"/>
                <w:highlight w:val="none"/>
                <w14:textFill>
                  <w14:solidFill>
                    <w14:schemeClr w14:val="tx1"/>
                  </w14:solidFill>
                </w14:textFill>
              </w:rPr>
              <w:t>人责任后，一个月内退还。</w:t>
            </w:r>
          </w:p>
          <w:p w14:paraId="1146D191">
            <w:pPr>
              <w:adjustRightInd w:val="0"/>
              <w:snapToGrid w:val="0"/>
              <w:spacing w:line="440" w:lineRule="exact"/>
              <w:rPr>
                <w:rFonts w:hint="eastAsia"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6.如采用银行保函，</w:t>
            </w:r>
            <w:r>
              <w:rPr>
                <w:rFonts w:hint="eastAsia" w:ascii="Times New Roman" w:hAnsi="Times New Roman" w:cs="宋体"/>
                <w:color w:val="000000" w:themeColor="text1"/>
                <w:sz w:val="24"/>
                <w:szCs w:val="24"/>
                <w:highlight w:val="none"/>
                <w14:textFill>
                  <w14:solidFill>
                    <w14:schemeClr w14:val="tx1"/>
                  </w14:solidFill>
                </w14:textFill>
              </w:rPr>
              <w:t>应为不可撤销、不可转让的见索即付独立保函</w:t>
            </w:r>
            <w:r>
              <w:rPr>
                <w:rFonts w:hint="eastAsia" w:ascii="宋体" w:hAnsi="宋体"/>
                <w:color w:val="000000" w:themeColor="text1"/>
                <w:szCs w:val="24"/>
                <w:highlight w:val="none"/>
                <w14:textFill>
                  <w14:solidFill>
                    <w14:schemeClr w14:val="tx1"/>
                  </w14:solidFill>
                </w14:textFill>
              </w:rPr>
              <w:t>。</w:t>
            </w:r>
          </w:p>
        </w:tc>
      </w:tr>
      <w:tr w14:paraId="272F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75" w:type="dxa"/>
            <w:shd w:val="clear" w:color="auto" w:fill="auto"/>
            <w:vAlign w:val="center"/>
          </w:tcPr>
          <w:p w14:paraId="321A6AE8">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szCs w:val="24"/>
                <w:highlight w:val="none"/>
                <w:lang w:val="en-US" w:eastAsia="zh-CN"/>
                <w14:textFill>
                  <w14:solidFill>
                    <w14:schemeClr w14:val="tx1"/>
                  </w14:solidFill>
                </w14:textFill>
              </w:rPr>
              <w:t>3</w:t>
            </w:r>
          </w:p>
        </w:tc>
        <w:tc>
          <w:tcPr>
            <w:tcW w:w="1515" w:type="dxa"/>
            <w:shd w:val="clear" w:color="auto" w:fill="auto"/>
            <w:vAlign w:val="center"/>
          </w:tcPr>
          <w:p w14:paraId="740E9005">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本项目提供除招标文件以外的其他资料</w:t>
            </w:r>
          </w:p>
        </w:tc>
        <w:tc>
          <w:tcPr>
            <w:tcW w:w="7174" w:type="dxa"/>
            <w:shd w:val="clear" w:color="auto" w:fill="auto"/>
          </w:tcPr>
          <w:p w14:paraId="6E3B9114">
            <w:pPr>
              <w:spacing w:line="460" w:lineRule="exact"/>
              <w:ind w:firstLine="482"/>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sym w:font="Wingdings" w:char="F0FE"/>
            </w:r>
            <w:r>
              <w:rPr>
                <w:rFonts w:hint="eastAsia" w:ascii="宋体" w:hAnsi="宋体" w:cs="宋体"/>
                <w:color w:val="000000" w:themeColor="text1"/>
                <w:szCs w:val="24"/>
                <w:highlight w:val="none"/>
                <w14:textFill>
                  <w14:solidFill>
                    <w14:schemeClr w14:val="tx1"/>
                  </w14:solidFill>
                </w14:textFill>
              </w:rPr>
              <w:t>无</w:t>
            </w:r>
          </w:p>
        </w:tc>
      </w:tr>
      <w:tr w14:paraId="65A2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5" w:type="dxa"/>
            <w:shd w:val="clear" w:color="auto" w:fill="auto"/>
            <w:vAlign w:val="center"/>
          </w:tcPr>
          <w:p w14:paraId="130FBD3B">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szCs w:val="24"/>
                <w:highlight w:val="none"/>
                <w:lang w:val="en-US" w:eastAsia="zh-CN"/>
                <w14:textFill>
                  <w14:solidFill>
                    <w14:schemeClr w14:val="tx1"/>
                  </w14:solidFill>
                </w14:textFill>
              </w:rPr>
              <w:t>4</w:t>
            </w:r>
          </w:p>
        </w:tc>
        <w:tc>
          <w:tcPr>
            <w:tcW w:w="1515" w:type="dxa"/>
            <w:shd w:val="clear" w:color="auto" w:fill="auto"/>
            <w:vAlign w:val="center"/>
          </w:tcPr>
          <w:p w14:paraId="140146DC">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其他</w:t>
            </w:r>
          </w:p>
        </w:tc>
        <w:tc>
          <w:tcPr>
            <w:tcW w:w="7174" w:type="dxa"/>
            <w:shd w:val="clear" w:color="auto" w:fill="auto"/>
          </w:tcPr>
          <w:p w14:paraId="1F411419">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1.无论何种原因，即使投标人</w:t>
            </w:r>
            <w:r>
              <w:rPr>
                <w:rFonts w:hint="eastAsia" w:ascii="宋体" w:hAnsi="宋体" w:cs="宋体"/>
                <w:color w:val="000000" w:themeColor="text1"/>
                <w:szCs w:val="24"/>
                <w:highlight w:val="none"/>
                <w:lang w:val="en-US" w:eastAsia="zh-CN"/>
                <w14:textFill>
                  <w14:solidFill>
                    <w14:schemeClr w14:val="tx1"/>
                  </w14:solidFill>
                </w14:textFill>
              </w:rPr>
              <w:t>投</w:t>
            </w:r>
            <w:r>
              <w:rPr>
                <w:rFonts w:hint="eastAsia" w:ascii="宋体" w:hAnsi="宋体" w:cs="宋体"/>
                <w:color w:val="000000" w:themeColor="text1"/>
                <w:szCs w:val="24"/>
                <w:highlight w:val="none"/>
                <w14:textFill>
                  <w14:solidFill>
                    <w14:schemeClr w14:val="tx1"/>
                  </w14:solidFill>
                </w14:textFill>
              </w:rPr>
              <w:t>标时携带了证书等材料的原件，但在招标文件中未提供与之内容完全一致的扫描件的，</w:t>
            </w:r>
            <w:r>
              <w:rPr>
                <w:rFonts w:hint="eastAsia" w:ascii="宋体" w:hAnsi="宋体" w:cs="宋体"/>
                <w:color w:val="000000" w:themeColor="text1"/>
                <w:szCs w:val="24"/>
                <w:highlight w:val="none"/>
                <w:lang w:val="en-US" w:eastAsia="zh-CN"/>
                <w14:textFill>
                  <w14:solidFill>
                    <w14:schemeClr w14:val="tx1"/>
                  </w14:solidFill>
                </w14:textFill>
              </w:rPr>
              <w:t>评标委员会</w:t>
            </w:r>
            <w:r>
              <w:rPr>
                <w:rFonts w:hint="eastAsia" w:ascii="宋体" w:hAnsi="宋体" w:cs="宋体"/>
                <w:color w:val="000000" w:themeColor="text1"/>
                <w:szCs w:val="24"/>
                <w:highlight w:val="none"/>
                <w14:textFill>
                  <w14:solidFill>
                    <w14:schemeClr w14:val="tx1"/>
                  </w14:solidFill>
                </w14:textFill>
              </w:rPr>
              <w:t>可以视同其未提供。</w:t>
            </w:r>
          </w:p>
          <w:p w14:paraId="6EA1904E">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2.招标文件中要求加盖公章，均可以提供加盖公章的扫描件；招标文件要求提供的证明资料均应制作在</w:t>
            </w:r>
            <w:r>
              <w:rPr>
                <w:rFonts w:hint="eastAsia" w:ascii="宋体" w:hAnsi="宋体" w:cs="宋体"/>
                <w:color w:val="000000" w:themeColor="text1"/>
                <w:szCs w:val="24"/>
                <w:highlight w:val="none"/>
                <w:lang w:val="en-US" w:eastAsia="zh-CN"/>
                <w14:textFill>
                  <w14:solidFill>
                    <w14:schemeClr w14:val="tx1"/>
                  </w14:solidFill>
                </w14:textFill>
              </w:rPr>
              <w:t>投标</w:t>
            </w:r>
            <w:r>
              <w:rPr>
                <w:rFonts w:hint="eastAsia" w:ascii="宋体" w:hAnsi="宋体" w:cs="宋体"/>
                <w:color w:val="000000" w:themeColor="text1"/>
                <w:szCs w:val="24"/>
                <w:highlight w:val="none"/>
                <w14:textFill>
                  <w14:solidFill>
                    <w14:schemeClr w14:val="tx1"/>
                  </w14:solidFill>
                </w14:textFill>
              </w:rPr>
              <w:t>文件中。</w:t>
            </w:r>
            <w:r>
              <w:rPr>
                <w:rFonts w:hint="eastAsia" w:ascii="宋体" w:hAnsi="宋体" w:cs="宋体"/>
                <w:color w:val="000000" w:themeColor="text1"/>
                <w:szCs w:val="24"/>
                <w:highlight w:val="none"/>
                <w:lang w:val="en-US" w:eastAsia="zh-CN"/>
                <w14:textFill>
                  <w14:solidFill>
                    <w14:schemeClr w14:val="tx1"/>
                  </w14:solidFill>
                </w14:textFill>
              </w:rPr>
              <w:t>投标</w:t>
            </w:r>
            <w:r>
              <w:rPr>
                <w:rFonts w:hint="eastAsia" w:ascii="宋体" w:hAnsi="宋体" w:cs="宋体"/>
                <w:color w:val="000000" w:themeColor="text1"/>
                <w:szCs w:val="24"/>
                <w:highlight w:val="none"/>
                <w14:textFill>
                  <w14:solidFill>
                    <w14:schemeClr w14:val="tx1"/>
                  </w14:solidFill>
                </w14:textFill>
              </w:rPr>
              <w:t>文件中的</w:t>
            </w:r>
            <w:r>
              <w:rPr>
                <w:rFonts w:hint="eastAsia" w:ascii="宋体" w:hAnsi="宋体" w:cs="宋体"/>
                <w:color w:val="000000" w:themeColor="text1"/>
                <w:szCs w:val="24"/>
                <w:highlight w:val="none"/>
                <w:lang w:val="en-US" w:eastAsia="zh-CN"/>
                <w14:textFill>
                  <w14:solidFill>
                    <w14:schemeClr w14:val="tx1"/>
                  </w14:solidFill>
                </w14:textFill>
              </w:rPr>
              <w:t>投</w:t>
            </w:r>
            <w:r>
              <w:rPr>
                <w:rFonts w:hint="eastAsia" w:ascii="宋体" w:hAnsi="宋体" w:cs="宋体"/>
                <w:color w:val="000000" w:themeColor="text1"/>
                <w:szCs w:val="24"/>
                <w:highlight w:val="none"/>
                <w14:textFill>
                  <w14:solidFill>
                    <w14:schemeClr w14:val="tx1"/>
                  </w14:solidFill>
                </w14:textFill>
              </w:rPr>
              <w:t>标资料模糊不清的，</w:t>
            </w:r>
            <w:r>
              <w:rPr>
                <w:rFonts w:hint="eastAsia" w:ascii="宋体" w:hAnsi="宋体" w:cs="宋体"/>
                <w:color w:val="000000" w:themeColor="text1"/>
                <w:szCs w:val="24"/>
                <w:highlight w:val="none"/>
                <w:lang w:val="en-US" w:eastAsia="zh-CN"/>
                <w14:textFill>
                  <w14:solidFill>
                    <w14:schemeClr w14:val="tx1"/>
                  </w14:solidFill>
                </w14:textFill>
              </w:rPr>
              <w:t>评标委员会</w:t>
            </w:r>
            <w:r>
              <w:rPr>
                <w:rFonts w:hint="eastAsia" w:ascii="宋体" w:hAnsi="宋体" w:cs="宋体"/>
                <w:color w:val="000000" w:themeColor="text1"/>
                <w:szCs w:val="24"/>
                <w:highlight w:val="none"/>
                <w14:textFill>
                  <w14:solidFill>
                    <w14:schemeClr w14:val="tx1"/>
                  </w14:solidFill>
                </w14:textFill>
              </w:rPr>
              <w:t>将按不利于投标人的理解进行评审，由此产生的一切后果由投标人自行承担。</w:t>
            </w:r>
          </w:p>
          <w:p w14:paraId="4C5BF7B3">
            <w:pPr>
              <w:spacing w:line="460" w:lineRule="exact"/>
              <w:rPr>
                <w:rFonts w:hint="eastAsia" w:ascii="宋体" w:hAnsi="宋体" w:cs="宋体"/>
                <w:strike/>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3.本项目将对</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候选人经</w:t>
            </w:r>
            <w:r>
              <w:rPr>
                <w:rFonts w:hint="eastAsia" w:ascii="宋体" w:hAnsi="宋体" w:cs="宋体"/>
                <w:color w:val="000000" w:themeColor="text1"/>
                <w:szCs w:val="24"/>
                <w:highlight w:val="none"/>
                <w:lang w:val="en-US" w:eastAsia="zh-CN"/>
                <w14:textFill>
                  <w14:solidFill>
                    <w14:schemeClr w14:val="tx1"/>
                  </w14:solidFill>
                </w14:textFill>
              </w:rPr>
              <w:t>评标委员会</w:t>
            </w:r>
            <w:r>
              <w:rPr>
                <w:rFonts w:hint="eastAsia" w:ascii="宋体" w:hAnsi="宋体" w:cs="宋体"/>
                <w:color w:val="000000" w:themeColor="text1"/>
                <w:szCs w:val="24"/>
                <w:highlight w:val="none"/>
                <w14:textFill>
                  <w14:solidFill>
                    <w14:schemeClr w14:val="tx1"/>
                  </w14:solidFill>
                </w14:textFill>
              </w:rPr>
              <w:t>评审认可的以下内容进行公示：</w:t>
            </w:r>
          </w:p>
          <w:p w14:paraId="6E9F365A">
            <w:pPr>
              <w:spacing w:line="460" w:lineRule="exact"/>
              <w:rPr>
                <w:rFonts w:hint="eastAsia" w:ascii="宋体" w:hAnsi="宋体" w:cs="宋体"/>
                <w:color w:val="000000" w:themeColor="text1"/>
                <w:szCs w:val="24"/>
                <w:highlight w:val="none"/>
                <w:u w:val="singl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（1）投标人业绩（如有，得分业绩）：项目名称；</w:t>
            </w:r>
          </w:p>
          <w:p w14:paraId="4E23EF01">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（2）银行保函或担保机构担保或保证保险形式的投标保证金扫描件（如采用）。</w:t>
            </w:r>
          </w:p>
          <w:p w14:paraId="524CCCA5">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注：如存在弄虚作假行为，将取消</w:t>
            </w:r>
            <w:r>
              <w:rPr>
                <w:rFonts w:hint="eastAsia" w:ascii="宋体" w:hAnsi="宋体" w:cs="宋体"/>
                <w:color w:val="000000" w:themeColor="text1"/>
                <w:szCs w:val="24"/>
                <w:highlight w:val="none"/>
                <w:lang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资格并上报监管部门按有关规定处理。</w:t>
            </w:r>
          </w:p>
          <w:p w14:paraId="0BBC4702">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4.如有最新国家和地方标准、规范等，应按最新标准、规范执行，如多个规范对同一问题的标准和要求不一致时，应按较高标准和要求内容执行。</w:t>
            </w:r>
          </w:p>
        </w:tc>
      </w:tr>
      <w:tr w14:paraId="2919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5" w:type="dxa"/>
            <w:shd w:val="clear" w:color="auto" w:fill="auto"/>
            <w:vAlign w:val="center"/>
          </w:tcPr>
          <w:p w14:paraId="0BAE3587">
            <w:pPr>
              <w:spacing w:line="460" w:lineRule="exact"/>
              <w:jc w:val="center"/>
              <w:rPr>
                <w:rFonts w:hint="eastAsia" w:ascii="宋体" w:hAnsi="宋体" w:eastAsia="宋体" w:cs="宋体"/>
                <w:strike/>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szCs w:val="24"/>
                <w:highlight w:val="none"/>
                <w:lang w:val="en-US" w:eastAsia="zh-CN"/>
                <w14:textFill>
                  <w14:solidFill>
                    <w14:schemeClr w14:val="tx1"/>
                  </w14:solidFill>
                </w14:textFill>
              </w:rPr>
              <w:t>5</w:t>
            </w:r>
          </w:p>
        </w:tc>
        <w:tc>
          <w:tcPr>
            <w:tcW w:w="1515" w:type="dxa"/>
            <w:shd w:val="clear" w:color="auto" w:fill="auto"/>
            <w:vAlign w:val="center"/>
          </w:tcPr>
          <w:p w14:paraId="687C4CC7">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重要提示</w:t>
            </w:r>
          </w:p>
        </w:tc>
        <w:tc>
          <w:tcPr>
            <w:tcW w:w="7174" w:type="dxa"/>
            <w:shd w:val="clear" w:color="auto" w:fill="auto"/>
          </w:tcPr>
          <w:p w14:paraId="15FC4438">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人</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之后，应当在规定的期间内与</w:t>
            </w: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14:textFill>
                  <w14:solidFill>
                    <w14:schemeClr w14:val="tx1"/>
                  </w14:solidFill>
                </w14:textFill>
              </w:rPr>
              <w:t>签订合同，</w:t>
            </w: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14:textFill>
                  <w14:solidFill>
                    <w14:schemeClr w14:val="tx1"/>
                  </w14:solidFill>
                </w14:textFill>
              </w:rPr>
              <w:t>拒绝签订合同的，</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人应当及时向监管部门反映，以便协调处理；</w:t>
            </w:r>
          </w:p>
          <w:p w14:paraId="185D412A">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人</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之后，应当在规定的时间内与</w:t>
            </w: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14:textFill>
                  <w14:solidFill>
                    <w14:schemeClr w14:val="tx1"/>
                  </w14:solidFill>
                </w14:textFill>
              </w:rPr>
              <w:t>签订合同，</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人拒绝签订合同的，</w:t>
            </w: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14:textFill>
                  <w14:solidFill>
                    <w14:schemeClr w14:val="tx1"/>
                  </w14:solidFill>
                </w14:textFill>
              </w:rPr>
              <w:t>应当及时向监管部门反映，以便协调处理；</w:t>
            </w:r>
          </w:p>
          <w:p w14:paraId="3AE412FF">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3.合同签订后，</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人未及时履行义务的，</w:t>
            </w: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14:textFill>
                  <w14:solidFill>
                    <w14:schemeClr w14:val="tx1"/>
                  </w14:solidFill>
                </w14:textFill>
              </w:rPr>
              <w:t>应当及时向监管部门反映，以便协调处理；</w:t>
            </w:r>
          </w:p>
          <w:p w14:paraId="2352E9F2">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4.合同签订后，</w:t>
            </w: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14:textFill>
                  <w14:solidFill>
                    <w14:schemeClr w14:val="tx1"/>
                  </w14:solidFill>
                </w14:textFill>
              </w:rPr>
              <w:t>未及时履行义务影响</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人履行义务的，</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人应当及时向监管部门反映，以便协调处理。</w:t>
            </w:r>
          </w:p>
          <w:p w14:paraId="6FBE5D6F">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14:textFill>
                  <w14:solidFill>
                    <w14:schemeClr w14:val="tx1"/>
                  </w14:solidFill>
                </w14:textFill>
              </w:rPr>
              <w:t>和</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人未履行上述义务的，监管部门将依法对</w:t>
            </w: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14:textFill>
                  <w14:solidFill>
                    <w14:schemeClr w14:val="tx1"/>
                  </w14:solidFill>
                </w14:textFill>
              </w:rPr>
              <w:t>和</w:t>
            </w:r>
            <w:r>
              <w:rPr>
                <w:rFonts w:hint="eastAsia" w:ascii="宋体" w:hAnsi="宋体" w:cs="宋体"/>
                <w:color w:val="000000" w:themeColor="text1"/>
                <w:szCs w:val="24"/>
                <w:highlight w:val="none"/>
                <w:lang w:val="en-US"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人进行处理，追究相关责任。</w:t>
            </w:r>
          </w:p>
        </w:tc>
      </w:tr>
      <w:tr w14:paraId="7ED0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5" w:type="dxa"/>
            <w:shd w:val="clear" w:color="auto" w:fill="auto"/>
            <w:vAlign w:val="center"/>
          </w:tcPr>
          <w:p w14:paraId="61AF16B5">
            <w:pPr>
              <w:spacing w:line="460" w:lineRule="exact"/>
              <w:jc w:val="center"/>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w:t>
            </w:r>
            <w:r>
              <w:rPr>
                <w:rFonts w:hint="eastAsia" w:ascii="宋体" w:hAnsi="宋体" w:cs="宋体"/>
                <w:color w:val="000000" w:themeColor="text1"/>
                <w:szCs w:val="24"/>
                <w:highlight w:val="none"/>
                <w:lang w:val="en-US" w:eastAsia="zh-CN"/>
                <w14:textFill>
                  <w14:solidFill>
                    <w14:schemeClr w14:val="tx1"/>
                  </w14:solidFill>
                </w14:textFill>
              </w:rPr>
              <w:t>6</w:t>
            </w:r>
          </w:p>
        </w:tc>
        <w:tc>
          <w:tcPr>
            <w:tcW w:w="1515" w:type="dxa"/>
            <w:shd w:val="clear" w:color="auto" w:fill="auto"/>
            <w:vAlign w:val="center"/>
          </w:tcPr>
          <w:p w14:paraId="4636B969">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特别提示</w:t>
            </w:r>
          </w:p>
        </w:tc>
        <w:tc>
          <w:tcPr>
            <w:tcW w:w="7174" w:type="dxa"/>
            <w:shd w:val="clear" w:color="auto" w:fill="auto"/>
          </w:tcPr>
          <w:p w14:paraId="1E496926">
            <w:pPr>
              <w:spacing w:line="460" w:lineRule="exact"/>
              <w:rPr>
                <w:rFonts w:hint="eastAsia"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1.投标人</w:t>
            </w:r>
            <w:r>
              <w:rPr>
                <w:rFonts w:hint="eastAsia" w:ascii="宋体" w:hAnsi="宋体" w:cs="宋体"/>
                <w:color w:val="000000" w:themeColor="text1"/>
                <w:szCs w:val="24"/>
                <w:highlight w:val="none"/>
                <w:lang w:val="en-US" w:eastAsia="zh-CN"/>
                <w14:textFill>
                  <w14:solidFill>
                    <w14:schemeClr w14:val="tx1"/>
                  </w14:solidFill>
                </w14:textFill>
              </w:rPr>
              <w:t>投标</w:t>
            </w:r>
            <w:r>
              <w:rPr>
                <w:rFonts w:hint="eastAsia" w:ascii="宋体" w:hAnsi="宋体" w:cs="宋体"/>
                <w:color w:val="000000" w:themeColor="text1"/>
                <w:szCs w:val="24"/>
                <w:highlight w:val="none"/>
                <w14:textFill>
                  <w14:solidFill>
                    <w14:schemeClr w14:val="tx1"/>
                  </w14:solidFill>
                </w14:textFill>
              </w:rPr>
              <w:t>文件中填报人员及投标人按招标文件提出的最低要求填报派驻</w:t>
            </w:r>
            <w:r>
              <w:rPr>
                <w:rFonts w:hint="eastAsia" w:ascii="宋体" w:hAnsi="宋体" w:cs="宋体"/>
                <w:color w:val="000000" w:themeColor="text1"/>
                <w:szCs w:val="24"/>
                <w:highlight w:val="none"/>
                <w:lang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标段的其他管理和技术人员，经</w:t>
            </w: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14:textFill>
                  <w14:solidFill>
                    <w14:schemeClr w14:val="tx1"/>
                  </w14:solidFill>
                </w14:textFill>
              </w:rPr>
              <w:t>审核后不得进行更换。除非招标文件另有约定，投标人派驻</w:t>
            </w:r>
            <w:r>
              <w:rPr>
                <w:rFonts w:hint="eastAsia" w:ascii="宋体" w:hAnsi="宋体" w:cs="宋体"/>
                <w:color w:val="000000" w:themeColor="text1"/>
                <w:szCs w:val="24"/>
                <w:highlight w:val="none"/>
                <w:lang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标段的项目</w:t>
            </w:r>
            <w:r>
              <w:rPr>
                <w:rFonts w:hint="eastAsia" w:ascii="宋体" w:hAnsi="宋体" w:cs="宋体"/>
                <w:color w:val="000000" w:themeColor="text1"/>
                <w:szCs w:val="24"/>
                <w:highlight w:val="none"/>
                <w:lang w:val="en-US" w:eastAsia="zh-CN"/>
                <w14:textFill>
                  <w14:solidFill>
                    <w14:schemeClr w14:val="tx1"/>
                  </w14:solidFill>
                </w14:textFill>
              </w:rPr>
              <w:t>负责人</w:t>
            </w:r>
            <w:r>
              <w:rPr>
                <w:rFonts w:hint="eastAsia" w:ascii="宋体" w:hAnsi="宋体" w:cs="宋体"/>
                <w:color w:val="000000" w:themeColor="text1"/>
                <w:szCs w:val="24"/>
                <w:highlight w:val="none"/>
                <w14:textFill>
                  <w14:solidFill>
                    <w14:schemeClr w14:val="tx1"/>
                  </w14:solidFill>
                </w14:textFill>
              </w:rPr>
              <w:t>及项目主要人员均应为投标人在职人员，否则</w:t>
            </w:r>
            <w:r>
              <w:rPr>
                <w:rFonts w:hint="eastAsia" w:ascii="宋体" w:hAnsi="宋体" w:cs="宋体"/>
                <w:color w:val="000000" w:themeColor="text1"/>
                <w:szCs w:val="24"/>
                <w:highlight w:val="none"/>
                <w:lang w:eastAsia="zh-CN"/>
                <w14:textFill>
                  <w14:solidFill>
                    <w14:schemeClr w14:val="tx1"/>
                  </w14:solidFill>
                </w14:textFill>
              </w:rPr>
              <w:t>招标人</w:t>
            </w:r>
            <w:r>
              <w:rPr>
                <w:rFonts w:hint="eastAsia" w:ascii="宋体" w:hAnsi="宋体" w:cs="宋体"/>
                <w:color w:val="000000" w:themeColor="text1"/>
                <w:szCs w:val="24"/>
                <w:highlight w:val="none"/>
                <w14:textFill>
                  <w14:solidFill>
                    <w14:schemeClr w14:val="tx1"/>
                  </w14:solidFill>
                </w14:textFill>
              </w:rPr>
              <w:t>有权取消其</w:t>
            </w:r>
            <w:r>
              <w:rPr>
                <w:rFonts w:hint="eastAsia" w:ascii="宋体" w:hAnsi="宋体" w:cs="宋体"/>
                <w:color w:val="000000" w:themeColor="text1"/>
                <w:szCs w:val="24"/>
                <w:highlight w:val="none"/>
                <w:lang w:eastAsia="zh-CN"/>
                <w14:textFill>
                  <w14:solidFill>
                    <w14:schemeClr w14:val="tx1"/>
                  </w14:solidFill>
                </w14:textFill>
              </w:rPr>
              <w:t>中标</w:t>
            </w:r>
            <w:r>
              <w:rPr>
                <w:rFonts w:hint="eastAsia" w:ascii="宋体" w:hAnsi="宋体" w:cs="宋体"/>
                <w:color w:val="000000" w:themeColor="text1"/>
                <w:szCs w:val="24"/>
                <w:highlight w:val="none"/>
                <w14:textFill>
                  <w14:solidFill>
                    <w14:schemeClr w14:val="tx1"/>
                  </w14:solidFill>
                </w14:textFill>
              </w:rPr>
              <w:t>资格。</w:t>
            </w:r>
          </w:p>
          <w:p w14:paraId="1BFB2A06">
            <w:pPr>
              <w:spacing w:line="460" w:lineRule="exact"/>
              <w:rPr>
                <w:rFonts w:hint="eastAsia" w:ascii="宋体" w:hAnsi="宋体" w:cs="宋体"/>
                <w:strike/>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投标人提供的如营业执照、资质证书、安全生产许可证、安全生产考核合格证书、注册建造师证书、安全生产考核合格证书等证书证件应在有效期内，若法律法规或发证机构或相关主管部门另有规定的，从其规定，但投标人须在响应文件中提供发证机构或相关主管部门发布的相关证明材料，或经询标被</w:t>
            </w:r>
            <w:r>
              <w:rPr>
                <w:rFonts w:hint="eastAsia" w:ascii="宋体" w:hAnsi="宋体" w:cs="宋体"/>
                <w:color w:val="000000" w:themeColor="text1"/>
                <w:szCs w:val="24"/>
                <w:highlight w:val="none"/>
                <w:lang w:val="en-US" w:eastAsia="zh-CN"/>
                <w14:textFill>
                  <w14:solidFill>
                    <w14:schemeClr w14:val="tx1"/>
                  </w14:solidFill>
                </w14:textFill>
              </w:rPr>
              <w:t>评标委员会</w:t>
            </w:r>
            <w:r>
              <w:rPr>
                <w:rFonts w:hint="eastAsia" w:ascii="宋体" w:hAnsi="宋体" w:cs="宋体"/>
                <w:color w:val="000000" w:themeColor="text1"/>
                <w:szCs w:val="24"/>
                <w:highlight w:val="none"/>
                <w14:textFill>
                  <w14:solidFill>
                    <w14:schemeClr w14:val="tx1"/>
                  </w14:solidFill>
                </w14:textFill>
              </w:rPr>
              <w:t>认定符合相关规定的，</w:t>
            </w:r>
            <w:r>
              <w:rPr>
                <w:rFonts w:hint="eastAsia" w:ascii="宋体" w:hAnsi="宋体" w:cs="宋体"/>
                <w:color w:val="000000" w:themeColor="text1"/>
                <w:szCs w:val="24"/>
                <w:highlight w:val="none"/>
                <w:lang w:val="en-US" w:eastAsia="zh-CN"/>
                <w14:textFill>
                  <w14:solidFill>
                    <w14:schemeClr w14:val="tx1"/>
                  </w14:solidFill>
                </w14:textFill>
              </w:rPr>
              <w:t>评标委员会</w:t>
            </w:r>
            <w:r>
              <w:rPr>
                <w:rFonts w:hint="eastAsia" w:ascii="宋体" w:hAnsi="宋体" w:cs="宋体"/>
                <w:color w:val="000000" w:themeColor="text1"/>
                <w:szCs w:val="24"/>
                <w:highlight w:val="none"/>
                <w14:textFill>
                  <w14:solidFill>
                    <w14:schemeClr w14:val="tx1"/>
                  </w14:solidFill>
                </w14:textFill>
              </w:rPr>
              <w:t>应予以认可。</w:t>
            </w:r>
          </w:p>
        </w:tc>
      </w:tr>
      <w:tr w14:paraId="5BF0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75" w:type="dxa"/>
            <w:shd w:val="clear" w:color="auto" w:fill="auto"/>
            <w:vAlign w:val="center"/>
          </w:tcPr>
          <w:p w14:paraId="0B0C7BCC">
            <w:pPr>
              <w:spacing w:line="460" w:lineRule="exact"/>
              <w:jc w:val="center"/>
              <w:rPr>
                <w:rFonts w:hint="eastAsia" w:ascii="宋体" w:hAnsi="宋体" w:cs="宋体"/>
                <w:color w:val="000000" w:themeColor="text1"/>
                <w:szCs w:val="24"/>
                <w:highlight w:val="none"/>
                <w14:textFill>
                  <w14:solidFill>
                    <w14:schemeClr w14:val="tx1"/>
                  </w14:solidFill>
                </w14:textFill>
              </w:rPr>
            </w:pPr>
          </w:p>
        </w:tc>
        <w:tc>
          <w:tcPr>
            <w:tcW w:w="1515" w:type="dxa"/>
            <w:shd w:val="clear" w:color="auto" w:fill="auto"/>
            <w:vAlign w:val="center"/>
          </w:tcPr>
          <w:p w14:paraId="6E3BE3D3">
            <w:pPr>
              <w:spacing w:line="460" w:lineRule="exact"/>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招标人其他要求</w:t>
            </w:r>
          </w:p>
        </w:tc>
        <w:tc>
          <w:tcPr>
            <w:tcW w:w="7174" w:type="dxa"/>
            <w:shd w:val="clear" w:color="auto" w:fill="auto"/>
          </w:tcPr>
          <w:p w14:paraId="0E27963E">
            <w:pPr>
              <w:spacing w:line="460" w:lineRule="exact"/>
              <w:rPr>
                <w:rFonts w:hint="eastAsia" w:ascii="宋体" w:hAnsi="宋体" w:cs="宋体"/>
                <w:color w:val="000000" w:themeColor="text1"/>
                <w:szCs w:val="24"/>
                <w:highlight w:val="none"/>
                <w14:textFill>
                  <w14:solidFill>
                    <w14:schemeClr w14:val="tx1"/>
                  </w14:solidFill>
                </w14:textFill>
              </w:rPr>
            </w:pPr>
          </w:p>
        </w:tc>
      </w:tr>
    </w:tbl>
    <w:p w14:paraId="37B013FC">
      <w:pPr>
        <w:widowControl/>
        <w:jc w:val="left"/>
        <w:rPr>
          <w:rFonts w:hint="eastAsia" w:ascii="宋体" w:hAnsi="宋体"/>
          <w:b/>
          <w:bCs/>
          <w:color w:val="auto"/>
          <w:sz w:val="32"/>
          <w:szCs w:val="32"/>
          <w:highlight w:val="none"/>
        </w:rPr>
      </w:pPr>
      <w:r>
        <w:rPr>
          <w:rFonts w:hint="eastAsia" w:ascii="宋体" w:hAnsi="宋体"/>
          <w:color w:val="auto"/>
          <w:highlight w:val="none"/>
        </w:rPr>
        <w:br w:type="page"/>
      </w:r>
    </w:p>
    <w:p w14:paraId="0D593C81">
      <w:pPr>
        <w:pStyle w:val="4"/>
        <w:spacing w:line="500" w:lineRule="exact"/>
        <w:ind w:firstLine="0"/>
        <w:outlineLvl w:val="0"/>
        <w:rPr>
          <w:rFonts w:hint="eastAsia" w:ascii="宋体" w:hAnsi="宋体" w:eastAsia="宋体"/>
          <w:color w:val="auto"/>
          <w:sz w:val="24"/>
          <w:szCs w:val="24"/>
          <w:highlight w:val="none"/>
        </w:rPr>
      </w:pPr>
      <w:bookmarkStart w:id="16" w:name="_Toc15302"/>
      <w:r>
        <w:rPr>
          <w:rFonts w:hint="eastAsia" w:ascii="宋体" w:hAnsi="宋体" w:eastAsia="宋体"/>
          <w:color w:val="auto"/>
          <w:highlight w:val="none"/>
        </w:rPr>
        <w:t>第三章 投标人须知</w:t>
      </w:r>
      <w:bookmarkEnd w:id="13"/>
      <w:bookmarkEnd w:id="16"/>
    </w:p>
    <w:p w14:paraId="24FBAA1B">
      <w:pPr>
        <w:pStyle w:val="5"/>
        <w:spacing w:line="500" w:lineRule="exact"/>
        <w:rPr>
          <w:rFonts w:hint="eastAsia" w:hAnsi="宋体"/>
          <w:color w:val="auto"/>
          <w:sz w:val="28"/>
          <w:highlight w:val="none"/>
        </w:rPr>
      </w:pPr>
      <w:bookmarkStart w:id="17" w:name="_Hlt509650126"/>
      <w:bookmarkEnd w:id="17"/>
      <w:bookmarkStart w:id="18" w:name="_Hlt509650686"/>
      <w:bookmarkEnd w:id="18"/>
      <w:bookmarkStart w:id="19" w:name="_Hlt509649722"/>
      <w:bookmarkEnd w:id="19"/>
      <w:bookmarkStart w:id="20" w:name="_Hlt526418143"/>
      <w:bookmarkEnd w:id="20"/>
      <w:bookmarkStart w:id="21" w:name="_Hlt509650955"/>
      <w:bookmarkEnd w:id="21"/>
      <w:bookmarkStart w:id="22" w:name="_Hlt509649998"/>
      <w:bookmarkEnd w:id="22"/>
      <w:bookmarkStart w:id="23" w:name="_Toc23579"/>
      <w:r>
        <w:rPr>
          <w:rFonts w:hint="eastAsia" w:hAnsi="宋体"/>
          <w:color w:val="auto"/>
          <w:sz w:val="28"/>
          <w:highlight w:val="none"/>
        </w:rPr>
        <w:t>一．总    则</w:t>
      </w:r>
      <w:bookmarkEnd w:id="23"/>
    </w:p>
    <w:p w14:paraId="5016260E">
      <w:pPr>
        <w:spacing w:line="360" w:lineRule="auto"/>
        <w:ind w:firstLine="550"/>
        <w:rPr>
          <w:rFonts w:hint="eastAsia" w:ascii="宋体" w:hAnsi="宋体"/>
          <w:b/>
          <w:color w:val="auto"/>
          <w:szCs w:val="24"/>
          <w:highlight w:val="none"/>
        </w:rPr>
      </w:pPr>
      <w:r>
        <w:rPr>
          <w:rFonts w:ascii="宋体" w:hAnsi="宋体"/>
          <w:b/>
          <w:color w:val="auto"/>
          <w:szCs w:val="24"/>
          <w:highlight w:val="none"/>
        </w:rPr>
        <w:t>1</w:t>
      </w:r>
      <w:r>
        <w:rPr>
          <w:rFonts w:hint="eastAsia" w:ascii="宋体" w:hAnsi="宋体"/>
          <w:b/>
          <w:color w:val="auto"/>
          <w:szCs w:val="24"/>
          <w:highlight w:val="none"/>
        </w:rPr>
        <w:t>.适用范围</w:t>
      </w:r>
    </w:p>
    <w:p w14:paraId="759D6382">
      <w:pPr>
        <w:spacing w:line="360" w:lineRule="auto"/>
        <w:ind w:firstLine="550"/>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1本招标文件仅适用于本次公开招标所述的服务项目招标。</w:t>
      </w:r>
    </w:p>
    <w:p w14:paraId="22DA35EA">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2.有关定义</w:t>
      </w:r>
    </w:p>
    <w:p w14:paraId="2DCE3086">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2.1公共资源交易监督部门：</w:t>
      </w:r>
      <w:r>
        <w:rPr>
          <w:rFonts w:hint="eastAsia" w:ascii="宋体" w:hAnsi="宋体"/>
          <w:color w:val="auto"/>
          <w:szCs w:val="24"/>
          <w:highlight w:val="none"/>
          <w:lang w:val="en-US" w:eastAsia="zh-CN"/>
        </w:rPr>
        <w:t>见招标公告</w:t>
      </w:r>
      <w:r>
        <w:rPr>
          <w:rFonts w:hint="eastAsia" w:ascii="宋体" w:hAnsi="宋体"/>
          <w:color w:val="auto"/>
          <w:szCs w:val="24"/>
          <w:highlight w:val="none"/>
        </w:rPr>
        <w:t>。</w:t>
      </w:r>
    </w:p>
    <w:p w14:paraId="009F4B5C">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2.2招标人：系指本次招标项目的业主方。</w:t>
      </w:r>
    </w:p>
    <w:p w14:paraId="71F9801A">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2.3委托人：系指本次招标项目的委托方。</w:t>
      </w:r>
    </w:p>
    <w:p w14:paraId="459C5324">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2.4招标代理机构：系指</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，以下简称“</w:t>
      </w:r>
      <w:r>
        <w:rPr>
          <w:rFonts w:hint="eastAsia" w:ascii="宋体" w:hAnsi="宋体"/>
          <w:color w:val="auto"/>
          <w:szCs w:val="24"/>
          <w:highlight w:val="none"/>
          <w:lang w:val="en-US" w:eastAsia="zh-CN"/>
        </w:rPr>
        <w:t>县交易公司</w:t>
      </w:r>
      <w:r>
        <w:rPr>
          <w:rFonts w:hint="eastAsia" w:ascii="宋体" w:hAnsi="宋体"/>
          <w:color w:val="auto"/>
          <w:szCs w:val="24"/>
          <w:highlight w:val="none"/>
        </w:rPr>
        <w:t>”。</w:t>
      </w:r>
    </w:p>
    <w:p w14:paraId="40AA2290">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2.5投标人：系指按规定获取了本招标文件，且已经提交或准备提交本次投标文件的法人或者其他组织。</w:t>
      </w:r>
    </w:p>
    <w:p w14:paraId="38FE72CA">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2.6服务：系指除货物和工程以外的其他招标对象，包括咨询、调研、评估、规划、设计、监理、审计、保险、租赁、印刷、维修、物业管理、运营等。</w:t>
      </w:r>
    </w:p>
    <w:p w14:paraId="5A9AA88B">
      <w:pPr>
        <w:spacing w:line="360" w:lineRule="auto"/>
        <w:ind w:firstLine="550"/>
        <w:rPr>
          <w:rFonts w:hint="eastAsia" w:ascii="宋体" w:hAnsi="宋体"/>
          <w:color w:val="auto"/>
          <w:highlight w:val="none"/>
        </w:rPr>
      </w:pPr>
      <w:r>
        <w:rPr>
          <w:rFonts w:hint="eastAsia" w:ascii="宋体" w:hAnsi="宋体"/>
          <w:b/>
          <w:color w:val="auto"/>
          <w:highlight w:val="none"/>
        </w:rPr>
        <w:t>2.7业绩：</w:t>
      </w:r>
      <w:r>
        <w:rPr>
          <w:rFonts w:hint="eastAsia" w:ascii="宋体" w:hAnsi="宋体"/>
          <w:color w:val="auto"/>
          <w:highlight w:val="none"/>
        </w:rPr>
        <w:t>投标人与其关联公司（如母公司、分公司、全资子公司、控股子公司、同一法定代表人的公司）之间签订的合同，均不予认可。</w:t>
      </w:r>
    </w:p>
    <w:p w14:paraId="47060185">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3.投标费用</w:t>
      </w:r>
    </w:p>
    <w:p w14:paraId="6F363816">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3.1无论投标结果如何，投标人应自行承担其编制与递交投标文件所涉及的一切费用。</w:t>
      </w:r>
    </w:p>
    <w:p w14:paraId="36FC99F2">
      <w:pPr>
        <w:spacing w:line="360" w:lineRule="auto"/>
        <w:ind w:firstLine="550"/>
        <w:rPr>
          <w:rFonts w:hint="eastAsia" w:ascii="宋体" w:hAnsi="宋体"/>
          <w:b/>
          <w:bCs/>
          <w:color w:val="auto"/>
          <w:szCs w:val="24"/>
          <w:highlight w:val="none"/>
        </w:rPr>
      </w:pPr>
      <w:r>
        <w:rPr>
          <w:rFonts w:hint="eastAsia" w:ascii="宋体" w:hAnsi="宋体"/>
          <w:b/>
          <w:bCs/>
          <w:color w:val="auto"/>
          <w:szCs w:val="24"/>
          <w:highlight w:val="none"/>
        </w:rPr>
        <w:t>4.合格的投标人</w:t>
      </w:r>
    </w:p>
    <w:p w14:paraId="473346F1">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4.1合格的投标人应符合招标文件载明的投标资格。</w:t>
      </w:r>
    </w:p>
    <w:p w14:paraId="7E224D37">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4.1.1除非招标文件认可，否则母、子公司之间的业绩、资质不得互用。</w:t>
      </w:r>
    </w:p>
    <w:p w14:paraId="37413251">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4.2与招标人存在利害关系可能影响招标公正性的法人、其他组织或个人，不得参加投标。</w:t>
      </w:r>
    </w:p>
    <w:p w14:paraId="6AA8AEF1">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单位负责人为同一人或者存在控股、管理关系的不同单位，不得参加同一标的投标或者未划分标的的同一招标项目投标。</w:t>
      </w:r>
    </w:p>
    <w:p w14:paraId="483FECCB">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违反前两款规定的，相关投标均无效。</w:t>
      </w:r>
    </w:p>
    <w:p w14:paraId="08200710">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5.踏勘现场</w:t>
      </w:r>
    </w:p>
    <w:p w14:paraId="2066D566">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5.1投标人应自行对服务现场和周围环境进行踏勘，以获取编制投标文件和签署合同所需的资料。踏勘现场的方式、地址及联系方式见投标人须知前附表。</w:t>
      </w:r>
    </w:p>
    <w:p w14:paraId="2524BD15">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5.2踏勘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14:paraId="67705A3D">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5.3除非有特殊要求，招标文件不单独提供服务地点的自然环境、气候条件、公用设施等情况，投标人被视为熟悉上述与履行合同有关的一切情况。</w:t>
      </w:r>
    </w:p>
    <w:p w14:paraId="6A07E4E7">
      <w:pPr>
        <w:spacing w:line="360" w:lineRule="auto"/>
        <w:ind w:firstLine="550"/>
        <w:rPr>
          <w:rFonts w:hint="eastAsia" w:ascii="宋体" w:hAnsi="宋体"/>
          <w:bCs/>
          <w:color w:val="auto"/>
          <w:szCs w:val="24"/>
          <w:highlight w:val="none"/>
        </w:rPr>
      </w:pPr>
      <w:r>
        <w:rPr>
          <w:rFonts w:hint="eastAsia" w:ascii="宋体" w:hAnsi="宋体"/>
          <w:b/>
          <w:color w:val="auto"/>
          <w:szCs w:val="24"/>
          <w:highlight w:val="none"/>
        </w:rPr>
        <w:t>6.知识产权</w:t>
      </w:r>
    </w:p>
    <w:p w14:paraId="2F88AB82">
      <w:pPr>
        <w:spacing w:line="360" w:lineRule="auto"/>
        <w:ind w:firstLine="549"/>
        <w:rPr>
          <w:rFonts w:hint="eastAsia" w:ascii="宋体" w:hAnsi="宋体"/>
          <w:bCs/>
          <w:color w:val="auto"/>
          <w:szCs w:val="24"/>
          <w:highlight w:val="none"/>
        </w:rPr>
      </w:pPr>
      <w:r>
        <w:rPr>
          <w:rFonts w:hint="eastAsia" w:ascii="宋体" w:hAnsi="宋体"/>
          <w:color w:val="auto"/>
          <w:szCs w:val="24"/>
          <w:highlight w:val="none"/>
        </w:rPr>
        <w:t>6.1</w:t>
      </w:r>
      <w:r>
        <w:rPr>
          <w:rFonts w:hint="eastAsia" w:ascii="宋体" w:hAnsi="宋体"/>
          <w:bCs/>
          <w:color w:val="auto"/>
          <w:szCs w:val="24"/>
          <w:highlight w:val="none"/>
        </w:rPr>
        <w:t>投标人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color w:val="auto"/>
          <w:szCs w:val="24"/>
          <w:highlight w:val="none"/>
        </w:rPr>
        <w:t>如因此导致招标人损失的，投标人须承担全部赔偿责任。</w:t>
      </w:r>
    </w:p>
    <w:p w14:paraId="539ABBC6">
      <w:pPr>
        <w:spacing w:line="360" w:lineRule="auto"/>
        <w:rPr>
          <w:rFonts w:hint="eastAsia" w:ascii="宋体" w:hAnsi="宋体"/>
          <w:bCs/>
          <w:color w:val="auto"/>
          <w:szCs w:val="24"/>
          <w:highlight w:val="none"/>
        </w:rPr>
      </w:pPr>
      <w:r>
        <w:rPr>
          <w:rFonts w:hint="eastAsia" w:ascii="宋体" w:hAnsi="宋体"/>
          <w:bCs/>
          <w:color w:val="auto"/>
          <w:szCs w:val="24"/>
          <w:highlight w:val="none"/>
        </w:rPr>
        <w:t xml:space="preserve">    6.2投标人如欲在项目实施过程中采用自有知识成果，须在投标文件中声明，并提供相关知识产权证明文件。使用该知识成果后，投标人须提供开发接口和开发手册等技术文档。</w:t>
      </w:r>
    </w:p>
    <w:p w14:paraId="3E315788">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7.纪律与保密</w:t>
      </w:r>
    </w:p>
    <w:p w14:paraId="7E0DD1CF">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7.1投标人的投标行为应遵守中国的有关法律、法规和规章。</w:t>
      </w:r>
    </w:p>
    <w:p w14:paraId="72BCCA2F">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7.2投标人不得相互串通投标报价，不得排挤其他投标人的公平竞争，损害招标人或其他投标人的合法权益。</w:t>
      </w:r>
    </w:p>
    <w:p w14:paraId="44D2AC83">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投标人不得与招标人串通投标，损害国家利益、社会公共利益或者他人的合法权益。</w:t>
      </w:r>
    </w:p>
    <w:p w14:paraId="6E3732A5">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禁止投标人以向招标人或评标委员会成员行贿的手段谋取中标。</w:t>
      </w:r>
    </w:p>
    <w:p w14:paraId="41E1B01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投标人不得以低于成本的报价竞标，也不得以他人名义投标或者以其他方式弄虚作假，骗取中标。</w:t>
      </w:r>
    </w:p>
    <w:p w14:paraId="2BF4A87D">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7.3在确定中标人之前，投标人不得与招标人就投标价格、投标方案等实质性内容进行谈判，也不得私下接触评标委员会成员。</w:t>
      </w:r>
    </w:p>
    <w:p w14:paraId="00B8FA5C">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7.4在确定中标人之前，投标人试图在投标文件审查、澄清、比较和评价时对评标委员会、招标人和</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施加任何影响都可能导致其投标无效。</w:t>
      </w:r>
    </w:p>
    <w:p w14:paraId="49ABDD88">
      <w:pPr>
        <w:spacing w:line="360" w:lineRule="auto"/>
        <w:ind w:firstLine="549"/>
        <w:rPr>
          <w:rFonts w:hint="eastAsia" w:ascii="宋体" w:hAnsi="宋体"/>
          <w:b/>
          <w:bCs/>
          <w:color w:val="auto"/>
          <w:szCs w:val="24"/>
          <w:highlight w:val="none"/>
        </w:rPr>
      </w:pPr>
      <w:r>
        <w:rPr>
          <w:rFonts w:hint="eastAsia" w:ascii="宋体" w:hAnsi="宋体"/>
          <w:color w:val="auto"/>
          <w:szCs w:val="24"/>
          <w:highlight w:val="none"/>
        </w:rPr>
        <w:t>7.5由招标人向投标人提供的图纸、详细资料、样品、模型、模件和所有其它资料，被视为保密资料，仅被用于它所规定的用途。除非得到招标人的同意，不能向任何第三方透露。开标结束后，应招标人要求，投标人应归还所有从招标人处获得的保密资料。</w:t>
      </w:r>
    </w:p>
    <w:p w14:paraId="5D50EE91">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8.联合体投标</w:t>
      </w:r>
    </w:p>
    <w:p w14:paraId="04F6E708">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8.1除非本项目明确要求不接受联合体形式投标外，</w:t>
      </w:r>
      <w:r>
        <w:rPr>
          <w:rFonts w:ascii="宋体" w:hAnsi="宋体"/>
          <w:color w:val="auto"/>
          <w:szCs w:val="24"/>
          <w:highlight w:val="none"/>
        </w:rPr>
        <w:t>两个以上法人</w:t>
      </w:r>
      <w:r>
        <w:rPr>
          <w:rFonts w:hint="eastAsia" w:ascii="宋体" w:hAnsi="宋体"/>
          <w:color w:val="auto"/>
          <w:szCs w:val="24"/>
          <w:highlight w:val="none"/>
        </w:rPr>
        <w:t>（招标文件如有约定，从其约定）</w:t>
      </w:r>
      <w:r>
        <w:rPr>
          <w:rFonts w:ascii="宋体" w:hAnsi="宋体"/>
          <w:color w:val="auto"/>
          <w:szCs w:val="24"/>
          <w:highlight w:val="none"/>
        </w:rPr>
        <w:t>或者其他组织可以组成一个联合体，以一个投标人的身份共同投标。</w:t>
      </w:r>
    </w:p>
    <w:p w14:paraId="4EF52C1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8.2以联合体形式参加投标的，</w:t>
      </w:r>
      <w:r>
        <w:rPr>
          <w:rFonts w:ascii="宋体" w:hAnsi="宋体"/>
          <w:color w:val="auto"/>
          <w:szCs w:val="24"/>
          <w:highlight w:val="none"/>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14:paraId="3BEA7F6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8.3</w:t>
      </w:r>
      <w:r>
        <w:rPr>
          <w:rFonts w:ascii="宋体" w:hAnsi="宋体"/>
          <w:color w:val="auto"/>
          <w:szCs w:val="24"/>
          <w:highlight w:val="none"/>
        </w:rPr>
        <w:t>联合体各方应当签订</w:t>
      </w:r>
      <w:r>
        <w:rPr>
          <w:rFonts w:hint="eastAsia" w:ascii="宋体" w:hAnsi="宋体"/>
          <w:color w:val="auto"/>
          <w:szCs w:val="24"/>
          <w:highlight w:val="none"/>
        </w:rPr>
        <w:t>联合体</w:t>
      </w:r>
      <w:r>
        <w:rPr>
          <w:rFonts w:ascii="宋体" w:hAnsi="宋体"/>
          <w:color w:val="auto"/>
          <w:szCs w:val="24"/>
          <w:highlight w:val="none"/>
        </w:rPr>
        <w:t>协议，明确约定各方拟承担的工作和责任，并将</w:t>
      </w:r>
      <w:r>
        <w:rPr>
          <w:rFonts w:hint="eastAsia" w:ascii="宋体" w:hAnsi="宋体"/>
          <w:color w:val="auto"/>
          <w:szCs w:val="24"/>
          <w:highlight w:val="none"/>
        </w:rPr>
        <w:t>联合体</w:t>
      </w:r>
      <w:r>
        <w:rPr>
          <w:rFonts w:ascii="宋体" w:hAnsi="宋体"/>
          <w:color w:val="auto"/>
          <w:szCs w:val="24"/>
          <w:highlight w:val="none"/>
        </w:rPr>
        <w:t>协议连同投标文件一并提交。联合体中标的，联合体各方应当共同与招标人签订合同，就中标项目向招标人承担连带责任。联合体各方在同一招标项目</w:t>
      </w:r>
      <w:r>
        <w:rPr>
          <w:rFonts w:hint="eastAsia" w:ascii="宋体" w:hAnsi="宋体"/>
          <w:color w:val="auto"/>
          <w:szCs w:val="24"/>
          <w:highlight w:val="none"/>
        </w:rPr>
        <w:t>（标的）</w:t>
      </w:r>
      <w:r>
        <w:rPr>
          <w:rFonts w:ascii="宋体" w:hAnsi="宋体"/>
          <w:color w:val="auto"/>
          <w:szCs w:val="24"/>
          <w:highlight w:val="none"/>
        </w:rPr>
        <w:t>中以自己名义单独投标或者参加其他联合体投标的，相关投标均无效。</w:t>
      </w:r>
    </w:p>
    <w:p w14:paraId="3B7176C7">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8.4联合体投标的，可以由联合体中的一方或者共同提交投标保证金，以一方名义提交保证金的，对联合体各方均具有约束力。</w:t>
      </w:r>
    </w:p>
    <w:p w14:paraId="18DC062B">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8.5除招标文件有明确约定的，联合体参加投标的，可以由联合体中的任一方获取招标文件。</w:t>
      </w:r>
    </w:p>
    <w:p w14:paraId="6F1EEFF8">
      <w:pPr>
        <w:spacing w:line="360" w:lineRule="auto"/>
        <w:ind w:firstLine="525"/>
        <w:rPr>
          <w:rFonts w:hint="eastAsia" w:ascii="宋体" w:hAnsi="宋体"/>
          <w:b/>
          <w:bCs/>
          <w:color w:val="auto"/>
          <w:szCs w:val="24"/>
          <w:highlight w:val="none"/>
        </w:rPr>
      </w:pPr>
      <w:r>
        <w:rPr>
          <w:rFonts w:hint="eastAsia" w:ascii="宋体" w:hAnsi="宋体"/>
          <w:b/>
          <w:bCs/>
          <w:color w:val="auto"/>
          <w:szCs w:val="24"/>
          <w:highlight w:val="none"/>
        </w:rPr>
        <w:t>9.投标专用章的效力</w:t>
      </w:r>
    </w:p>
    <w:p w14:paraId="0D3CF595">
      <w:pPr>
        <w:spacing w:line="360" w:lineRule="auto"/>
        <w:ind w:firstLine="525"/>
        <w:rPr>
          <w:rFonts w:hint="eastAsia" w:ascii="宋体" w:hAnsi="宋体"/>
          <w:color w:val="auto"/>
          <w:szCs w:val="24"/>
          <w:highlight w:val="none"/>
        </w:rPr>
      </w:pPr>
      <w:r>
        <w:rPr>
          <w:rFonts w:hint="eastAsia" w:ascii="宋体" w:hAnsi="宋体"/>
          <w:color w:val="auto"/>
          <w:szCs w:val="24"/>
          <w:highlight w:val="none"/>
        </w:rPr>
        <w:t>9.1招标文件中明确要求加盖公章的，投标人必须加盖投标人公章。</w:t>
      </w:r>
      <w:r>
        <w:rPr>
          <w:rFonts w:ascii="宋体" w:hAnsi="宋体"/>
          <w:color w:val="auto"/>
          <w:szCs w:val="24"/>
          <w:highlight w:val="none"/>
        </w:rPr>
        <w:t>在有授权文件(原件</w:t>
      </w:r>
      <w:r>
        <w:rPr>
          <w:rFonts w:hint="eastAsia" w:ascii="宋体" w:hAnsi="宋体"/>
          <w:color w:val="auto"/>
          <w:szCs w:val="24"/>
          <w:highlight w:val="none"/>
        </w:rPr>
        <w:t>或原件的复印件或影印件</w:t>
      </w:r>
      <w:r>
        <w:rPr>
          <w:rFonts w:ascii="宋体" w:hAnsi="宋体"/>
          <w:color w:val="auto"/>
          <w:szCs w:val="24"/>
          <w:highlight w:val="none"/>
        </w:rPr>
        <w:t>)表明投标专用章法律效力等同于</w:t>
      </w:r>
      <w:r>
        <w:rPr>
          <w:rFonts w:hint="eastAsia" w:ascii="宋体" w:hAnsi="宋体"/>
          <w:color w:val="auto"/>
          <w:szCs w:val="24"/>
          <w:highlight w:val="none"/>
        </w:rPr>
        <w:t>投标人</w:t>
      </w:r>
      <w:r>
        <w:rPr>
          <w:rFonts w:ascii="宋体" w:hAnsi="宋体"/>
          <w:color w:val="auto"/>
          <w:szCs w:val="24"/>
          <w:highlight w:val="none"/>
        </w:rPr>
        <w:t>公章的情况下，</w:t>
      </w:r>
      <w:r>
        <w:rPr>
          <w:rFonts w:hint="eastAsia" w:ascii="宋体" w:hAnsi="宋体"/>
          <w:color w:val="auto"/>
          <w:szCs w:val="24"/>
          <w:highlight w:val="none"/>
        </w:rPr>
        <w:t>可以加</w:t>
      </w:r>
      <w:r>
        <w:rPr>
          <w:rFonts w:ascii="宋体" w:hAnsi="宋体"/>
          <w:color w:val="auto"/>
          <w:szCs w:val="24"/>
          <w:highlight w:val="none"/>
        </w:rPr>
        <w:t>盖投标专用章</w:t>
      </w:r>
      <w:r>
        <w:rPr>
          <w:rFonts w:hint="eastAsia" w:ascii="宋体" w:hAnsi="宋体"/>
          <w:color w:val="auto"/>
          <w:szCs w:val="24"/>
          <w:highlight w:val="none"/>
        </w:rPr>
        <w:t>，否则将导致投标无效。</w:t>
      </w:r>
    </w:p>
    <w:p w14:paraId="50F6E65E">
      <w:pPr>
        <w:spacing w:line="360" w:lineRule="auto"/>
        <w:ind w:firstLine="550"/>
        <w:rPr>
          <w:rFonts w:hint="eastAsia" w:ascii="宋体" w:hAnsi="宋体"/>
          <w:b/>
          <w:bCs/>
          <w:color w:val="auto"/>
          <w:szCs w:val="24"/>
          <w:highlight w:val="none"/>
        </w:rPr>
      </w:pPr>
      <w:r>
        <w:rPr>
          <w:rFonts w:hint="eastAsia" w:ascii="宋体" w:hAnsi="宋体"/>
          <w:b/>
          <w:bCs/>
          <w:color w:val="auto"/>
          <w:szCs w:val="24"/>
          <w:highlight w:val="none"/>
        </w:rPr>
        <w:t>10.合同标的转让</w:t>
      </w:r>
    </w:p>
    <w:p w14:paraId="2739E4E7">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 xml:space="preserve">10.1合同未约定或者未经招标人同意，中标人不得向他人转让中标项目，也不得将中标项目肢解后分别向他人转让。 </w:t>
      </w:r>
    </w:p>
    <w:p w14:paraId="6E0FDDF2">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10.2合同约定或者经招标人同意，中标人可以将中标项目的部分非主体、非关键性工作分包给他人完成。接受分包的人应当具备相应的资格条件，并不得再次分包。如果本项目允许分包，投标人根据招标项目的实际情况，拟在中标后将中标项目的非主体、非关键性工作交由他人完成的，应在投标文件中载明。</w:t>
      </w:r>
    </w:p>
    <w:p w14:paraId="03339455">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10.3中标人应当就分包项目向招标人负责，接受分包的人就分包项目承担连带责任。</w:t>
      </w:r>
    </w:p>
    <w:p w14:paraId="05634D11">
      <w:pPr>
        <w:numPr>
          <w:ilvl w:val="0"/>
          <w:numId w:val="1"/>
        </w:numPr>
        <w:spacing w:line="360" w:lineRule="auto"/>
        <w:ind w:firstLine="550"/>
        <w:rPr>
          <w:rFonts w:hint="eastAsia" w:ascii="宋体" w:hAnsi="宋体"/>
          <w:b/>
          <w:bCs/>
          <w:color w:val="auto"/>
          <w:szCs w:val="24"/>
          <w:highlight w:val="none"/>
        </w:rPr>
      </w:pPr>
      <w:bookmarkStart w:id="24" w:name="_Hlt509650929"/>
      <w:bookmarkEnd w:id="24"/>
      <w:bookmarkStart w:id="25" w:name="_Hlt509649795"/>
      <w:bookmarkEnd w:id="25"/>
      <w:bookmarkStart w:id="26" w:name="_Hlt509649330"/>
      <w:bookmarkEnd w:id="26"/>
      <w:bookmarkStart w:id="27" w:name="_Hlt509649678"/>
      <w:bookmarkEnd w:id="27"/>
      <w:bookmarkStart w:id="28" w:name="_Hlt509650116"/>
      <w:bookmarkEnd w:id="28"/>
      <w:bookmarkStart w:id="29" w:name="_Hlt509650333"/>
      <w:bookmarkEnd w:id="29"/>
      <w:bookmarkStart w:id="30" w:name="_Hlt509649645"/>
      <w:bookmarkEnd w:id="30"/>
      <w:bookmarkStart w:id="31" w:name="_Hlt509649669"/>
      <w:bookmarkEnd w:id="31"/>
      <w:bookmarkStart w:id="32" w:name="_Hlt509650932"/>
      <w:bookmarkEnd w:id="32"/>
      <w:bookmarkStart w:id="33" w:name="_Hlt509650961"/>
      <w:bookmarkEnd w:id="33"/>
      <w:bookmarkStart w:id="34" w:name="_Hlt509650936"/>
      <w:bookmarkEnd w:id="34"/>
      <w:bookmarkStart w:id="35" w:name="_Hlt509650103"/>
      <w:bookmarkEnd w:id="35"/>
      <w:bookmarkStart w:id="36" w:name="_Hlt526418153"/>
      <w:bookmarkEnd w:id="36"/>
      <w:bookmarkStart w:id="37" w:name="_Hlt509650690"/>
      <w:bookmarkEnd w:id="37"/>
      <w:r>
        <w:rPr>
          <w:rFonts w:hint="eastAsia" w:ascii="宋体" w:hAnsi="宋体"/>
          <w:b/>
          <w:bCs/>
          <w:color w:val="auto"/>
          <w:szCs w:val="24"/>
          <w:highlight w:val="none"/>
        </w:rPr>
        <w:t>招标信息的发布</w:t>
      </w:r>
      <w:bookmarkStart w:id="38" w:name="_Toc10709"/>
    </w:p>
    <w:p w14:paraId="2244D3A3">
      <w:pPr>
        <w:spacing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rPr>
        <w:t>11.1 与本次招标活动相关的信息，将在</w:t>
      </w:r>
      <w:r>
        <w:rPr>
          <w:rFonts w:hint="eastAsia" w:cs="宋体"/>
          <w:color w:val="auto"/>
          <w:sz w:val="24"/>
          <w:highlight w:val="none"/>
        </w:rPr>
        <w:t>优质采云采购平台（</w:t>
      </w:r>
      <w:r>
        <w:rPr>
          <w:rFonts w:hint="eastAsia" w:cs="宋体"/>
          <w:color w:val="auto"/>
          <w:sz w:val="24"/>
          <w:szCs w:val="18"/>
          <w:highlight w:val="none"/>
        </w:rPr>
        <w:t>http://www.youzhicai.com/</w:t>
      </w:r>
      <w:r>
        <w:rPr>
          <w:rFonts w:hint="eastAsia" w:cs="宋体"/>
          <w:color w:val="auto"/>
          <w:sz w:val="24"/>
          <w:highlight w:val="none"/>
        </w:rPr>
        <w:t>）</w:t>
      </w:r>
      <w:r>
        <w:rPr>
          <w:rFonts w:hint="eastAsia" w:ascii="宋体" w:hAnsi="宋体"/>
          <w:color w:val="auto"/>
          <w:szCs w:val="24"/>
          <w:highlight w:val="none"/>
        </w:rPr>
        <w:t>发布。</w:t>
      </w:r>
    </w:p>
    <w:p w14:paraId="76E5E0A9">
      <w:pPr>
        <w:pStyle w:val="5"/>
        <w:spacing w:line="500" w:lineRule="exact"/>
        <w:rPr>
          <w:rFonts w:hint="eastAsia" w:hAnsi="宋体"/>
          <w:color w:val="auto"/>
          <w:sz w:val="28"/>
          <w:highlight w:val="none"/>
        </w:rPr>
      </w:pPr>
      <w:r>
        <w:rPr>
          <w:rFonts w:hint="eastAsia" w:hAnsi="宋体"/>
          <w:color w:val="auto"/>
          <w:sz w:val="28"/>
          <w:highlight w:val="none"/>
        </w:rPr>
        <w:t>二．招标文件</w:t>
      </w:r>
      <w:bookmarkEnd w:id="38"/>
      <w:bookmarkStart w:id="39" w:name="_Hlt509649791"/>
      <w:bookmarkEnd w:id="39"/>
      <w:bookmarkStart w:id="40" w:name="_Hlt509650361"/>
      <w:bookmarkEnd w:id="40"/>
      <w:bookmarkStart w:id="41" w:name="_Hlt509649930"/>
      <w:bookmarkEnd w:id="41"/>
    </w:p>
    <w:p w14:paraId="28193EFC">
      <w:pPr>
        <w:spacing w:line="360" w:lineRule="auto"/>
        <w:ind w:firstLine="549"/>
        <w:rPr>
          <w:rFonts w:hint="eastAsia" w:ascii="宋体" w:hAnsi="宋体"/>
          <w:b/>
          <w:color w:val="auto"/>
          <w:szCs w:val="24"/>
          <w:highlight w:val="none"/>
        </w:rPr>
      </w:pPr>
      <w:bookmarkStart w:id="42" w:name="_Hlt509650734"/>
      <w:bookmarkEnd w:id="42"/>
      <w:r>
        <w:rPr>
          <w:rFonts w:hint="eastAsia" w:ascii="宋体" w:hAnsi="宋体"/>
          <w:b/>
          <w:color w:val="auto"/>
          <w:szCs w:val="24"/>
          <w:highlight w:val="none"/>
        </w:rPr>
        <w:t>12.招标文件构成</w:t>
      </w:r>
    </w:p>
    <w:p w14:paraId="05154CD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招标文件包括以下部分：</w:t>
      </w:r>
    </w:p>
    <w:p w14:paraId="1A8C70AD">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.1第一章：投标邀请（招标公告）；</w:t>
      </w:r>
    </w:p>
    <w:p w14:paraId="58F17615">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.2第二章：</w:t>
      </w:r>
      <w:bookmarkStart w:id="43" w:name="_Hlt509650925"/>
      <w:bookmarkEnd w:id="43"/>
      <w:r>
        <w:rPr>
          <w:rFonts w:hint="eastAsia" w:ascii="宋体" w:hAnsi="宋体"/>
          <w:color w:val="auto"/>
          <w:szCs w:val="24"/>
          <w:highlight w:val="none"/>
        </w:rPr>
        <w:t>投标人须知前附表；</w:t>
      </w:r>
    </w:p>
    <w:p w14:paraId="2F973B95">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.3第三章：投标人须知；</w:t>
      </w:r>
    </w:p>
    <w:p w14:paraId="0CF2833D">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.4第四章：招标需求；</w:t>
      </w:r>
    </w:p>
    <w:p w14:paraId="7A78A900">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.5第五章：评标办法；</w:t>
      </w:r>
    </w:p>
    <w:p w14:paraId="08701561">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.6第六章：合同；</w:t>
      </w:r>
    </w:p>
    <w:p w14:paraId="58AF19F4">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.1</w:t>
      </w:r>
      <w:r>
        <w:rPr>
          <w:rFonts w:hint="eastAsia" w:ascii="宋体" w:hAnsi="宋体"/>
          <w:color w:val="auto"/>
          <w:szCs w:val="24"/>
          <w:highlight w:val="none"/>
        </w:rPr>
        <w:t>.7第七章：投标文件格式；</w:t>
      </w:r>
    </w:p>
    <w:p w14:paraId="69F450C2">
      <w:pPr>
        <w:spacing w:line="360" w:lineRule="auto"/>
        <w:ind w:firstLine="523" w:firstLineChars="218"/>
        <w:rPr>
          <w:rFonts w:hint="eastAsia" w:ascii="宋体" w:hAnsi="宋体"/>
          <w:bCs/>
          <w:color w:val="auto"/>
          <w:szCs w:val="24"/>
          <w:highlight w:val="none"/>
        </w:rPr>
      </w:pPr>
      <w:r>
        <w:rPr>
          <w:rFonts w:hint="eastAsia" w:ascii="宋体" w:hAnsi="宋体"/>
          <w:bCs/>
          <w:color w:val="auto"/>
          <w:szCs w:val="24"/>
          <w:highlight w:val="none"/>
        </w:rPr>
        <w:t>12.1.8</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发布的图纸、答疑、补遗、补充通知等。</w:t>
      </w:r>
    </w:p>
    <w:p w14:paraId="208C4637">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12</w:t>
      </w:r>
      <w:r>
        <w:rPr>
          <w:rFonts w:ascii="宋体" w:hAnsi="宋体"/>
          <w:color w:val="auto"/>
          <w:szCs w:val="24"/>
          <w:highlight w:val="none"/>
        </w:rPr>
        <w:t>.</w:t>
      </w:r>
      <w:r>
        <w:rPr>
          <w:rFonts w:hint="eastAsia" w:ascii="宋体" w:hAnsi="宋体"/>
          <w:color w:val="auto"/>
          <w:szCs w:val="24"/>
          <w:highlight w:val="none"/>
        </w:rPr>
        <w:t>2</w:t>
      </w:r>
      <w:r>
        <w:rPr>
          <w:rFonts w:ascii="宋体" w:hAnsi="宋体"/>
          <w:color w:val="auto"/>
          <w:szCs w:val="24"/>
          <w:highlight w:val="none"/>
        </w:rPr>
        <w:t xml:space="preserve"> </w:t>
      </w:r>
      <w:r>
        <w:rPr>
          <w:rFonts w:hint="eastAsia" w:ascii="宋体" w:hAnsi="宋体"/>
          <w:color w:val="auto"/>
          <w:szCs w:val="24"/>
          <w:highlight w:val="none"/>
        </w:rPr>
        <w:t>投标人应认真阅读招标文件中所有的事项、格式、条件、条款和规范等要求。</w:t>
      </w:r>
    </w:p>
    <w:p w14:paraId="289AD62F">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12.3投标人应当按照招标文件的要求编制投标文件。投标文件应对招标文件提出的要求和条件作出实质性响应。</w:t>
      </w:r>
    </w:p>
    <w:p w14:paraId="5A8BB2E6">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12.4投标人获取招标文件后，应仔细检查招标文件的所有内容，如有残缺等问题应在获得招标文件</w:t>
      </w:r>
      <w:r>
        <w:rPr>
          <w:rFonts w:ascii="宋体" w:hAnsi="宋体"/>
          <w:color w:val="auto"/>
          <w:szCs w:val="24"/>
          <w:highlight w:val="none"/>
        </w:rPr>
        <w:t>3</w:t>
      </w:r>
      <w:r>
        <w:rPr>
          <w:rFonts w:hint="eastAsia" w:ascii="宋体" w:hAnsi="宋体"/>
          <w:color w:val="auto"/>
          <w:szCs w:val="24"/>
          <w:highlight w:val="none"/>
        </w:rPr>
        <w:t>日内向代理机构提出，否则，由此引起的损失由投标人自行承担。</w:t>
      </w:r>
    </w:p>
    <w:p w14:paraId="535F90B8">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13.答疑及招标文件的澄清与修改</w:t>
      </w:r>
    </w:p>
    <w:p w14:paraId="180D96B3">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13.1 投标人如果对招标文件及相关附件等招标文件的其他任何内容有相关疑问，可以于投标人须知前附表列明的答疑接受时间前，向</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提出。</w:t>
      </w:r>
    </w:p>
    <w:p w14:paraId="3ACBBF05">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13.2如招标文件存在不一致时，优先顺序如下：（1）招标公告；（2）投标人须知前附表；（3）招标需求；（4）评标办法；（5）其他。</w:t>
      </w:r>
    </w:p>
    <w:p w14:paraId="6613E107">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13.3 疑问的提出与答疑获取具体步骤：投标人需提供盖章版纸质疑问至项目负责人处。</w:t>
      </w:r>
    </w:p>
    <w:p w14:paraId="2D93786F">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请投标人及时通过网站答疑公告栏目查看答疑文件。</w:t>
      </w:r>
    </w:p>
    <w:p w14:paraId="281B9830">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 xml:space="preserve">13.4 </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文件（公告）为准。投标人应主动上网查询。</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不承担投标人未及时关注相关信息引发的相关责任。</w:t>
      </w:r>
      <w:bookmarkStart w:id="44" w:name="_Hlt509649724"/>
      <w:bookmarkEnd w:id="44"/>
      <w:bookmarkStart w:id="45" w:name="_Hlt510342861"/>
      <w:bookmarkEnd w:id="45"/>
      <w:bookmarkStart w:id="46" w:name="_Hlt509650697"/>
      <w:bookmarkEnd w:id="46"/>
      <w:bookmarkStart w:id="47" w:name="_Toc21761"/>
    </w:p>
    <w:p w14:paraId="066DA6ED">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13.5 在投标截止时间前，</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可以视招标具体情况，延长投标截止时间和开标时间，并及时在网站上发布变更（延期）公告。在上述情况下，</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和投标人在投标截止期方面的全部权力、责任和义务，将适用于延长后新的投标截止期。</w:t>
      </w:r>
    </w:p>
    <w:p w14:paraId="7700C141">
      <w:pPr>
        <w:pStyle w:val="5"/>
        <w:spacing w:line="500" w:lineRule="exact"/>
        <w:rPr>
          <w:rFonts w:hint="eastAsia" w:hAnsi="宋体"/>
          <w:color w:val="auto"/>
          <w:sz w:val="28"/>
          <w:highlight w:val="none"/>
        </w:rPr>
      </w:pPr>
      <w:r>
        <w:rPr>
          <w:rFonts w:hint="eastAsia" w:hAnsi="宋体"/>
          <w:color w:val="auto"/>
          <w:sz w:val="28"/>
          <w:highlight w:val="none"/>
        </w:rPr>
        <w:t>三．投标文件的编制</w:t>
      </w:r>
      <w:bookmarkEnd w:id="47"/>
    </w:p>
    <w:p w14:paraId="57A79233">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14.投标文件构成与要求</w:t>
      </w:r>
    </w:p>
    <w:p w14:paraId="79829746">
      <w:pPr>
        <w:spacing w:line="360" w:lineRule="auto"/>
        <w:ind w:firstLine="550"/>
        <w:rPr>
          <w:rFonts w:hint="eastAsia" w:ascii="宋体" w:hAnsi="宋体"/>
          <w:color w:val="auto"/>
          <w:szCs w:val="24"/>
          <w:highlight w:val="none"/>
        </w:rPr>
      </w:pPr>
      <w:bookmarkStart w:id="48" w:name="_Hlt509650345"/>
      <w:bookmarkEnd w:id="48"/>
      <w:r>
        <w:rPr>
          <w:rFonts w:hint="eastAsia" w:ascii="宋体" w:hAnsi="宋体"/>
          <w:color w:val="auto"/>
          <w:szCs w:val="24"/>
          <w:highlight w:val="none"/>
        </w:rPr>
        <w:t>14.1投标文件是对招标文件的实质性响应及承诺文件。</w:t>
      </w:r>
    </w:p>
    <w:p w14:paraId="1BE5E68E">
      <w:pPr>
        <w:spacing w:line="360" w:lineRule="auto"/>
        <w:ind w:firstLine="550"/>
        <w:jc w:val="left"/>
        <w:rPr>
          <w:rFonts w:hint="eastAsia" w:ascii="宋体" w:hAnsi="宋体"/>
          <w:color w:val="auto"/>
          <w:szCs w:val="24"/>
          <w:highlight w:val="none"/>
        </w:rPr>
      </w:pPr>
      <w:r>
        <w:rPr>
          <w:rFonts w:hint="eastAsia" w:ascii="宋体" w:hAnsi="宋体"/>
          <w:color w:val="auto"/>
          <w:szCs w:val="24"/>
          <w:highlight w:val="none"/>
        </w:rPr>
        <w:t>14.2</w:t>
      </w:r>
      <w:r>
        <w:rPr>
          <w:rFonts w:hint="eastAsia" w:ascii="宋体" w:hAnsi="宋体"/>
          <w:bCs/>
          <w:color w:val="auto"/>
          <w:szCs w:val="24"/>
          <w:highlight w:val="none"/>
        </w:rPr>
        <w:t>除非注明“投标人</w:t>
      </w:r>
      <w:r>
        <w:rPr>
          <w:rFonts w:hint="eastAsia" w:ascii="宋体" w:hAnsi="宋体"/>
          <w:color w:val="auto"/>
          <w:szCs w:val="24"/>
          <w:highlight w:val="none"/>
        </w:rPr>
        <w:t>可自行制作格式”，投标文件应使用招标文件提供的格式。</w:t>
      </w:r>
    </w:p>
    <w:p w14:paraId="29F0D981">
      <w:pPr>
        <w:spacing w:line="360" w:lineRule="auto"/>
        <w:ind w:firstLine="550"/>
        <w:jc w:val="left"/>
        <w:rPr>
          <w:rFonts w:hint="eastAsia" w:ascii="宋体" w:hAnsi="宋体"/>
          <w:color w:val="auto"/>
          <w:szCs w:val="24"/>
          <w:highlight w:val="none"/>
        </w:rPr>
      </w:pPr>
      <w:r>
        <w:rPr>
          <w:rFonts w:hint="eastAsia" w:ascii="宋体" w:hAnsi="宋体"/>
          <w:color w:val="auto"/>
          <w:szCs w:val="24"/>
          <w:highlight w:val="none"/>
        </w:rPr>
        <w:t>14.3除专用术语外，投标文件以及投标人与招标人就有关投标的往来函电均应使用中文。投标人提交的支持性文件和印制的文件可以用另一种语言，但相应内容应翻译成中文，对不同文字文本投标文件的解释发生异议的，以中文文本为准。</w:t>
      </w:r>
    </w:p>
    <w:p w14:paraId="1FBA7C78">
      <w:pPr>
        <w:spacing w:line="360" w:lineRule="auto"/>
        <w:ind w:firstLine="550"/>
        <w:jc w:val="left"/>
        <w:rPr>
          <w:rFonts w:hint="eastAsia" w:ascii="宋体" w:hAnsi="宋体"/>
          <w:color w:val="auto"/>
          <w:szCs w:val="24"/>
          <w:highlight w:val="none"/>
        </w:rPr>
      </w:pPr>
      <w:r>
        <w:rPr>
          <w:rFonts w:hint="eastAsia" w:ascii="宋体" w:hAnsi="宋体"/>
          <w:color w:val="auto"/>
          <w:szCs w:val="24"/>
          <w:highlight w:val="none"/>
        </w:rPr>
        <w:t>14.4除非招标文件另有规定，投标文件应使用中华人民共和国法定计量单位。</w:t>
      </w:r>
    </w:p>
    <w:p w14:paraId="294BA8FA">
      <w:pPr>
        <w:spacing w:line="360" w:lineRule="auto"/>
        <w:ind w:firstLine="550"/>
        <w:jc w:val="left"/>
        <w:rPr>
          <w:rFonts w:hint="eastAsia" w:ascii="宋体" w:hAnsi="宋体"/>
          <w:color w:val="auto"/>
          <w:szCs w:val="24"/>
          <w:highlight w:val="none"/>
        </w:rPr>
      </w:pPr>
      <w:r>
        <w:rPr>
          <w:rFonts w:hint="eastAsia" w:ascii="宋体" w:hAnsi="宋体"/>
          <w:color w:val="auto"/>
          <w:szCs w:val="24"/>
          <w:highlight w:val="none"/>
        </w:rPr>
        <w:t>14.5除非招标文件另有规定，投标文件应使用人民币填报所有报价。允许以多种货币报价的，或涉及合同金额等计算的，均按照中国银行在开标日公布的汇率中间价换算成人民币。公司注册资本为外币，须折算成人民币的，按照公司成立日期当日(以营业执照注明的成立日期为准）中国人民银行公布的汇率的中间价计算（投标人应提供成立日期当日中国人民银行公布的汇率的中间价作为参考）。</w:t>
      </w:r>
    </w:p>
    <w:p w14:paraId="0E8FCA91">
      <w:pPr>
        <w:spacing w:line="360" w:lineRule="auto"/>
        <w:ind w:firstLine="550"/>
        <w:jc w:val="left"/>
        <w:rPr>
          <w:rFonts w:hint="eastAsia" w:ascii="宋体" w:hAnsi="宋体"/>
          <w:color w:val="auto"/>
          <w:szCs w:val="24"/>
          <w:highlight w:val="none"/>
        </w:rPr>
      </w:pPr>
      <w:r>
        <w:rPr>
          <w:rFonts w:hint="eastAsia" w:ascii="宋体" w:hAnsi="宋体"/>
          <w:color w:val="auto"/>
          <w:szCs w:val="24"/>
          <w:highlight w:val="none"/>
        </w:rPr>
        <w:t>14.6投标人提供的资质证书（或资格证明、认证证书等）处于年检、换证、升级、变更等期间，除非法律法规或发证机构有书面材料明确表明投标人资质（或资格)有效，否则一律不予认可。</w:t>
      </w:r>
    </w:p>
    <w:p w14:paraId="0C69876F">
      <w:pPr>
        <w:spacing w:line="360" w:lineRule="auto"/>
        <w:ind w:firstLine="550"/>
        <w:jc w:val="left"/>
        <w:rPr>
          <w:rFonts w:hint="eastAsia" w:ascii="宋体" w:hAnsi="宋体"/>
          <w:color w:val="auto"/>
          <w:highlight w:val="none"/>
        </w:rPr>
      </w:pPr>
      <w:r>
        <w:rPr>
          <w:rFonts w:hint="eastAsia" w:ascii="宋体" w:hAnsi="宋体"/>
          <w:color w:val="auto"/>
          <w:highlight w:val="none"/>
        </w:rPr>
        <w:t>14.7</w:t>
      </w:r>
      <w:r>
        <w:rPr>
          <w:rFonts w:hint="eastAsia" w:ascii="宋体" w:hAnsi="宋体"/>
          <w:bCs/>
          <w:color w:val="auto"/>
          <w:highlight w:val="none"/>
        </w:rPr>
        <w:t>建议投标文件编制连续页码。</w:t>
      </w:r>
      <w:r>
        <w:rPr>
          <w:rFonts w:hint="eastAsia" w:ascii="宋体" w:hAnsi="宋体"/>
          <w:color w:val="auto"/>
          <w:highlight w:val="none"/>
        </w:rPr>
        <w:t>投标文件除特殊规格的图纸或方案、图片资料等外，均应按A4规格制作，为节约和环保，建议投标文件双面打印。</w:t>
      </w:r>
    </w:p>
    <w:p w14:paraId="7F25E424">
      <w:pPr>
        <w:spacing w:line="360" w:lineRule="auto"/>
        <w:ind w:firstLine="550"/>
        <w:jc w:val="left"/>
        <w:rPr>
          <w:rFonts w:hint="eastAsia" w:ascii="宋体" w:hAnsi="宋体"/>
          <w:color w:val="auto"/>
          <w:highlight w:val="none"/>
        </w:rPr>
      </w:pPr>
      <w:r>
        <w:rPr>
          <w:rFonts w:hint="eastAsia" w:ascii="宋体" w:hAnsi="宋体"/>
          <w:color w:val="auto"/>
          <w:highlight w:val="none"/>
        </w:rPr>
        <w:t>14.8电报、电话、传真形式的投标概不接受。</w:t>
      </w:r>
    </w:p>
    <w:p w14:paraId="148F8436">
      <w:pPr>
        <w:spacing w:line="360" w:lineRule="auto"/>
        <w:ind w:firstLine="550"/>
        <w:jc w:val="left"/>
        <w:rPr>
          <w:rFonts w:hint="eastAsia" w:ascii="宋体" w:hAnsi="宋体"/>
          <w:b/>
          <w:color w:val="auto"/>
          <w:szCs w:val="24"/>
          <w:highlight w:val="none"/>
        </w:rPr>
      </w:pPr>
      <w:r>
        <w:rPr>
          <w:rFonts w:hint="eastAsia" w:ascii="宋体" w:hAnsi="宋体"/>
          <w:b/>
          <w:color w:val="auto"/>
          <w:szCs w:val="24"/>
          <w:highlight w:val="none"/>
        </w:rPr>
        <w:t>14.9除非招标文件另有规定，</w:t>
      </w:r>
      <w:r>
        <w:rPr>
          <w:rFonts w:hint="eastAsia" w:ascii="宋体" w:hAnsi="宋体"/>
          <w:b/>
          <w:color w:val="auto"/>
          <w:szCs w:val="24"/>
          <w:highlight w:val="none"/>
          <w:lang w:eastAsia="zh-CN"/>
        </w:rPr>
        <w:t>肥西县公共资源交易有限责任公司</w:t>
      </w:r>
      <w:r>
        <w:rPr>
          <w:rFonts w:hint="eastAsia" w:ascii="宋体" w:hAnsi="宋体"/>
          <w:b/>
          <w:color w:val="auto"/>
          <w:szCs w:val="24"/>
          <w:highlight w:val="none"/>
        </w:rPr>
        <w:t>一律不予退还投标人的投标文件。</w:t>
      </w:r>
    </w:p>
    <w:p w14:paraId="3CDC833D">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14.10 本招标文件所要求的证书、认证、资质，均应当是有权机构颁发，且在有效期内的。</w:t>
      </w:r>
    </w:p>
    <w:p w14:paraId="397575F3">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15.报价</w:t>
      </w:r>
    </w:p>
    <w:p w14:paraId="03B06A46">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15.1投标人应以“标的</w:t>
      </w:r>
      <w:r>
        <w:rPr>
          <w:rFonts w:ascii="宋体" w:hAnsi="宋体"/>
          <w:color w:val="auto"/>
          <w:szCs w:val="24"/>
          <w:highlight w:val="none"/>
        </w:rPr>
        <w:t>”</w:t>
      </w:r>
      <w:r>
        <w:rPr>
          <w:rFonts w:hint="eastAsia" w:ascii="宋体" w:hAnsi="宋体"/>
          <w:color w:val="auto"/>
          <w:szCs w:val="24"/>
          <w:highlight w:val="none"/>
        </w:rPr>
        <w:t>为报价的基本单位。若整个需求分为若干标的，则投标人可选择其中的部分或所有标的报价。标的内所有项目均应报价（免费赠送的除外），否则将导致投标无效。</w:t>
      </w:r>
    </w:p>
    <w:p w14:paraId="64ADC5CB">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15.2投标人的报价应包含所投服务、保险、税费、验收和交付后约定期限内免费服务等工作所发生的一切应有费用。投标报价为签订合同的依据。</w:t>
      </w:r>
    </w:p>
    <w:p w14:paraId="0437DA6C">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15.3除非招标文件另有规定，投标报价均不得低于招标文件（公告）列明的控制价、项目概算。</w:t>
      </w:r>
    </w:p>
    <w:p w14:paraId="3A5988C2">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15.4除非招标文件另有规定，每一标的只允许有一个最终报价，任何有选择的报价或替代方案将导致投标无效。</w:t>
      </w:r>
    </w:p>
    <w:p w14:paraId="27036A5F">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15.5除政策性文件规定及招标文件约定以外，投标人所报价格在合同实施期间不因市场变化因素而变动。</w:t>
      </w:r>
    </w:p>
    <w:p w14:paraId="34620514">
      <w:pPr>
        <w:spacing w:line="360" w:lineRule="auto"/>
        <w:ind w:firstLine="549"/>
        <w:rPr>
          <w:rFonts w:hint="eastAsia" w:ascii="宋体" w:hAnsi="宋体"/>
          <w:b/>
          <w:bCs/>
          <w:color w:val="auto"/>
          <w:szCs w:val="24"/>
          <w:highlight w:val="none"/>
        </w:rPr>
      </w:pPr>
      <w:r>
        <w:rPr>
          <w:rFonts w:hint="eastAsia" w:ascii="宋体" w:hAnsi="宋体"/>
          <w:b/>
          <w:bCs/>
          <w:color w:val="auto"/>
          <w:szCs w:val="24"/>
          <w:highlight w:val="none"/>
        </w:rPr>
        <w:t>16.投标内容填写及说明</w:t>
      </w:r>
    </w:p>
    <w:p w14:paraId="465AA929">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16.1投标文件须对招标文件载明的全部初审要求（如投标资格、技术、资信、服务、报价等），做出实质性响应，如果投标文件填报的内容资料不详，或没有提供招标文件中所要求的资料、证明及数据，将导致投标无效。</w:t>
      </w:r>
    </w:p>
    <w:p w14:paraId="31C614D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16.2投标人应在投标文件中提交招标文件要求的有关证明文件，作为其投标文件的一部分。</w:t>
      </w:r>
    </w:p>
    <w:p w14:paraId="270D6A7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16</w:t>
      </w:r>
      <w:r>
        <w:rPr>
          <w:rFonts w:ascii="宋体" w:hAnsi="宋体"/>
          <w:color w:val="auto"/>
          <w:szCs w:val="24"/>
          <w:highlight w:val="none"/>
        </w:rPr>
        <w:t>.</w:t>
      </w:r>
      <w:r>
        <w:rPr>
          <w:rFonts w:hint="eastAsia" w:ascii="宋体" w:hAnsi="宋体"/>
          <w:color w:val="auto"/>
          <w:szCs w:val="24"/>
          <w:highlight w:val="none"/>
        </w:rPr>
        <w:t>3投标人应在投标文件中提交招标文件要求的所有服务的合格性以及符合招标文件规定的证明文件（可以是手册、图纸和资料）等，并作为其投标文件的一部分。包括服务主要内容的详细描述等。</w:t>
      </w:r>
    </w:p>
    <w:p w14:paraId="008C65A4">
      <w:pPr>
        <w:spacing w:line="360" w:lineRule="auto"/>
        <w:ind w:firstLine="549"/>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6</w:t>
      </w:r>
      <w:r>
        <w:rPr>
          <w:rFonts w:ascii="宋体" w:hAnsi="宋体"/>
          <w:color w:val="auto"/>
          <w:szCs w:val="24"/>
          <w:highlight w:val="none"/>
        </w:rPr>
        <w:t>.</w:t>
      </w:r>
      <w:r>
        <w:rPr>
          <w:rFonts w:hint="eastAsia" w:ascii="宋体" w:hAnsi="宋体"/>
          <w:color w:val="auto"/>
          <w:szCs w:val="24"/>
          <w:highlight w:val="none"/>
        </w:rPr>
        <w:t>4投标文件应字迹清楚、编排有序、内容齐全、不得涂改或增删。如有错漏处必须修改，应在修改处加盖投标人公章。</w:t>
      </w:r>
    </w:p>
    <w:p w14:paraId="608038C3">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16.5投标人应根据其投标文件中开标一览表的内容填写唱标信息，唱标信息不作为评审的依据。</w:t>
      </w:r>
    </w:p>
    <w:p w14:paraId="144D106A">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17.投标保证金</w:t>
      </w:r>
    </w:p>
    <w:p w14:paraId="1DBCD7FE">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w:t>
      </w:r>
      <w:r>
        <w:rPr>
          <w:rFonts w:ascii="宋体" w:hAnsi="宋体"/>
          <w:color w:val="auto"/>
          <w:szCs w:val="24"/>
          <w:highlight w:val="none"/>
        </w:rPr>
        <w:t>.1</w:t>
      </w:r>
      <w:r>
        <w:rPr>
          <w:rFonts w:hint="eastAsia" w:ascii="宋体" w:hAnsi="宋体"/>
          <w:color w:val="auto"/>
          <w:szCs w:val="24"/>
          <w:highlight w:val="none"/>
        </w:rPr>
        <w:t>投标前，投标人应向</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提交投标人须知前附表规定金额的投标保证金，作为投标的一部分，投标保证金应当从投标人本单位账户转出，并在投标截止时间前足额到达本次招标公告指定账号。</w:t>
      </w:r>
    </w:p>
    <w:p w14:paraId="32B926FF">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开标后，</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将从投标保证金查询系统中查询投标保证金信息，并提交评标委员会评审。</w:t>
      </w:r>
    </w:p>
    <w:p w14:paraId="511FA6CD">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w:t>
      </w:r>
      <w:r>
        <w:rPr>
          <w:rFonts w:ascii="宋体" w:hAnsi="宋体"/>
          <w:color w:val="auto"/>
          <w:szCs w:val="24"/>
          <w:highlight w:val="none"/>
        </w:rPr>
        <w:t>.2</w:t>
      </w:r>
      <w:r>
        <w:rPr>
          <w:rFonts w:hint="eastAsia" w:ascii="宋体" w:hAnsi="宋体"/>
          <w:color w:val="auto"/>
          <w:szCs w:val="24"/>
          <w:highlight w:val="none"/>
        </w:rPr>
        <w:t xml:space="preserve"> 投标保证金可采取下列任何一种形式：</w:t>
      </w:r>
    </w:p>
    <w:p w14:paraId="4D56CD35">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17.2.1异地电汇；</w:t>
      </w:r>
    </w:p>
    <w:p w14:paraId="4F8602DD">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17.2.2本地转帐。</w:t>
      </w:r>
    </w:p>
    <w:p w14:paraId="378EEF12">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17.3</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不接收以现金或汇票形式递交的投标保证金；投标保证金交纳人名称与投标人名称应当一致。分公司或子公司代缴投标保证金，视同名称不一致。投标保证金交纳人名称与投标人名称不一致的，投标无效。</w:t>
      </w:r>
    </w:p>
    <w:p w14:paraId="0023B282">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w:t>
      </w:r>
      <w:r>
        <w:rPr>
          <w:rFonts w:ascii="宋体" w:hAnsi="宋体"/>
          <w:color w:val="auto"/>
          <w:szCs w:val="24"/>
          <w:highlight w:val="none"/>
        </w:rPr>
        <w:t>.</w:t>
      </w:r>
      <w:r>
        <w:rPr>
          <w:rFonts w:hint="eastAsia" w:ascii="宋体" w:hAnsi="宋体"/>
          <w:color w:val="auto"/>
          <w:szCs w:val="24"/>
          <w:highlight w:val="none"/>
        </w:rPr>
        <w:t>4未按要求提交投标保证金的投标，将被视为非响应性投标而导致投标无效。</w:t>
      </w:r>
    </w:p>
    <w:p w14:paraId="540B66F8">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w:t>
      </w:r>
      <w:r>
        <w:rPr>
          <w:rFonts w:ascii="宋体" w:hAnsi="宋体"/>
          <w:color w:val="auto"/>
          <w:szCs w:val="24"/>
          <w:highlight w:val="none"/>
        </w:rPr>
        <w:t>.</w:t>
      </w:r>
      <w:r>
        <w:rPr>
          <w:rFonts w:hint="eastAsia" w:ascii="宋体" w:hAnsi="宋体"/>
          <w:color w:val="auto"/>
          <w:szCs w:val="24"/>
          <w:highlight w:val="none"/>
        </w:rPr>
        <w:t>5 招标人最迟应当在书面合同签订后5日内向中标人和未中标的投标人退还投标保证金。投标保证金只退还至投标人账户。</w:t>
      </w:r>
    </w:p>
    <w:p w14:paraId="28C56BC9">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17.6有下列情形之一的，招标人不予退还投标保证金：</w:t>
      </w:r>
    </w:p>
    <w:p w14:paraId="78956F46">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17.6.1投标人在规定的投标有效期内撤回或修改其投标；</w:t>
      </w:r>
    </w:p>
    <w:p w14:paraId="214898F1">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17.6.2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14:paraId="348818F0">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17.7由于投标人行为导致招标人或</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损失的，相应损失由投标人承担，从投标保证金中扣除。投标保证金扣除后仍不足以弥补损失的，投标人应当对超过部分予以赔偿。</w:t>
      </w:r>
    </w:p>
    <w:p w14:paraId="43B41545">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18.投标有效期</w:t>
      </w:r>
    </w:p>
    <w:p w14:paraId="247EC4E7">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18.1为</w:t>
      </w:r>
      <w:r>
        <w:rPr>
          <w:rFonts w:ascii="宋体" w:hAnsi="宋体"/>
          <w:color w:val="auto"/>
          <w:szCs w:val="24"/>
          <w:highlight w:val="none"/>
        </w:rPr>
        <w:t>保证</w:t>
      </w:r>
      <w:r>
        <w:rPr>
          <w:rFonts w:hint="eastAsia" w:ascii="宋体" w:hAnsi="宋体"/>
          <w:color w:val="auto"/>
          <w:szCs w:val="24"/>
          <w:highlight w:val="none"/>
        </w:rPr>
        <w:t>招标人</w:t>
      </w:r>
      <w:r>
        <w:rPr>
          <w:rFonts w:ascii="宋体" w:hAnsi="宋体"/>
          <w:color w:val="auto"/>
          <w:szCs w:val="24"/>
          <w:highlight w:val="none"/>
        </w:rPr>
        <w:t>有足够的时间完成评标和与中标人签订合同</w:t>
      </w:r>
      <w:r>
        <w:rPr>
          <w:rFonts w:hint="eastAsia" w:ascii="宋体" w:hAnsi="宋体"/>
          <w:color w:val="auto"/>
          <w:szCs w:val="24"/>
          <w:highlight w:val="none"/>
        </w:rPr>
        <w:t>，规定投标有效期。投标有效期期限见投标人须知前附表。</w:t>
      </w:r>
    </w:p>
    <w:p w14:paraId="5A32B5A3">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18.2在投标有效期内，投标人的投标保持有效，投标人不得要求撤销或修改其投标文件。</w:t>
      </w:r>
    </w:p>
    <w:p w14:paraId="592A66A2">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18.3</w:t>
      </w:r>
      <w:r>
        <w:rPr>
          <w:rFonts w:ascii="宋体" w:hAnsi="宋体"/>
          <w:color w:val="auto"/>
          <w:szCs w:val="24"/>
          <w:highlight w:val="none"/>
        </w:rPr>
        <w:t>投标有效期从投标截止日起计算。</w:t>
      </w:r>
    </w:p>
    <w:p w14:paraId="05B78AFE">
      <w:pPr>
        <w:spacing w:line="360" w:lineRule="auto"/>
        <w:ind w:firstLine="550"/>
        <w:rPr>
          <w:rFonts w:hint="eastAsia" w:ascii="宋体" w:hAnsi="宋体"/>
          <w:color w:val="auto"/>
          <w:szCs w:val="24"/>
          <w:highlight w:val="none"/>
        </w:rPr>
      </w:pPr>
      <w:r>
        <w:rPr>
          <w:rFonts w:hint="eastAsia" w:ascii="宋体" w:hAnsi="宋体"/>
          <w:color w:val="auto"/>
          <w:szCs w:val="24"/>
          <w:highlight w:val="none"/>
        </w:rPr>
        <w:t>18.4在原定投标有效期满之前，如果出现特殊情况，</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14:paraId="1559DF15">
      <w:pPr>
        <w:spacing w:line="360" w:lineRule="auto"/>
        <w:ind w:firstLine="437"/>
        <w:outlineLvl w:val="3"/>
        <w:rPr>
          <w:rFonts w:asciiTheme="minorEastAsia" w:hAnsiTheme="minorEastAsia" w:eastAsiaTheme="minorEastAsia"/>
          <w:b/>
          <w:color w:val="auto"/>
          <w:sz w:val="24"/>
          <w:highlight w:val="none"/>
        </w:rPr>
      </w:pPr>
      <w:bookmarkStart w:id="49" w:name="_Toc2273"/>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投标文件的制作</w:t>
      </w:r>
    </w:p>
    <w:p w14:paraId="57DAF7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19.1本项目采用全流程电子化招标采购方式，投标人必须递交电子投标文件，并对电子投标文件进行电子签章并使用CA锁进行加密，在招标文件规定的投标截止时间前使用“优质采投标工具客户端”完成上传。</w:t>
      </w:r>
    </w:p>
    <w:p w14:paraId="15FEE7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19.2全流程电子招标采购项目投标人必须上传CA锁加密的电子投标文件，投标人下载招标文件后，如未在招标文件规定的投标文件递交截止时间前上传电子投标文件，视为投标无效；投标人在投标文件递交截止时间前，可以对其所递交的电子投标文件进行撤回，修改后重新上传（具体操作详见教程）；</w:t>
      </w:r>
    </w:p>
    <w:p w14:paraId="53E8CE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19.3投标文件递交截止时间以优质采云采购平台（www.youzhicai.com）系统的时间为准，逾期系统将自动关闭,电子响应文件未完成上传的，视为没有递交投标文件；</w:t>
      </w:r>
    </w:p>
    <w:p w14:paraId="347EF2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19.4投标文件可远程解密，投标人无需到达开标现场。招标文件“投标人须知”中另有规定的，从其规定。</w:t>
      </w:r>
    </w:p>
    <w:p w14:paraId="22CF580F">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19.5投标人在制作、上传电子投标文件过程中，若存在技术操作问题，请及时联系优质采云采购平台客服人员，客服电话：400-0099-555，0551-62220164，0551-62220012。</w:t>
      </w:r>
    </w:p>
    <w:p w14:paraId="758E2CEB">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投标截止</w:t>
      </w:r>
    </w:p>
    <w:p w14:paraId="79F2A9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asciiTheme="minorEastAsia" w:hAnsiTheme="minorEastAsia" w:eastAsiaTheme="minorEastAsia"/>
          <w:color w:val="auto"/>
          <w:sz w:val="24"/>
          <w:highlight w:val="none"/>
        </w:rPr>
        <w:t>.1投标人应在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中规定的</w:t>
      </w:r>
      <w:r>
        <w:rPr>
          <w:rFonts w:hint="eastAsia" w:asciiTheme="minorEastAsia" w:hAnsiTheme="minorEastAsia" w:eastAsiaTheme="minorEastAsia"/>
          <w:color w:val="auto"/>
          <w:sz w:val="24"/>
          <w:highlight w:val="none"/>
        </w:rPr>
        <w:t>投标</w:t>
      </w:r>
      <w:r>
        <w:rPr>
          <w:rFonts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rPr>
        <w:t>在网上提交加密电子投标文件。</w:t>
      </w:r>
    </w:p>
    <w:p w14:paraId="5E2737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在</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规定的投标截止时间前上传了网上加密电子投标文件，但未在规定时间内进行解密的，</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5826F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招标代理机构</w:t>
      </w:r>
      <w:r>
        <w:rPr>
          <w:rFonts w:asciiTheme="minorEastAsia" w:hAnsiTheme="minorEastAsia" w:eastAsiaTheme="minorEastAsia"/>
          <w:color w:val="auto"/>
          <w:sz w:val="24"/>
          <w:highlight w:val="none"/>
        </w:rPr>
        <w:t>有权按本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的规定，延迟投标截止时间。在此情况下，</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招标代理机构</w:t>
      </w:r>
      <w:r>
        <w:rPr>
          <w:rFonts w:asciiTheme="minorEastAsia" w:hAnsiTheme="minorEastAsia" w:eastAsiaTheme="minorEastAsia"/>
          <w:color w:val="auto"/>
          <w:sz w:val="24"/>
          <w:highlight w:val="none"/>
        </w:rPr>
        <w:t>和投标人受投标截止时间制约的所有权利和义务均应延长至新的截止时间。</w:t>
      </w:r>
    </w:p>
    <w:p w14:paraId="0409F8FD">
      <w:pPr>
        <w:pStyle w:val="5"/>
        <w:spacing w:line="500" w:lineRule="exact"/>
        <w:rPr>
          <w:rFonts w:hint="eastAsia" w:hAnsi="宋体"/>
          <w:color w:val="auto"/>
          <w:sz w:val="28"/>
          <w:highlight w:val="none"/>
        </w:rPr>
      </w:pPr>
      <w:r>
        <w:rPr>
          <w:rFonts w:hint="eastAsia" w:hAnsi="宋体"/>
          <w:color w:val="auto"/>
          <w:sz w:val="28"/>
          <w:highlight w:val="none"/>
        </w:rPr>
        <w:t>四．投标文件的递交</w:t>
      </w:r>
      <w:bookmarkEnd w:id="49"/>
      <w:bookmarkStart w:id="50" w:name="_Hlt509649414"/>
      <w:bookmarkEnd w:id="50"/>
    </w:p>
    <w:p w14:paraId="4DB4DE6D">
      <w:pPr>
        <w:spacing w:line="360" w:lineRule="auto"/>
        <w:ind w:firstLine="437"/>
        <w:outlineLvl w:val="3"/>
        <w:rPr>
          <w:rFonts w:asciiTheme="minorEastAsia" w:hAnsiTheme="minorEastAsia" w:eastAsiaTheme="minorEastAsia"/>
          <w:b/>
          <w:color w:val="auto"/>
          <w:sz w:val="24"/>
          <w:highlight w:val="none"/>
        </w:rPr>
      </w:pPr>
      <w:bookmarkStart w:id="51" w:name="_Toc13768"/>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DF76D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.1投标人应当在第一章“投标邀请”规定的投标截止时间前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7B107C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6778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投标人在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规定的解密时间（以电子交易系统解密倒计时为准）内完成电子投标文件的解密工作。</w:t>
      </w:r>
    </w:p>
    <w:p w14:paraId="08CCA826">
      <w:pPr>
        <w:pStyle w:val="5"/>
        <w:spacing w:line="500" w:lineRule="exact"/>
        <w:rPr>
          <w:rFonts w:hint="eastAsia" w:hAnsi="宋体"/>
          <w:color w:val="auto"/>
          <w:sz w:val="28"/>
          <w:highlight w:val="none"/>
        </w:rPr>
      </w:pPr>
      <w:r>
        <w:rPr>
          <w:rFonts w:hint="eastAsia" w:hAnsi="宋体"/>
          <w:color w:val="auto"/>
          <w:sz w:val="28"/>
          <w:highlight w:val="none"/>
        </w:rPr>
        <w:t>五．开标与评标</w:t>
      </w:r>
      <w:bookmarkEnd w:id="51"/>
    </w:p>
    <w:p w14:paraId="139A4D96">
      <w:pPr>
        <w:spacing w:line="360" w:lineRule="auto"/>
        <w:ind w:firstLine="550"/>
        <w:rPr>
          <w:rFonts w:hint="eastAsia" w:ascii="宋体" w:hAnsi="宋体"/>
          <w:b/>
          <w:color w:val="auto"/>
          <w:szCs w:val="24"/>
          <w:highlight w:val="none"/>
        </w:rPr>
      </w:pPr>
      <w:r>
        <w:rPr>
          <w:rFonts w:hint="eastAsia" w:ascii="宋体" w:hAnsi="宋体"/>
          <w:b/>
          <w:color w:val="auto"/>
          <w:szCs w:val="24"/>
          <w:highlight w:val="none"/>
        </w:rPr>
        <w:t>2</w:t>
      </w:r>
      <w:r>
        <w:rPr>
          <w:rFonts w:hint="eastAsia" w:ascii="宋体" w:hAnsi="宋体"/>
          <w:b/>
          <w:color w:val="auto"/>
          <w:szCs w:val="24"/>
          <w:highlight w:val="none"/>
          <w:lang w:val="en-US" w:eastAsia="zh-CN"/>
        </w:rPr>
        <w:t>2</w:t>
      </w:r>
      <w:r>
        <w:rPr>
          <w:rFonts w:hint="eastAsia" w:ascii="宋体" w:hAnsi="宋体"/>
          <w:b/>
          <w:color w:val="auto"/>
          <w:szCs w:val="24"/>
          <w:highlight w:val="none"/>
        </w:rPr>
        <w:t>.开标</w:t>
      </w:r>
    </w:p>
    <w:p w14:paraId="043F2A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和</w:t>
      </w:r>
      <w:r>
        <w:rPr>
          <w:rFonts w:hint="eastAsia" w:asciiTheme="minorEastAsia" w:hAnsiTheme="minorEastAsia" w:eastAsiaTheme="minorEastAsia"/>
          <w:color w:val="auto"/>
          <w:sz w:val="24"/>
          <w:highlight w:val="none"/>
          <w:lang w:eastAsia="zh-CN"/>
        </w:rPr>
        <w:t>招标代理机构</w:t>
      </w:r>
      <w:r>
        <w:rPr>
          <w:rFonts w:hint="eastAsia" w:asciiTheme="minorEastAsia" w:hAnsiTheme="minorEastAsia" w:eastAsiaTheme="minorEastAsia"/>
          <w:color w:val="auto"/>
          <w:sz w:val="24"/>
          <w:highlight w:val="none"/>
        </w:rPr>
        <w:t>将按</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中规定的开标时间和地点组织公开开标。</w:t>
      </w:r>
    </w:p>
    <w:p w14:paraId="5D7E46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.2开标时，各投标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应在规定时间前（</w:t>
      </w:r>
      <w:r>
        <w:rPr>
          <w:rFonts w:hint="eastAsia" w:asciiTheme="minorEastAsia" w:hAnsiTheme="minorEastAsia" w:eastAsiaTheme="minorEastAsia"/>
          <w:color w:val="auto"/>
          <w:sz w:val="24"/>
          <w:highlight w:val="none"/>
        </w:rPr>
        <w:t>以电子交易系统解密倒计时为准</w:t>
      </w:r>
      <w:r>
        <w:rPr>
          <w:rFonts w:asciiTheme="minorEastAsia" w:hAnsiTheme="minorEastAsia" w:eastAsiaTheme="minorEastAsia"/>
          <w:color w:val="auto"/>
          <w:sz w:val="24"/>
          <w:highlight w:val="none"/>
        </w:rPr>
        <w:t>）对本单位的投标文件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204E74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开标时，</w:t>
      </w:r>
      <w:r>
        <w:rPr>
          <w:rFonts w:hint="eastAsia" w:asciiTheme="minorEastAsia" w:hAnsiTheme="minorEastAsia" w:eastAsiaTheme="minorEastAsia"/>
          <w:color w:val="auto"/>
          <w:sz w:val="24"/>
          <w:highlight w:val="none"/>
          <w:lang w:eastAsia="zh-CN"/>
        </w:rPr>
        <w:t>招标代理机构</w:t>
      </w:r>
      <w:r>
        <w:rPr>
          <w:rFonts w:asciiTheme="minorEastAsia" w:hAnsiTheme="minorEastAsia" w:eastAsiaTheme="minorEastAsia"/>
          <w:color w:val="auto"/>
          <w:sz w:val="24"/>
          <w:highlight w:val="none"/>
        </w:rPr>
        <w:t>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3128A4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或</w:t>
      </w:r>
      <w:r>
        <w:rPr>
          <w:rFonts w:hint="eastAsia" w:asciiTheme="minorEastAsia" w:hAnsiTheme="minorEastAsia" w:eastAsiaTheme="minorEastAsia"/>
          <w:color w:val="auto"/>
          <w:sz w:val="24"/>
          <w:highlight w:val="none"/>
          <w:lang w:eastAsia="zh-CN"/>
        </w:rPr>
        <w:t>招标代理机构</w:t>
      </w:r>
      <w:r>
        <w:rPr>
          <w:rFonts w:hint="eastAsia" w:asciiTheme="minorEastAsia" w:hAnsiTheme="minorEastAsia" w:eastAsiaTheme="minorEastAsia"/>
          <w:color w:val="auto"/>
          <w:sz w:val="24"/>
          <w:highlight w:val="none"/>
        </w:rPr>
        <w:t>将对开标过程进行记录，由参加开标的各投标人代表和相关工作人员签字确认，并存档备查。</w:t>
      </w:r>
    </w:p>
    <w:p w14:paraId="68E184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2626FED7">
      <w:pPr>
        <w:spacing w:line="360" w:lineRule="auto"/>
        <w:ind w:firstLine="54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.5投标人代表对开标过程和开标记录有疑义，以及认为</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招标代理机构</w:t>
      </w:r>
      <w:r>
        <w:rPr>
          <w:rFonts w:hint="eastAsia" w:asciiTheme="minorEastAsia" w:hAnsiTheme="minorEastAsia" w:eastAsiaTheme="minorEastAsia"/>
          <w:color w:val="auto"/>
          <w:sz w:val="24"/>
          <w:highlight w:val="none"/>
        </w:rPr>
        <w:t>相关工作人员有需要回避的情形的，应当场提出询问或者回避申请。</w:t>
      </w:r>
    </w:p>
    <w:p w14:paraId="1E09D219">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w:t>
      </w:r>
    </w:p>
    <w:p w14:paraId="1F660E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本招标项目采用资格后审方式进行资格审查。</w:t>
      </w:r>
      <w:r>
        <w:rPr>
          <w:rFonts w:hint="eastAsia" w:asciiTheme="minorEastAsia" w:hAnsiTheme="minorEastAsia" w:eastAsiaTheme="minorEastAsia"/>
          <w:color w:val="auto"/>
          <w:sz w:val="24"/>
          <w:highlight w:val="none"/>
        </w:rPr>
        <w:t>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4564854">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s="宋体"/>
          <w:b w:val="0"/>
          <w:bCs w:val="0"/>
          <w:color w:val="auto"/>
          <w:sz w:val="24"/>
          <w:szCs w:val="24"/>
          <w:highlight w:val="none"/>
          <w:lang w:val="en-US" w:eastAsia="zh-CN"/>
        </w:rPr>
        <w:t>23.2</w:t>
      </w:r>
      <w:r>
        <w:rPr>
          <w:rFonts w:ascii="宋体" w:hAnsi="宋体" w:eastAsia="宋体" w:cs="宋体"/>
          <w:b w:val="0"/>
          <w:bCs w:val="0"/>
          <w:color w:val="auto"/>
          <w:sz w:val="24"/>
          <w:szCs w:val="24"/>
          <w:highlight w:val="none"/>
        </w:rPr>
        <w:t>按照有关规定依法组建的评标委员会，负责本项目评标工作。</w:t>
      </w:r>
    </w:p>
    <w:p w14:paraId="33585DF0">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2EC60C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118282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w:t>
      </w:r>
      <w:r>
        <w:rPr>
          <w:rFonts w:hint="eastAsia" w:ascii="宋体" w:hAnsi="宋体" w:eastAsia="宋体"/>
          <w:color w:val="auto"/>
          <w:sz w:val="24"/>
          <w:highlight w:val="none"/>
        </w:rPr>
        <w:t>投标文件的澄清</w:t>
      </w:r>
    </w:p>
    <w:p w14:paraId="7BD7361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6598659">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184B8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投标人的澄清、说明或补正将作为投标文件的一部分。</w:t>
      </w:r>
    </w:p>
    <w:p w14:paraId="7D341B7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.2.3评标委员会对投标人提交的澄清、说明或补正有疑问的，可以要求投标人进一步澄清、说明或补正，直至满足评标委员会的要求。</w:t>
      </w:r>
    </w:p>
    <w:p w14:paraId="6E914D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.3投标文件报价出现前后不一致的，按照下列规定修正：</w:t>
      </w:r>
    </w:p>
    <w:p w14:paraId="1F0D702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F45EC8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984032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81FA9F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20DDD24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同时出现两种以上不一致的，按照前款规定的顺序修正。修正后的报价按照第2</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.2条的规定经投标人确认后产生约束力，投标人不确认的，其投标将被认定为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05EF060">
      <w:pPr>
        <w:spacing w:line="360" w:lineRule="auto"/>
        <w:ind w:firstLine="54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1FB8E8FC">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25.评标</w:t>
      </w:r>
    </w:p>
    <w:p w14:paraId="238C27F2">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25.1 评标委员会将按照招标文件规定的评标办法对投标人独立进行评审。</w:t>
      </w:r>
    </w:p>
    <w:p w14:paraId="38DB5BD2">
      <w:pPr>
        <w:spacing w:line="360" w:lineRule="auto"/>
        <w:ind w:firstLine="549"/>
        <w:rPr>
          <w:rFonts w:hint="eastAsia" w:ascii="宋体" w:hAnsi="宋体" w:cs="Tahoma"/>
          <w:color w:val="auto"/>
          <w:szCs w:val="24"/>
          <w:highlight w:val="none"/>
        </w:rPr>
      </w:pPr>
      <w:r>
        <w:rPr>
          <w:rFonts w:hint="eastAsia" w:ascii="宋体" w:hAnsi="宋体" w:cs="Tahoma"/>
          <w:color w:val="auto"/>
          <w:szCs w:val="24"/>
          <w:highlight w:val="none"/>
        </w:rPr>
        <w:t>25.2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因疫情影响，</w:t>
      </w:r>
      <w:r>
        <w:rPr>
          <w:rFonts w:hint="eastAsia" w:ascii="宋体" w:hAnsi="宋体"/>
          <w:color w:val="auto"/>
          <w:szCs w:val="24"/>
          <w:highlight w:val="none"/>
        </w:rPr>
        <w:t>项目负责人将电话联系投标人进行询标，请投标人保持电话畅通，因投标人授权代表联系不上等情形而无法接受评标委员会询标的，视为放弃澄清，有关风险投标人自行承担。</w:t>
      </w:r>
    </w:p>
    <w:p w14:paraId="6E382DD3">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w:t>
      </w:r>
      <w:r>
        <w:rPr>
          <w:rFonts w:ascii="宋体" w:hAnsi="宋体"/>
          <w:color w:val="auto"/>
          <w:szCs w:val="24"/>
          <w:highlight w:val="none"/>
        </w:rPr>
        <w:t>.</w:t>
      </w:r>
      <w:r>
        <w:rPr>
          <w:rFonts w:hint="eastAsia" w:ascii="宋体" w:hAnsi="宋体"/>
          <w:color w:val="auto"/>
          <w:szCs w:val="24"/>
          <w:highlight w:val="none"/>
        </w:rPr>
        <w:t>3评标委员会将首先审查投标文件是否实质上响应招标文件的初审指标要求。实质上响应的投标应与招标文件的全部条款、条件和规格相符，没有重大偏离或保留。所谓重大偏离或保留是指影响合同的服务范围、质量和性能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3283C858">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有下列情形之一的，评标委员会应当否决其投标：</w:t>
      </w:r>
    </w:p>
    <w:p w14:paraId="0BCB27B6">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25.3.1</w:t>
      </w:r>
      <w:r>
        <w:rPr>
          <w:rFonts w:ascii="宋体" w:hAnsi="宋体"/>
          <w:color w:val="auto"/>
          <w:szCs w:val="24"/>
          <w:highlight w:val="none"/>
        </w:rPr>
        <w:t>投标文件未经投标单位盖章和单位负责人签字</w:t>
      </w:r>
      <w:r>
        <w:rPr>
          <w:rFonts w:hint="eastAsia" w:ascii="宋体" w:hAnsi="宋体"/>
          <w:color w:val="auto"/>
          <w:szCs w:val="24"/>
          <w:highlight w:val="none"/>
        </w:rPr>
        <w:t>；</w:t>
      </w:r>
    </w:p>
    <w:p w14:paraId="5CA5DCFE">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25.3.2</w:t>
      </w:r>
      <w:r>
        <w:rPr>
          <w:rFonts w:ascii="宋体" w:hAnsi="宋体"/>
          <w:color w:val="auto"/>
          <w:szCs w:val="24"/>
          <w:highlight w:val="none"/>
        </w:rPr>
        <w:t>投标联合体没有提交</w:t>
      </w:r>
      <w:r>
        <w:rPr>
          <w:rFonts w:hint="eastAsia" w:ascii="宋体" w:hAnsi="宋体"/>
          <w:color w:val="auto"/>
          <w:szCs w:val="24"/>
          <w:highlight w:val="none"/>
        </w:rPr>
        <w:t>共同投标</w:t>
      </w:r>
      <w:r>
        <w:rPr>
          <w:rFonts w:ascii="宋体" w:hAnsi="宋体"/>
          <w:color w:val="auto"/>
          <w:szCs w:val="24"/>
          <w:highlight w:val="none"/>
        </w:rPr>
        <w:t>协议；</w:t>
      </w:r>
    </w:p>
    <w:p w14:paraId="675CE4B6">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25.3.3投标人不符合国家或者招标文件规定的资格条件；</w:t>
      </w:r>
    </w:p>
    <w:p w14:paraId="70B6D36E">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25.3.4同一投标人提交两个以上不同的投标文件或者投标报价，但招标文件要求提交备选投标的除外；</w:t>
      </w:r>
    </w:p>
    <w:p w14:paraId="7CC62F2F">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25.3.5</w:t>
      </w:r>
      <w:r>
        <w:rPr>
          <w:rFonts w:ascii="宋体" w:hAnsi="宋体"/>
          <w:color w:val="auto"/>
          <w:szCs w:val="24"/>
          <w:highlight w:val="none"/>
        </w:rPr>
        <w:t>投标报价低于招标文件设定的最</w:t>
      </w:r>
      <w:r>
        <w:rPr>
          <w:rFonts w:hint="eastAsia" w:ascii="宋体" w:hAnsi="宋体"/>
          <w:color w:val="auto"/>
          <w:szCs w:val="24"/>
          <w:highlight w:val="none"/>
        </w:rPr>
        <w:t>低</w:t>
      </w:r>
      <w:r>
        <w:rPr>
          <w:rFonts w:ascii="宋体" w:hAnsi="宋体"/>
          <w:color w:val="auto"/>
          <w:szCs w:val="24"/>
          <w:highlight w:val="none"/>
        </w:rPr>
        <w:t>投标限价；</w:t>
      </w:r>
    </w:p>
    <w:p w14:paraId="69EE7CAC">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 xml:space="preserve"> 25.3.6</w:t>
      </w:r>
      <w:r>
        <w:rPr>
          <w:rFonts w:ascii="宋体" w:hAnsi="宋体"/>
          <w:color w:val="auto"/>
          <w:szCs w:val="24"/>
          <w:highlight w:val="none"/>
        </w:rPr>
        <w:t>投标文件没有对招标文件的实质性要求和条件作出响应；</w:t>
      </w:r>
    </w:p>
    <w:p w14:paraId="088EB61D">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25.3.7</w:t>
      </w:r>
      <w:r>
        <w:rPr>
          <w:rFonts w:ascii="宋体" w:hAnsi="宋体"/>
          <w:color w:val="auto"/>
          <w:szCs w:val="24"/>
          <w:highlight w:val="none"/>
        </w:rPr>
        <w:t>投标人有串通投标、弄虚作假、行贿等违法行为。</w:t>
      </w:r>
    </w:p>
    <w:p w14:paraId="3D62DB02">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w:t>
      </w:r>
      <w:r>
        <w:rPr>
          <w:rFonts w:ascii="宋体" w:hAnsi="宋体"/>
          <w:color w:val="auto"/>
          <w:szCs w:val="24"/>
          <w:highlight w:val="none"/>
        </w:rPr>
        <w:t>.</w:t>
      </w:r>
      <w:r>
        <w:rPr>
          <w:rFonts w:hint="eastAsia" w:ascii="宋体" w:hAnsi="宋体"/>
          <w:color w:val="auto"/>
          <w:szCs w:val="24"/>
          <w:highlight w:val="none"/>
        </w:rPr>
        <w:t>4评审时，评标委员会将审查投标文件是否符合招标文件的评审指标要求。</w:t>
      </w:r>
    </w:p>
    <w:p w14:paraId="0C8F420F">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w:t>
      </w:r>
      <w:r>
        <w:rPr>
          <w:rFonts w:ascii="宋体" w:hAnsi="宋体"/>
          <w:color w:val="auto"/>
          <w:szCs w:val="24"/>
          <w:highlight w:val="none"/>
        </w:rPr>
        <w:t>.</w:t>
      </w:r>
      <w:r>
        <w:rPr>
          <w:rFonts w:hint="eastAsia" w:ascii="宋体" w:hAnsi="宋体"/>
          <w:color w:val="auto"/>
          <w:szCs w:val="24"/>
          <w:highlight w:val="none"/>
        </w:rPr>
        <w:t>5如果投标文件未通过投标有效性评审（初审），投标无效。</w:t>
      </w:r>
    </w:p>
    <w:p w14:paraId="4495DA27">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25.6</w:t>
      </w:r>
      <w:r>
        <w:rPr>
          <w:rFonts w:hint="eastAsia" w:ascii="宋体" w:hAnsi="宋体"/>
          <w:color w:val="auto"/>
          <w:highlight w:val="none"/>
        </w:rPr>
        <w:t>除非招标文件另有规定，</w:t>
      </w:r>
      <w:r>
        <w:rPr>
          <w:rFonts w:hint="eastAsia" w:ascii="宋体" w:hAnsi="宋体"/>
          <w:color w:val="auto"/>
          <w:szCs w:val="24"/>
          <w:highlight w:val="none"/>
        </w:rPr>
        <w:t>评标委员会决定投标文件的响应性及符合性只根据投标文件本身的内容，而不寻求其他外部证据。</w:t>
      </w:r>
    </w:p>
    <w:p w14:paraId="27B037DE">
      <w:pPr>
        <w:spacing w:line="360" w:lineRule="auto"/>
        <w:ind w:firstLine="549"/>
        <w:rPr>
          <w:rFonts w:hint="eastAsia" w:ascii="宋体" w:hAnsi="宋体"/>
          <w:b/>
          <w:bCs/>
          <w:color w:val="auto"/>
          <w:szCs w:val="24"/>
          <w:highlight w:val="none"/>
        </w:rPr>
      </w:pPr>
      <w:r>
        <w:rPr>
          <w:rFonts w:hint="eastAsia" w:ascii="宋体" w:hAnsi="宋体"/>
          <w:b/>
          <w:bCs/>
          <w:color w:val="auto"/>
          <w:szCs w:val="24"/>
          <w:highlight w:val="none"/>
        </w:rPr>
        <w:t>26</w:t>
      </w:r>
      <w:r>
        <w:rPr>
          <w:rFonts w:hint="eastAsia" w:ascii="宋体" w:hAnsi="宋体"/>
          <w:b/>
          <w:color w:val="auto"/>
          <w:szCs w:val="24"/>
          <w:highlight w:val="none"/>
        </w:rPr>
        <w:t>.</w:t>
      </w:r>
      <w:r>
        <w:rPr>
          <w:rFonts w:hint="eastAsia" w:ascii="宋体" w:hAnsi="宋体"/>
          <w:b/>
          <w:bCs/>
          <w:color w:val="auto"/>
          <w:szCs w:val="24"/>
          <w:highlight w:val="none"/>
        </w:rPr>
        <w:t>流标处理</w:t>
      </w:r>
    </w:p>
    <w:p w14:paraId="45078A53">
      <w:pPr>
        <w:spacing w:line="360" w:lineRule="auto"/>
        <w:ind w:firstLine="480" w:firstLineChars="200"/>
        <w:rPr>
          <w:rFonts w:hint="eastAsia" w:ascii="宋体" w:hAnsi="宋体"/>
          <w:bCs/>
          <w:color w:val="auto"/>
          <w:szCs w:val="24"/>
          <w:highlight w:val="none"/>
        </w:rPr>
      </w:pPr>
      <w:r>
        <w:rPr>
          <w:rFonts w:hint="eastAsia" w:ascii="宋体" w:hAnsi="宋体"/>
          <w:bCs/>
          <w:color w:val="auto"/>
          <w:szCs w:val="24"/>
          <w:highlight w:val="none"/>
        </w:rPr>
        <w:t>26.1在招标中，符合专业条件的投标人或对招标文件作实质响应的投标人不足规定家数的，评标委员会有权对招标项目作流标处理。流标后，流标原因将在网上公示。</w:t>
      </w:r>
    </w:p>
    <w:p w14:paraId="4E7E6A2E">
      <w:pPr>
        <w:spacing w:line="360" w:lineRule="auto"/>
        <w:ind w:firstLine="482" w:firstLineChars="200"/>
        <w:rPr>
          <w:rFonts w:hint="eastAsia" w:ascii="宋体" w:hAnsi="宋体"/>
          <w:b/>
          <w:bCs/>
          <w:color w:val="auto"/>
          <w:szCs w:val="24"/>
          <w:highlight w:val="none"/>
        </w:rPr>
      </w:pPr>
      <w:r>
        <w:rPr>
          <w:rFonts w:hint="eastAsia" w:ascii="宋体" w:hAnsi="宋体"/>
          <w:b/>
          <w:bCs/>
          <w:color w:val="auto"/>
          <w:szCs w:val="24"/>
          <w:highlight w:val="none"/>
        </w:rPr>
        <w:t>27</w:t>
      </w:r>
      <w:r>
        <w:rPr>
          <w:rFonts w:hint="eastAsia" w:ascii="宋体" w:hAnsi="宋体"/>
          <w:b/>
          <w:color w:val="auto"/>
          <w:szCs w:val="24"/>
          <w:highlight w:val="none"/>
        </w:rPr>
        <w:t>.</w:t>
      </w:r>
      <w:r>
        <w:rPr>
          <w:rFonts w:hint="eastAsia" w:ascii="宋体" w:hAnsi="宋体"/>
          <w:b/>
          <w:bCs/>
          <w:color w:val="auto"/>
          <w:szCs w:val="24"/>
          <w:highlight w:val="none"/>
        </w:rPr>
        <w:t>重新招标</w:t>
      </w:r>
    </w:p>
    <w:p w14:paraId="72A7CAAD">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27.1项目流标后，</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可能重新发布招标公告（投标邀请），进行重新招标。</w:t>
      </w:r>
    </w:p>
    <w:p w14:paraId="527D09AA">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27.2重新招标公告发布后，前次招标文件获取成功的投标人，依照以下方式获取新的招标文件。</w:t>
      </w:r>
    </w:p>
    <w:p w14:paraId="6DCDA18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27.2.1重新招标采用现场获取招标文件的，可在现场免费获取新的招标文件。</w:t>
      </w:r>
    </w:p>
    <w:p w14:paraId="4654486A">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27.2.2重新招标采用企业库方式网上获取招标文件的，可网上免费下载新的招标文件。</w:t>
      </w:r>
    </w:p>
    <w:p w14:paraId="32924B76">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27.2.3</w:t>
      </w:r>
      <w:r>
        <w:rPr>
          <w:rFonts w:hint="eastAsia" w:ascii="宋体" w:hAnsi="宋体"/>
          <w:color w:val="auto"/>
          <w:highlight w:val="none"/>
        </w:rPr>
        <w:t>重新招标采用非企业库方式网上获取招标文件的，将前次招标文件获取交费凭证重新上传并经审核通过后，可网上免费下载新的招标文件。</w:t>
      </w:r>
    </w:p>
    <w:p w14:paraId="63263E99">
      <w:pPr>
        <w:spacing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rPr>
        <w:t>27.3重新招标可能调整前次招标的各项规定及要求，包括招标</w:t>
      </w:r>
      <w:r>
        <w:rPr>
          <w:rFonts w:hint="eastAsia" w:ascii="宋体" w:hAnsi="宋体"/>
          <w:color w:val="auto"/>
          <w:szCs w:val="24"/>
          <w:highlight w:val="none"/>
          <w:lang w:val="en-US" w:eastAsia="zh-CN"/>
        </w:rPr>
        <w:t>方</w:t>
      </w:r>
      <w:r>
        <w:rPr>
          <w:rFonts w:hint="eastAsia" w:ascii="宋体" w:hAnsi="宋体"/>
          <w:color w:val="auto"/>
          <w:szCs w:val="24"/>
          <w:highlight w:val="none"/>
        </w:rPr>
        <w:t>式、项目预算、投标人资格、付款方式、招标需求、评标办法等。投标人参与重新招标，应及时获取新的招标文件，以新的招标文件为依据，编制投标文件。</w:t>
      </w:r>
    </w:p>
    <w:p w14:paraId="26A91F6F">
      <w:pPr>
        <w:pStyle w:val="5"/>
        <w:spacing w:line="500" w:lineRule="exact"/>
        <w:rPr>
          <w:rFonts w:hint="eastAsia" w:hAnsi="宋体"/>
          <w:color w:val="auto"/>
          <w:sz w:val="28"/>
          <w:highlight w:val="none"/>
        </w:rPr>
      </w:pPr>
      <w:bookmarkStart w:id="52" w:name="_Toc23402"/>
      <w:bookmarkStart w:id="53" w:name="_Toc516969091"/>
      <w:r>
        <w:rPr>
          <w:rFonts w:hint="eastAsia" w:hAnsi="宋体"/>
          <w:color w:val="auto"/>
          <w:sz w:val="28"/>
          <w:highlight w:val="none"/>
        </w:rPr>
        <w:t>六．定标与签订合同</w:t>
      </w:r>
      <w:bookmarkEnd w:id="52"/>
      <w:bookmarkEnd w:id="53"/>
    </w:p>
    <w:p w14:paraId="2688D599">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28.定标</w:t>
      </w:r>
    </w:p>
    <w:p w14:paraId="0FE7060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w:t>
      </w:r>
      <w:r>
        <w:rPr>
          <w:rFonts w:ascii="宋体" w:hAnsi="宋体"/>
          <w:color w:val="auto"/>
          <w:szCs w:val="24"/>
          <w:highlight w:val="none"/>
        </w:rPr>
        <w:t>.</w:t>
      </w:r>
      <w:r>
        <w:rPr>
          <w:rFonts w:hint="eastAsia" w:ascii="宋体" w:hAnsi="宋体"/>
          <w:color w:val="auto"/>
          <w:szCs w:val="24"/>
          <w:highlight w:val="none"/>
        </w:rPr>
        <w:t>1评标委员会应当按招标文件规定的标准和方法提出独立评审意见，推荐中标候选人。</w:t>
      </w:r>
    </w:p>
    <w:p w14:paraId="4AACF177">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w:t>
      </w:r>
      <w:r>
        <w:rPr>
          <w:rFonts w:ascii="宋体" w:hAnsi="宋体"/>
          <w:color w:val="auto"/>
          <w:szCs w:val="24"/>
          <w:highlight w:val="none"/>
        </w:rPr>
        <w:t>.</w:t>
      </w:r>
      <w:r>
        <w:rPr>
          <w:rFonts w:hint="eastAsia" w:ascii="宋体" w:hAnsi="宋体"/>
          <w:color w:val="auto"/>
          <w:szCs w:val="24"/>
          <w:highlight w:val="none"/>
        </w:rPr>
        <w:t>2如评标委员会认为有必要，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14:paraId="67E15ED5">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71579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28.3原则上把合同授予实质上响应招标文件要求的排名最前的中标候选人或通过上条资格审查的中标候选人。</w:t>
      </w:r>
    </w:p>
    <w:p w14:paraId="1E164211">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28.4 最高报价并不是被授予合同的保证。</w:t>
      </w:r>
    </w:p>
    <w:p w14:paraId="66C2B39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28.5 凡发现中标候选人有下列行为之一的，其中标无效，并移交公共资源交易监督部门依法处理：</w:t>
      </w:r>
    </w:p>
    <w:p w14:paraId="7DBCA9C9">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28.5.1有下列情形之一的，属于投标人相互串通投标：</w:t>
      </w:r>
    </w:p>
    <w:p w14:paraId="6740BB1E">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28.5.1.1投标人之间协商投标报价等投标文件的实质性内容；</w:t>
      </w:r>
    </w:p>
    <w:p w14:paraId="1B09F133">
      <w:pPr>
        <w:spacing w:line="360" w:lineRule="auto"/>
        <w:ind w:left="549"/>
        <w:rPr>
          <w:rFonts w:hint="eastAsia" w:ascii="宋体" w:hAnsi="宋体"/>
          <w:color w:val="auto"/>
          <w:szCs w:val="24"/>
          <w:highlight w:val="none"/>
        </w:rPr>
      </w:pPr>
      <w:r>
        <w:rPr>
          <w:rFonts w:hint="eastAsia" w:ascii="宋体" w:hAnsi="宋体"/>
          <w:color w:val="auto"/>
          <w:szCs w:val="24"/>
          <w:highlight w:val="none"/>
        </w:rPr>
        <w:t>28.5.1.2投标人之间约定中标人；</w:t>
      </w:r>
    </w:p>
    <w:p w14:paraId="10D6292A">
      <w:pPr>
        <w:spacing w:line="360" w:lineRule="auto"/>
        <w:ind w:left="549"/>
        <w:rPr>
          <w:rFonts w:hint="eastAsia" w:ascii="宋体" w:hAnsi="宋体"/>
          <w:color w:val="auto"/>
          <w:szCs w:val="24"/>
          <w:highlight w:val="none"/>
        </w:rPr>
      </w:pPr>
      <w:r>
        <w:rPr>
          <w:rFonts w:hint="eastAsia" w:ascii="宋体" w:hAnsi="宋体"/>
          <w:color w:val="auto"/>
          <w:szCs w:val="24"/>
          <w:highlight w:val="none"/>
        </w:rPr>
        <w:t>28.5.1.3投标人之间约定部分投标人放弃投标或者中标；</w:t>
      </w:r>
    </w:p>
    <w:p w14:paraId="34B10DD7">
      <w:pPr>
        <w:spacing w:line="360" w:lineRule="auto"/>
        <w:ind w:left="549"/>
        <w:rPr>
          <w:rFonts w:hint="eastAsia" w:ascii="宋体" w:hAnsi="宋体"/>
          <w:color w:val="auto"/>
          <w:szCs w:val="24"/>
          <w:highlight w:val="none"/>
        </w:rPr>
      </w:pPr>
      <w:r>
        <w:rPr>
          <w:rFonts w:hint="eastAsia" w:ascii="宋体" w:hAnsi="宋体"/>
          <w:color w:val="auto"/>
          <w:szCs w:val="24"/>
          <w:highlight w:val="none"/>
        </w:rPr>
        <w:t>28.5.1.4属于同一集团、协会、商会等组织成员的投标人按照该组织要求协同投标；</w:t>
      </w:r>
    </w:p>
    <w:p w14:paraId="76DB2B40">
      <w:pPr>
        <w:spacing w:line="360" w:lineRule="auto"/>
        <w:ind w:left="549"/>
        <w:rPr>
          <w:rFonts w:hint="eastAsia" w:ascii="宋体" w:hAnsi="宋体"/>
          <w:color w:val="auto"/>
          <w:szCs w:val="24"/>
          <w:highlight w:val="none"/>
        </w:rPr>
      </w:pPr>
      <w:r>
        <w:rPr>
          <w:rFonts w:hint="eastAsia" w:ascii="宋体" w:hAnsi="宋体"/>
          <w:color w:val="auto"/>
          <w:szCs w:val="24"/>
          <w:highlight w:val="none"/>
        </w:rPr>
        <w:t>28.5.1.5投标人之间为谋取中标或者排斥特定投标人而采取的其他联合行动。</w:t>
      </w:r>
    </w:p>
    <w:p w14:paraId="3A9C6A7D">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28.5.2</w:t>
      </w:r>
      <w:r>
        <w:rPr>
          <w:rFonts w:hint="eastAsia" w:ascii="宋体" w:hAnsi="宋体"/>
          <w:color w:val="auto"/>
          <w:szCs w:val="24"/>
          <w:highlight w:val="none"/>
        </w:rPr>
        <w:t>有下列情形之一的，视为投标人相互串通投标：</w:t>
      </w:r>
    </w:p>
    <w:p w14:paraId="52452743">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28.5.2.1不同投标人的投标文件由同一单位或者个人编制；</w:t>
      </w:r>
    </w:p>
    <w:p w14:paraId="7566BDD0">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28.5.2.2不同投标人委托同一单位或者个人办理投标事宜；</w:t>
      </w:r>
    </w:p>
    <w:p w14:paraId="75208E70">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28.5.2.3不同投标人的投标文件载明的项目管理成员为同一人；</w:t>
      </w:r>
    </w:p>
    <w:p w14:paraId="7486669E">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28.5.2.4不同投标人的投标文件异常一致或者投标报价呈规律性差异；</w:t>
      </w:r>
    </w:p>
    <w:p w14:paraId="3AC1E565">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28.5.2.5不同投标人的投标文件相互混装；</w:t>
      </w:r>
    </w:p>
    <w:p w14:paraId="1DD37563">
      <w:pPr>
        <w:spacing w:line="360" w:lineRule="auto"/>
        <w:ind w:left="549"/>
        <w:rPr>
          <w:rFonts w:hint="eastAsia" w:ascii="宋体" w:hAnsi="宋体"/>
          <w:color w:val="auto"/>
          <w:szCs w:val="24"/>
          <w:highlight w:val="none"/>
        </w:rPr>
      </w:pPr>
      <w:r>
        <w:rPr>
          <w:rFonts w:hint="eastAsia" w:ascii="宋体" w:hAnsi="宋体"/>
          <w:color w:val="auto"/>
          <w:szCs w:val="24"/>
          <w:highlight w:val="none"/>
        </w:rPr>
        <w:t>28.5.2.6不同投标人的投标保证金从同一单位或者个人的账户转出。</w:t>
      </w:r>
    </w:p>
    <w:p w14:paraId="61D6A263">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w:t>
      </w:r>
      <w:r>
        <w:rPr>
          <w:rFonts w:hint="eastAsia" w:ascii="宋体" w:hAnsi="宋体"/>
          <w:color w:val="auto"/>
          <w:szCs w:val="24"/>
          <w:highlight w:val="none"/>
        </w:rPr>
        <w:t>有下列情形之一的，属于招标人与投标人串通投标：</w:t>
      </w:r>
    </w:p>
    <w:p w14:paraId="07E5A11A">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28.5.3.1</w:t>
      </w:r>
      <w:r>
        <w:rPr>
          <w:rFonts w:hint="eastAsia" w:ascii="宋体" w:hAnsi="宋体"/>
          <w:color w:val="auto"/>
          <w:szCs w:val="24"/>
          <w:highlight w:val="none"/>
        </w:rPr>
        <w:t>招标人在开标前开启投标文件并将有关信息泄露给其他投标人；</w:t>
      </w:r>
    </w:p>
    <w:p w14:paraId="7ADCCB2D">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28.5.3.2</w:t>
      </w:r>
      <w:r>
        <w:rPr>
          <w:rFonts w:hint="eastAsia" w:ascii="宋体" w:hAnsi="宋体"/>
          <w:color w:val="auto"/>
          <w:szCs w:val="24"/>
          <w:highlight w:val="none"/>
        </w:rPr>
        <w:t>招标人直接或者间接向投标人泄露标底、评标委员会成员等信息；</w:t>
      </w:r>
    </w:p>
    <w:p w14:paraId="1E021989">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28.5.3.3</w:t>
      </w:r>
      <w:r>
        <w:rPr>
          <w:rFonts w:hint="eastAsia" w:ascii="宋体" w:hAnsi="宋体"/>
          <w:color w:val="auto"/>
          <w:szCs w:val="24"/>
          <w:highlight w:val="none"/>
        </w:rPr>
        <w:t>招标人明示或者暗示投标人压低或者抬高投标报价；</w:t>
      </w:r>
    </w:p>
    <w:p w14:paraId="504FB0A2">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28.5.3.4</w:t>
      </w:r>
      <w:r>
        <w:rPr>
          <w:rFonts w:hint="eastAsia" w:ascii="宋体" w:hAnsi="宋体"/>
          <w:color w:val="auto"/>
          <w:szCs w:val="24"/>
          <w:highlight w:val="none"/>
        </w:rPr>
        <w:t>招标人授意投标人撤换、修改投标文件；</w:t>
      </w:r>
    </w:p>
    <w:p w14:paraId="0277473C">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28.5.3.5</w:t>
      </w:r>
      <w:r>
        <w:rPr>
          <w:rFonts w:hint="eastAsia" w:ascii="宋体" w:hAnsi="宋体"/>
          <w:color w:val="auto"/>
          <w:szCs w:val="24"/>
          <w:highlight w:val="none"/>
        </w:rPr>
        <w:t>招标人明示或者暗示投标人为特定投标人中标提供方便；</w:t>
      </w:r>
    </w:p>
    <w:p w14:paraId="552603A3">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28.5.3.6</w:t>
      </w:r>
      <w:r>
        <w:rPr>
          <w:rFonts w:hint="eastAsia" w:ascii="宋体" w:hAnsi="宋体"/>
          <w:color w:val="auto"/>
          <w:szCs w:val="24"/>
          <w:highlight w:val="none"/>
        </w:rPr>
        <w:t>招标人与投标人为谋求特定投标人中标而采取的其他串通行为。</w:t>
      </w:r>
    </w:p>
    <w:p w14:paraId="45D13A4E">
      <w:pPr>
        <w:spacing w:line="360" w:lineRule="auto"/>
        <w:ind w:left="549"/>
        <w:rPr>
          <w:rFonts w:hint="eastAsia" w:ascii="宋体" w:hAnsi="宋体"/>
          <w:color w:val="auto"/>
          <w:szCs w:val="24"/>
          <w:highlight w:val="none"/>
        </w:rPr>
      </w:pPr>
      <w:r>
        <w:rPr>
          <w:rFonts w:hint="eastAsia" w:ascii="宋体" w:hAnsi="宋体"/>
          <w:bCs/>
          <w:color w:val="auto"/>
          <w:szCs w:val="24"/>
          <w:highlight w:val="none"/>
        </w:rPr>
        <w:t>28.5.4</w:t>
      </w:r>
      <w:r>
        <w:rPr>
          <w:rFonts w:hint="eastAsia" w:ascii="宋体" w:hAnsi="宋体"/>
          <w:color w:val="auto"/>
          <w:szCs w:val="24"/>
          <w:highlight w:val="none"/>
        </w:rPr>
        <w:t>使用通过受让或者租借等方式获取的资格、资质证书投标的。</w:t>
      </w:r>
    </w:p>
    <w:p w14:paraId="142004B2">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28.5.5投标人有下列情形之一的，属于招标投标法第三十三条规定的以其他方式弄虚作假的行为：</w:t>
      </w:r>
    </w:p>
    <w:p w14:paraId="39B47A27">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28.5.5.1使用伪造、变造的许可证件；</w:t>
      </w:r>
    </w:p>
    <w:p w14:paraId="07874A6A">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28.5.5.2提供虚假的财务状况或者业绩；</w:t>
      </w:r>
    </w:p>
    <w:p w14:paraId="1B6CACDA">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28.5.5.3提供虚假的项目负责人或者主要技术人员简历、劳动关系证明；</w:t>
      </w:r>
    </w:p>
    <w:p w14:paraId="1469A426">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28.5.5.4提供虚假的信用状况；</w:t>
      </w:r>
    </w:p>
    <w:p w14:paraId="43956AA0">
      <w:pPr>
        <w:spacing w:line="360" w:lineRule="auto"/>
        <w:ind w:left="549"/>
        <w:rPr>
          <w:rFonts w:hint="eastAsia" w:ascii="宋体" w:hAnsi="宋体"/>
          <w:color w:val="auto"/>
          <w:szCs w:val="24"/>
          <w:highlight w:val="none"/>
        </w:rPr>
      </w:pPr>
      <w:r>
        <w:rPr>
          <w:rFonts w:hint="eastAsia" w:ascii="宋体" w:hAnsi="宋体"/>
          <w:color w:val="auto"/>
          <w:szCs w:val="24"/>
          <w:highlight w:val="none"/>
        </w:rPr>
        <w:t>28.5.5.5其他弄虚作假的行为。</w:t>
      </w:r>
    </w:p>
    <w:p w14:paraId="3A4237C9">
      <w:pPr>
        <w:spacing w:line="360" w:lineRule="auto"/>
        <w:ind w:left="549"/>
        <w:rPr>
          <w:rFonts w:hint="eastAsia" w:ascii="宋体" w:hAnsi="宋体"/>
          <w:color w:val="auto"/>
          <w:szCs w:val="24"/>
          <w:highlight w:val="none"/>
        </w:rPr>
      </w:pPr>
      <w:r>
        <w:rPr>
          <w:rFonts w:hint="eastAsia" w:ascii="宋体" w:hAnsi="宋体"/>
          <w:color w:val="auto"/>
          <w:szCs w:val="24"/>
          <w:highlight w:val="none"/>
        </w:rPr>
        <w:t>28.5.6其他违反招投标法律、法规和规章强制性规定的行为。</w:t>
      </w:r>
    </w:p>
    <w:p w14:paraId="22ED33FC">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28.6 定标前，</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可能会同招标人对中标候选人进行约谈，约谈包括诚信承诺、履约承诺以及原件核查等内容。</w:t>
      </w:r>
    </w:p>
    <w:p w14:paraId="753C514A">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28.7</w:t>
      </w:r>
      <w:r>
        <w:rPr>
          <w:rFonts w:hint="eastAsia" w:ascii="宋体" w:hAnsi="宋体"/>
          <w:color w:val="auto"/>
          <w:highlight w:val="none"/>
        </w:rPr>
        <w:t>中标候选人信息将</w:t>
      </w:r>
      <w:r>
        <w:rPr>
          <w:rFonts w:hint="eastAsia" w:ascii="宋体" w:hAnsi="宋体"/>
          <w:bCs/>
          <w:color w:val="auto"/>
          <w:highlight w:val="none"/>
        </w:rPr>
        <w:t>在网上公</w:t>
      </w:r>
      <w:r>
        <w:rPr>
          <w:rFonts w:hint="eastAsia" w:ascii="宋体" w:hAnsi="宋体"/>
          <w:color w:val="auto"/>
          <w:highlight w:val="none"/>
        </w:rPr>
        <w:t>示</w:t>
      </w:r>
      <w:r>
        <w:rPr>
          <w:rFonts w:hint="eastAsia" w:ascii="宋体" w:hAnsi="宋体"/>
          <w:color w:val="auto"/>
          <w:szCs w:val="24"/>
          <w:highlight w:val="none"/>
        </w:rPr>
        <w:t>，公示期不少于3日，期满无异议则将发布中标结果公告。</w:t>
      </w:r>
    </w:p>
    <w:p w14:paraId="4541D23B">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29.中标通知书</w:t>
      </w:r>
    </w:p>
    <w:p w14:paraId="1692C1CA">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29</w:t>
      </w:r>
      <w:r>
        <w:rPr>
          <w:rFonts w:ascii="宋体" w:hAnsi="宋体"/>
          <w:color w:val="auto"/>
          <w:szCs w:val="24"/>
          <w:highlight w:val="none"/>
        </w:rPr>
        <w:t>.1</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将以中标通知书形式通知中标人，其投标已被接受。</w:t>
      </w:r>
    </w:p>
    <w:p w14:paraId="3D7BBA2B">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29</w:t>
      </w:r>
      <w:r>
        <w:rPr>
          <w:rFonts w:ascii="宋体" w:hAnsi="宋体"/>
          <w:color w:val="auto"/>
          <w:szCs w:val="24"/>
          <w:highlight w:val="none"/>
        </w:rPr>
        <w:t>.</w:t>
      </w:r>
      <w:r>
        <w:rPr>
          <w:rFonts w:hint="eastAsia" w:ascii="宋体" w:hAnsi="宋体"/>
          <w:color w:val="auto"/>
          <w:szCs w:val="24"/>
          <w:highlight w:val="none"/>
        </w:rPr>
        <w:t>2</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对未中标的投标人不做未中标原因的解释。</w:t>
      </w:r>
    </w:p>
    <w:p w14:paraId="4BE008AC">
      <w:pPr>
        <w:spacing w:line="360" w:lineRule="auto"/>
        <w:ind w:firstLine="549"/>
        <w:rPr>
          <w:rFonts w:hint="eastAsia" w:ascii="宋体" w:hAnsi="宋体"/>
          <w:color w:val="auto"/>
          <w:szCs w:val="24"/>
          <w:highlight w:val="none"/>
        </w:rPr>
      </w:pPr>
      <w:r>
        <w:rPr>
          <w:rFonts w:hint="eastAsia" w:ascii="宋体" w:hAnsi="宋体"/>
          <w:b/>
          <w:bCs/>
          <w:color w:val="auto"/>
          <w:szCs w:val="24"/>
          <w:highlight w:val="none"/>
        </w:rPr>
        <w:t>29.3中标结果公告发布后，中标人请在3个工作日内委派专人凭介绍信或公司授权书（须同时携带有效身份证明）</w:t>
      </w:r>
      <w:r>
        <w:rPr>
          <w:rFonts w:hint="eastAsia" w:ascii="宋体" w:hAnsi="宋体"/>
          <w:b/>
          <w:bCs/>
          <w:color w:val="auto"/>
          <w:highlight w:val="none"/>
        </w:rPr>
        <w:t>联系本项目负责人领取中标通知书。</w:t>
      </w:r>
    </w:p>
    <w:p w14:paraId="3CB848F3">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30.招标代理服务费</w:t>
      </w:r>
    </w:p>
    <w:p w14:paraId="696BC29F">
      <w:pPr>
        <w:spacing w:line="360" w:lineRule="auto"/>
        <w:ind w:firstLine="549"/>
        <w:rPr>
          <w:rFonts w:hint="eastAsia" w:ascii="宋体" w:hAnsi="宋体"/>
          <w:color w:val="auto"/>
          <w:highlight w:val="none"/>
        </w:rPr>
      </w:pPr>
      <w:r>
        <w:rPr>
          <w:rFonts w:hint="eastAsia" w:ascii="宋体" w:hAnsi="宋体"/>
          <w:color w:val="auto"/>
          <w:szCs w:val="24"/>
          <w:highlight w:val="none"/>
        </w:rPr>
        <w:t>30.1</w:t>
      </w:r>
      <w:r>
        <w:rPr>
          <w:rFonts w:ascii="宋体" w:hAnsi="宋体"/>
          <w:color w:val="auto"/>
          <w:szCs w:val="24"/>
          <w:highlight w:val="none"/>
        </w:rPr>
        <w:t>中标人在收到中标通知书后三个工作日内应向</w:t>
      </w:r>
      <w:r>
        <w:rPr>
          <w:rFonts w:hint="eastAsia" w:ascii="宋体" w:hAnsi="宋体"/>
          <w:color w:val="auto"/>
          <w:szCs w:val="24"/>
          <w:highlight w:val="none"/>
          <w:lang w:eastAsia="zh-CN"/>
        </w:rPr>
        <w:t>肥西县公共资源交易有限责任公司</w:t>
      </w:r>
      <w:r>
        <w:rPr>
          <w:rFonts w:ascii="宋体" w:hAnsi="宋体"/>
          <w:color w:val="auto"/>
          <w:szCs w:val="24"/>
          <w:highlight w:val="none"/>
        </w:rPr>
        <w:t>交纳</w:t>
      </w:r>
      <w:r>
        <w:rPr>
          <w:rFonts w:hint="eastAsia" w:ascii="宋体" w:hAnsi="宋体"/>
          <w:color w:val="auto"/>
          <w:szCs w:val="24"/>
          <w:highlight w:val="none"/>
        </w:rPr>
        <w:t>招标代理</w:t>
      </w:r>
      <w:r>
        <w:rPr>
          <w:rFonts w:ascii="宋体" w:hAnsi="宋体"/>
          <w:color w:val="auto"/>
          <w:szCs w:val="24"/>
          <w:highlight w:val="none"/>
        </w:rPr>
        <w:t>服务费，可以</w:t>
      </w:r>
      <w:r>
        <w:rPr>
          <w:rFonts w:hint="eastAsia" w:ascii="宋体" w:hAnsi="宋体"/>
          <w:color w:val="auto"/>
          <w:szCs w:val="24"/>
          <w:highlight w:val="none"/>
        </w:rPr>
        <w:t>转账</w:t>
      </w:r>
      <w:r>
        <w:rPr>
          <w:rFonts w:ascii="宋体" w:hAnsi="宋体"/>
          <w:color w:val="auto"/>
          <w:szCs w:val="24"/>
          <w:highlight w:val="none"/>
        </w:rPr>
        <w:t>的形式交纳。</w:t>
      </w:r>
      <w:r>
        <w:rPr>
          <w:rFonts w:hint="eastAsia" w:ascii="宋体" w:hAnsi="宋体"/>
          <w:color w:val="auto"/>
          <w:highlight w:val="none"/>
        </w:rPr>
        <w:t>招标人招标代理服务费的缴纳按项目委托合同执行。</w:t>
      </w:r>
    </w:p>
    <w:p w14:paraId="2144F9C4">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30.2招标代理</w:t>
      </w:r>
      <w:r>
        <w:rPr>
          <w:rFonts w:ascii="宋体" w:hAnsi="宋体"/>
          <w:color w:val="auto"/>
          <w:szCs w:val="24"/>
          <w:highlight w:val="none"/>
        </w:rPr>
        <w:t>服务费的收取采用差额定率累进计费方式，具体收费标准</w:t>
      </w:r>
      <w:r>
        <w:rPr>
          <w:rFonts w:hint="eastAsia" w:ascii="宋体" w:hAnsi="宋体"/>
          <w:color w:val="auto"/>
          <w:szCs w:val="24"/>
          <w:highlight w:val="none"/>
        </w:rPr>
        <w:t>如下：</w:t>
      </w:r>
    </w:p>
    <w:p w14:paraId="38667F17">
      <w:pPr>
        <w:spacing w:line="360" w:lineRule="auto"/>
        <w:ind w:firstLine="482" w:firstLineChars="200"/>
        <w:rPr>
          <w:rFonts w:hint="eastAsia" w:ascii="宋体" w:hAnsi="宋体" w:cs="宋体"/>
          <w:b/>
          <w:bCs/>
          <w:color w:val="auto"/>
          <w:szCs w:val="24"/>
          <w:highlight w:val="none"/>
        </w:rPr>
      </w:pPr>
      <w:r>
        <w:rPr>
          <w:rFonts w:hint="eastAsia" w:ascii="宋体" w:hAnsi="宋体" w:cs="宋体"/>
          <w:b/>
          <w:bCs/>
          <w:color w:val="auto"/>
          <w:szCs w:val="24"/>
          <w:highlight w:val="none"/>
        </w:rPr>
        <w:t>代理服务费缴纳账户：</w:t>
      </w:r>
    </w:p>
    <w:p w14:paraId="78EF732E">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开户银行：中国银行股份有限公司肥西支行</w:t>
      </w:r>
    </w:p>
    <w:p w14:paraId="72C01CAA">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开户名：</w:t>
      </w:r>
      <w:r>
        <w:rPr>
          <w:rFonts w:hint="eastAsia" w:ascii="宋体" w:hAnsi="宋体" w:cs="宋体"/>
          <w:color w:val="auto"/>
          <w:szCs w:val="24"/>
          <w:highlight w:val="none"/>
          <w:lang w:eastAsia="zh-CN"/>
        </w:rPr>
        <w:t>肥西县公共资源交易有限责任公司</w:t>
      </w:r>
    </w:p>
    <w:p w14:paraId="6E3CB18D">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账号：179746801939</w:t>
      </w:r>
    </w:p>
    <w:p w14:paraId="1307E000">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代理服务费的收取采用差额定率累进计费方式，具体收费标准参照关于印发《招标（采购）代理行业服务收费指导意见》的通知（合公协〔2023]03号）文件收取。</w:t>
      </w:r>
    </w:p>
    <w:p w14:paraId="080AC5D9">
      <w:pPr>
        <w:ind w:firstLine="482"/>
        <w:jc w:val="center"/>
        <w:rPr>
          <w:rFonts w:hint="eastAsia" w:ascii="宋体" w:hAnsi="宋体" w:cs="宋体"/>
          <w:bCs/>
          <w:color w:val="auto"/>
          <w:highlight w:val="none"/>
        </w:rPr>
      </w:pPr>
      <w:r>
        <w:rPr>
          <w:rFonts w:hint="eastAsia" w:ascii="宋体" w:hAnsi="宋体" w:cs="宋体"/>
          <w:b/>
          <w:bCs/>
          <w:color w:val="auto"/>
          <w:highlight w:val="none"/>
        </w:rPr>
        <w:t>代理服务收费标准</w:t>
      </w:r>
    </w:p>
    <w:tbl>
      <w:tblPr>
        <w:tblStyle w:val="24"/>
        <w:tblW w:w="93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6"/>
        <w:gridCol w:w="2336"/>
        <w:gridCol w:w="2336"/>
        <w:gridCol w:w="2337"/>
      </w:tblGrid>
      <w:tr w14:paraId="6BE4D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BB1B9CD">
            <w:pPr>
              <w:spacing w:line="360" w:lineRule="auto"/>
              <w:ind w:firstLine="482"/>
              <w:jc w:val="center"/>
              <w:rPr>
                <w:rFonts w:hint="eastAsia" w:ascii="宋体" w:hAnsi="宋体" w:cs="宋体"/>
                <w:b/>
                <w:bCs/>
                <w:color w:val="auto"/>
                <w:highlight w:val="none"/>
              </w:rPr>
            </w:pPr>
            <w:r>
              <w:rPr>
                <w:rFonts w:hint="eastAsia" w:ascii="宋体" w:hAnsi="宋体" w:cs="宋体"/>
                <w:b/>
                <w:bCs/>
                <w:color w:val="auto"/>
                <w:highlight w:val="none"/>
                <w:lang w:eastAsia="zh-CN"/>
              </w:rPr>
              <w:t>中标</w:t>
            </w:r>
            <w:r>
              <w:rPr>
                <w:rFonts w:hint="eastAsia" w:ascii="宋体" w:hAnsi="宋体" w:cs="宋体"/>
                <w:b/>
                <w:bCs/>
                <w:color w:val="auto"/>
                <w:highlight w:val="none"/>
              </w:rPr>
              <w:t>金额</w:t>
            </w:r>
          </w:p>
        </w:tc>
        <w:tc>
          <w:tcPr>
            <w:tcW w:w="2336" w:type="dxa"/>
            <w:tcBorders>
              <w:top w:val="single" w:color="auto" w:sz="4" w:space="0"/>
              <w:left w:val="single" w:color="auto" w:sz="4" w:space="0"/>
              <w:bottom w:val="single" w:color="auto" w:sz="4" w:space="0"/>
              <w:right w:val="single" w:color="auto" w:sz="4" w:space="0"/>
            </w:tcBorders>
            <w:vAlign w:val="center"/>
          </w:tcPr>
          <w:p w14:paraId="055A7404">
            <w:pPr>
              <w:spacing w:line="360" w:lineRule="auto"/>
              <w:ind w:firstLine="482"/>
              <w:jc w:val="center"/>
              <w:rPr>
                <w:rFonts w:hint="eastAsia" w:ascii="宋体" w:hAnsi="宋体" w:cs="宋体"/>
                <w:b/>
                <w:bCs/>
                <w:color w:val="auto"/>
                <w:highlight w:val="none"/>
              </w:rPr>
            </w:pPr>
            <w:r>
              <w:rPr>
                <w:rFonts w:hint="eastAsia" w:ascii="宋体" w:hAnsi="宋体" w:cs="宋体"/>
                <w:b/>
                <w:bCs/>
                <w:color w:val="auto"/>
                <w:highlight w:val="none"/>
              </w:rPr>
              <w:t>货物</w:t>
            </w:r>
          </w:p>
        </w:tc>
        <w:tc>
          <w:tcPr>
            <w:tcW w:w="2336" w:type="dxa"/>
            <w:tcBorders>
              <w:top w:val="single" w:color="auto" w:sz="4" w:space="0"/>
              <w:left w:val="single" w:color="auto" w:sz="4" w:space="0"/>
              <w:bottom w:val="single" w:color="auto" w:sz="4" w:space="0"/>
              <w:right w:val="single" w:color="auto" w:sz="4" w:space="0"/>
            </w:tcBorders>
            <w:vAlign w:val="center"/>
          </w:tcPr>
          <w:p w14:paraId="3A68A304">
            <w:pPr>
              <w:spacing w:line="360" w:lineRule="auto"/>
              <w:ind w:firstLine="482"/>
              <w:jc w:val="center"/>
              <w:rPr>
                <w:rFonts w:hint="eastAsia" w:ascii="宋体" w:hAnsi="宋体" w:cs="宋体"/>
                <w:b/>
                <w:bCs/>
                <w:color w:val="auto"/>
                <w:highlight w:val="none"/>
              </w:rPr>
            </w:pPr>
            <w:r>
              <w:rPr>
                <w:rFonts w:hint="eastAsia" w:ascii="宋体" w:hAnsi="宋体" w:cs="宋体"/>
                <w:b/>
                <w:bCs/>
                <w:color w:val="auto"/>
                <w:highlight w:val="none"/>
              </w:rPr>
              <w:t>服务</w:t>
            </w:r>
          </w:p>
        </w:tc>
        <w:tc>
          <w:tcPr>
            <w:tcW w:w="2337" w:type="dxa"/>
            <w:tcBorders>
              <w:top w:val="single" w:color="auto" w:sz="4" w:space="0"/>
              <w:left w:val="single" w:color="auto" w:sz="4" w:space="0"/>
              <w:bottom w:val="single" w:color="auto" w:sz="4" w:space="0"/>
            </w:tcBorders>
            <w:vAlign w:val="center"/>
          </w:tcPr>
          <w:p w14:paraId="4A45C268">
            <w:pPr>
              <w:spacing w:line="360" w:lineRule="auto"/>
              <w:ind w:firstLine="482"/>
              <w:jc w:val="center"/>
              <w:rPr>
                <w:rFonts w:hint="eastAsia" w:ascii="宋体" w:hAnsi="宋体" w:cs="宋体"/>
                <w:b/>
                <w:bCs/>
                <w:color w:val="auto"/>
                <w:highlight w:val="none"/>
              </w:rPr>
            </w:pPr>
            <w:r>
              <w:rPr>
                <w:rFonts w:hint="eastAsia" w:ascii="宋体" w:hAnsi="宋体" w:cs="宋体"/>
                <w:b/>
                <w:bCs/>
                <w:color w:val="auto"/>
                <w:highlight w:val="none"/>
              </w:rPr>
              <w:t>工程</w:t>
            </w:r>
          </w:p>
        </w:tc>
      </w:tr>
      <w:tr w14:paraId="59CB9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5637FB38">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100万元以下</w:t>
            </w:r>
          </w:p>
        </w:tc>
        <w:tc>
          <w:tcPr>
            <w:tcW w:w="2336" w:type="dxa"/>
            <w:tcBorders>
              <w:top w:val="single" w:color="auto" w:sz="4" w:space="0"/>
              <w:left w:val="single" w:color="auto" w:sz="4" w:space="0"/>
              <w:bottom w:val="single" w:color="auto" w:sz="4" w:space="0"/>
              <w:right w:val="single" w:color="auto" w:sz="4" w:space="0"/>
            </w:tcBorders>
            <w:vAlign w:val="center"/>
          </w:tcPr>
          <w:p w14:paraId="088188BD">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1.5%</w:t>
            </w:r>
          </w:p>
        </w:tc>
        <w:tc>
          <w:tcPr>
            <w:tcW w:w="2336" w:type="dxa"/>
            <w:tcBorders>
              <w:top w:val="single" w:color="auto" w:sz="4" w:space="0"/>
              <w:left w:val="single" w:color="auto" w:sz="4" w:space="0"/>
              <w:bottom w:val="single" w:color="auto" w:sz="4" w:space="0"/>
              <w:right w:val="single" w:color="auto" w:sz="4" w:space="0"/>
            </w:tcBorders>
            <w:vAlign w:val="center"/>
          </w:tcPr>
          <w:p w14:paraId="1CC7B358">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1.5%</w:t>
            </w:r>
          </w:p>
        </w:tc>
        <w:tc>
          <w:tcPr>
            <w:tcW w:w="2337" w:type="dxa"/>
            <w:tcBorders>
              <w:top w:val="single" w:color="auto" w:sz="4" w:space="0"/>
              <w:left w:val="single" w:color="auto" w:sz="4" w:space="0"/>
              <w:bottom w:val="single" w:color="auto" w:sz="4" w:space="0"/>
            </w:tcBorders>
            <w:vAlign w:val="center"/>
          </w:tcPr>
          <w:p w14:paraId="295BFCCA">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1.0%</w:t>
            </w:r>
          </w:p>
        </w:tc>
      </w:tr>
      <w:tr w14:paraId="3E04D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1B1F893C">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100万元-500万元（含500万元）</w:t>
            </w:r>
          </w:p>
        </w:tc>
        <w:tc>
          <w:tcPr>
            <w:tcW w:w="2336" w:type="dxa"/>
            <w:tcBorders>
              <w:top w:val="single" w:color="auto" w:sz="4" w:space="0"/>
              <w:left w:val="single" w:color="auto" w:sz="4" w:space="0"/>
              <w:bottom w:val="single" w:color="auto" w:sz="4" w:space="0"/>
              <w:right w:val="single" w:color="auto" w:sz="4" w:space="0"/>
            </w:tcBorders>
            <w:vAlign w:val="center"/>
          </w:tcPr>
          <w:p w14:paraId="3FF49B6D">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1.1%</w:t>
            </w:r>
          </w:p>
        </w:tc>
        <w:tc>
          <w:tcPr>
            <w:tcW w:w="2336" w:type="dxa"/>
            <w:tcBorders>
              <w:top w:val="single" w:color="auto" w:sz="4" w:space="0"/>
              <w:left w:val="single" w:color="auto" w:sz="4" w:space="0"/>
              <w:bottom w:val="single" w:color="auto" w:sz="4" w:space="0"/>
              <w:right w:val="single" w:color="auto" w:sz="4" w:space="0"/>
            </w:tcBorders>
            <w:vAlign w:val="center"/>
          </w:tcPr>
          <w:p w14:paraId="6904B8DC">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0.8%</w:t>
            </w:r>
          </w:p>
        </w:tc>
        <w:tc>
          <w:tcPr>
            <w:tcW w:w="2337" w:type="dxa"/>
            <w:tcBorders>
              <w:top w:val="single" w:color="auto" w:sz="4" w:space="0"/>
              <w:left w:val="single" w:color="auto" w:sz="4" w:space="0"/>
              <w:bottom w:val="single" w:color="auto" w:sz="4" w:space="0"/>
            </w:tcBorders>
            <w:vAlign w:val="center"/>
          </w:tcPr>
          <w:p w14:paraId="17CF0341">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0.7%</w:t>
            </w:r>
          </w:p>
        </w:tc>
      </w:tr>
      <w:tr w14:paraId="325DB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2A43DE48">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500万元-1000万元（含1000万元）</w:t>
            </w:r>
          </w:p>
        </w:tc>
        <w:tc>
          <w:tcPr>
            <w:tcW w:w="2336" w:type="dxa"/>
            <w:tcBorders>
              <w:top w:val="single" w:color="auto" w:sz="4" w:space="0"/>
              <w:left w:val="single" w:color="auto" w:sz="4" w:space="0"/>
              <w:bottom w:val="single" w:color="auto" w:sz="4" w:space="0"/>
              <w:right w:val="single" w:color="auto" w:sz="4" w:space="0"/>
            </w:tcBorders>
            <w:vAlign w:val="center"/>
          </w:tcPr>
          <w:p w14:paraId="41A43CA8">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0.8%</w:t>
            </w:r>
          </w:p>
        </w:tc>
        <w:tc>
          <w:tcPr>
            <w:tcW w:w="2336" w:type="dxa"/>
            <w:tcBorders>
              <w:top w:val="single" w:color="auto" w:sz="4" w:space="0"/>
              <w:left w:val="single" w:color="auto" w:sz="4" w:space="0"/>
              <w:bottom w:val="single" w:color="auto" w:sz="4" w:space="0"/>
              <w:right w:val="single" w:color="auto" w:sz="4" w:space="0"/>
            </w:tcBorders>
            <w:vAlign w:val="center"/>
          </w:tcPr>
          <w:p w14:paraId="623E9F78">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0.45%</w:t>
            </w:r>
          </w:p>
        </w:tc>
        <w:tc>
          <w:tcPr>
            <w:tcW w:w="2337" w:type="dxa"/>
            <w:tcBorders>
              <w:top w:val="single" w:color="auto" w:sz="4" w:space="0"/>
              <w:left w:val="single" w:color="auto" w:sz="4" w:space="0"/>
              <w:bottom w:val="single" w:color="auto" w:sz="4" w:space="0"/>
            </w:tcBorders>
            <w:vAlign w:val="center"/>
          </w:tcPr>
          <w:p w14:paraId="1D621C3F">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0.55%</w:t>
            </w:r>
          </w:p>
        </w:tc>
      </w:tr>
      <w:tr w14:paraId="007BA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65A0A2F7">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1000万元-5000万元（含5000万元）</w:t>
            </w:r>
          </w:p>
        </w:tc>
        <w:tc>
          <w:tcPr>
            <w:tcW w:w="2336" w:type="dxa"/>
            <w:tcBorders>
              <w:top w:val="single" w:color="auto" w:sz="4" w:space="0"/>
              <w:left w:val="single" w:color="auto" w:sz="4" w:space="0"/>
              <w:bottom w:val="single" w:color="auto" w:sz="4" w:space="0"/>
              <w:right w:val="single" w:color="auto" w:sz="4" w:space="0"/>
            </w:tcBorders>
            <w:vAlign w:val="center"/>
          </w:tcPr>
          <w:p w14:paraId="6176B534">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0.5%</w:t>
            </w:r>
          </w:p>
        </w:tc>
        <w:tc>
          <w:tcPr>
            <w:tcW w:w="2336" w:type="dxa"/>
            <w:tcBorders>
              <w:top w:val="single" w:color="auto" w:sz="4" w:space="0"/>
              <w:left w:val="single" w:color="auto" w:sz="4" w:space="0"/>
              <w:bottom w:val="single" w:color="auto" w:sz="4" w:space="0"/>
              <w:right w:val="single" w:color="auto" w:sz="4" w:space="0"/>
            </w:tcBorders>
            <w:vAlign w:val="center"/>
          </w:tcPr>
          <w:p w14:paraId="376B5E33">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0.25%</w:t>
            </w:r>
          </w:p>
        </w:tc>
        <w:tc>
          <w:tcPr>
            <w:tcW w:w="2337" w:type="dxa"/>
            <w:tcBorders>
              <w:top w:val="single" w:color="auto" w:sz="4" w:space="0"/>
              <w:left w:val="single" w:color="auto" w:sz="4" w:space="0"/>
              <w:bottom w:val="single" w:color="auto" w:sz="4" w:space="0"/>
            </w:tcBorders>
            <w:vAlign w:val="center"/>
          </w:tcPr>
          <w:p w14:paraId="6998D468">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0.35%</w:t>
            </w:r>
          </w:p>
        </w:tc>
      </w:tr>
      <w:tr w14:paraId="0FCE3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28B6A80A">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5000万元-1亿元（含1亿元）</w:t>
            </w:r>
          </w:p>
        </w:tc>
        <w:tc>
          <w:tcPr>
            <w:tcW w:w="2336" w:type="dxa"/>
            <w:tcBorders>
              <w:top w:val="single" w:color="auto" w:sz="4" w:space="0"/>
              <w:left w:val="single" w:color="auto" w:sz="4" w:space="0"/>
              <w:bottom w:val="single" w:color="auto" w:sz="4" w:space="0"/>
              <w:right w:val="single" w:color="auto" w:sz="4" w:space="0"/>
            </w:tcBorders>
            <w:vAlign w:val="center"/>
          </w:tcPr>
          <w:p w14:paraId="4E131F5D">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6C711F4E">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0.1%</w:t>
            </w:r>
          </w:p>
        </w:tc>
        <w:tc>
          <w:tcPr>
            <w:tcW w:w="2337" w:type="dxa"/>
            <w:tcBorders>
              <w:top w:val="single" w:color="auto" w:sz="4" w:space="0"/>
              <w:left w:val="single" w:color="auto" w:sz="4" w:space="0"/>
              <w:bottom w:val="single" w:color="auto" w:sz="4" w:space="0"/>
            </w:tcBorders>
            <w:vAlign w:val="center"/>
          </w:tcPr>
          <w:p w14:paraId="2325BD3F">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0.2%</w:t>
            </w:r>
          </w:p>
        </w:tc>
      </w:tr>
      <w:tr w14:paraId="682F8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07056704">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1亿元-10亿元</w:t>
            </w:r>
          </w:p>
        </w:tc>
        <w:tc>
          <w:tcPr>
            <w:tcW w:w="2336" w:type="dxa"/>
            <w:tcBorders>
              <w:top w:val="single" w:color="auto" w:sz="4" w:space="0"/>
              <w:left w:val="single" w:color="auto" w:sz="4" w:space="0"/>
              <w:bottom w:val="single" w:color="auto" w:sz="4" w:space="0"/>
              <w:right w:val="single" w:color="auto" w:sz="4" w:space="0"/>
            </w:tcBorders>
            <w:vAlign w:val="center"/>
          </w:tcPr>
          <w:p w14:paraId="141201A4">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11B5BCDD">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0.05%</w:t>
            </w:r>
          </w:p>
        </w:tc>
        <w:tc>
          <w:tcPr>
            <w:tcW w:w="2337" w:type="dxa"/>
            <w:tcBorders>
              <w:top w:val="single" w:color="auto" w:sz="4" w:space="0"/>
              <w:left w:val="single" w:color="auto" w:sz="4" w:space="0"/>
              <w:bottom w:val="single" w:color="auto" w:sz="4" w:space="0"/>
            </w:tcBorders>
            <w:vAlign w:val="center"/>
          </w:tcPr>
          <w:p w14:paraId="4657500B">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0.05%</w:t>
            </w:r>
          </w:p>
        </w:tc>
      </w:tr>
      <w:tr w14:paraId="3ADEE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0CC242A2">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10亿以上</w:t>
            </w:r>
          </w:p>
        </w:tc>
        <w:tc>
          <w:tcPr>
            <w:tcW w:w="2336" w:type="dxa"/>
            <w:tcBorders>
              <w:top w:val="single" w:color="auto" w:sz="4" w:space="0"/>
              <w:left w:val="single" w:color="auto" w:sz="4" w:space="0"/>
              <w:bottom w:val="single" w:color="auto" w:sz="4" w:space="0"/>
              <w:right w:val="single" w:color="auto" w:sz="4" w:space="0"/>
            </w:tcBorders>
            <w:vAlign w:val="center"/>
          </w:tcPr>
          <w:p w14:paraId="5CA8A3B3">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0.01%</w:t>
            </w:r>
          </w:p>
        </w:tc>
        <w:tc>
          <w:tcPr>
            <w:tcW w:w="2336" w:type="dxa"/>
            <w:tcBorders>
              <w:top w:val="single" w:color="auto" w:sz="4" w:space="0"/>
              <w:left w:val="single" w:color="auto" w:sz="4" w:space="0"/>
              <w:bottom w:val="single" w:color="auto" w:sz="4" w:space="0"/>
              <w:right w:val="single" w:color="auto" w:sz="4" w:space="0"/>
            </w:tcBorders>
            <w:vAlign w:val="center"/>
          </w:tcPr>
          <w:p w14:paraId="6DA5CB4C">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0.01%</w:t>
            </w:r>
          </w:p>
        </w:tc>
        <w:tc>
          <w:tcPr>
            <w:tcW w:w="2337" w:type="dxa"/>
            <w:tcBorders>
              <w:top w:val="single" w:color="auto" w:sz="4" w:space="0"/>
              <w:left w:val="single" w:color="auto" w:sz="4" w:space="0"/>
              <w:bottom w:val="single" w:color="auto" w:sz="4" w:space="0"/>
            </w:tcBorders>
            <w:vAlign w:val="center"/>
          </w:tcPr>
          <w:p w14:paraId="654B5E5B">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0.01%</w:t>
            </w:r>
          </w:p>
        </w:tc>
      </w:tr>
    </w:tbl>
    <w:p w14:paraId="6381EA5E">
      <w:pPr>
        <w:wordWrap w:val="0"/>
        <w:spacing w:line="360" w:lineRule="auto"/>
        <w:rPr>
          <w:rFonts w:hint="eastAsia" w:ascii="宋体" w:hAnsi="宋体"/>
          <w:color w:val="auto"/>
          <w:szCs w:val="24"/>
          <w:highlight w:val="none"/>
        </w:rPr>
      </w:pPr>
      <w:r>
        <w:rPr>
          <w:rFonts w:hint="eastAsia" w:ascii="宋体" w:hAnsi="宋体"/>
          <w:bCs/>
          <w:color w:val="auto"/>
          <w:szCs w:val="24"/>
          <w:highlight w:val="none"/>
        </w:rPr>
        <w:t>注：(1)</w:t>
      </w:r>
      <w:r>
        <w:rPr>
          <w:rFonts w:hint="eastAsia" w:ascii="宋体" w:hAnsi="宋体"/>
          <w:color w:val="auto"/>
          <w:szCs w:val="24"/>
          <w:highlight w:val="none"/>
        </w:rPr>
        <w:t>交易服务费不足4000元的，按4000元收取。</w:t>
      </w:r>
    </w:p>
    <w:p w14:paraId="3ACD5531">
      <w:pPr>
        <w:wordWrap w:val="0"/>
        <w:spacing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rPr>
        <w:t>(2)招标人及中标人代理服务费均按上述标准收取。</w:t>
      </w:r>
    </w:p>
    <w:p w14:paraId="5AD6F7FC">
      <w:pPr>
        <w:wordWrap w:val="0"/>
        <w:spacing w:line="360" w:lineRule="auto"/>
        <w:rPr>
          <w:rFonts w:hint="eastAsia" w:ascii="宋体" w:hAnsi="宋体"/>
          <w:bCs/>
          <w:color w:val="auto"/>
          <w:szCs w:val="24"/>
          <w:highlight w:val="none"/>
        </w:rPr>
      </w:pPr>
      <w:r>
        <w:rPr>
          <w:rFonts w:hint="eastAsia" w:ascii="宋体" w:hAnsi="宋体"/>
          <w:bCs/>
          <w:color w:val="auto"/>
          <w:szCs w:val="24"/>
          <w:highlight w:val="none"/>
        </w:rPr>
        <w:t>例如：某服务招标代理业务中标金额为900万元/每年，服务期限6年。计算招标代理服务费额如下：</w:t>
      </w:r>
    </w:p>
    <w:p w14:paraId="22713667">
      <w:pPr>
        <w:wordWrap w:val="0"/>
        <w:spacing w:line="360" w:lineRule="auto"/>
        <w:rPr>
          <w:rFonts w:hint="eastAsia" w:ascii="宋体" w:hAnsi="宋体"/>
          <w:bCs/>
          <w:color w:val="auto"/>
          <w:szCs w:val="24"/>
          <w:highlight w:val="none"/>
        </w:rPr>
      </w:pPr>
      <w:r>
        <w:rPr>
          <w:rFonts w:hint="eastAsia" w:ascii="宋体" w:hAnsi="宋体"/>
          <w:bCs/>
          <w:color w:val="auto"/>
          <w:szCs w:val="24"/>
          <w:highlight w:val="none"/>
        </w:rPr>
        <w:t>    中标总价（900万元/每年×6年）=5400万元</w:t>
      </w:r>
    </w:p>
    <w:p w14:paraId="2FC84155">
      <w:pPr>
        <w:wordWrap w:val="0"/>
        <w:spacing w:line="360" w:lineRule="auto"/>
        <w:ind w:firstLine="960" w:firstLineChars="400"/>
        <w:rPr>
          <w:rFonts w:hint="eastAsia" w:ascii="宋体" w:hAnsi="宋体"/>
          <w:bCs/>
          <w:color w:val="auto"/>
          <w:szCs w:val="24"/>
          <w:highlight w:val="none"/>
        </w:rPr>
      </w:pPr>
      <w:r>
        <w:rPr>
          <w:rFonts w:hint="eastAsia" w:ascii="宋体" w:hAnsi="宋体"/>
          <w:bCs/>
          <w:color w:val="auto"/>
          <w:szCs w:val="24"/>
          <w:highlight w:val="none"/>
        </w:rPr>
        <w:t>100万元×1.5％＝1.5万元</w:t>
      </w:r>
    </w:p>
    <w:p w14:paraId="41069182">
      <w:pPr>
        <w:wordWrap w:val="0"/>
        <w:spacing w:line="360" w:lineRule="auto"/>
        <w:ind w:firstLine="720" w:firstLineChars="300"/>
        <w:rPr>
          <w:rFonts w:hint="eastAsia" w:ascii="宋体" w:hAnsi="宋体"/>
          <w:bCs/>
          <w:color w:val="auto"/>
          <w:szCs w:val="24"/>
          <w:highlight w:val="none"/>
        </w:rPr>
      </w:pPr>
      <w:r>
        <w:rPr>
          <w:rFonts w:hint="eastAsia" w:ascii="宋体" w:hAnsi="宋体"/>
          <w:bCs/>
          <w:color w:val="auto"/>
          <w:szCs w:val="24"/>
          <w:highlight w:val="none"/>
        </w:rPr>
        <w:t>（500－100）万元×0.8％＝3.2万元</w:t>
      </w:r>
    </w:p>
    <w:p w14:paraId="708B06FB">
      <w:pPr>
        <w:wordWrap w:val="0"/>
        <w:spacing w:line="360" w:lineRule="auto"/>
        <w:ind w:firstLine="720" w:firstLineChars="300"/>
        <w:rPr>
          <w:rFonts w:hint="eastAsia" w:ascii="宋体" w:hAnsi="宋体"/>
          <w:bCs/>
          <w:color w:val="auto"/>
          <w:szCs w:val="24"/>
          <w:highlight w:val="none"/>
        </w:rPr>
      </w:pPr>
      <w:r>
        <w:rPr>
          <w:rFonts w:hint="eastAsia" w:ascii="宋体" w:hAnsi="宋体"/>
          <w:bCs/>
          <w:color w:val="auto"/>
          <w:szCs w:val="24"/>
          <w:highlight w:val="none"/>
        </w:rPr>
        <w:t>（1000－500）万元×0.45％＝2.25万元</w:t>
      </w:r>
    </w:p>
    <w:p w14:paraId="4F9F95F3">
      <w:pPr>
        <w:wordWrap w:val="0"/>
        <w:spacing w:line="360" w:lineRule="auto"/>
        <w:ind w:firstLine="720" w:firstLineChars="300"/>
        <w:rPr>
          <w:rFonts w:hint="eastAsia" w:ascii="宋体" w:hAnsi="宋体"/>
          <w:bCs/>
          <w:color w:val="auto"/>
          <w:szCs w:val="24"/>
          <w:highlight w:val="none"/>
        </w:rPr>
      </w:pPr>
      <w:r>
        <w:rPr>
          <w:rFonts w:hint="eastAsia" w:ascii="宋体" w:hAnsi="宋体"/>
          <w:bCs/>
          <w:color w:val="auto"/>
          <w:szCs w:val="24"/>
          <w:highlight w:val="none"/>
        </w:rPr>
        <w:t>（5000－1000）万元×0.25％＝10万元</w:t>
      </w:r>
    </w:p>
    <w:p w14:paraId="3456D61B">
      <w:pPr>
        <w:wordWrap w:val="0"/>
        <w:spacing w:line="360" w:lineRule="auto"/>
        <w:ind w:firstLine="720" w:firstLineChars="300"/>
        <w:rPr>
          <w:rFonts w:hint="eastAsia" w:ascii="宋体" w:hAnsi="宋体"/>
          <w:bCs/>
          <w:color w:val="auto"/>
          <w:szCs w:val="24"/>
          <w:highlight w:val="none"/>
        </w:rPr>
      </w:pPr>
      <w:r>
        <w:rPr>
          <w:rFonts w:hint="eastAsia" w:ascii="宋体" w:hAnsi="宋体"/>
          <w:bCs/>
          <w:color w:val="auto"/>
          <w:szCs w:val="24"/>
          <w:highlight w:val="none"/>
        </w:rPr>
        <w:t>（5400－5000）万元×0.1％＝0.4万元</w:t>
      </w:r>
    </w:p>
    <w:p w14:paraId="16FA3250">
      <w:pPr>
        <w:wordWrap w:val="0"/>
        <w:spacing w:line="360" w:lineRule="auto"/>
        <w:ind w:firstLine="720" w:firstLineChars="300"/>
        <w:rPr>
          <w:rFonts w:hint="eastAsia" w:ascii="宋体" w:hAnsi="宋体"/>
          <w:bCs/>
          <w:color w:val="auto"/>
          <w:szCs w:val="24"/>
          <w:highlight w:val="none"/>
        </w:rPr>
      </w:pPr>
      <w:r>
        <w:rPr>
          <w:rFonts w:hint="eastAsia" w:ascii="宋体" w:hAnsi="宋体"/>
          <w:bCs/>
          <w:color w:val="auto"/>
          <w:szCs w:val="24"/>
          <w:highlight w:val="none"/>
        </w:rPr>
        <w:t>合计收费＝1.5＋3.2＋2.25＋10＋0.4＝17.35(万元)</w:t>
      </w:r>
    </w:p>
    <w:p w14:paraId="24673AAF">
      <w:pPr>
        <w:wordWrap w:val="0"/>
        <w:spacing w:line="360" w:lineRule="auto"/>
        <w:ind w:firstLine="523" w:firstLineChars="218"/>
        <w:rPr>
          <w:rFonts w:hint="eastAsia" w:ascii="宋体" w:hAnsi="宋体"/>
          <w:bCs/>
          <w:color w:val="auto"/>
          <w:szCs w:val="24"/>
          <w:highlight w:val="none"/>
        </w:rPr>
      </w:pPr>
      <w:r>
        <w:rPr>
          <w:rFonts w:hint="eastAsia" w:ascii="宋体" w:hAnsi="宋体"/>
          <w:color w:val="auto"/>
          <w:szCs w:val="24"/>
          <w:highlight w:val="none"/>
        </w:rPr>
        <w:t>30.2投标人须知前附表约定收取定额服务费或免收服务费的，从其规定。</w:t>
      </w:r>
    </w:p>
    <w:p w14:paraId="6B01E4E0">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31.履约保证金</w:t>
      </w:r>
    </w:p>
    <w:p w14:paraId="4238999A">
      <w:pPr>
        <w:spacing w:line="360" w:lineRule="auto"/>
        <w:ind w:firstLine="549"/>
        <w:rPr>
          <w:rFonts w:hint="eastAsia" w:ascii="宋体" w:hAnsi="宋体"/>
          <w:dstrike/>
          <w:color w:val="auto"/>
          <w:szCs w:val="24"/>
          <w:highlight w:val="none"/>
        </w:rPr>
      </w:pPr>
      <w:r>
        <w:rPr>
          <w:rFonts w:hint="eastAsia" w:ascii="宋体" w:hAnsi="宋体"/>
          <w:color w:val="auto"/>
          <w:szCs w:val="24"/>
          <w:highlight w:val="none"/>
        </w:rPr>
        <w:t>31</w:t>
      </w:r>
      <w:r>
        <w:rPr>
          <w:rFonts w:ascii="宋体" w:hAnsi="宋体"/>
          <w:color w:val="auto"/>
          <w:szCs w:val="24"/>
          <w:highlight w:val="none"/>
        </w:rPr>
        <w:t>.1</w:t>
      </w:r>
      <w:r>
        <w:rPr>
          <w:rFonts w:hint="eastAsia" w:ascii="宋体" w:hAnsi="宋体"/>
          <w:color w:val="auto"/>
          <w:szCs w:val="24"/>
          <w:highlight w:val="none"/>
        </w:rPr>
        <w:t>签订合同前，投标人应提交履约保证金。履约保证金金额、收受方式及收受人见投标人须知前附表规定。</w:t>
      </w:r>
    </w:p>
    <w:p w14:paraId="3F1F3CC6">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31.2投标人须知前附表约定收取定额履约保证金或免收履约保证金的，从其规定。</w:t>
      </w:r>
    </w:p>
    <w:p w14:paraId="0CB211E7">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31</w:t>
      </w:r>
      <w:r>
        <w:rPr>
          <w:rFonts w:ascii="宋体" w:hAnsi="宋体"/>
          <w:color w:val="auto"/>
          <w:szCs w:val="24"/>
          <w:highlight w:val="none"/>
        </w:rPr>
        <w:t>.</w:t>
      </w:r>
      <w:r>
        <w:rPr>
          <w:rFonts w:hint="eastAsia" w:ascii="宋体" w:hAnsi="宋体"/>
          <w:color w:val="auto"/>
          <w:szCs w:val="24"/>
          <w:highlight w:val="none"/>
        </w:rPr>
        <w:t>3如果中标人未按规定交纳履约保证金，招标人有权取消该授标，并没收其投标保证金。在此情况下招标人可将该标授予其下一个中标候选人或重新招标。</w:t>
      </w:r>
    </w:p>
    <w:p w14:paraId="450959BB">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32.签订合同</w:t>
      </w:r>
    </w:p>
    <w:p w14:paraId="056BAE20">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32.1中标人应在中标通知书发出之日起三十日内（具体时间、地点见中标通知书）与招标人签订合同。招标文件、中标人的投标文件及澄清文件等，均作为合同的附件。合同签订前中标人应向</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出示招标代理服务费和履约保证金交纳证明。</w:t>
      </w:r>
    </w:p>
    <w:p w14:paraId="7F9FF74A">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32.2 招标双方必须严格按照招标文件、投标文件及有关承诺签订合同，不得擅自变更。合同的标的、价款、质量、履行期限等主要条款应当与招标文件和中标人的投标文件的内容一致，招标人和中标人不得再行订立背离合同实质性内容的其他协议。对任何因双方擅自变更合同引起的问题</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概不负责，合同风险由双方自行承担。</w:t>
      </w:r>
    </w:p>
    <w:p w14:paraId="5EB3EF6A">
      <w:pPr>
        <w:spacing w:line="360" w:lineRule="auto"/>
        <w:ind w:firstLine="523" w:firstLineChars="218"/>
        <w:rPr>
          <w:rFonts w:hint="eastAsia" w:ascii="宋体" w:hAnsi="宋体"/>
          <w:color w:val="auto"/>
          <w:szCs w:val="24"/>
          <w:highlight w:val="none"/>
        </w:rPr>
      </w:pPr>
      <w:r>
        <w:rPr>
          <w:rFonts w:hint="eastAsia" w:ascii="宋体" w:hAnsi="宋体"/>
          <w:color w:val="auto"/>
          <w:szCs w:val="24"/>
          <w:highlight w:val="none"/>
        </w:rPr>
        <w:t>32.3招标人保留以书面形式要求合同的卖方对其所投服务的方式、地点及服务细则等作适当调整的权利。</w:t>
      </w:r>
    </w:p>
    <w:p w14:paraId="01AAB76F">
      <w:pPr>
        <w:spacing w:line="360" w:lineRule="auto"/>
        <w:ind w:firstLine="523" w:firstLineChars="218"/>
        <w:rPr>
          <w:rFonts w:hint="eastAsia" w:ascii="宋体" w:hAnsi="宋体"/>
          <w:bCs/>
          <w:color w:val="auto"/>
          <w:szCs w:val="24"/>
          <w:highlight w:val="none"/>
        </w:rPr>
      </w:pPr>
      <w:r>
        <w:rPr>
          <w:rFonts w:hint="eastAsia" w:ascii="宋体" w:hAnsi="宋体"/>
          <w:color w:val="auto"/>
          <w:szCs w:val="24"/>
          <w:highlight w:val="none"/>
        </w:rPr>
        <w:t>32.4</w:t>
      </w:r>
      <w:r>
        <w:rPr>
          <w:rFonts w:hint="eastAsia" w:ascii="宋体" w:hAnsi="宋体"/>
          <w:bCs/>
          <w:color w:val="auto"/>
          <w:szCs w:val="24"/>
          <w:highlight w:val="none"/>
        </w:rPr>
        <w:t>无论基于何种原因，各项本应作拒绝处理的情形即便未被及时发现而使该投标人进入评审或其它后续程序，包括已经签约的情形，一旦在任何时间被发现，招标人或</w:t>
      </w:r>
      <w:r>
        <w:rPr>
          <w:rFonts w:hint="eastAsia" w:ascii="宋体" w:hAnsi="宋体"/>
          <w:bCs/>
          <w:color w:val="auto"/>
          <w:szCs w:val="24"/>
          <w:highlight w:val="none"/>
          <w:lang w:eastAsia="zh-CN"/>
        </w:rPr>
        <w:t>肥西县公共资源交易有限责任公司</w:t>
      </w:r>
      <w:r>
        <w:rPr>
          <w:rFonts w:hint="eastAsia" w:ascii="宋体" w:hAnsi="宋体"/>
          <w:bCs/>
          <w:color w:val="auto"/>
          <w:szCs w:val="24"/>
          <w:highlight w:val="none"/>
        </w:rPr>
        <w:t>均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14:paraId="3CB08146">
      <w:pPr>
        <w:spacing w:line="360" w:lineRule="auto"/>
        <w:ind w:firstLine="549"/>
        <w:rPr>
          <w:rFonts w:hint="eastAsia" w:ascii="宋体" w:hAnsi="宋体"/>
          <w:b/>
          <w:bCs/>
          <w:color w:val="auto"/>
          <w:szCs w:val="24"/>
          <w:highlight w:val="none"/>
        </w:rPr>
      </w:pPr>
      <w:r>
        <w:rPr>
          <w:rFonts w:hint="eastAsia" w:ascii="宋体" w:hAnsi="宋体"/>
          <w:b/>
          <w:bCs/>
          <w:color w:val="auto"/>
          <w:szCs w:val="24"/>
          <w:highlight w:val="none"/>
        </w:rPr>
        <w:t>33</w:t>
      </w:r>
      <w:r>
        <w:rPr>
          <w:rFonts w:hint="eastAsia" w:ascii="宋体" w:hAnsi="宋体"/>
          <w:b/>
          <w:color w:val="auto"/>
          <w:szCs w:val="24"/>
          <w:highlight w:val="none"/>
        </w:rPr>
        <w:t>.</w:t>
      </w:r>
      <w:r>
        <w:rPr>
          <w:rFonts w:hint="eastAsia" w:ascii="宋体" w:hAnsi="宋体"/>
          <w:b/>
          <w:bCs/>
          <w:color w:val="auto"/>
          <w:szCs w:val="24"/>
          <w:highlight w:val="none"/>
        </w:rPr>
        <w:t>异议</w:t>
      </w:r>
    </w:p>
    <w:p w14:paraId="3B3CCF26">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33.1若投标人对评标结果有异议，可在中标候选人公示期内以书面形式在工作时间向</w:t>
      </w:r>
      <w:r>
        <w:rPr>
          <w:rFonts w:hint="eastAsia" w:ascii="宋体" w:hAnsi="宋体"/>
          <w:bCs/>
          <w:color w:val="auto"/>
          <w:highlight w:val="none"/>
          <w:lang w:eastAsia="zh-CN"/>
        </w:rPr>
        <w:t>肥西县公共资源交易有限责任公司</w:t>
      </w:r>
      <w:r>
        <w:rPr>
          <w:rFonts w:hint="eastAsia" w:ascii="宋体" w:hAnsi="宋体"/>
          <w:bCs/>
          <w:color w:val="auto"/>
          <w:highlight w:val="none"/>
        </w:rPr>
        <w:t>提出。</w:t>
      </w:r>
    </w:p>
    <w:p w14:paraId="49FCA99C">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33.2异议应以书面形式实名提出，书面异议材料应当包括以下内容：</w:t>
      </w:r>
    </w:p>
    <w:p w14:paraId="0670B9C2">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33.2.1异议人的名称、地址、有效联系方式；</w:t>
      </w:r>
    </w:p>
    <w:p w14:paraId="760AE9D7">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33.2.2项目名称、项目编号、标的号（如有）；</w:t>
      </w:r>
    </w:p>
    <w:p w14:paraId="4E4040E3">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33.2.3被异议人名称；</w:t>
      </w:r>
    </w:p>
    <w:p w14:paraId="48FC54C4">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33.2.4具体的异议事项、基本事实及必要的证明材料；</w:t>
      </w:r>
    </w:p>
    <w:p w14:paraId="5F24881E">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33.2.5明确的请求及主张；</w:t>
      </w:r>
    </w:p>
    <w:p w14:paraId="44564A07">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33.2.6提起异议的日期。</w:t>
      </w:r>
    </w:p>
    <w:p w14:paraId="27876C7D">
      <w:pPr>
        <w:spacing w:line="360" w:lineRule="auto"/>
        <w:ind w:firstLine="523" w:firstLineChars="218"/>
        <w:rPr>
          <w:rFonts w:hint="eastAsia" w:ascii="宋体" w:hAnsi="宋体"/>
          <w:bCs/>
          <w:color w:val="auto"/>
          <w:highlight w:val="none"/>
        </w:rPr>
      </w:pPr>
      <w:r>
        <w:rPr>
          <w:rFonts w:hint="eastAsia" w:ascii="宋体" w:hAnsi="宋体"/>
          <w:bCs/>
          <w:color w:val="auto"/>
          <w:highlight w:val="none"/>
        </w:rPr>
        <w:t>异议人为法人或者其他组织的，应当由法定代表人或其委托代理人（需有委托授权书）签字并加盖公章。</w:t>
      </w:r>
    </w:p>
    <w:p w14:paraId="1131CC31">
      <w:pPr>
        <w:spacing w:line="360" w:lineRule="auto"/>
        <w:ind w:firstLine="523" w:firstLineChars="218"/>
        <w:rPr>
          <w:rFonts w:hint="eastAsia" w:ascii="宋体" w:hAnsi="宋体"/>
          <w:bCs/>
          <w:color w:val="auto"/>
          <w:szCs w:val="24"/>
          <w:highlight w:val="none"/>
        </w:rPr>
      </w:pPr>
      <w:r>
        <w:rPr>
          <w:rFonts w:hint="eastAsia" w:ascii="宋体" w:hAnsi="宋体"/>
          <w:bCs/>
          <w:color w:val="auto"/>
          <w:highlight w:val="none"/>
        </w:rPr>
        <w:t>异议人需要修改、补充异议材料的，应当在异议期内提交修改或补充材料。</w:t>
      </w:r>
    </w:p>
    <w:p w14:paraId="1C4094B1">
      <w:pPr>
        <w:spacing w:line="360" w:lineRule="auto"/>
        <w:ind w:firstLine="482" w:firstLineChars="200"/>
        <w:rPr>
          <w:rFonts w:hint="eastAsia" w:ascii="宋体" w:hAnsi="宋体"/>
          <w:b/>
          <w:color w:val="auto"/>
          <w:highlight w:val="none"/>
        </w:rPr>
      </w:pPr>
      <w:r>
        <w:rPr>
          <w:rFonts w:hint="eastAsia" w:ascii="宋体" w:hAnsi="宋体"/>
          <w:b/>
          <w:color w:val="auto"/>
          <w:highlight w:val="none"/>
        </w:rPr>
        <w:t>34.投诉受理</w:t>
      </w:r>
    </w:p>
    <w:p w14:paraId="2D7E3F86">
      <w:pPr>
        <w:spacing w:line="360" w:lineRule="auto"/>
        <w:ind w:firstLine="523" w:firstLineChars="218"/>
        <w:rPr>
          <w:rFonts w:hint="eastAsia" w:ascii="宋体" w:hAnsi="宋体"/>
          <w:bCs/>
          <w:color w:val="auto"/>
          <w:szCs w:val="24"/>
          <w:highlight w:val="none"/>
        </w:rPr>
      </w:pPr>
      <w:r>
        <w:rPr>
          <w:rFonts w:hint="eastAsia" w:ascii="宋体" w:hAnsi="宋体"/>
          <w:color w:val="auto"/>
          <w:szCs w:val="22"/>
          <w:highlight w:val="none"/>
        </w:rPr>
        <w:t>投诉受理见</w:t>
      </w:r>
      <w:r>
        <w:rPr>
          <w:rFonts w:hint="eastAsia" w:ascii="宋体" w:hAnsi="宋体"/>
          <w:color w:val="auto"/>
          <w:szCs w:val="22"/>
          <w:highlight w:val="none"/>
          <w:lang w:eastAsia="zh-CN"/>
        </w:rPr>
        <w:t>优质采云采购平台（www.youzhicai.com）</w:t>
      </w:r>
      <w:r>
        <w:rPr>
          <w:rFonts w:hint="eastAsia" w:ascii="宋体" w:hAnsi="宋体"/>
          <w:color w:val="auto"/>
          <w:szCs w:val="22"/>
          <w:highlight w:val="none"/>
        </w:rPr>
        <w:t>中标候选人公示</w:t>
      </w:r>
      <w:r>
        <w:rPr>
          <w:rFonts w:hint="eastAsia" w:ascii="宋体" w:hAnsi="宋体"/>
          <w:color w:val="auto"/>
          <w:highlight w:val="none"/>
        </w:rPr>
        <w:t>。</w:t>
      </w:r>
    </w:p>
    <w:p w14:paraId="37B30387">
      <w:pPr>
        <w:spacing w:line="360" w:lineRule="auto"/>
        <w:ind w:firstLine="549"/>
        <w:rPr>
          <w:rFonts w:hint="eastAsia" w:ascii="宋体" w:hAnsi="宋体"/>
          <w:b/>
          <w:color w:val="auto"/>
          <w:szCs w:val="24"/>
          <w:highlight w:val="none"/>
        </w:rPr>
      </w:pPr>
      <w:r>
        <w:rPr>
          <w:rFonts w:hint="eastAsia" w:ascii="宋体" w:hAnsi="宋体"/>
          <w:b/>
          <w:color w:val="auto"/>
          <w:szCs w:val="24"/>
          <w:highlight w:val="none"/>
        </w:rPr>
        <w:t>35.未尽事宜</w:t>
      </w:r>
    </w:p>
    <w:p w14:paraId="59B83922">
      <w:pPr>
        <w:spacing w:line="360" w:lineRule="auto"/>
        <w:ind w:firstLine="549"/>
        <w:rPr>
          <w:rFonts w:hint="eastAsia" w:ascii="宋体" w:hAnsi="宋体"/>
          <w:color w:val="auto"/>
          <w:szCs w:val="24"/>
          <w:highlight w:val="none"/>
        </w:rPr>
      </w:pPr>
      <w:r>
        <w:rPr>
          <w:rFonts w:hint="eastAsia" w:ascii="宋体" w:hAnsi="宋体"/>
          <w:color w:val="auto"/>
          <w:szCs w:val="24"/>
          <w:highlight w:val="none"/>
        </w:rPr>
        <w:t>35.1未尽事宜按《中华人民共和国招标投标法》、《中华人民共和国招标投标法实施条例》及其他有关法律法规的规定执行。</w:t>
      </w:r>
    </w:p>
    <w:p w14:paraId="6334C4AC">
      <w:pPr>
        <w:spacing w:line="360" w:lineRule="auto"/>
        <w:ind w:firstLine="549"/>
        <w:rPr>
          <w:rFonts w:hint="eastAsia" w:ascii="宋体" w:hAnsi="宋体"/>
          <w:bCs/>
          <w:color w:val="auto"/>
          <w:szCs w:val="24"/>
          <w:highlight w:val="none"/>
        </w:rPr>
      </w:pPr>
      <w:r>
        <w:rPr>
          <w:rFonts w:hint="eastAsia" w:ascii="宋体" w:hAnsi="宋体"/>
          <w:b/>
          <w:color w:val="auto"/>
          <w:szCs w:val="24"/>
          <w:highlight w:val="none"/>
        </w:rPr>
        <w:t>36.解释权</w:t>
      </w:r>
    </w:p>
    <w:p w14:paraId="14D314B5">
      <w:pPr>
        <w:spacing w:line="360" w:lineRule="auto"/>
        <w:ind w:firstLine="549"/>
        <w:rPr>
          <w:rFonts w:hint="eastAsia" w:ascii="宋体" w:hAnsi="宋体"/>
          <w:bCs/>
          <w:color w:val="auto"/>
          <w:szCs w:val="24"/>
          <w:highlight w:val="none"/>
        </w:rPr>
      </w:pPr>
      <w:r>
        <w:rPr>
          <w:rFonts w:hint="eastAsia" w:ascii="宋体" w:hAnsi="宋体"/>
          <w:bCs/>
          <w:color w:val="auto"/>
          <w:szCs w:val="24"/>
          <w:highlight w:val="none"/>
        </w:rPr>
        <w:t>36.1</w:t>
      </w:r>
      <w:r>
        <w:rPr>
          <w:rFonts w:hint="eastAsia" w:ascii="宋体" w:hAnsi="宋体"/>
          <w:bCs/>
          <w:color w:val="auto"/>
          <w:kern w:val="0"/>
          <w:highlight w:val="none"/>
        </w:rPr>
        <w:t>本招</w:t>
      </w:r>
      <w:r>
        <w:rPr>
          <w:rFonts w:hint="eastAsia" w:ascii="宋体" w:hAnsi="宋体"/>
          <w:color w:val="auto"/>
          <w:szCs w:val="24"/>
          <w:highlight w:val="none"/>
        </w:rPr>
        <w:t>标文件的解释权属于招标人和</w:t>
      </w:r>
      <w:r>
        <w:rPr>
          <w:rFonts w:hint="eastAsia" w:ascii="宋体" w:hAnsi="宋体"/>
          <w:color w:val="auto"/>
          <w:szCs w:val="24"/>
          <w:highlight w:val="none"/>
          <w:lang w:eastAsia="zh-CN"/>
        </w:rPr>
        <w:t>肥西县公共资源交易有限责任公司</w:t>
      </w:r>
      <w:r>
        <w:rPr>
          <w:rFonts w:hint="eastAsia" w:ascii="宋体" w:hAnsi="宋体"/>
          <w:color w:val="auto"/>
          <w:szCs w:val="24"/>
          <w:highlight w:val="none"/>
        </w:rPr>
        <w:t>。</w:t>
      </w:r>
    </w:p>
    <w:p w14:paraId="1F15B5AA">
      <w:pPr>
        <w:spacing w:line="360" w:lineRule="auto"/>
        <w:ind w:firstLine="549"/>
        <w:rPr>
          <w:rFonts w:hint="eastAsia" w:ascii="宋体" w:hAnsi="宋体"/>
          <w:bCs/>
          <w:color w:val="auto"/>
          <w:szCs w:val="24"/>
          <w:highlight w:val="none"/>
        </w:rPr>
      </w:pPr>
    </w:p>
    <w:p w14:paraId="21574BA8">
      <w:pPr>
        <w:spacing w:line="360" w:lineRule="auto"/>
        <w:ind w:firstLine="549"/>
        <w:rPr>
          <w:rFonts w:hint="eastAsia" w:ascii="宋体" w:hAnsi="宋体"/>
          <w:bCs/>
          <w:color w:val="auto"/>
          <w:szCs w:val="24"/>
          <w:highlight w:val="none"/>
        </w:rPr>
      </w:pPr>
    </w:p>
    <w:p w14:paraId="44B3EBED">
      <w:pPr>
        <w:pStyle w:val="4"/>
        <w:outlineLvl w:val="0"/>
        <w:rPr>
          <w:rFonts w:hint="eastAsia" w:ascii="宋体" w:hAnsi="宋体" w:eastAsia="宋体"/>
          <w:color w:val="auto"/>
          <w:highlight w:val="none"/>
        </w:rPr>
      </w:pPr>
      <w:bookmarkStart w:id="54" w:name="_Toc220232390"/>
      <w:r>
        <w:rPr>
          <w:color w:val="auto"/>
          <w:sz w:val="24"/>
          <w:szCs w:val="24"/>
          <w:highlight w:val="none"/>
        </w:rPr>
        <w:br w:type="page"/>
      </w:r>
      <w:bookmarkStart w:id="55" w:name="_Toc5043"/>
      <w:bookmarkStart w:id="56" w:name="_Toc31567"/>
      <w:r>
        <w:rPr>
          <w:rFonts w:hint="eastAsia" w:ascii="宋体" w:hAnsi="宋体" w:eastAsia="宋体"/>
          <w:color w:val="auto"/>
          <w:highlight w:val="none"/>
        </w:rPr>
        <w:t xml:space="preserve">第四章 </w:t>
      </w:r>
      <w:bookmarkEnd w:id="54"/>
      <w:r>
        <w:rPr>
          <w:rFonts w:hint="eastAsia" w:ascii="宋体" w:hAnsi="宋体" w:eastAsia="宋体"/>
          <w:color w:val="auto"/>
          <w:highlight w:val="none"/>
        </w:rPr>
        <w:t>招标需求</w:t>
      </w:r>
      <w:bookmarkEnd w:id="55"/>
      <w:bookmarkEnd w:id="56"/>
    </w:p>
    <w:p w14:paraId="6CC6023E">
      <w:pPr>
        <w:spacing w:line="360" w:lineRule="auto"/>
        <w:rPr>
          <w:rFonts w:hint="eastAsia" w:ascii="宋体" w:hAnsi="宋体" w:eastAsia="宋体" w:cs="宋体"/>
          <w:b/>
          <w:sz w:val="24"/>
        </w:rPr>
      </w:pPr>
      <w:bookmarkStart w:id="57" w:name="_Hlt509716920"/>
      <w:bookmarkEnd w:id="57"/>
      <w:bookmarkStart w:id="58" w:name="_Toc9404"/>
      <w:r>
        <w:rPr>
          <w:rFonts w:hint="eastAsia" w:ascii="宋体" w:hAnsi="宋体" w:eastAsia="宋体" w:cs="宋体"/>
          <w:b/>
          <w:sz w:val="24"/>
        </w:rPr>
        <w:t>前注：</w:t>
      </w:r>
    </w:p>
    <w:p w14:paraId="2817AF98">
      <w:pPr>
        <w:spacing w:line="360" w:lineRule="auto"/>
        <w:ind w:firstLine="435"/>
        <w:rPr>
          <w:rFonts w:hint="eastAsia" w:ascii="宋体" w:hAnsi="宋体" w:eastAsia="宋体" w:cs="宋体"/>
          <w:sz w:val="24"/>
        </w:rPr>
      </w:pPr>
      <w:r>
        <w:rPr>
          <w:rFonts w:hint="eastAsia" w:ascii="宋体" w:hAnsi="宋体" w:eastAsia="宋体" w:cs="宋体"/>
          <w:sz w:val="24"/>
        </w:rPr>
        <w:t>1.本采购需求中提出的服务方案仅为参考，如无明确限制，</w:t>
      </w:r>
      <w:r>
        <w:rPr>
          <w:rFonts w:hint="eastAsia" w:ascii="宋体" w:hAnsi="宋体" w:cs="宋体"/>
          <w:sz w:val="24"/>
          <w:lang w:eastAsia="zh-CN"/>
        </w:rPr>
        <w:t>投标人</w:t>
      </w:r>
      <w:r>
        <w:rPr>
          <w:rFonts w:hint="eastAsia" w:ascii="宋体" w:hAnsi="宋体" w:eastAsia="宋体" w:cs="宋体"/>
          <w:sz w:val="24"/>
        </w:rPr>
        <w:t>可以进行优化，提供满足采购人实际需要的更优（或者性能实质上不低于的）服务方案，且此方案须经采购小组评审认可。</w:t>
      </w:r>
    </w:p>
    <w:p w14:paraId="36CC3A0B">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2.如采购人允许采用分包方式履行合同的，应当明确可以分包履行的相关内容。</w:t>
      </w:r>
    </w:p>
    <w:p w14:paraId="61203D5A">
      <w:pPr>
        <w:spacing w:line="360" w:lineRule="auto"/>
        <w:ind w:firstLine="435"/>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一、采购需求前附表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2296"/>
        <w:gridCol w:w="6195"/>
      </w:tblGrid>
      <w:tr w14:paraId="66CD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0A2E928">
            <w:pPr>
              <w:spacing w:line="360" w:lineRule="auto"/>
              <w:jc w:val="center"/>
              <w:rPr>
                <w:rFonts w:hint="eastAsia" w:ascii="宋体" w:hAnsi="宋体" w:eastAsia="宋体" w:cs="宋体"/>
                <w:b/>
                <w:sz w:val="24"/>
                <w:szCs w:val="18"/>
              </w:rPr>
            </w:pPr>
            <w:r>
              <w:rPr>
                <w:rFonts w:hint="eastAsia" w:ascii="宋体" w:hAnsi="宋体" w:eastAsia="宋体" w:cs="宋体"/>
                <w:b/>
                <w:sz w:val="24"/>
                <w:szCs w:val="18"/>
              </w:rPr>
              <w:t>序号</w:t>
            </w:r>
          </w:p>
        </w:tc>
        <w:tc>
          <w:tcPr>
            <w:tcW w:w="1192" w:type="pct"/>
            <w:vAlign w:val="center"/>
          </w:tcPr>
          <w:p w14:paraId="08516963">
            <w:pPr>
              <w:spacing w:line="360" w:lineRule="auto"/>
              <w:jc w:val="center"/>
              <w:rPr>
                <w:rFonts w:hint="eastAsia" w:ascii="宋体" w:hAnsi="宋体" w:eastAsia="宋体" w:cs="宋体"/>
                <w:b/>
                <w:sz w:val="24"/>
                <w:szCs w:val="18"/>
              </w:rPr>
            </w:pPr>
            <w:r>
              <w:rPr>
                <w:rFonts w:hint="eastAsia" w:ascii="宋体" w:hAnsi="宋体" w:eastAsia="宋体" w:cs="宋体"/>
                <w:b/>
                <w:sz w:val="24"/>
                <w:szCs w:val="18"/>
              </w:rPr>
              <w:t>条款名称</w:t>
            </w:r>
          </w:p>
        </w:tc>
        <w:tc>
          <w:tcPr>
            <w:tcW w:w="3216" w:type="pct"/>
            <w:vAlign w:val="center"/>
          </w:tcPr>
          <w:p w14:paraId="42302476">
            <w:pPr>
              <w:spacing w:line="360" w:lineRule="auto"/>
              <w:jc w:val="center"/>
              <w:rPr>
                <w:rFonts w:hint="eastAsia" w:ascii="宋体" w:hAnsi="宋体" w:eastAsia="宋体" w:cs="宋体"/>
                <w:b/>
                <w:sz w:val="24"/>
                <w:szCs w:val="18"/>
              </w:rPr>
            </w:pPr>
            <w:r>
              <w:rPr>
                <w:rFonts w:hint="eastAsia" w:ascii="宋体" w:hAnsi="宋体" w:eastAsia="宋体" w:cs="宋体"/>
                <w:b/>
                <w:sz w:val="24"/>
                <w:szCs w:val="18"/>
              </w:rPr>
              <w:t>内容、说明与要求</w:t>
            </w:r>
          </w:p>
        </w:tc>
      </w:tr>
      <w:tr w14:paraId="63DB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F22B4F6">
            <w:pPr>
              <w:spacing w:line="360" w:lineRule="auto"/>
              <w:jc w:val="center"/>
              <w:rPr>
                <w:rFonts w:hint="eastAsia" w:ascii="宋体" w:hAnsi="宋体" w:eastAsia="宋体" w:cs="宋体"/>
                <w:bCs/>
                <w:sz w:val="24"/>
                <w:szCs w:val="18"/>
              </w:rPr>
            </w:pPr>
            <w:r>
              <w:rPr>
                <w:rFonts w:hint="eastAsia" w:ascii="宋体" w:hAnsi="宋体" w:eastAsia="宋体" w:cs="宋体"/>
                <w:bCs/>
                <w:sz w:val="24"/>
                <w:szCs w:val="18"/>
              </w:rPr>
              <w:t>1</w:t>
            </w:r>
          </w:p>
        </w:tc>
        <w:tc>
          <w:tcPr>
            <w:tcW w:w="1192" w:type="pct"/>
            <w:vAlign w:val="center"/>
          </w:tcPr>
          <w:p w14:paraId="6632A4E5">
            <w:pPr>
              <w:spacing w:line="360" w:lineRule="auto"/>
              <w:jc w:val="center"/>
              <w:rPr>
                <w:rFonts w:hint="eastAsia" w:ascii="宋体" w:hAnsi="宋体" w:eastAsia="宋体" w:cs="宋体"/>
                <w:bCs/>
                <w:sz w:val="24"/>
                <w:szCs w:val="18"/>
              </w:rPr>
            </w:pPr>
            <w:r>
              <w:rPr>
                <w:rFonts w:hint="eastAsia" w:ascii="宋体" w:hAnsi="宋体" w:eastAsia="宋体" w:cs="宋体"/>
                <w:bCs/>
                <w:sz w:val="24"/>
                <w:szCs w:val="18"/>
              </w:rPr>
              <w:t>付款方式</w:t>
            </w:r>
          </w:p>
        </w:tc>
        <w:tc>
          <w:tcPr>
            <w:tcW w:w="3216" w:type="pct"/>
            <w:vAlign w:val="center"/>
          </w:tcPr>
          <w:p w14:paraId="49B757D2">
            <w:pPr>
              <w:pStyle w:val="33"/>
              <w:widowControl w:val="0"/>
              <w:spacing w:before="0" w:beforeAutospacing="0" w:after="0" w:afterAutospacing="0" w:line="360" w:lineRule="auto"/>
              <w:jc w:val="both"/>
              <w:rPr>
                <w:rFonts w:hint="eastAsia" w:ascii="宋体" w:hAnsi="宋体" w:eastAsia="宋体" w:cs="宋体"/>
                <w:color w:val="auto"/>
                <w:sz w:val="24"/>
                <w:szCs w:val="18"/>
                <w:u w:val="none"/>
              </w:rPr>
            </w:pPr>
            <w:r>
              <w:rPr>
                <w:rFonts w:hint="eastAsia" w:ascii="宋体" w:hAnsi="宋体" w:eastAsia="宋体" w:cs="宋体"/>
                <w:b w:val="0"/>
                <w:bCs/>
                <w:color w:val="auto"/>
                <w:kern w:val="2"/>
                <w:sz w:val="24"/>
                <w:szCs w:val="18"/>
                <w:u w:val="none"/>
                <w:lang w:val="en-US" w:eastAsia="zh-CN" w:bidi="ar-SA"/>
              </w:rPr>
              <w:t>根据每个月的实际运维费用，</w:t>
            </w:r>
            <w:r>
              <w:rPr>
                <w:rFonts w:hint="eastAsia" w:ascii="宋体" w:hAnsi="宋体" w:eastAsia="宋体" w:cs="宋体"/>
                <w:b w:val="0"/>
                <w:bCs/>
                <w:color w:val="auto"/>
                <w:kern w:val="2"/>
                <w:sz w:val="24"/>
                <w:szCs w:val="18"/>
                <w:u w:val="none"/>
                <w:lang w:val="en-US" w:eastAsia="zh-CN" w:bidi="ar-SA"/>
              </w:rPr>
              <w:t>每半年支付一次（即第七个月支付前六个月费用的100%）。服务期内累计支付总额不超过合同总价。</w:t>
            </w:r>
          </w:p>
        </w:tc>
      </w:tr>
      <w:tr w14:paraId="27C7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A7D37B8">
            <w:pPr>
              <w:spacing w:line="360" w:lineRule="auto"/>
              <w:jc w:val="center"/>
              <w:rPr>
                <w:rFonts w:hint="eastAsia" w:ascii="宋体" w:hAnsi="宋体" w:eastAsia="宋体" w:cs="宋体"/>
                <w:bCs/>
                <w:sz w:val="24"/>
                <w:szCs w:val="18"/>
              </w:rPr>
            </w:pPr>
            <w:r>
              <w:rPr>
                <w:rFonts w:hint="eastAsia" w:ascii="宋体" w:hAnsi="宋体" w:eastAsia="宋体" w:cs="宋体"/>
                <w:bCs/>
                <w:sz w:val="24"/>
                <w:szCs w:val="18"/>
              </w:rPr>
              <w:t>2</w:t>
            </w:r>
          </w:p>
        </w:tc>
        <w:tc>
          <w:tcPr>
            <w:tcW w:w="1192" w:type="pct"/>
            <w:vAlign w:val="center"/>
          </w:tcPr>
          <w:p w14:paraId="35C66960">
            <w:pPr>
              <w:spacing w:line="360" w:lineRule="auto"/>
              <w:jc w:val="center"/>
              <w:rPr>
                <w:rFonts w:hint="eastAsia" w:ascii="宋体" w:hAnsi="宋体" w:eastAsia="宋体" w:cs="宋体"/>
                <w:bCs/>
                <w:sz w:val="24"/>
                <w:szCs w:val="18"/>
              </w:rPr>
            </w:pPr>
            <w:r>
              <w:rPr>
                <w:rFonts w:hint="eastAsia" w:ascii="宋体" w:hAnsi="宋体" w:eastAsia="宋体" w:cs="宋体"/>
                <w:bCs/>
                <w:sz w:val="24"/>
                <w:szCs w:val="18"/>
              </w:rPr>
              <w:t>服务地点</w:t>
            </w:r>
          </w:p>
        </w:tc>
        <w:tc>
          <w:tcPr>
            <w:tcW w:w="3216" w:type="pct"/>
            <w:vAlign w:val="center"/>
          </w:tcPr>
          <w:p w14:paraId="73652115">
            <w:pPr>
              <w:spacing w:line="360" w:lineRule="auto"/>
              <w:rPr>
                <w:rFonts w:hint="default" w:ascii="宋体" w:hAnsi="宋体" w:eastAsia="宋体" w:cs="宋体"/>
                <w:bCs/>
                <w:color w:val="auto"/>
                <w:sz w:val="24"/>
                <w:szCs w:val="18"/>
                <w:u w:val="none"/>
                <w:lang w:val="en-US"/>
              </w:rPr>
            </w:pPr>
            <w:r>
              <w:rPr>
                <w:rFonts w:hint="default" w:ascii="宋体" w:hAnsi="宋体" w:eastAsia="宋体" w:cs="宋体"/>
                <w:bCs/>
                <w:kern w:val="0"/>
                <w:sz w:val="24"/>
                <w:szCs w:val="28"/>
                <w:lang w:val="en-US" w:eastAsia="zh-CN"/>
              </w:rPr>
              <w:t>安徽省肥西县，采购人指定地点</w:t>
            </w:r>
          </w:p>
        </w:tc>
      </w:tr>
      <w:tr w14:paraId="5E7D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5391080">
            <w:pPr>
              <w:spacing w:line="360" w:lineRule="auto"/>
              <w:jc w:val="center"/>
              <w:rPr>
                <w:rFonts w:hint="eastAsia" w:ascii="宋体" w:hAnsi="宋体" w:eastAsia="宋体" w:cs="宋体"/>
                <w:bCs/>
                <w:sz w:val="24"/>
                <w:szCs w:val="18"/>
              </w:rPr>
            </w:pPr>
            <w:r>
              <w:rPr>
                <w:rFonts w:hint="eastAsia" w:ascii="宋体" w:hAnsi="宋体" w:eastAsia="宋体" w:cs="宋体"/>
                <w:bCs/>
                <w:sz w:val="24"/>
                <w:szCs w:val="18"/>
              </w:rPr>
              <w:t>3</w:t>
            </w:r>
          </w:p>
        </w:tc>
        <w:tc>
          <w:tcPr>
            <w:tcW w:w="1192" w:type="pct"/>
            <w:vAlign w:val="center"/>
          </w:tcPr>
          <w:p w14:paraId="3873A0FE">
            <w:pPr>
              <w:spacing w:line="360" w:lineRule="auto"/>
              <w:jc w:val="center"/>
              <w:rPr>
                <w:rFonts w:hint="eastAsia" w:ascii="宋体" w:hAnsi="宋体" w:eastAsia="宋体" w:cs="宋体"/>
                <w:bCs/>
                <w:sz w:val="24"/>
                <w:szCs w:val="18"/>
              </w:rPr>
            </w:pPr>
            <w:r>
              <w:rPr>
                <w:rFonts w:hint="eastAsia" w:ascii="宋体" w:hAnsi="宋体" w:eastAsia="宋体" w:cs="宋体"/>
                <w:bCs/>
                <w:sz w:val="24"/>
                <w:szCs w:val="18"/>
              </w:rPr>
              <w:t>服务期限</w:t>
            </w:r>
          </w:p>
        </w:tc>
        <w:tc>
          <w:tcPr>
            <w:tcW w:w="3216" w:type="pct"/>
            <w:vAlign w:val="center"/>
          </w:tcPr>
          <w:p w14:paraId="1C2B049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Cs/>
                <w:kern w:val="0"/>
                <w:sz w:val="24"/>
                <w:szCs w:val="28"/>
              </w:rPr>
            </w:pPr>
            <w:r>
              <w:rPr>
                <w:rFonts w:hint="eastAsia" w:ascii="宋体" w:hAnsi="宋体" w:eastAsia="宋体" w:cs="宋体"/>
                <w:bCs/>
                <w:kern w:val="0"/>
                <w:sz w:val="24"/>
                <w:szCs w:val="28"/>
              </w:rPr>
              <w:t>本次合同服务期限1年。如合同履约情况良好，经采购人考核合格，且在资金能保障的前提下，经双方协商同意，可续签下一年合同，合同一年一签，最多续签1年。采购人与中标单位有任何一方不同意续签，合同不予续签。</w:t>
            </w:r>
          </w:p>
          <w:p w14:paraId="099F1563">
            <w:pPr>
              <w:pStyle w:val="33"/>
              <w:widowControl w:val="0"/>
              <w:spacing w:before="0" w:beforeAutospacing="0" w:after="0" w:afterAutospacing="0" w:line="360" w:lineRule="auto"/>
              <w:jc w:val="both"/>
              <w:rPr>
                <w:rFonts w:hint="eastAsia" w:ascii="宋体" w:hAnsi="宋体" w:eastAsia="宋体" w:cs="宋体"/>
                <w:bCs/>
                <w:color w:val="auto"/>
                <w:sz w:val="24"/>
                <w:szCs w:val="18"/>
                <w:u w:val="none"/>
              </w:rPr>
            </w:pPr>
            <w:r>
              <w:rPr>
                <w:rFonts w:hint="eastAsia" w:ascii="宋体" w:hAnsi="宋体" w:eastAsia="宋体" w:cs="宋体"/>
                <w:bCs/>
                <w:kern w:val="0"/>
                <w:sz w:val="24"/>
                <w:szCs w:val="28"/>
              </w:rPr>
              <w:t>合同续签依据：前11个月的月度考核结果。</w:t>
            </w:r>
          </w:p>
        </w:tc>
      </w:tr>
    </w:tbl>
    <w:p w14:paraId="25E664D3">
      <w:pPr>
        <w:spacing w:line="360" w:lineRule="auto"/>
        <w:ind w:firstLine="435"/>
        <w:outlineLvl w:val="1"/>
        <w:rPr>
          <w:rFonts w:hint="eastAsia" w:ascii="宋体" w:hAnsi="宋体" w:eastAsia="宋体" w:cs="宋体"/>
          <w:b/>
          <w:sz w:val="24"/>
          <w:szCs w:val="24"/>
          <w:highlight w:val="none"/>
        </w:rPr>
      </w:pPr>
      <w:bookmarkStart w:id="59" w:name="_Hlk16461016"/>
      <w:r>
        <w:rPr>
          <w:rFonts w:hint="eastAsia" w:ascii="宋体" w:hAnsi="宋体" w:eastAsia="宋体" w:cs="宋体"/>
          <w:b/>
          <w:sz w:val="24"/>
          <w:szCs w:val="24"/>
          <w:highlight w:val="none"/>
        </w:rPr>
        <w:t>二、项目概况</w:t>
      </w:r>
    </w:p>
    <w:p w14:paraId="008EEF70">
      <w:pPr>
        <w:spacing w:line="360" w:lineRule="auto"/>
        <w:ind w:firstLine="435"/>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提升全县智慧平安小区建设、运维、管理、应用水平和效能，深化城市运行管理中的智能分析与场景应用。拟通过按标准采购全县统一的运维服务，充分发挥视频和数据资源价值，推动小区治理模式从被动处置向主动发现转变，全面提升城市精细化治理水平。</w:t>
      </w:r>
    </w:p>
    <w:p w14:paraId="48E26161">
      <w:pPr>
        <w:spacing w:line="360" w:lineRule="auto"/>
        <w:ind w:firstLine="435"/>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人拟通过智慧平安小区视频和数据资源，加强对小区人员、车辆的静态和动态数据的收集；加强生活垃圾分类及装修垃圾处置等情况源头掌握；及时发现小区配建商铺“门前三包”不落实及小区周边违规摆摊设点情况和周边环境卫生；及时发现小区内机动车和非机动车乱停放、“飞线”充电、垃圾杂物乱堆放及窨井盖损坏等小区内环境卫生、公共秩序问题；加强汛期及极端天气期间小区内涝等情况的监测发现；及时发现小区内占用消防通道等安全隐患情况；及时发现小区内破坏绿化行为；加强对孤寡老人异常行为的监测发现等。</w:t>
      </w:r>
    </w:p>
    <w:p w14:paraId="2FBEAD57">
      <w:pPr>
        <w:keepNext w:val="0"/>
        <w:keepLines w:val="0"/>
        <w:pageBreakBefore w:val="0"/>
        <w:kinsoku/>
        <w:wordWrap/>
        <w:overflowPunct/>
        <w:topLinePunct w:val="0"/>
        <w:autoSpaceDE/>
        <w:autoSpaceDN/>
        <w:bidi w:val="0"/>
        <w:adjustRightInd/>
        <w:snapToGrid/>
        <w:spacing w:line="360" w:lineRule="auto"/>
        <w:ind w:firstLine="435"/>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次运维内容包括115个智慧平安小区的前端感知设备运维、小区后端设备运维、软件运维、网络安全运维、应用平台对接运维以及其他运维和198个智慧平安小区的数据传输运维（含链路租赁）等。中标单位承担包含维修维护服务的人工费用、更换原厂备件的费用、前端点位不可预见的取电费用、相关技术支持及培训在内的一切与服务有关的费用。因中标单位自身能力而无法解决的故障，或故障解决时间超过了定义的故障解决时限的，采购人将有权调动原厂和其他一切资源提供支持，所发生的一切费用由中标单位承担。</w:t>
      </w:r>
    </w:p>
    <w:p w14:paraId="29B46889">
      <w:pPr>
        <w:keepNext w:val="0"/>
        <w:keepLines w:val="0"/>
        <w:pageBreakBefore w:val="0"/>
        <w:kinsoku/>
        <w:wordWrap/>
        <w:overflowPunct/>
        <w:topLinePunct w:val="0"/>
        <w:autoSpaceDE/>
        <w:autoSpaceDN/>
        <w:bidi w:val="0"/>
        <w:adjustRightInd/>
        <w:snapToGrid/>
        <w:spacing w:line="360" w:lineRule="auto"/>
        <w:ind w:firstLine="480"/>
        <w:rPr>
          <w:rFonts w:hint="eastAsia" w:ascii="宋体" w:hAnsi="宋体" w:eastAsia="宋体" w:cs="宋体"/>
          <w:b/>
          <w:bCs/>
        </w:rPr>
      </w:pPr>
      <w:r>
        <w:rPr>
          <w:rFonts w:hint="eastAsia" w:ascii="宋体" w:hAnsi="宋体" w:cs="宋体"/>
          <w:b/>
          <w:bCs/>
          <w:lang w:eastAsia="zh-CN"/>
        </w:rPr>
        <w:t>投标人</w:t>
      </w:r>
      <w:r>
        <w:rPr>
          <w:rFonts w:hint="eastAsia" w:ascii="宋体" w:hAnsi="宋体" w:eastAsia="宋体" w:cs="宋体"/>
          <w:b/>
          <w:bCs/>
        </w:rPr>
        <w:t>在合同签订后一个月内需提供以下表格数据：</w:t>
      </w:r>
    </w:p>
    <w:p w14:paraId="5461C855">
      <w:pPr>
        <w:keepNext w:val="0"/>
        <w:keepLines w:val="0"/>
        <w:pageBreakBefore w:val="0"/>
        <w:kinsoku/>
        <w:wordWrap/>
        <w:overflowPunct/>
        <w:topLinePunct w:val="0"/>
        <w:autoSpaceDE/>
        <w:autoSpaceDN/>
        <w:bidi w:val="0"/>
        <w:adjustRightInd/>
        <w:snapToGrid/>
        <w:spacing w:line="360" w:lineRule="auto"/>
        <w:ind w:firstLine="480"/>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.小区现状</w:t>
      </w:r>
    </w:p>
    <w:tbl>
      <w:tblPr>
        <w:tblStyle w:val="24"/>
        <w:tblW w:w="4996" w:type="pct"/>
        <w:tblInd w:w="0" w:type="dxa"/>
        <w:tblLayout w:type="autofit"/>
        <w:tblCellMar>
          <w:top w:w="0" w:type="dxa"/>
          <w:left w:w="108" w:type="dxa"/>
          <w:bottom w:w="0" w:type="dxa"/>
          <w:right w:w="108" w:type="dxa"/>
        </w:tblCellMar>
      </w:tblPr>
      <w:tblGrid>
        <w:gridCol w:w="899"/>
        <w:gridCol w:w="981"/>
        <w:gridCol w:w="2252"/>
        <w:gridCol w:w="2698"/>
        <w:gridCol w:w="2790"/>
      </w:tblGrid>
      <w:tr w14:paraId="50991A97">
        <w:tblPrEx>
          <w:tblCellMar>
            <w:top w:w="0" w:type="dxa"/>
            <w:left w:w="108" w:type="dxa"/>
            <w:bottom w:w="0" w:type="dxa"/>
            <w:right w:w="108" w:type="dxa"/>
          </w:tblCellMar>
        </w:tblPrEx>
        <w:trPr>
          <w:trHeight w:val="375" w:hRule="atLeast"/>
        </w:trPr>
        <w:tc>
          <w:tcPr>
            <w:tcW w:w="467" w:type="pct"/>
            <w:tcBorders>
              <w:top w:val="single" w:color="000000" w:sz="4" w:space="0"/>
              <w:left w:val="single" w:color="000000" w:sz="4" w:space="0"/>
              <w:bottom w:val="single" w:color="000000" w:sz="4" w:space="0"/>
              <w:right w:val="single" w:color="000000" w:sz="4" w:space="0"/>
            </w:tcBorders>
            <w:noWrap/>
            <w:vAlign w:val="center"/>
          </w:tcPr>
          <w:p w14:paraId="272AE52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b/>
                <w:bCs/>
                <w:sz w:val="21"/>
                <w:szCs w:val="21"/>
              </w:rPr>
            </w:pPr>
            <w:r>
              <w:rPr>
                <w:rFonts w:hint="eastAsia"/>
                <w:b/>
                <w:bCs/>
                <w:sz w:val="21"/>
                <w:szCs w:val="21"/>
              </w:rPr>
              <w:t>序号</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6AA609EE">
            <w:pPr>
              <w:keepNext w:val="0"/>
              <w:keepLines w:val="0"/>
              <w:pageBreakBefore w:val="0"/>
              <w:widowControl/>
              <w:kinsoku/>
              <w:wordWrap/>
              <w:overflowPunct/>
              <w:topLinePunct w:val="0"/>
              <w:autoSpaceDE/>
              <w:autoSpaceDN/>
              <w:bidi w:val="0"/>
              <w:adjustRightInd/>
              <w:snapToGrid/>
              <w:spacing w:line="360" w:lineRule="auto"/>
              <w:ind w:firstLine="105" w:firstLineChars="50"/>
              <w:jc w:val="left"/>
              <w:textAlignment w:val="center"/>
              <w:rPr>
                <w:rFonts w:hint="eastAsia"/>
                <w:b/>
                <w:bCs/>
                <w:sz w:val="21"/>
                <w:szCs w:val="21"/>
              </w:rPr>
            </w:pPr>
            <w:r>
              <w:rPr>
                <w:rFonts w:hint="eastAsia"/>
                <w:b/>
                <w:bCs/>
                <w:sz w:val="21"/>
                <w:szCs w:val="21"/>
              </w:rPr>
              <w:t>街道</w:t>
            </w:r>
          </w:p>
        </w:tc>
        <w:tc>
          <w:tcPr>
            <w:tcW w:w="1170" w:type="pct"/>
            <w:tcBorders>
              <w:top w:val="single" w:color="000000" w:sz="4" w:space="0"/>
              <w:left w:val="single" w:color="000000" w:sz="4" w:space="0"/>
              <w:bottom w:val="single" w:color="000000" w:sz="4" w:space="0"/>
              <w:right w:val="single" w:color="000000" w:sz="4" w:space="0"/>
            </w:tcBorders>
            <w:noWrap/>
            <w:vAlign w:val="center"/>
          </w:tcPr>
          <w:p w14:paraId="25FFC134">
            <w:pPr>
              <w:keepNext w:val="0"/>
              <w:keepLines w:val="0"/>
              <w:pageBreakBefore w:val="0"/>
              <w:widowControl/>
              <w:kinsoku/>
              <w:wordWrap/>
              <w:overflowPunct/>
              <w:topLinePunct w:val="0"/>
              <w:autoSpaceDE/>
              <w:autoSpaceDN/>
              <w:bidi w:val="0"/>
              <w:adjustRightInd/>
              <w:snapToGrid/>
              <w:spacing w:line="360" w:lineRule="auto"/>
              <w:ind w:firstLine="422"/>
              <w:jc w:val="left"/>
              <w:textAlignment w:val="center"/>
              <w:rPr>
                <w:rFonts w:hint="eastAsia"/>
                <w:b/>
                <w:bCs/>
                <w:sz w:val="21"/>
                <w:szCs w:val="21"/>
              </w:rPr>
            </w:pPr>
            <w:r>
              <w:rPr>
                <w:rFonts w:hint="eastAsia"/>
                <w:b/>
                <w:bCs/>
                <w:sz w:val="21"/>
                <w:szCs w:val="21"/>
              </w:rPr>
              <w:t>小区名称</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141EA570">
            <w:pPr>
              <w:keepNext w:val="0"/>
              <w:keepLines w:val="0"/>
              <w:pageBreakBefore w:val="0"/>
              <w:widowControl/>
              <w:kinsoku/>
              <w:wordWrap/>
              <w:overflowPunct/>
              <w:topLinePunct w:val="0"/>
              <w:autoSpaceDE/>
              <w:autoSpaceDN/>
              <w:bidi w:val="0"/>
              <w:adjustRightInd/>
              <w:snapToGrid/>
              <w:spacing w:line="360" w:lineRule="auto"/>
              <w:ind w:firstLine="422"/>
              <w:jc w:val="left"/>
              <w:textAlignment w:val="center"/>
              <w:rPr>
                <w:rFonts w:hint="eastAsia"/>
                <w:b/>
                <w:bCs/>
                <w:sz w:val="21"/>
                <w:szCs w:val="21"/>
              </w:rPr>
            </w:pPr>
            <w:r>
              <w:rPr>
                <w:rFonts w:hint="eastAsia"/>
                <w:b/>
                <w:bCs/>
                <w:sz w:val="21"/>
                <w:szCs w:val="21"/>
              </w:rPr>
              <w:t>项目竣工验收日期</w:t>
            </w:r>
          </w:p>
        </w:tc>
        <w:tc>
          <w:tcPr>
            <w:tcW w:w="1450" w:type="pct"/>
            <w:tcBorders>
              <w:top w:val="single" w:color="000000" w:sz="4" w:space="0"/>
              <w:left w:val="single" w:color="000000" w:sz="4" w:space="0"/>
              <w:bottom w:val="single" w:color="000000" w:sz="4" w:space="0"/>
              <w:right w:val="single" w:color="000000" w:sz="4" w:space="0"/>
            </w:tcBorders>
            <w:noWrap/>
            <w:vAlign w:val="center"/>
          </w:tcPr>
          <w:p w14:paraId="41C7D760">
            <w:pPr>
              <w:keepNext w:val="0"/>
              <w:keepLines w:val="0"/>
              <w:pageBreakBefore w:val="0"/>
              <w:widowControl/>
              <w:kinsoku/>
              <w:wordWrap/>
              <w:overflowPunct/>
              <w:topLinePunct w:val="0"/>
              <w:autoSpaceDE/>
              <w:autoSpaceDN/>
              <w:bidi w:val="0"/>
              <w:adjustRightInd/>
              <w:snapToGrid/>
              <w:spacing w:line="360" w:lineRule="auto"/>
              <w:ind w:firstLine="422"/>
              <w:jc w:val="left"/>
              <w:textAlignment w:val="center"/>
              <w:rPr>
                <w:rFonts w:hint="eastAsia"/>
                <w:b/>
                <w:bCs/>
                <w:sz w:val="21"/>
                <w:szCs w:val="21"/>
              </w:rPr>
            </w:pPr>
            <w:r>
              <w:rPr>
                <w:rFonts w:hint="eastAsia"/>
                <w:b/>
                <w:bCs/>
                <w:sz w:val="21"/>
                <w:szCs w:val="21"/>
              </w:rPr>
              <w:t>质保运维到期时间</w:t>
            </w:r>
          </w:p>
        </w:tc>
      </w:tr>
      <w:tr w14:paraId="1DF9D260">
        <w:tblPrEx>
          <w:tblCellMar>
            <w:top w:w="0" w:type="dxa"/>
            <w:left w:w="108" w:type="dxa"/>
            <w:bottom w:w="0" w:type="dxa"/>
            <w:right w:w="108" w:type="dxa"/>
          </w:tblCellMar>
        </w:tblPrEx>
        <w:trPr>
          <w:trHeight w:val="503" w:hRule="atLeast"/>
        </w:trPr>
        <w:tc>
          <w:tcPr>
            <w:tcW w:w="467" w:type="pct"/>
            <w:tcBorders>
              <w:top w:val="single" w:color="000000" w:sz="4" w:space="0"/>
              <w:left w:val="single" w:color="000000" w:sz="4" w:space="0"/>
              <w:bottom w:val="single" w:color="000000" w:sz="4" w:space="0"/>
              <w:right w:val="single" w:color="000000" w:sz="4" w:space="0"/>
            </w:tcBorders>
            <w:noWrap/>
            <w:vAlign w:val="center"/>
          </w:tcPr>
          <w:p w14:paraId="3D017C99">
            <w:pPr>
              <w:keepNext w:val="0"/>
              <w:keepLines w:val="0"/>
              <w:pageBreakBefore w:val="0"/>
              <w:widowControl/>
              <w:kinsoku/>
              <w:wordWrap/>
              <w:overflowPunct/>
              <w:topLinePunct w:val="0"/>
              <w:autoSpaceDE/>
              <w:autoSpaceDN/>
              <w:bidi w:val="0"/>
              <w:adjustRightInd/>
              <w:snapToGrid/>
              <w:spacing w:line="360" w:lineRule="auto"/>
              <w:ind w:firstLine="199" w:firstLineChars="95"/>
              <w:textAlignment w:val="center"/>
              <w:rPr>
                <w:rFonts w:hint="eastAsia"/>
                <w:sz w:val="21"/>
                <w:szCs w:val="21"/>
              </w:rPr>
            </w:pPr>
            <w:r>
              <w:rPr>
                <w:rFonts w:hint="eastAsia"/>
                <w:sz w:val="21"/>
                <w:szCs w:val="21"/>
              </w:rPr>
              <w:t>1</w:t>
            </w:r>
          </w:p>
        </w:tc>
        <w:tc>
          <w:tcPr>
            <w:tcW w:w="510" w:type="pct"/>
            <w:vMerge w:val="restart"/>
            <w:tcBorders>
              <w:top w:val="single" w:color="000000" w:sz="4" w:space="0"/>
              <w:left w:val="single" w:color="000000" w:sz="4" w:space="0"/>
              <w:bottom w:val="single" w:color="000000" w:sz="4" w:space="0"/>
              <w:right w:val="single" w:color="000000" w:sz="4" w:space="0"/>
            </w:tcBorders>
            <w:noWrap/>
            <w:vAlign w:val="center"/>
          </w:tcPr>
          <w:p w14:paraId="12048D14">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center"/>
              <w:rPr>
                <w:rFonts w:hint="eastAsia"/>
                <w:sz w:val="21"/>
                <w:szCs w:val="21"/>
              </w:rPr>
            </w:pPr>
            <w:r>
              <w:rPr>
                <w:rFonts w:hint="eastAsia"/>
                <w:sz w:val="21"/>
                <w:szCs w:val="21"/>
              </w:rPr>
              <w:t>街道</w:t>
            </w:r>
          </w:p>
        </w:tc>
        <w:tc>
          <w:tcPr>
            <w:tcW w:w="1170" w:type="pct"/>
            <w:tcBorders>
              <w:top w:val="single" w:color="000000" w:sz="4" w:space="0"/>
              <w:left w:val="single" w:color="000000" w:sz="4" w:space="0"/>
              <w:bottom w:val="single" w:color="000000" w:sz="4" w:space="0"/>
              <w:right w:val="single" w:color="000000" w:sz="4" w:space="0"/>
            </w:tcBorders>
            <w:noWrap/>
            <w:vAlign w:val="center"/>
          </w:tcPr>
          <w:p w14:paraId="6E6D0BC6">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小区</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6F1E1818">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年  月</w:t>
            </w:r>
          </w:p>
        </w:tc>
        <w:tc>
          <w:tcPr>
            <w:tcW w:w="1450" w:type="pct"/>
            <w:tcBorders>
              <w:top w:val="single" w:color="000000" w:sz="4" w:space="0"/>
              <w:left w:val="single" w:color="000000" w:sz="4" w:space="0"/>
              <w:bottom w:val="single" w:color="000000" w:sz="4" w:space="0"/>
              <w:right w:val="single" w:color="000000" w:sz="4" w:space="0"/>
            </w:tcBorders>
            <w:vAlign w:val="center"/>
          </w:tcPr>
          <w:p w14:paraId="4965B0E4">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年  月</w:t>
            </w:r>
          </w:p>
        </w:tc>
      </w:tr>
      <w:tr w14:paraId="2EB66FBD">
        <w:tblPrEx>
          <w:tblCellMar>
            <w:top w:w="0" w:type="dxa"/>
            <w:left w:w="108" w:type="dxa"/>
            <w:bottom w:w="0" w:type="dxa"/>
            <w:right w:w="108" w:type="dxa"/>
          </w:tblCellMar>
        </w:tblPrEx>
        <w:trPr>
          <w:trHeight w:val="263" w:hRule="atLeast"/>
        </w:trPr>
        <w:tc>
          <w:tcPr>
            <w:tcW w:w="467" w:type="pct"/>
            <w:tcBorders>
              <w:top w:val="single" w:color="000000" w:sz="4" w:space="0"/>
              <w:left w:val="single" w:color="000000" w:sz="4" w:space="0"/>
              <w:bottom w:val="single" w:color="000000" w:sz="4" w:space="0"/>
              <w:right w:val="single" w:color="000000" w:sz="4" w:space="0"/>
            </w:tcBorders>
            <w:noWrap/>
            <w:vAlign w:val="center"/>
          </w:tcPr>
          <w:p w14:paraId="3A15258C">
            <w:pPr>
              <w:keepNext w:val="0"/>
              <w:keepLines w:val="0"/>
              <w:pageBreakBefore w:val="0"/>
              <w:widowControl/>
              <w:kinsoku/>
              <w:wordWrap/>
              <w:overflowPunct/>
              <w:topLinePunct w:val="0"/>
              <w:autoSpaceDE/>
              <w:autoSpaceDN/>
              <w:bidi w:val="0"/>
              <w:adjustRightInd/>
              <w:snapToGrid/>
              <w:spacing w:line="360" w:lineRule="auto"/>
              <w:ind w:firstLine="199" w:firstLineChars="95"/>
              <w:textAlignment w:val="center"/>
              <w:rPr>
                <w:rFonts w:hint="eastAsia"/>
                <w:sz w:val="21"/>
                <w:szCs w:val="21"/>
              </w:rPr>
            </w:pPr>
            <w:r>
              <w:rPr>
                <w:rFonts w:hint="eastAsia"/>
                <w:sz w:val="21"/>
                <w:szCs w:val="21"/>
              </w:rPr>
              <w:t>2</w:t>
            </w:r>
          </w:p>
        </w:tc>
        <w:tc>
          <w:tcPr>
            <w:tcW w:w="510" w:type="pct"/>
            <w:vMerge w:val="continue"/>
            <w:tcBorders>
              <w:top w:val="single" w:color="000000" w:sz="4" w:space="0"/>
              <w:left w:val="single" w:color="000000" w:sz="4" w:space="0"/>
              <w:bottom w:val="single" w:color="000000" w:sz="4" w:space="0"/>
              <w:right w:val="single" w:color="000000" w:sz="4" w:space="0"/>
            </w:tcBorders>
            <w:noWrap/>
            <w:vAlign w:val="center"/>
          </w:tcPr>
          <w:p w14:paraId="60919340">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170" w:type="pct"/>
            <w:tcBorders>
              <w:top w:val="single" w:color="000000" w:sz="4" w:space="0"/>
              <w:left w:val="single" w:color="000000" w:sz="4" w:space="0"/>
              <w:bottom w:val="single" w:color="000000" w:sz="4" w:space="0"/>
              <w:right w:val="single" w:color="000000" w:sz="4" w:space="0"/>
            </w:tcBorders>
            <w:noWrap/>
            <w:vAlign w:val="center"/>
          </w:tcPr>
          <w:p w14:paraId="406529BC">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小区</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653CDA1D">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年  月</w:t>
            </w:r>
          </w:p>
        </w:tc>
        <w:tc>
          <w:tcPr>
            <w:tcW w:w="1450" w:type="pct"/>
            <w:tcBorders>
              <w:top w:val="single" w:color="000000" w:sz="4" w:space="0"/>
              <w:left w:val="single" w:color="000000" w:sz="4" w:space="0"/>
              <w:bottom w:val="single" w:color="000000" w:sz="4" w:space="0"/>
              <w:right w:val="single" w:color="000000" w:sz="4" w:space="0"/>
            </w:tcBorders>
            <w:vAlign w:val="center"/>
          </w:tcPr>
          <w:p w14:paraId="0CC22BC7">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年  月</w:t>
            </w:r>
          </w:p>
        </w:tc>
      </w:tr>
      <w:tr w14:paraId="2119AB44">
        <w:tblPrEx>
          <w:tblCellMar>
            <w:top w:w="0" w:type="dxa"/>
            <w:left w:w="108" w:type="dxa"/>
            <w:bottom w:w="0" w:type="dxa"/>
            <w:right w:w="108" w:type="dxa"/>
          </w:tblCellMar>
        </w:tblPrEx>
        <w:trPr>
          <w:trHeight w:val="263" w:hRule="atLeast"/>
        </w:trPr>
        <w:tc>
          <w:tcPr>
            <w:tcW w:w="467" w:type="pct"/>
            <w:tcBorders>
              <w:top w:val="single" w:color="000000" w:sz="4" w:space="0"/>
              <w:left w:val="single" w:color="000000" w:sz="4" w:space="0"/>
              <w:bottom w:val="single" w:color="000000" w:sz="4" w:space="0"/>
              <w:right w:val="single" w:color="000000" w:sz="4" w:space="0"/>
            </w:tcBorders>
            <w:noWrap/>
            <w:vAlign w:val="center"/>
          </w:tcPr>
          <w:p w14:paraId="532E6756">
            <w:pPr>
              <w:keepNext w:val="0"/>
              <w:keepLines w:val="0"/>
              <w:pageBreakBefore w:val="0"/>
              <w:widowControl/>
              <w:kinsoku/>
              <w:wordWrap/>
              <w:overflowPunct/>
              <w:topLinePunct w:val="0"/>
              <w:autoSpaceDE/>
              <w:autoSpaceDN/>
              <w:bidi w:val="0"/>
              <w:adjustRightInd/>
              <w:snapToGrid/>
              <w:spacing w:line="360" w:lineRule="auto"/>
              <w:ind w:firstLine="199" w:firstLineChars="95"/>
              <w:textAlignment w:val="center"/>
              <w:rPr>
                <w:rFonts w:hint="eastAsia"/>
                <w:sz w:val="21"/>
                <w:szCs w:val="21"/>
              </w:rPr>
            </w:pPr>
            <w:r>
              <w:rPr>
                <w:rFonts w:hint="eastAsia"/>
                <w:sz w:val="21"/>
                <w:szCs w:val="21"/>
              </w:rPr>
              <w:t>3</w:t>
            </w:r>
          </w:p>
        </w:tc>
        <w:tc>
          <w:tcPr>
            <w:tcW w:w="510" w:type="pct"/>
            <w:vMerge w:val="restart"/>
            <w:tcBorders>
              <w:top w:val="single" w:color="000000" w:sz="4" w:space="0"/>
              <w:left w:val="single" w:color="000000" w:sz="4" w:space="0"/>
              <w:bottom w:val="single" w:color="000000" w:sz="4" w:space="0"/>
              <w:right w:val="single" w:color="000000" w:sz="4" w:space="0"/>
            </w:tcBorders>
            <w:noWrap/>
            <w:vAlign w:val="center"/>
          </w:tcPr>
          <w:p w14:paraId="2526B772">
            <w:pPr>
              <w:keepNext w:val="0"/>
              <w:keepLines w:val="0"/>
              <w:pageBreakBefore w:val="0"/>
              <w:widowControl/>
              <w:kinsoku/>
              <w:wordWrap/>
              <w:overflowPunct/>
              <w:topLinePunct w:val="0"/>
              <w:autoSpaceDE/>
              <w:autoSpaceDN/>
              <w:bidi w:val="0"/>
              <w:adjustRightInd/>
              <w:snapToGrid/>
              <w:spacing w:line="360" w:lineRule="auto"/>
              <w:ind w:firstLine="199" w:firstLineChars="95"/>
              <w:jc w:val="left"/>
              <w:textAlignment w:val="center"/>
              <w:rPr>
                <w:rFonts w:hint="eastAsia"/>
                <w:sz w:val="21"/>
                <w:szCs w:val="21"/>
              </w:rPr>
            </w:pPr>
            <w:r>
              <w:rPr>
                <w:rFonts w:hint="eastAsia"/>
                <w:sz w:val="21"/>
                <w:szCs w:val="21"/>
              </w:rPr>
              <w:t>...</w:t>
            </w:r>
          </w:p>
        </w:tc>
        <w:tc>
          <w:tcPr>
            <w:tcW w:w="1170" w:type="pct"/>
            <w:tcBorders>
              <w:top w:val="single" w:color="000000" w:sz="4" w:space="0"/>
              <w:left w:val="single" w:color="000000" w:sz="4" w:space="0"/>
              <w:bottom w:val="single" w:color="000000" w:sz="4" w:space="0"/>
              <w:right w:val="single" w:color="000000" w:sz="4" w:space="0"/>
            </w:tcBorders>
            <w:noWrap/>
            <w:vAlign w:val="center"/>
          </w:tcPr>
          <w:p w14:paraId="55DEA916">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3158086F">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w:t>
            </w:r>
          </w:p>
        </w:tc>
        <w:tc>
          <w:tcPr>
            <w:tcW w:w="1450" w:type="pct"/>
            <w:tcBorders>
              <w:top w:val="single" w:color="000000" w:sz="4" w:space="0"/>
              <w:left w:val="single" w:color="000000" w:sz="4" w:space="0"/>
              <w:bottom w:val="single" w:color="000000" w:sz="4" w:space="0"/>
              <w:right w:val="single" w:color="000000" w:sz="4" w:space="0"/>
            </w:tcBorders>
            <w:vAlign w:val="center"/>
          </w:tcPr>
          <w:p w14:paraId="6865C8A5">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w:t>
            </w:r>
          </w:p>
        </w:tc>
      </w:tr>
      <w:tr w14:paraId="7EA55118">
        <w:tblPrEx>
          <w:tblCellMar>
            <w:top w:w="0" w:type="dxa"/>
            <w:left w:w="108" w:type="dxa"/>
            <w:bottom w:w="0" w:type="dxa"/>
            <w:right w:w="108" w:type="dxa"/>
          </w:tblCellMar>
        </w:tblPrEx>
        <w:trPr>
          <w:trHeight w:val="263" w:hRule="atLeast"/>
        </w:trPr>
        <w:tc>
          <w:tcPr>
            <w:tcW w:w="467" w:type="pct"/>
            <w:tcBorders>
              <w:top w:val="single" w:color="000000" w:sz="4" w:space="0"/>
              <w:left w:val="single" w:color="000000" w:sz="4" w:space="0"/>
              <w:bottom w:val="single" w:color="000000" w:sz="4" w:space="0"/>
              <w:right w:val="single" w:color="000000" w:sz="4" w:space="0"/>
            </w:tcBorders>
            <w:noWrap/>
            <w:vAlign w:val="center"/>
          </w:tcPr>
          <w:p w14:paraId="6E7C4B74">
            <w:pPr>
              <w:keepNext w:val="0"/>
              <w:keepLines w:val="0"/>
              <w:pageBreakBefore w:val="0"/>
              <w:widowControl/>
              <w:kinsoku/>
              <w:wordWrap/>
              <w:overflowPunct/>
              <w:topLinePunct w:val="0"/>
              <w:autoSpaceDE/>
              <w:autoSpaceDN/>
              <w:bidi w:val="0"/>
              <w:adjustRightInd/>
              <w:snapToGrid/>
              <w:spacing w:line="360" w:lineRule="auto"/>
              <w:ind w:firstLine="199" w:firstLineChars="95"/>
              <w:textAlignment w:val="center"/>
              <w:rPr>
                <w:rFonts w:hint="eastAsia"/>
                <w:sz w:val="21"/>
                <w:szCs w:val="21"/>
              </w:rPr>
            </w:pPr>
            <w:r>
              <w:rPr>
                <w:rFonts w:hint="eastAsia"/>
                <w:sz w:val="21"/>
                <w:szCs w:val="21"/>
              </w:rPr>
              <w:t>4</w:t>
            </w:r>
          </w:p>
        </w:tc>
        <w:tc>
          <w:tcPr>
            <w:tcW w:w="510" w:type="pct"/>
            <w:vMerge w:val="continue"/>
            <w:tcBorders>
              <w:top w:val="single" w:color="000000" w:sz="4" w:space="0"/>
              <w:left w:val="single" w:color="000000" w:sz="4" w:space="0"/>
              <w:bottom w:val="single" w:color="000000" w:sz="4" w:space="0"/>
              <w:right w:val="single" w:color="000000" w:sz="4" w:space="0"/>
            </w:tcBorders>
            <w:noWrap/>
            <w:vAlign w:val="center"/>
          </w:tcPr>
          <w:p w14:paraId="081E84E9">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170" w:type="pct"/>
            <w:tcBorders>
              <w:top w:val="single" w:color="000000" w:sz="4" w:space="0"/>
              <w:left w:val="single" w:color="000000" w:sz="4" w:space="0"/>
              <w:bottom w:val="single" w:color="000000" w:sz="4" w:space="0"/>
              <w:right w:val="single" w:color="000000" w:sz="4" w:space="0"/>
            </w:tcBorders>
            <w:noWrap/>
            <w:vAlign w:val="center"/>
          </w:tcPr>
          <w:p w14:paraId="11EADA17">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694E3C58">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w:t>
            </w:r>
          </w:p>
        </w:tc>
        <w:tc>
          <w:tcPr>
            <w:tcW w:w="1450" w:type="pct"/>
            <w:tcBorders>
              <w:top w:val="single" w:color="000000" w:sz="4" w:space="0"/>
              <w:left w:val="single" w:color="000000" w:sz="4" w:space="0"/>
              <w:bottom w:val="single" w:color="000000" w:sz="4" w:space="0"/>
              <w:right w:val="single" w:color="000000" w:sz="4" w:space="0"/>
            </w:tcBorders>
            <w:vAlign w:val="center"/>
          </w:tcPr>
          <w:p w14:paraId="4D26A9EF">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w:t>
            </w:r>
          </w:p>
        </w:tc>
      </w:tr>
      <w:tr w14:paraId="7FABB90D">
        <w:tblPrEx>
          <w:tblCellMar>
            <w:top w:w="0" w:type="dxa"/>
            <w:left w:w="108" w:type="dxa"/>
            <w:bottom w:w="0" w:type="dxa"/>
            <w:right w:w="108" w:type="dxa"/>
          </w:tblCellMar>
        </w:tblPrEx>
        <w:trPr>
          <w:trHeight w:val="263" w:hRule="atLeast"/>
        </w:trPr>
        <w:tc>
          <w:tcPr>
            <w:tcW w:w="467" w:type="pct"/>
            <w:tcBorders>
              <w:top w:val="single" w:color="000000" w:sz="4" w:space="0"/>
              <w:left w:val="single" w:color="000000" w:sz="4" w:space="0"/>
              <w:bottom w:val="single" w:color="000000" w:sz="4" w:space="0"/>
              <w:right w:val="single" w:color="000000" w:sz="4" w:space="0"/>
            </w:tcBorders>
            <w:noWrap/>
            <w:vAlign w:val="center"/>
          </w:tcPr>
          <w:p w14:paraId="080291F5">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w:t>
            </w:r>
          </w:p>
        </w:tc>
        <w:tc>
          <w:tcPr>
            <w:tcW w:w="510" w:type="pct"/>
            <w:vMerge w:val="continue"/>
            <w:tcBorders>
              <w:top w:val="single" w:color="000000" w:sz="4" w:space="0"/>
              <w:left w:val="single" w:color="000000" w:sz="4" w:space="0"/>
              <w:bottom w:val="single" w:color="000000" w:sz="4" w:space="0"/>
              <w:right w:val="single" w:color="000000" w:sz="4" w:space="0"/>
            </w:tcBorders>
            <w:noWrap/>
            <w:vAlign w:val="center"/>
          </w:tcPr>
          <w:p w14:paraId="616FF819">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170" w:type="pct"/>
            <w:tcBorders>
              <w:top w:val="single" w:color="000000" w:sz="4" w:space="0"/>
              <w:left w:val="single" w:color="000000" w:sz="4" w:space="0"/>
              <w:bottom w:val="single" w:color="000000" w:sz="4" w:space="0"/>
              <w:right w:val="single" w:color="000000" w:sz="4" w:space="0"/>
            </w:tcBorders>
            <w:noWrap/>
            <w:vAlign w:val="center"/>
          </w:tcPr>
          <w:p w14:paraId="047B734C">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w:t>
            </w:r>
          </w:p>
        </w:tc>
        <w:tc>
          <w:tcPr>
            <w:tcW w:w="1402" w:type="pct"/>
            <w:tcBorders>
              <w:top w:val="single" w:color="000000" w:sz="4" w:space="0"/>
              <w:left w:val="single" w:color="000000" w:sz="4" w:space="0"/>
              <w:bottom w:val="single" w:color="000000" w:sz="4" w:space="0"/>
              <w:right w:val="single" w:color="000000" w:sz="4" w:space="0"/>
            </w:tcBorders>
            <w:noWrap/>
            <w:vAlign w:val="center"/>
          </w:tcPr>
          <w:p w14:paraId="13211B05">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w:t>
            </w:r>
          </w:p>
        </w:tc>
        <w:tc>
          <w:tcPr>
            <w:tcW w:w="1450" w:type="pct"/>
            <w:tcBorders>
              <w:top w:val="single" w:color="000000" w:sz="4" w:space="0"/>
              <w:left w:val="single" w:color="000000" w:sz="4" w:space="0"/>
              <w:bottom w:val="single" w:color="000000" w:sz="4" w:space="0"/>
              <w:right w:val="single" w:color="000000" w:sz="4" w:space="0"/>
            </w:tcBorders>
            <w:vAlign w:val="center"/>
          </w:tcPr>
          <w:p w14:paraId="4CE964FA">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rFonts w:hint="eastAsia"/>
                <w:sz w:val="21"/>
                <w:szCs w:val="21"/>
              </w:rPr>
              <w:t>...</w:t>
            </w:r>
          </w:p>
        </w:tc>
      </w:tr>
    </w:tbl>
    <w:p w14:paraId="7BD4D05C">
      <w:pPr>
        <w:keepNext w:val="0"/>
        <w:keepLines w:val="0"/>
        <w:pageBreakBefore w:val="0"/>
        <w:kinsoku/>
        <w:wordWrap/>
        <w:overflowPunct/>
        <w:topLinePunct w:val="0"/>
        <w:autoSpaceDE/>
        <w:autoSpaceDN/>
        <w:bidi w:val="0"/>
        <w:adjustRightInd/>
        <w:snapToGrid/>
        <w:spacing w:line="360" w:lineRule="auto"/>
        <w:ind w:firstLine="480"/>
        <w:rPr>
          <w:rFonts w:hint="eastAsia" w:ascii="宋体" w:hAnsi="宋体" w:eastAsia="宋体" w:cs="宋体"/>
        </w:rPr>
      </w:pPr>
      <w:r>
        <w:rPr>
          <w:rFonts w:hint="eastAsia" w:ascii="宋体" w:hAnsi="宋体" w:eastAsia="宋体" w:cs="宋体"/>
        </w:rPr>
        <w:t>注：上述信息应包含质保已到期和虽未到期但在本次招标运维服务期内即将到期的小区。</w:t>
      </w:r>
    </w:p>
    <w:p w14:paraId="3D9E490E">
      <w:pPr>
        <w:keepNext w:val="0"/>
        <w:keepLines w:val="0"/>
        <w:pageBreakBefore w:val="0"/>
        <w:kinsoku/>
        <w:wordWrap/>
        <w:overflowPunct/>
        <w:topLinePunct w:val="0"/>
        <w:autoSpaceDE/>
        <w:autoSpaceDN/>
        <w:bidi w:val="0"/>
        <w:adjustRightInd/>
        <w:snapToGrid/>
        <w:spacing w:line="360" w:lineRule="auto"/>
        <w:ind w:firstLine="480"/>
        <w:rPr>
          <w:rFonts w:hint="eastAsia" w:ascii="宋体" w:hAnsi="宋体" w:eastAsia="宋体" w:cs="宋体"/>
        </w:rPr>
      </w:pPr>
      <w:r>
        <w:rPr>
          <w:rFonts w:hint="eastAsia" w:ascii="宋体" w:hAnsi="宋体" w:cs="宋体"/>
          <w:lang w:val="en-US" w:eastAsia="zh-CN"/>
        </w:rPr>
        <w:t>2</w:t>
      </w:r>
      <w:r>
        <w:rPr>
          <w:rFonts w:hint="eastAsia" w:ascii="宋体" w:hAnsi="宋体" w:eastAsia="宋体" w:cs="宋体"/>
        </w:rPr>
        <w:t>.硬件设备</w:t>
      </w:r>
    </w:p>
    <w:tbl>
      <w:tblPr>
        <w:tblStyle w:val="2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206"/>
        <w:gridCol w:w="2096"/>
        <w:gridCol w:w="2414"/>
        <w:gridCol w:w="819"/>
        <w:gridCol w:w="1002"/>
      </w:tblGrid>
      <w:tr w14:paraId="6FCE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38D467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b/>
                <w:bCs/>
                <w:sz w:val="21"/>
                <w:szCs w:val="21"/>
              </w:rPr>
              <w:t>序号</w:t>
            </w:r>
          </w:p>
        </w:tc>
        <w:tc>
          <w:tcPr>
            <w:tcW w:w="1147" w:type="pct"/>
            <w:vAlign w:val="center"/>
          </w:tcPr>
          <w:p w14:paraId="334A08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b/>
                <w:bCs/>
                <w:sz w:val="21"/>
                <w:szCs w:val="21"/>
              </w:rPr>
              <w:t>设备名称</w:t>
            </w:r>
          </w:p>
        </w:tc>
        <w:tc>
          <w:tcPr>
            <w:tcW w:w="1090" w:type="pct"/>
            <w:vAlign w:val="center"/>
          </w:tcPr>
          <w:p w14:paraId="6BFD78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b/>
                <w:bCs/>
                <w:sz w:val="21"/>
                <w:szCs w:val="21"/>
              </w:rPr>
              <w:t>设备型号/规格</w:t>
            </w:r>
          </w:p>
        </w:tc>
        <w:tc>
          <w:tcPr>
            <w:tcW w:w="1255" w:type="pct"/>
            <w:vAlign w:val="center"/>
          </w:tcPr>
          <w:p w14:paraId="2DAA73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b/>
                <w:bCs/>
                <w:sz w:val="21"/>
                <w:szCs w:val="21"/>
              </w:rPr>
              <w:t>厂家</w:t>
            </w:r>
          </w:p>
        </w:tc>
        <w:tc>
          <w:tcPr>
            <w:tcW w:w="426" w:type="pct"/>
            <w:vAlign w:val="center"/>
          </w:tcPr>
          <w:p w14:paraId="546286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b/>
                <w:bCs/>
                <w:sz w:val="21"/>
                <w:szCs w:val="21"/>
              </w:rPr>
              <w:t>数量</w:t>
            </w:r>
          </w:p>
        </w:tc>
        <w:tc>
          <w:tcPr>
            <w:tcW w:w="521" w:type="pct"/>
            <w:vAlign w:val="center"/>
          </w:tcPr>
          <w:p w14:paraId="75AFE8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rFonts w:hint="eastAsia"/>
                <w:b/>
                <w:bCs/>
                <w:sz w:val="21"/>
                <w:szCs w:val="21"/>
              </w:rPr>
              <w:t>备注</w:t>
            </w:r>
          </w:p>
        </w:tc>
      </w:tr>
      <w:tr w14:paraId="5CCB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590EF8B1">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sz w:val="21"/>
                <w:szCs w:val="21"/>
              </w:rPr>
              <w:t>1</w:t>
            </w:r>
          </w:p>
        </w:tc>
        <w:tc>
          <w:tcPr>
            <w:tcW w:w="1147" w:type="pct"/>
            <w:vAlign w:val="center"/>
          </w:tcPr>
          <w:p w14:paraId="74198AC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高清监控</w:t>
            </w:r>
          </w:p>
        </w:tc>
        <w:tc>
          <w:tcPr>
            <w:tcW w:w="1090" w:type="pct"/>
            <w:vAlign w:val="center"/>
          </w:tcPr>
          <w:p w14:paraId="4BACD5C3">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673C6B43">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754EED46">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7A60CDCA">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1340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5C01DD97">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sz w:val="21"/>
                <w:szCs w:val="21"/>
              </w:rPr>
              <w:t>2</w:t>
            </w:r>
          </w:p>
        </w:tc>
        <w:tc>
          <w:tcPr>
            <w:tcW w:w="1147" w:type="pct"/>
            <w:vAlign w:val="center"/>
          </w:tcPr>
          <w:p w14:paraId="12DCB9BD">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人脸抓拍摄像机</w:t>
            </w:r>
          </w:p>
        </w:tc>
        <w:tc>
          <w:tcPr>
            <w:tcW w:w="1090" w:type="pct"/>
            <w:vAlign w:val="center"/>
          </w:tcPr>
          <w:p w14:paraId="62EC166C">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21C2549F">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4682E896">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76060918">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111C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7C4412DA">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sz w:val="21"/>
                <w:szCs w:val="21"/>
              </w:rPr>
              <w:t>3</w:t>
            </w:r>
          </w:p>
        </w:tc>
        <w:tc>
          <w:tcPr>
            <w:tcW w:w="1147" w:type="pct"/>
            <w:vAlign w:val="center"/>
          </w:tcPr>
          <w:p w14:paraId="07CAA76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高空抛物摄像机</w:t>
            </w:r>
          </w:p>
        </w:tc>
        <w:tc>
          <w:tcPr>
            <w:tcW w:w="1090" w:type="pct"/>
            <w:vAlign w:val="center"/>
          </w:tcPr>
          <w:p w14:paraId="299B7213">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07CBEE23">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0C51CC2E">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2A9F27B6">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6F31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1" w:type="pct"/>
            <w:vAlign w:val="center"/>
          </w:tcPr>
          <w:p w14:paraId="7F91E4EE">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sz w:val="21"/>
                <w:szCs w:val="21"/>
              </w:rPr>
              <w:t>4</w:t>
            </w:r>
          </w:p>
        </w:tc>
        <w:tc>
          <w:tcPr>
            <w:tcW w:w="1147" w:type="pct"/>
            <w:vAlign w:val="center"/>
          </w:tcPr>
          <w:p w14:paraId="061A130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车辆识别摄像机</w:t>
            </w:r>
          </w:p>
        </w:tc>
        <w:tc>
          <w:tcPr>
            <w:tcW w:w="1090" w:type="pct"/>
            <w:vAlign w:val="center"/>
          </w:tcPr>
          <w:p w14:paraId="61BCE51E">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6AB3B975">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14D95BF3">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03C94EEE">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3DEC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4E4396A5">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sz w:val="21"/>
                <w:szCs w:val="21"/>
              </w:rPr>
              <w:t>5</w:t>
            </w:r>
          </w:p>
        </w:tc>
        <w:tc>
          <w:tcPr>
            <w:tcW w:w="1147" w:type="pct"/>
            <w:vAlign w:val="center"/>
          </w:tcPr>
          <w:p w14:paraId="70CA7BE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硬盘录像机</w:t>
            </w:r>
          </w:p>
        </w:tc>
        <w:tc>
          <w:tcPr>
            <w:tcW w:w="1090" w:type="pct"/>
            <w:vAlign w:val="center"/>
          </w:tcPr>
          <w:p w14:paraId="0FBD1D59">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584FD9EF">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71BEF938">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56AF3B3D">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5628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12260F25">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sz w:val="21"/>
                <w:szCs w:val="21"/>
              </w:rPr>
              <w:t>6</w:t>
            </w:r>
          </w:p>
        </w:tc>
        <w:tc>
          <w:tcPr>
            <w:tcW w:w="1147" w:type="pct"/>
            <w:vAlign w:val="center"/>
          </w:tcPr>
          <w:p w14:paraId="56DC3C7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车辆道闸</w:t>
            </w:r>
          </w:p>
        </w:tc>
        <w:tc>
          <w:tcPr>
            <w:tcW w:w="1090" w:type="pct"/>
            <w:vAlign w:val="center"/>
          </w:tcPr>
          <w:p w14:paraId="1956207A">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4C7E631B">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44DA9B3C">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3F61E533">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6CC5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25665234">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rFonts w:hint="eastAsia"/>
                <w:sz w:val="21"/>
                <w:szCs w:val="21"/>
              </w:rPr>
              <w:t>7</w:t>
            </w:r>
          </w:p>
        </w:tc>
        <w:tc>
          <w:tcPr>
            <w:tcW w:w="1147" w:type="pct"/>
            <w:vAlign w:val="center"/>
          </w:tcPr>
          <w:p w14:paraId="57E455B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人行通道门</w:t>
            </w:r>
          </w:p>
        </w:tc>
        <w:tc>
          <w:tcPr>
            <w:tcW w:w="1090" w:type="pct"/>
            <w:vAlign w:val="center"/>
          </w:tcPr>
          <w:p w14:paraId="65DB14C8">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184D1B09">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6C59ECAA">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51377104">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089D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2BF86C94">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rFonts w:hint="eastAsia"/>
                <w:sz w:val="21"/>
                <w:szCs w:val="21"/>
              </w:rPr>
              <w:t>8</w:t>
            </w:r>
          </w:p>
        </w:tc>
        <w:tc>
          <w:tcPr>
            <w:tcW w:w="1147" w:type="pct"/>
            <w:vAlign w:val="center"/>
          </w:tcPr>
          <w:p w14:paraId="06814E19">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电子巡更设备</w:t>
            </w:r>
          </w:p>
        </w:tc>
        <w:tc>
          <w:tcPr>
            <w:tcW w:w="1090" w:type="pct"/>
            <w:vAlign w:val="center"/>
          </w:tcPr>
          <w:p w14:paraId="0230F6B4">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3053A36F">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3A8E745D">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783B3A6F">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3E28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0BE9839F">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rFonts w:hint="eastAsia"/>
                <w:sz w:val="21"/>
                <w:szCs w:val="21"/>
              </w:rPr>
              <w:t>9</w:t>
            </w:r>
          </w:p>
        </w:tc>
        <w:tc>
          <w:tcPr>
            <w:tcW w:w="1147" w:type="pct"/>
            <w:vAlign w:val="center"/>
          </w:tcPr>
          <w:p w14:paraId="588353EB">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周界防护设备</w:t>
            </w:r>
          </w:p>
        </w:tc>
        <w:tc>
          <w:tcPr>
            <w:tcW w:w="1090" w:type="pct"/>
            <w:vAlign w:val="center"/>
          </w:tcPr>
          <w:p w14:paraId="7EE87BED">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63B6192E">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050ACD65">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7B9589F4">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32CC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1CF5069C">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rFonts w:hint="eastAsia"/>
                <w:sz w:val="21"/>
                <w:szCs w:val="21"/>
              </w:rPr>
              <w:t>10</w:t>
            </w:r>
          </w:p>
        </w:tc>
        <w:tc>
          <w:tcPr>
            <w:tcW w:w="1147" w:type="pct"/>
            <w:vAlign w:val="center"/>
          </w:tcPr>
          <w:p w14:paraId="5DECCE4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人脸门禁机</w:t>
            </w:r>
          </w:p>
        </w:tc>
        <w:tc>
          <w:tcPr>
            <w:tcW w:w="1090" w:type="pct"/>
            <w:vAlign w:val="center"/>
          </w:tcPr>
          <w:p w14:paraId="48DB2235">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7C840F16">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60025566">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0DB9D3F2">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52C6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2C25BCF8">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rFonts w:hint="eastAsia"/>
                <w:sz w:val="21"/>
                <w:szCs w:val="21"/>
              </w:rPr>
              <w:t>11</w:t>
            </w:r>
          </w:p>
        </w:tc>
        <w:tc>
          <w:tcPr>
            <w:tcW w:w="1147" w:type="pct"/>
            <w:vAlign w:val="center"/>
          </w:tcPr>
          <w:p w14:paraId="6CA919AE">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rFonts w:hint="eastAsia"/>
                <w:sz w:val="21"/>
                <w:szCs w:val="21"/>
              </w:rPr>
              <w:t>接入终端</w:t>
            </w:r>
          </w:p>
        </w:tc>
        <w:tc>
          <w:tcPr>
            <w:tcW w:w="1090" w:type="pct"/>
            <w:vAlign w:val="center"/>
          </w:tcPr>
          <w:p w14:paraId="0F356ECB">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78DFD7FE">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09E795E2">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0595730C">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05AD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0BFDE35F">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rFonts w:hint="eastAsia"/>
                <w:sz w:val="21"/>
                <w:szCs w:val="21"/>
              </w:rPr>
              <w:t>12</w:t>
            </w:r>
          </w:p>
        </w:tc>
        <w:tc>
          <w:tcPr>
            <w:tcW w:w="1147" w:type="pct"/>
            <w:vAlign w:val="center"/>
          </w:tcPr>
          <w:p w14:paraId="0DF8A22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sz w:val="21"/>
                <w:szCs w:val="21"/>
              </w:rPr>
              <w:t>杆件</w:t>
            </w:r>
            <w:r>
              <w:rPr>
                <w:rFonts w:hint="eastAsia"/>
                <w:sz w:val="21"/>
                <w:szCs w:val="21"/>
              </w:rPr>
              <w:t>（含背包箱）</w:t>
            </w:r>
          </w:p>
        </w:tc>
        <w:tc>
          <w:tcPr>
            <w:tcW w:w="1090" w:type="pct"/>
            <w:vAlign w:val="center"/>
          </w:tcPr>
          <w:p w14:paraId="5287E0C2">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0257DA00">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2171D9A2">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1AB12CF7">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6C5E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7C34A53E">
            <w:pPr>
              <w:keepNext w:val="0"/>
              <w:keepLines w:val="0"/>
              <w:pageBreakBefore w:val="0"/>
              <w:widowControl/>
              <w:kinsoku/>
              <w:wordWrap/>
              <w:overflowPunct/>
              <w:topLinePunct w:val="0"/>
              <w:autoSpaceDE/>
              <w:autoSpaceDN/>
              <w:bidi w:val="0"/>
              <w:adjustRightInd/>
              <w:snapToGrid/>
              <w:spacing w:line="360" w:lineRule="auto"/>
              <w:ind w:firstLine="420"/>
              <w:textAlignment w:val="center"/>
              <w:rPr>
                <w:rFonts w:hint="eastAsia"/>
                <w:sz w:val="21"/>
                <w:szCs w:val="21"/>
              </w:rPr>
            </w:pPr>
            <w:r>
              <w:rPr>
                <w:rFonts w:hint="eastAsia"/>
                <w:sz w:val="21"/>
                <w:szCs w:val="21"/>
              </w:rPr>
              <w:t>13</w:t>
            </w:r>
          </w:p>
        </w:tc>
        <w:tc>
          <w:tcPr>
            <w:tcW w:w="1147" w:type="pct"/>
            <w:vAlign w:val="center"/>
          </w:tcPr>
          <w:p w14:paraId="643B39D2">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sz w:val="21"/>
                <w:szCs w:val="21"/>
              </w:rPr>
              <w:t>供电</w:t>
            </w:r>
            <w:r>
              <w:rPr>
                <w:rFonts w:hint="eastAsia"/>
                <w:sz w:val="21"/>
                <w:szCs w:val="21"/>
              </w:rPr>
              <w:t>（含UPS）</w:t>
            </w:r>
          </w:p>
        </w:tc>
        <w:tc>
          <w:tcPr>
            <w:tcW w:w="1090" w:type="pct"/>
            <w:vAlign w:val="center"/>
          </w:tcPr>
          <w:p w14:paraId="7D5C63D1">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1255" w:type="pct"/>
            <w:vAlign w:val="center"/>
          </w:tcPr>
          <w:p w14:paraId="327D4555">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426" w:type="pct"/>
            <w:vAlign w:val="center"/>
          </w:tcPr>
          <w:p w14:paraId="4CB4E59B">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c>
          <w:tcPr>
            <w:tcW w:w="521" w:type="pct"/>
            <w:vAlign w:val="center"/>
          </w:tcPr>
          <w:p w14:paraId="65604D58">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r w14:paraId="4ED9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1" w:type="pct"/>
            <w:vAlign w:val="center"/>
          </w:tcPr>
          <w:p w14:paraId="4A19B8FE">
            <w:pPr>
              <w:keepNext w:val="0"/>
              <w:keepLines w:val="0"/>
              <w:pageBreakBefore w:val="0"/>
              <w:widowControl/>
              <w:kinsoku/>
              <w:wordWrap/>
              <w:overflowPunct/>
              <w:topLinePunct w:val="0"/>
              <w:autoSpaceDE/>
              <w:autoSpaceDN/>
              <w:bidi w:val="0"/>
              <w:adjustRightInd/>
              <w:snapToGrid/>
              <w:spacing w:line="360" w:lineRule="auto"/>
              <w:ind w:firstLine="420"/>
              <w:jc w:val="center"/>
              <w:textAlignment w:val="center"/>
              <w:rPr>
                <w:rFonts w:hint="eastAsia"/>
                <w:sz w:val="21"/>
                <w:szCs w:val="21"/>
              </w:rPr>
            </w:pPr>
            <w:r>
              <w:rPr>
                <w:sz w:val="21"/>
                <w:szCs w:val="21"/>
              </w:rPr>
              <w:t>...</w:t>
            </w:r>
          </w:p>
        </w:tc>
        <w:tc>
          <w:tcPr>
            <w:tcW w:w="1147" w:type="pct"/>
            <w:vAlign w:val="center"/>
          </w:tcPr>
          <w:p w14:paraId="3490A39E">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sz w:val="21"/>
                <w:szCs w:val="21"/>
              </w:rPr>
              <w:t>...</w:t>
            </w:r>
          </w:p>
        </w:tc>
        <w:tc>
          <w:tcPr>
            <w:tcW w:w="1090" w:type="pct"/>
            <w:vAlign w:val="center"/>
          </w:tcPr>
          <w:p w14:paraId="7E37AEB1">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sz w:val="21"/>
                <w:szCs w:val="21"/>
              </w:rPr>
              <w:t>...</w:t>
            </w:r>
          </w:p>
        </w:tc>
        <w:tc>
          <w:tcPr>
            <w:tcW w:w="1255" w:type="pct"/>
            <w:vAlign w:val="center"/>
          </w:tcPr>
          <w:p w14:paraId="1334A4B9">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r>
              <w:rPr>
                <w:sz w:val="21"/>
                <w:szCs w:val="21"/>
              </w:rPr>
              <w:t>...</w:t>
            </w:r>
          </w:p>
        </w:tc>
        <w:tc>
          <w:tcPr>
            <w:tcW w:w="426" w:type="pct"/>
            <w:vAlign w:val="center"/>
          </w:tcPr>
          <w:p w14:paraId="1096A17F">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sz w:val="21"/>
                <w:szCs w:val="21"/>
              </w:rPr>
              <w:t>..</w:t>
            </w:r>
          </w:p>
        </w:tc>
        <w:tc>
          <w:tcPr>
            <w:tcW w:w="521" w:type="pct"/>
            <w:vAlign w:val="center"/>
          </w:tcPr>
          <w:p w14:paraId="1F27AA20">
            <w:pPr>
              <w:keepNext w:val="0"/>
              <w:keepLines w:val="0"/>
              <w:pageBreakBefore w:val="0"/>
              <w:widowControl/>
              <w:kinsoku/>
              <w:wordWrap/>
              <w:overflowPunct/>
              <w:topLinePunct w:val="0"/>
              <w:autoSpaceDE/>
              <w:autoSpaceDN/>
              <w:bidi w:val="0"/>
              <w:adjustRightInd/>
              <w:snapToGrid/>
              <w:spacing w:line="360" w:lineRule="auto"/>
              <w:ind w:firstLine="420"/>
              <w:jc w:val="left"/>
              <w:textAlignment w:val="center"/>
              <w:rPr>
                <w:rFonts w:hint="eastAsia"/>
                <w:sz w:val="21"/>
                <w:szCs w:val="21"/>
              </w:rPr>
            </w:pPr>
          </w:p>
        </w:tc>
      </w:tr>
    </w:tbl>
    <w:p w14:paraId="4DE83D33">
      <w:pPr>
        <w:keepNext w:val="0"/>
        <w:keepLines w:val="0"/>
        <w:pageBreakBefore w:val="0"/>
        <w:kinsoku/>
        <w:wordWrap/>
        <w:overflowPunct/>
        <w:topLinePunct w:val="0"/>
        <w:autoSpaceDE/>
        <w:autoSpaceDN/>
        <w:bidi w:val="0"/>
        <w:adjustRightInd/>
        <w:snapToGrid/>
        <w:spacing w:line="360" w:lineRule="auto"/>
        <w:ind w:firstLine="480"/>
      </w:pPr>
      <w:r>
        <w:rPr>
          <w:rFonts w:hint="eastAsia"/>
          <w:lang w:val="en-US" w:eastAsia="zh-CN"/>
        </w:rPr>
        <w:t>3</w:t>
      </w:r>
      <w:r>
        <w:rPr>
          <w:rFonts w:hint="eastAsia"/>
        </w:rPr>
        <w:t>.应用软件</w:t>
      </w:r>
    </w:p>
    <w:tbl>
      <w:tblPr>
        <w:tblStyle w:val="24"/>
        <w:tblW w:w="4996"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777"/>
        <w:gridCol w:w="4781"/>
        <w:gridCol w:w="4062"/>
      </w:tblGrid>
      <w:tr w14:paraId="647F52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04" w:type="pct"/>
            <w:tcBorders>
              <w:bottom w:val="single" w:color="auto" w:sz="4" w:space="0"/>
              <w:right w:val="single" w:color="auto" w:sz="4" w:space="0"/>
            </w:tcBorders>
            <w:vAlign w:val="center"/>
          </w:tcPr>
          <w:p w14:paraId="336FEF56">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b/>
                <w:bCs/>
                <w:sz w:val="21"/>
                <w:szCs w:val="21"/>
              </w:rPr>
            </w:pPr>
            <w:r>
              <w:rPr>
                <w:b/>
                <w:bCs/>
                <w:sz w:val="21"/>
                <w:szCs w:val="21"/>
              </w:rPr>
              <w:t>序号</w:t>
            </w:r>
          </w:p>
        </w:tc>
        <w:tc>
          <w:tcPr>
            <w:tcW w:w="2485" w:type="pct"/>
            <w:tcBorders>
              <w:left w:val="nil"/>
              <w:bottom w:val="single" w:color="auto" w:sz="4" w:space="0"/>
              <w:right w:val="single" w:color="auto" w:sz="4" w:space="0"/>
            </w:tcBorders>
            <w:vAlign w:val="center"/>
          </w:tcPr>
          <w:p w14:paraId="6151DD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b/>
                <w:bCs/>
                <w:sz w:val="21"/>
                <w:szCs w:val="21"/>
              </w:rPr>
              <w:t>软件名称</w:t>
            </w:r>
          </w:p>
        </w:tc>
        <w:tc>
          <w:tcPr>
            <w:tcW w:w="2111" w:type="pct"/>
            <w:tcBorders>
              <w:left w:val="nil"/>
              <w:bottom w:val="single" w:color="auto" w:sz="4" w:space="0"/>
            </w:tcBorders>
            <w:vAlign w:val="center"/>
          </w:tcPr>
          <w:p w14:paraId="06E7AD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b/>
                <w:bCs/>
                <w:sz w:val="21"/>
                <w:szCs w:val="21"/>
              </w:rPr>
              <w:t>厂家</w:t>
            </w:r>
          </w:p>
        </w:tc>
      </w:tr>
      <w:tr w14:paraId="3CCFC2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66" w:hRule="atLeast"/>
        </w:trPr>
        <w:tc>
          <w:tcPr>
            <w:tcW w:w="404" w:type="pct"/>
            <w:tcBorders>
              <w:top w:val="nil"/>
              <w:bottom w:val="single" w:color="auto" w:sz="4" w:space="0"/>
              <w:right w:val="single" w:color="auto" w:sz="4" w:space="0"/>
            </w:tcBorders>
            <w:vAlign w:val="center"/>
          </w:tcPr>
          <w:p w14:paraId="27D3CEB5">
            <w:pPr>
              <w:keepNext w:val="0"/>
              <w:keepLines w:val="0"/>
              <w:pageBreakBefore w:val="0"/>
              <w:widowControl/>
              <w:kinsoku/>
              <w:wordWrap/>
              <w:overflowPunct/>
              <w:topLinePunct w:val="0"/>
              <w:autoSpaceDE/>
              <w:autoSpaceDN/>
              <w:bidi w:val="0"/>
              <w:adjustRightInd/>
              <w:snapToGrid/>
              <w:spacing w:line="360" w:lineRule="auto"/>
              <w:ind w:firstLine="199" w:firstLineChars="95"/>
              <w:textAlignment w:val="center"/>
              <w:rPr>
                <w:rFonts w:hint="eastAsia"/>
                <w:sz w:val="21"/>
                <w:szCs w:val="21"/>
              </w:rPr>
            </w:pPr>
            <w:r>
              <w:rPr>
                <w:sz w:val="21"/>
                <w:szCs w:val="21"/>
              </w:rPr>
              <w:t>1</w:t>
            </w:r>
          </w:p>
        </w:tc>
        <w:tc>
          <w:tcPr>
            <w:tcW w:w="2485" w:type="pct"/>
            <w:tcBorders>
              <w:top w:val="nil"/>
              <w:left w:val="nil"/>
              <w:bottom w:val="single" w:color="auto" w:sz="4" w:space="0"/>
              <w:right w:val="single" w:color="auto" w:sz="4" w:space="0"/>
            </w:tcBorders>
            <w:vAlign w:val="center"/>
          </w:tcPr>
          <w:p w14:paraId="7281064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sz w:val="21"/>
                <w:szCs w:val="21"/>
              </w:rPr>
              <w:t>小区物业侧系统</w:t>
            </w:r>
          </w:p>
        </w:tc>
        <w:tc>
          <w:tcPr>
            <w:tcW w:w="2111" w:type="pct"/>
            <w:tcBorders>
              <w:top w:val="nil"/>
              <w:left w:val="nil"/>
              <w:bottom w:val="single" w:color="auto" w:sz="4" w:space="0"/>
            </w:tcBorders>
            <w:vAlign w:val="center"/>
          </w:tcPr>
          <w:p w14:paraId="2CBCAA8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p>
        </w:tc>
      </w:tr>
      <w:tr w14:paraId="77E701A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1" w:hRule="atLeast"/>
        </w:trPr>
        <w:tc>
          <w:tcPr>
            <w:tcW w:w="404" w:type="pct"/>
            <w:tcBorders>
              <w:top w:val="nil"/>
              <w:bottom w:val="single" w:color="auto" w:sz="4" w:space="0"/>
              <w:right w:val="single" w:color="auto" w:sz="4" w:space="0"/>
            </w:tcBorders>
            <w:vAlign w:val="center"/>
          </w:tcPr>
          <w:p w14:paraId="0EA00099">
            <w:pPr>
              <w:keepNext w:val="0"/>
              <w:keepLines w:val="0"/>
              <w:pageBreakBefore w:val="0"/>
              <w:widowControl/>
              <w:kinsoku/>
              <w:wordWrap/>
              <w:overflowPunct/>
              <w:topLinePunct w:val="0"/>
              <w:autoSpaceDE/>
              <w:autoSpaceDN/>
              <w:bidi w:val="0"/>
              <w:adjustRightInd/>
              <w:snapToGrid/>
              <w:spacing w:line="360" w:lineRule="auto"/>
              <w:ind w:firstLine="199" w:firstLineChars="95"/>
              <w:textAlignment w:val="center"/>
              <w:rPr>
                <w:rFonts w:hint="eastAsia"/>
                <w:sz w:val="21"/>
                <w:szCs w:val="21"/>
              </w:rPr>
            </w:pPr>
            <w:r>
              <w:rPr>
                <w:sz w:val="21"/>
                <w:szCs w:val="21"/>
              </w:rPr>
              <w:t>2</w:t>
            </w:r>
          </w:p>
        </w:tc>
        <w:tc>
          <w:tcPr>
            <w:tcW w:w="2485" w:type="pct"/>
            <w:tcBorders>
              <w:top w:val="nil"/>
              <w:left w:val="nil"/>
              <w:bottom w:val="single" w:color="auto" w:sz="4" w:space="0"/>
              <w:right w:val="single" w:color="auto" w:sz="4" w:space="0"/>
            </w:tcBorders>
            <w:vAlign w:val="center"/>
          </w:tcPr>
          <w:p w14:paraId="0D40DFB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sz w:val="21"/>
                <w:szCs w:val="21"/>
              </w:rPr>
              <w:t>门禁、道闸等数据采集系统</w:t>
            </w:r>
          </w:p>
        </w:tc>
        <w:tc>
          <w:tcPr>
            <w:tcW w:w="2111" w:type="pct"/>
            <w:tcBorders>
              <w:top w:val="nil"/>
              <w:left w:val="nil"/>
              <w:bottom w:val="single" w:color="auto" w:sz="4" w:space="0"/>
            </w:tcBorders>
            <w:vAlign w:val="center"/>
          </w:tcPr>
          <w:p w14:paraId="4D404415">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p>
        </w:tc>
      </w:tr>
      <w:tr w14:paraId="66EEBD6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04" w:type="pct"/>
            <w:tcBorders>
              <w:top w:val="nil"/>
              <w:bottom w:val="single" w:color="auto" w:sz="4" w:space="0"/>
              <w:right w:val="single" w:color="auto" w:sz="4" w:space="0"/>
            </w:tcBorders>
            <w:vAlign w:val="center"/>
          </w:tcPr>
          <w:p w14:paraId="67BF75B0">
            <w:pPr>
              <w:keepNext w:val="0"/>
              <w:keepLines w:val="0"/>
              <w:pageBreakBefore w:val="0"/>
              <w:widowControl/>
              <w:kinsoku/>
              <w:wordWrap/>
              <w:overflowPunct/>
              <w:topLinePunct w:val="0"/>
              <w:autoSpaceDE/>
              <w:autoSpaceDN/>
              <w:bidi w:val="0"/>
              <w:adjustRightInd/>
              <w:snapToGrid/>
              <w:spacing w:line="360" w:lineRule="auto"/>
              <w:ind w:firstLine="199" w:firstLineChars="95"/>
              <w:textAlignment w:val="center"/>
              <w:rPr>
                <w:rFonts w:hint="eastAsia"/>
                <w:sz w:val="21"/>
                <w:szCs w:val="21"/>
              </w:rPr>
            </w:pPr>
            <w:r>
              <w:rPr>
                <w:sz w:val="21"/>
                <w:szCs w:val="21"/>
              </w:rPr>
              <w:t>3</w:t>
            </w:r>
          </w:p>
        </w:tc>
        <w:tc>
          <w:tcPr>
            <w:tcW w:w="2485" w:type="pct"/>
            <w:tcBorders>
              <w:top w:val="nil"/>
              <w:left w:val="nil"/>
              <w:bottom w:val="single" w:color="auto" w:sz="4" w:space="0"/>
              <w:right w:val="single" w:color="auto" w:sz="4" w:space="0"/>
            </w:tcBorders>
            <w:vAlign w:val="center"/>
          </w:tcPr>
          <w:p w14:paraId="0E799053">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sz w:val="21"/>
                <w:szCs w:val="21"/>
              </w:rPr>
              <w:t>区、县小区汇聚系统</w:t>
            </w:r>
          </w:p>
        </w:tc>
        <w:tc>
          <w:tcPr>
            <w:tcW w:w="2111" w:type="pct"/>
            <w:tcBorders>
              <w:top w:val="nil"/>
              <w:left w:val="nil"/>
              <w:bottom w:val="single" w:color="auto" w:sz="4" w:space="0"/>
            </w:tcBorders>
            <w:vAlign w:val="center"/>
          </w:tcPr>
          <w:p w14:paraId="3A99AEAC">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p>
        </w:tc>
      </w:tr>
      <w:tr w14:paraId="068A0E7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404" w:type="pct"/>
            <w:tcBorders>
              <w:top w:val="nil"/>
              <w:bottom w:val="single" w:color="auto" w:sz="4" w:space="0"/>
              <w:right w:val="single" w:color="auto" w:sz="4" w:space="0"/>
            </w:tcBorders>
            <w:vAlign w:val="center"/>
          </w:tcPr>
          <w:p w14:paraId="5EDEAB40">
            <w:pPr>
              <w:keepNext w:val="0"/>
              <w:keepLines w:val="0"/>
              <w:pageBreakBefore w:val="0"/>
              <w:widowControl/>
              <w:kinsoku/>
              <w:wordWrap/>
              <w:overflowPunct/>
              <w:topLinePunct w:val="0"/>
              <w:autoSpaceDE/>
              <w:autoSpaceDN/>
              <w:bidi w:val="0"/>
              <w:adjustRightInd/>
              <w:snapToGrid/>
              <w:spacing w:line="360" w:lineRule="auto"/>
              <w:ind w:firstLine="199" w:firstLineChars="95"/>
              <w:textAlignment w:val="center"/>
              <w:rPr>
                <w:rFonts w:hint="eastAsia"/>
                <w:sz w:val="21"/>
                <w:szCs w:val="21"/>
              </w:rPr>
            </w:pPr>
            <w:r>
              <w:rPr>
                <w:sz w:val="21"/>
                <w:szCs w:val="21"/>
              </w:rPr>
              <w:t>...</w:t>
            </w:r>
          </w:p>
        </w:tc>
        <w:tc>
          <w:tcPr>
            <w:tcW w:w="2485" w:type="pct"/>
            <w:tcBorders>
              <w:top w:val="nil"/>
              <w:left w:val="nil"/>
              <w:bottom w:val="single" w:color="auto" w:sz="4" w:space="0"/>
              <w:right w:val="single" w:color="auto" w:sz="4" w:space="0"/>
            </w:tcBorders>
            <w:vAlign w:val="center"/>
          </w:tcPr>
          <w:p w14:paraId="03DFF6D0">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r>
              <w:rPr>
                <w:sz w:val="21"/>
                <w:szCs w:val="21"/>
              </w:rPr>
              <w:t>......</w:t>
            </w:r>
          </w:p>
        </w:tc>
        <w:tc>
          <w:tcPr>
            <w:tcW w:w="2111" w:type="pct"/>
            <w:tcBorders>
              <w:top w:val="nil"/>
              <w:left w:val="nil"/>
              <w:bottom w:val="single" w:color="auto" w:sz="4" w:space="0"/>
            </w:tcBorders>
            <w:vAlign w:val="center"/>
          </w:tcPr>
          <w:p w14:paraId="7EE7C5D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center"/>
              <w:rPr>
                <w:rFonts w:hint="eastAsia"/>
                <w:sz w:val="21"/>
                <w:szCs w:val="21"/>
              </w:rPr>
            </w:pPr>
          </w:p>
        </w:tc>
      </w:tr>
    </w:tbl>
    <w:p w14:paraId="05EA0AAC">
      <w:pPr>
        <w:keepNext w:val="0"/>
        <w:keepLines w:val="0"/>
        <w:pageBreakBefore w:val="0"/>
        <w:kinsoku/>
        <w:wordWrap/>
        <w:overflowPunct/>
        <w:topLinePunct w:val="0"/>
        <w:autoSpaceDE/>
        <w:autoSpaceDN/>
        <w:bidi w:val="0"/>
        <w:adjustRightInd/>
        <w:snapToGrid/>
        <w:spacing w:line="360" w:lineRule="auto"/>
        <w:ind w:firstLine="480"/>
      </w:pPr>
      <w:r>
        <w:rPr>
          <w:rFonts w:hint="eastAsia"/>
          <w:lang w:val="en-US" w:eastAsia="zh-CN"/>
        </w:rPr>
        <w:t>4</w:t>
      </w:r>
      <w:r>
        <w:rPr>
          <w:rFonts w:hint="eastAsia"/>
        </w:rPr>
        <w:t>.网络链路</w:t>
      </w:r>
    </w:p>
    <w:tbl>
      <w:tblPr>
        <w:tblStyle w:val="2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856"/>
        <w:gridCol w:w="3169"/>
        <w:gridCol w:w="1803"/>
      </w:tblGrid>
      <w:tr w14:paraId="33B8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10" w:type="pct"/>
            <w:tcBorders>
              <w:tl2br w:val="nil"/>
              <w:tr2bl w:val="nil"/>
            </w:tcBorders>
          </w:tcPr>
          <w:p w14:paraId="74080E0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center"/>
              <w:rPr>
                <w:rFonts w:hint="eastAsia"/>
                <w:b/>
                <w:bCs/>
                <w:sz w:val="21"/>
                <w:szCs w:val="21"/>
              </w:rPr>
            </w:pPr>
            <w:r>
              <w:rPr>
                <w:b/>
                <w:bCs/>
                <w:sz w:val="21"/>
                <w:szCs w:val="21"/>
              </w:rPr>
              <w:t>序号</w:t>
            </w:r>
          </w:p>
        </w:tc>
        <w:tc>
          <w:tcPr>
            <w:tcW w:w="2004" w:type="pct"/>
            <w:tcBorders>
              <w:tl2br w:val="nil"/>
              <w:tr2bl w:val="nil"/>
            </w:tcBorders>
          </w:tcPr>
          <w:p w14:paraId="0C99F1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b/>
                <w:bCs/>
                <w:sz w:val="21"/>
                <w:szCs w:val="21"/>
              </w:rPr>
              <w:t>链路类型</w:t>
            </w:r>
          </w:p>
        </w:tc>
        <w:tc>
          <w:tcPr>
            <w:tcW w:w="1647" w:type="pct"/>
            <w:tcBorders>
              <w:tl2br w:val="nil"/>
              <w:tr2bl w:val="nil"/>
            </w:tcBorders>
          </w:tcPr>
          <w:p w14:paraId="400E02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b/>
                <w:bCs/>
                <w:sz w:val="21"/>
                <w:szCs w:val="21"/>
              </w:rPr>
              <w:t>带宽/流量</w:t>
            </w:r>
          </w:p>
        </w:tc>
        <w:tc>
          <w:tcPr>
            <w:tcW w:w="937" w:type="pct"/>
            <w:tcBorders>
              <w:tl2br w:val="nil"/>
              <w:tr2bl w:val="nil"/>
            </w:tcBorders>
          </w:tcPr>
          <w:p w14:paraId="58A5C4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b/>
                <w:bCs/>
                <w:sz w:val="21"/>
                <w:szCs w:val="21"/>
              </w:rPr>
            </w:pPr>
            <w:r>
              <w:rPr>
                <w:b/>
                <w:bCs/>
                <w:sz w:val="21"/>
                <w:szCs w:val="21"/>
              </w:rPr>
              <w:t>数量</w:t>
            </w:r>
          </w:p>
        </w:tc>
      </w:tr>
      <w:tr w14:paraId="0F34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10" w:type="pct"/>
            <w:tcBorders>
              <w:tl2br w:val="nil"/>
              <w:tr2bl w:val="nil"/>
            </w:tcBorders>
          </w:tcPr>
          <w:p w14:paraId="55011270">
            <w:pPr>
              <w:keepNext w:val="0"/>
              <w:keepLines w:val="0"/>
              <w:pageBreakBefore w:val="0"/>
              <w:widowControl/>
              <w:kinsoku/>
              <w:wordWrap/>
              <w:overflowPunct/>
              <w:topLinePunct w:val="0"/>
              <w:autoSpaceDE/>
              <w:autoSpaceDN/>
              <w:bidi w:val="0"/>
              <w:adjustRightInd/>
              <w:snapToGrid/>
              <w:spacing w:line="360" w:lineRule="auto"/>
              <w:ind w:firstLine="199" w:firstLineChars="95"/>
              <w:textAlignment w:val="center"/>
              <w:rPr>
                <w:rFonts w:hint="eastAsia" w:eastAsia="宋体"/>
                <w:sz w:val="21"/>
                <w:szCs w:val="21"/>
                <w:lang w:eastAsia="zh-CN"/>
              </w:rPr>
            </w:pPr>
            <w:r>
              <w:rPr>
                <w:rFonts w:hint="eastAsia"/>
                <w:sz w:val="21"/>
                <w:szCs w:val="21"/>
                <w:lang w:val="en-US" w:eastAsia="zh-CN"/>
              </w:rPr>
              <w:t>1</w:t>
            </w:r>
          </w:p>
        </w:tc>
        <w:tc>
          <w:tcPr>
            <w:tcW w:w="2004" w:type="pct"/>
            <w:tcBorders>
              <w:tl2br w:val="nil"/>
              <w:tr2bl w:val="nil"/>
            </w:tcBorders>
          </w:tcPr>
          <w:p w14:paraId="72639FEC">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eastAsia="宋体"/>
                <w:sz w:val="21"/>
                <w:szCs w:val="21"/>
                <w:lang w:eastAsia="zh-CN"/>
              </w:rPr>
            </w:pPr>
            <w:r>
              <w:rPr>
                <w:sz w:val="21"/>
                <w:szCs w:val="21"/>
              </w:rPr>
              <w:t>电路专线</w:t>
            </w:r>
          </w:p>
        </w:tc>
        <w:tc>
          <w:tcPr>
            <w:tcW w:w="1647" w:type="pct"/>
            <w:tcBorders>
              <w:tl2br w:val="nil"/>
              <w:tr2bl w:val="nil"/>
            </w:tcBorders>
          </w:tcPr>
          <w:p w14:paraId="0762105C">
            <w:pPr>
              <w:keepNext w:val="0"/>
              <w:keepLines w:val="0"/>
              <w:pageBreakBefore w:val="0"/>
              <w:widowControl/>
              <w:kinsoku/>
              <w:wordWrap/>
              <w:overflowPunct/>
              <w:topLinePunct w:val="0"/>
              <w:autoSpaceDE/>
              <w:autoSpaceDN/>
              <w:bidi w:val="0"/>
              <w:adjustRightInd/>
              <w:snapToGrid/>
              <w:spacing w:line="360" w:lineRule="auto"/>
              <w:jc w:val="both"/>
              <w:textAlignment w:val="center"/>
              <w:rPr>
                <w:rFonts w:hint="eastAsia"/>
                <w:sz w:val="21"/>
                <w:szCs w:val="21"/>
              </w:rPr>
            </w:pPr>
            <w:r>
              <w:rPr>
                <w:sz w:val="21"/>
                <w:szCs w:val="21"/>
              </w:rPr>
              <w:t>100M</w:t>
            </w:r>
          </w:p>
        </w:tc>
        <w:tc>
          <w:tcPr>
            <w:tcW w:w="937" w:type="pct"/>
            <w:tcBorders>
              <w:tl2br w:val="nil"/>
              <w:tr2bl w:val="nil"/>
            </w:tcBorders>
          </w:tcPr>
          <w:p w14:paraId="27E4A11F">
            <w:pPr>
              <w:keepNext w:val="0"/>
              <w:keepLines w:val="0"/>
              <w:pageBreakBefore w:val="0"/>
              <w:widowControl/>
              <w:kinsoku/>
              <w:wordWrap/>
              <w:overflowPunct/>
              <w:topLinePunct w:val="0"/>
              <w:autoSpaceDE/>
              <w:autoSpaceDN/>
              <w:bidi w:val="0"/>
              <w:adjustRightInd/>
              <w:snapToGrid/>
              <w:spacing w:line="360" w:lineRule="auto"/>
              <w:ind w:firstLine="420"/>
              <w:jc w:val="center"/>
              <w:textAlignment w:val="center"/>
              <w:rPr>
                <w:rFonts w:hint="eastAsia"/>
                <w:sz w:val="21"/>
                <w:szCs w:val="21"/>
              </w:rPr>
            </w:pPr>
          </w:p>
        </w:tc>
      </w:tr>
    </w:tbl>
    <w:p w14:paraId="5A5A160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sz w:val="24"/>
          <w:szCs w:val="24"/>
          <w:highlight w:val="none"/>
          <w:lang w:val="en-US" w:eastAsia="zh-CN"/>
        </w:rPr>
      </w:pPr>
    </w:p>
    <w:p w14:paraId="5FA27E5E">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sz w:val="24"/>
          <w:szCs w:val="24"/>
          <w:highlight w:val="none"/>
          <w:lang w:val="en-US" w:eastAsia="zh-CN"/>
        </w:rPr>
      </w:pPr>
      <w:r>
        <w:rPr>
          <w:rFonts w:hint="eastAsia"/>
          <w:b/>
          <w:bCs/>
          <w:sz w:val="24"/>
          <w:szCs w:val="24"/>
          <w:highlight w:val="none"/>
          <w:lang w:val="en-US" w:eastAsia="zh-CN"/>
        </w:rPr>
        <w:t>平安小区实际运维小区及设备维护清单以实际调研后采购人确认清单内容为准，后期采购人可根据实际情况动态调整，据实结算。</w:t>
      </w:r>
    </w:p>
    <w:p w14:paraId="487A13C0">
      <w:pPr>
        <w:numPr>
          <w:ilvl w:val="0"/>
          <w:numId w:val="0"/>
        </w:numPr>
        <w:spacing w:line="360" w:lineRule="auto"/>
        <w:ind w:firstLine="435" w:firstLineChars="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highlight w:val="none"/>
          <w:lang w:val="en-US" w:eastAsia="zh-CN"/>
        </w:rPr>
        <w:t>服务内容及要求</w:t>
      </w:r>
    </w:p>
    <w:p w14:paraId="5FAE0AA4">
      <w:pPr>
        <w:pageBreakBefore w:val="0"/>
        <w:kinsoku/>
        <w:wordWrap/>
        <w:overflowPunct/>
        <w:topLinePunct w:val="0"/>
        <w:bidi w:val="0"/>
        <w:snapToGrid/>
        <w:spacing w:line="360" w:lineRule="auto"/>
        <w:ind w:firstLine="480"/>
        <w:textAlignment w:val="auto"/>
        <w:rPr>
          <w:rFonts w:hint="eastAsia" w:eastAsia="宋体"/>
          <w:lang w:eastAsia="zh-CN"/>
        </w:rPr>
      </w:pPr>
      <w:r>
        <w:rPr>
          <w:rFonts w:hint="eastAsia"/>
          <w:lang w:eastAsia="zh-CN"/>
        </w:rPr>
        <w:t>投标人</w:t>
      </w:r>
      <w:r>
        <w:rPr>
          <w:rFonts w:hint="eastAsia"/>
        </w:rPr>
        <w:t>承担本次维保范围内系统所有软硬件的定期巡检、故障处理、设备维修、设备迁移、应急保障、系统优化、软件升级、技术咨询等服务。本项目所有运维均应符合市公安局“智慧平安小区运维技术标准规范”要求以及“合肥市公安局智慧平安小区建设办公室”对智慧平安小区的考核要求</w:t>
      </w:r>
      <w:r>
        <w:rPr>
          <w:rFonts w:hint="eastAsia"/>
          <w:lang w:eastAsia="zh-CN"/>
        </w:rPr>
        <w:t>。</w:t>
      </w:r>
    </w:p>
    <w:p w14:paraId="186CD33C">
      <w:pPr>
        <w:spacing w:line="360" w:lineRule="auto"/>
        <w:ind w:firstLine="435"/>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1．运维内容</w:t>
      </w:r>
    </w:p>
    <w:p w14:paraId="0066AB9B">
      <w:pPr>
        <w:pageBreakBefore w:val="0"/>
        <w:kinsoku/>
        <w:wordWrap/>
        <w:overflowPunct/>
        <w:topLinePunct w:val="0"/>
        <w:bidi w:val="0"/>
        <w:snapToGrid/>
        <w:spacing w:line="360" w:lineRule="auto"/>
        <w:ind w:firstLine="480"/>
        <w:textAlignment w:val="auto"/>
      </w:pPr>
      <w:r>
        <w:rPr>
          <w:rFonts w:hint="eastAsia"/>
        </w:rPr>
        <w:t>智慧平安小区运维工作范围包括对采购范围内涉及的智慧平安小区系统所有前端设备、网络链路、平台系统、安全等</w:t>
      </w:r>
      <w:r>
        <w:rPr>
          <w:rFonts w:hint="eastAsia"/>
          <w:lang w:val="en-US" w:eastAsia="zh-CN"/>
        </w:rPr>
        <w:t>软硬件设备</w:t>
      </w:r>
      <w:r>
        <w:rPr>
          <w:rFonts w:hint="eastAsia"/>
        </w:rPr>
        <w:t>的定期巡检、故障处理、设备维修更换、应急保障、系统运维、技术咨询、传输网络租赁、运维管理等工作。</w:t>
      </w:r>
    </w:p>
    <w:p w14:paraId="317BAE0B">
      <w:pPr>
        <w:spacing w:line="360" w:lineRule="auto"/>
        <w:ind w:firstLine="435"/>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（1）前端设备运维内容</w:t>
      </w:r>
    </w:p>
    <w:p w14:paraId="380245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highlight w:val="none"/>
          <w:lang w:val="en-US" w:eastAsia="zh-CN"/>
        </w:rPr>
      </w:pPr>
      <w:r>
        <w:rPr>
          <w:rFonts w:hint="default"/>
          <w:lang w:val="en-US" w:eastAsia="zh-CN"/>
        </w:rPr>
        <w:t>智慧平安小区数据上传部分：包括但不限于人脸抓拍摄像机、车辆识别摄像机、硬盘录像机、车辆出入管理系统（含挡车器+百叶栏杆、数字式车辆检测器、车辆识别摄像机和显示套件）、人员出入门禁系统（含人行通道平开门、智能门禁终端、开门按钮）、人脸门禁</w:t>
      </w:r>
      <w:r>
        <w:rPr>
          <w:rFonts w:hint="default" w:ascii="宋体" w:hAnsi="宋体" w:cs="宋体"/>
          <w:highlight w:val="none"/>
          <w:lang w:val="en-US" w:eastAsia="zh-CN"/>
        </w:rPr>
        <w:t>机、智慧平安小区数据接入终端（后简称：接入终端），以及设备配套杆件（含背包箱、地笼等基础设施）、小区内部组网、供电装置等辅助设施，经初步排查统计本次需运维的设备包括：人脸抓拍相机</w:t>
      </w:r>
      <w:r>
        <w:rPr>
          <w:rFonts w:hint="eastAsia" w:ascii="宋体" w:hAnsi="宋体" w:cs="宋体"/>
          <w:highlight w:val="none"/>
          <w:lang w:val="en-US" w:eastAsia="zh-CN"/>
        </w:rPr>
        <w:t>442</w:t>
      </w:r>
      <w:r>
        <w:rPr>
          <w:rFonts w:hint="default" w:ascii="宋体" w:hAnsi="宋体" w:cs="宋体"/>
          <w:highlight w:val="none"/>
          <w:lang w:val="en-US" w:eastAsia="zh-CN"/>
        </w:rPr>
        <w:t>套、人脸识别门禁23</w:t>
      </w:r>
      <w:r>
        <w:rPr>
          <w:rFonts w:hint="eastAsia" w:ascii="宋体" w:hAnsi="宋体" w:cs="宋体"/>
          <w:highlight w:val="none"/>
          <w:lang w:val="en-US" w:eastAsia="zh-CN"/>
        </w:rPr>
        <w:t>6</w:t>
      </w:r>
      <w:r>
        <w:rPr>
          <w:rFonts w:hint="default" w:ascii="宋体" w:hAnsi="宋体" w:cs="宋体"/>
          <w:highlight w:val="none"/>
          <w:lang w:val="en-US" w:eastAsia="zh-CN"/>
        </w:rPr>
        <w:t>套、人行门2</w:t>
      </w:r>
      <w:r>
        <w:rPr>
          <w:rFonts w:hint="eastAsia" w:ascii="宋体" w:hAnsi="宋体" w:cs="宋体"/>
          <w:highlight w:val="none"/>
          <w:lang w:val="en-US" w:eastAsia="zh-CN"/>
        </w:rPr>
        <w:t>71</w:t>
      </w:r>
      <w:r>
        <w:rPr>
          <w:rFonts w:hint="default" w:ascii="宋体" w:hAnsi="宋体" w:cs="宋体"/>
          <w:highlight w:val="none"/>
          <w:lang w:val="en-US" w:eastAsia="zh-CN"/>
        </w:rPr>
        <w:t>个、车辆识别套件3</w:t>
      </w:r>
      <w:r>
        <w:rPr>
          <w:rFonts w:hint="eastAsia" w:ascii="宋体" w:hAnsi="宋体" w:cs="宋体"/>
          <w:highlight w:val="none"/>
          <w:lang w:val="en-US" w:eastAsia="zh-CN"/>
        </w:rPr>
        <w:t>28</w:t>
      </w:r>
      <w:r>
        <w:rPr>
          <w:rFonts w:hint="default" w:ascii="宋体" w:hAnsi="宋体" w:cs="宋体"/>
          <w:highlight w:val="none"/>
          <w:lang w:val="en-US" w:eastAsia="zh-CN"/>
        </w:rPr>
        <w:t>套、车辆道闸</w:t>
      </w:r>
      <w:r>
        <w:rPr>
          <w:rFonts w:hint="eastAsia" w:ascii="宋体" w:hAnsi="宋体" w:cs="宋体"/>
          <w:highlight w:val="none"/>
          <w:lang w:val="en-US" w:eastAsia="zh-CN"/>
        </w:rPr>
        <w:t>296</w:t>
      </w:r>
      <w:r>
        <w:rPr>
          <w:rFonts w:hint="default" w:ascii="宋体" w:hAnsi="宋体" w:cs="宋体"/>
          <w:highlight w:val="none"/>
          <w:lang w:val="en-US" w:eastAsia="zh-CN"/>
        </w:rPr>
        <w:t>套</w:t>
      </w:r>
      <w:r>
        <w:rPr>
          <w:rFonts w:hint="default" w:ascii="宋体" w:hAnsi="宋体" w:cs="宋体"/>
          <w:b/>
          <w:bCs/>
          <w:highlight w:val="none"/>
          <w:lang w:val="en-US" w:eastAsia="zh-CN"/>
        </w:rPr>
        <w:t>（实际设备运维数量以实际调研后采购人确认清单内容为准）</w:t>
      </w:r>
      <w:r>
        <w:rPr>
          <w:rFonts w:hint="default" w:ascii="宋体" w:hAnsi="宋体" w:cs="宋体"/>
          <w:highlight w:val="none"/>
          <w:lang w:val="en-US" w:eastAsia="zh-CN"/>
        </w:rPr>
        <w:t>。</w:t>
      </w:r>
    </w:p>
    <w:p w14:paraId="31487A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highlight w:val="none"/>
          <w:lang w:val="en-US" w:eastAsia="zh-CN"/>
        </w:rPr>
      </w:pPr>
      <w:r>
        <w:rPr>
          <w:rFonts w:hint="default" w:ascii="宋体" w:hAnsi="宋体" w:cs="宋体"/>
          <w:highlight w:val="none"/>
          <w:lang w:val="en-US" w:eastAsia="zh-CN"/>
        </w:rPr>
        <w:t>小区内部</w:t>
      </w:r>
      <w:r>
        <w:rPr>
          <w:rFonts w:hint="eastAsia" w:ascii="宋体" w:hAnsi="宋体" w:cs="宋体"/>
          <w:highlight w:val="none"/>
          <w:lang w:val="en-US" w:eastAsia="zh-CN"/>
        </w:rPr>
        <w:t>视频监控运维</w:t>
      </w:r>
      <w:r>
        <w:rPr>
          <w:rFonts w:hint="default" w:ascii="宋体" w:hAnsi="宋体" w:cs="宋体"/>
          <w:highlight w:val="none"/>
          <w:lang w:val="en-US" w:eastAsia="zh-CN"/>
        </w:rPr>
        <w:t>：包括但不限于高清监控、高空抛物摄像机以及设备配套杆件（含背包箱、地笼等基础设施）、小区内部组网、供电装置等辅助设施，经初步排查统计本次需运维的小区内部摄像机共计</w:t>
      </w:r>
      <w:r>
        <w:rPr>
          <w:rFonts w:hint="eastAsia" w:ascii="宋体" w:hAnsi="宋体" w:cs="宋体"/>
          <w:highlight w:val="none"/>
          <w:lang w:val="en-US" w:eastAsia="zh-CN"/>
        </w:rPr>
        <w:t>695</w:t>
      </w:r>
      <w:r>
        <w:rPr>
          <w:rFonts w:hint="default" w:ascii="宋体" w:hAnsi="宋体" w:cs="宋体"/>
          <w:highlight w:val="none"/>
          <w:lang w:val="en-US" w:eastAsia="zh-CN"/>
        </w:rPr>
        <w:t>套</w:t>
      </w:r>
      <w:r>
        <w:rPr>
          <w:rFonts w:hint="default" w:ascii="宋体" w:hAnsi="宋体" w:cs="宋体"/>
          <w:b/>
          <w:bCs/>
          <w:highlight w:val="none"/>
          <w:lang w:val="en-US" w:eastAsia="zh-CN"/>
        </w:rPr>
        <w:t>（实际设备运维数量以实际调研后采购人确认清单内容为准）</w:t>
      </w:r>
      <w:r>
        <w:rPr>
          <w:rFonts w:hint="default" w:ascii="宋体" w:hAnsi="宋体" w:cs="宋体"/>
          <w:highlight w:val="none"/>
          <w:lang w:val="en-US" w:eastAsia="zh-CN"/>
        </w:rPr>
        <w:t>。</w:t>
      </w:r>
    </w:p>
    <w:p w14:paraId="521FEF03">
      <w:pPr>
        <w:pageBreakBefore w:val="0"/>
        <w:kinsoku/>
        <w:wordWrap/>
        <w:overflowPunct/>
        <w:topLinePunct w:val="0"/>
        <w:bidi w:val="0"/>
        <w:snapToGrid/>
        <w:spacing w:line="360" w:lineRule="auto"/>
        <w:ind w:firstLine="480"/>
        <w:textAlignment w:val="auto"/>
      </w:pPr>
      <w:r>
        <w:rPr>
          <w:rFonts w:hint="eastAsia"/>
        </w:rPr>
        <w:t>注：接入终端形态包括工控机、微型服务器、智能硬件盒子等。</w:t>
      </w:r>
    </w:p>
    <w:p w14:paraId="2EAF84AD">
      <w:pPr>
        <w:pStyle w:val="6"/>
        <w:pageBreakBefore w:val="0"/>
        <w:kinsoku/>
        <w:wordWrap/>
        <w:overflowPunct/>
        <w:topLinePunct w:val="0"/>
        <w:bidi w:val="0"/>
        <w:snapToGrid/>
        <w:spacing w:line="360" w:lineRule="auto"/>
        <w:ind w:firstLine="482"/>
        <w:textAlignment w:val="auto"/>
      </w:pPr>
      <w:r>
        <w:rPr>
          <w:rFonts w:hint="eastAsia"/>
        </w:rPr>
        <w:t>（</w:t>
      </w:r>
      <w:r>
        <w:rPr>
          <w:rFonts w:hint="eastAsia"/>
          <w:lang w:val="en-US" w:eastAsia="zh-CN"/>
        </w:rPr>
        <w:t>2</w:t>
      </w:r>
      <w:r>
        <w:rPr>
          <w:rFonts w:hint="eastAsia"/>
        </w:rPr>
        <w:t>）平台系统运维内容</w:t>
      </w:r>
    </w:p>
    <w:p w14:paraId="73979527">
      <w:pPr>
        <w:pageBreakBefore w:val="0"/>
        <w:kinsoku/>
        <w:wordWrap/>
        <w:overflowPunct/>
        <w:topLinePunct w:val="0"/>
        <w:bidi w:val="0"/>
        <w:snapToGrid/>
        <w:spacing w:line="360" w:lineRule="auto"/>
        <w:ind w:firstLine="480"/>
        <w:textAlignment w:val="auto"/>
        <w:rPr>
          <w:rFonts w:hint="eastAsia"/>
          <w:lang w:val="en-US" w:eastAsia="zh-CN"/>
        </w:rPr>
      </w:pPr>
      <w:r>
        <w:rPr>
          <w:rFonts w:hint="eastAsia"/>
        </w:rPr>
        <w:t>包括已建智慧平安小区的小区物业侧平台，人脸门禁系统、车辆道闸系统等数据感知系统，县公安侧数据接入雪亮平台的全量软硬件及功能模块包含智慧平安小区运维平台、数据接入平台</w:t>
      </w:r>
      <w:r>
        <w:rPr>
          <w:rFonts w:hint="eastAsia"/>
          <w:lang w:val="en-US" w:eastAsia="zh-CN"/>
        </w:rPr>
        <w:t>等平台系统的全量软硬件及功能模块</w:t>
      </w:r>
      <w:r>
        <w:rPr>
          <w:rFonts w:hint="eastAsia"/>
        </w:rPr>
        <w:t>。</w:t>
      </w:r>
      <w:r>
        <w:rPr>
          <w:rFonts w:hint="eastAsia"/>
          <w:lang w:val="en-US" w:eastAsia="zh-CN"/>
        </w:rPr>
        <w:t>中标人应保障应用软件各项业务功能正常运行，保障应用系统配套的硬件设备，运行环境、中间件及服务的正常运行。</w:t>
      </w:r>
    </w:p>
    <w:p w14:paraId="054A9E0B">
      <w:pPr>
        <w:pStyle w:val="6"/>
        <w:pageBreakBefore w:val="0"/>
        <w:kinsoku/>
        <w:wordWrap/>
        <w:overflowPunct/>
        <w:topLinePunct w:val="0"/>
        <w:bidi w:val="0"/>
        <w:snapToGrid/>
        <w:spacing w:line="360" w:lineRule="auto"/>
        <w:ind w:firstLine="482"/>
        <w:textAlignment w:val="auto"/>
      </w:pPr>
      <w:r>
        <w:rPr>
          <w:rFonts w:hint="eastAsia"/>
        </w:rPr>
        <w:t>（</w:t>
      </w:r>
      <w:r>
        <w:rPr>
          <w:rFonts w:hint="eastAsia"/>
          <w:lang w:val="en-US" w:eastAsia="zh-CN"/>
        </w:rPr>
        <w:t>3</w:t>
      </w:r>
      <w:r>
        <w:rPr>
          <w:rFonts w:hint="eastAsia"/>
        </w:rPr>
        <w:t>）网络设备运维内容</w:t>
      </w:r>
    </w:p>
    <w:p w14:paraId="2C820EDA">
      <w:pPr>
        <w:pageBreakBefore w:val="0"/>
        <w:kinsoku/>
        <w:wordWrap/>
        <w:overflowPunct/>
        <w:topLinePunct w:val="0"/>
        <w:bidi w:val="0"/>
        <w:snapToGrid/>
        <w:spacing w:line="360" w:lineRule="auto"/>
        <w:ind w:firstLine="480"/>
        <w:textAlignment w:val="auto"/>
        <w:rPr>
          <w:rFonts w:hint="eastAsia"/>
        </w:rPr>
      </w:pPr>
      <w:r>
        <w:rPr>
          <w:rFonts w:hint="eastAsia"/>
        </w:rPr>
        <w:t>包括已建智慧平安小区到县公安雪亮机房数据专线链路通信保障支撑等。</w:t>
      </w:r>
    </w:p>
    <w:p w14:paraId="7C0A06A1">
      <w:pPr>
        <w:pStyle w:val="6"/>
        <w:pageBreakBefore w:val="0"/>
        <w:kinsoku/>
        <w:wordWrap/>
        <w:overflowPunct/>
        <w:topLinePunct w:val="0"/>
        <w:bidi w:val="0"/>
        <w:snapToGrid/>
        <w:spacing w:line="360" w:lineRule="auto"/>
        <w:ind w:firstLine="482"/>
        <w:textAlignment w:val="auto"/>
        <w:rPr>
          <w:rFonts w:hint="eastAsia" w:eastAsia="宋体"/>
          <w:lang w:val="en-US" w:eastAsia="zh-CN"/>
        </w:rPr>
      </w:pPr>
      <w:r>
        <w:rPr>
          <w:rFonts w:hint="eastAsia"/>
        </w:rPr>
        <w:t>（4）安全运维</w:t>
      </w:r>
      <w:r>
        <w:rPr>
          <w:rFonts w:hint="eastAsia"/>
          <w:lang w:val="en-US" w:eastAsia="zh-CN"/>
        </w:rPr>
        <w:t>内容</w:t>
      </w:r>
    </w:p>
    <w:p w14:paraId="3C77EBB4">
      <w:pPr>
        <w:pageBreakBefore w:val="0"/>
        <w:kinsoku/>
        <w:wordWrap/>
        <w:overflowPunct/>
        <w:topLinePunct w:val="0"/>
        <w:bidi w:val="0"/>
        <w:snapToGrid/>
        <w:spacing w:line="360" w:lineRule="auto"/>
        <w:ind w:firstLine="480"/>
        <w:textAlignment w:val="auto"/>
        <w:rPr>
          <w:rFonts w:hint="eastAsia"/>
        </w:rPr>
      </w:pPr>
      <w:r>
        <w:rPr>
          <w:rFonts w:hint="eastAsia"/>
          <w:lang w:val="en-US" w:eastAsia="zh-CN"/>
        </w:rPr>
        <w:t>包括已建智慧平安小区各类感知数据的标准化采集、存储、使用等，以及提供一套网络安全设备，满足符</w:t>
      </w:r>
      <w:r>
        <w:rPr>
          <w:rFonts w:hint="eastAsia" w:ascii="宋体" w:hAnsi="宋体" w:eastAsia="宋体" w:cs="宋体"/>
          <w:lang w:val="en-US" w:eastAsia="zh-CN"/>
        </w:rPr>
        <w:t>合GA/T 1400标</w:t>
      </w:r>
      <w:r>
        <w:rPr>
          <w:rFonts w:hint="eastAsia"/>
          <w:lang w:val="en-US" w:eastAsia="zh-CN"/>
        </w:rPr>
        <w:t>准</w:t>
      </w:r>
      <w:r>
        <w:rPr>
          <w:rFonts w:hint="eastAsia"/>
        </w:rPr>
        <w:t>以实现图片数据互联互通。确保全量整合至公安雪亮平台，保障数据安全可控与应用合规有效。</w:t>
      </w:r>
    </w:p>
    <w:p w14:paraId="68362ED5">
      <w:pPr>
        <w:pageBreakBefore w:val="0"/>
        <w:kinsoku/>
        <w:wordWrap/>
        <w:overflowPunct/>
        <w:topLinePunct w:val="0"/>
        <w:bidi w:val="0"/>
        <w:snapToGrid/>
        <w:spacing w:line="360" w:lineRule="auto"/>
        <w:ind w:firstLine="480"/>
        <w:textAlignment w:val="auto"/>
        <w:rPr>
          <w:rFonts w:hint="eastAsia"/>
        </w:rPr>
      </w:pPr>
      <w:r>
        <w:rPr>
          <w:rFonts w:hint="eastAsia"/>
          <w:lang w:val="en-US" w:eastAsia="zh-CN"/>
        </w:rPr>
        <w:t>提供全链路跨网安全数据交换与边界隔离防护服务，具备以下核心能力：支持主流关系型数据库与国产数据库的同构/异构数据同步，可实现海量数据库记录与大文件的高速安全传输；支持秒级任务调度与实时目录监控，数据传输延时控制在毫秒级；提供文件单向/双向可控传输、传输内容精准过滤、病毒实时查杀与身份认证加密传输能力；内置智能数据检测分析引擎，具备数据防泄漏与异常传输行为预警功能。</w:t>
      </w:r>
    </w:p>
    <w:p w14:paraId="1DD54C79">
      <w:pPr>
        <w:pageBreakBefore w:val="0"/>
        <w:kinsoku/>
        <w:wordWrap/>
        <w:overflowPunct/>
        <w:topLinePunct w:val="0"/>
        <w:bidi w:val="0"/>
        <w:snapToGrid/>
        <w:spacing w:line="360" w:lineRule="auto"/>
        <w:ind w:firstLine="480"/>
        <w:textAlignment w:val="auto"/>
        <w:rPr>
          <w:rFonts w:hint="default" w:eastAsia="宋体"/>
          <w:highlight w:val="none"/>
          <w:lang w:val="en-US" w:eastAsia="zh-CN"/>
        </w:rPr>
      </w:pPr>
      <w:r>
        <w:rPr>
          <w:rFonts w:hint="eastAsia"/>
          <w:highlight w:val="none"/>
          <w:lang w:val="en-US" w:eastAsia="zh-CN"/>
        </w:rPr>
        <w:t>本地部署的平台，系统须按照《网络安全等级保护基本要求》不低于第二级（等保2.0）要求开展测评，并达到“基本符合”以上等次。</w:t>
      </w:r>
    </w:p>
    <w:p w14:paraId="028B8ADD">
      <w:pPr>
        <w:spacing w:line="360" w:lineRule="auto"/>
        <w:ind w:firstLine="435"/>
        <w:outlineLvl w:val="1"/>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（5）其他运维要求</w:t>
      </w:r>
      <w:r>
        <w:rPr>
          <w:rFonts w:hint="eastAsia" w:ascii="宋体" w:hAnsi="宋体" w:eastAsia="宋体" w:cs="宋体"/>
          <w:b/>
          <w:sz w:val="24"/>
          <w:szCs w:val="24"/>
          <w:highlight w:val="none"/>
          <w:lang w:val="en-US" w:eastAsia="zh-CN"/>
        </w:rPr>
        <w:t>内容</w:t>
      </w:r>
    </w:p>
    <w:p w14:paraId="49AAF752">
      <w:pPr>
        <w:pageBreakBefore w:val="0"/>
        <w:kinsoku/>
        <w:wordWrap/>
        <w:overflowPunct/>
        <w:topLinePunct w:val="0"/>
        <w:bidi w:val="0"/>
        <w:snapToGrid/>
        <w:spacing w:line="360" w:lineRule="auto"/>
        <w:ind w:firstLine="480"/>
        <w:textAlignment w:val="auto"/>
      </w:pPr>
      <w:r>
        <w:rPr>
          <w:rFonts w:hint="eastAsia"/>
        </w:rPr>
        <w:t>包括服务人</w:t>
      </w:r>
      <w:r>
        <w:rPr>
          <w:rFonts w:hint="eastAsia"/>
          <w:lang w:val="en-US" w:eastAsia="zh-CN"/>
        </w:rPr>
        <w:t>车辆</w:t>
      </w:r>
      <w:r>
        <w:rPr>
          <w:rFonts w:hint="eastAsia"/>
        </w:rPr>
        <w:t>员配备、应急保障服务等。</w:t>
      </w:r>
    </w:p>
    <w:p w14:paraId="17BFEE4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b/>
          <w:bCs/>
        </w:rPr>
      </w:pPr>
      <w:r>
        <w:rPr>
          <w:rFonts w:hint="eastAsia"/>
          <w:b/>
          <w:bCs/>
        </w:rPr>
        <w:t>注：本项目原有建设单位众多，涉及的设备及系统投入使用年限跨度长、设备品牌多，为保证设备的兼容性与稳定性，供应商提供的设备备件及维修配件需兼容原系统，与原系统互联互通，无缝连接。原设备无法维修的，提供全新、同档次的设备替代。成交供应商需保证所有小区前端感知设备数据通过链路专线接入合肥市智慧平安小区警务应用平台及合肥市</w:t>
      </w:r>
      <w:r>
        <w:rPr>
          <w:rFonts w:hint="eastAsia"/>
          <w:b/>
          <w:bCs/>
          <w:lang w:val="en-US" w:eastAsia="zh-CN"/>
        </w:rPr>
        <w:t>雪亮平台</w:t>
      </w:r>
      <w:r>
        <w:rPr>
          <w:rFonts w:hint="eastAsia"/>
          <w:b/>
          <w:bCs/>
        </w:rPr>
        <w:t>。</w:t>
      </w:r>
      <w:r>
        <w:rPr>
          <w:rFonts w:hint="eastAsia" w:ascii="宋体" w:hAnsi="宋体" w:eastAsia="宋体" w:cs="宋体"/>
          <w:b/>
          <w:bCs/>
          <w:color w:val="000000"/>
          <w:kern w:val="0"/>
          <w:sz w:val="24"/>
          <w:szCs w:val="24"/>
          <w:lang w:val="en-US" w:eastAsia="zh-CN" w:bidi="ar"/>
        </w:rPr>
        <w:t>中标人进场后，需要立即对已损坏设备进行排查、统计，并根据</w:t>
      </w:r>
      <w:r>
        <w:rPr>
          <w:rFonts w:hint="eastAsia" w:ascii="宋体" w:hAnsi="宋体" w:cs="宋体"/>
          <w:b/>
          <w:bCs/>
          <w:color w:val="000000"/>
          <w:kern w:val="0"/>
          <w:sz w:val="24"/>
          <w:szCs w:val="24"/>
          <w:lang w:val="en-US" w:eastAsia="zh-CN" w:bidi="ar"/>
        </w:rPr>
        <w:t>采购人</w:t>
      </w:r>
      <w:r>
        <w:rPr>
          <w:rFonts w:hint="eastAsia" w:ascii="宋体" w:hAnsi="宋体" w:eastAsia="宋体" w:cs="宋体"/>
          <w:b/>
          <w:bCs/>
          <w:color w:val="000000"/>
          <w:kern w:val="0"/>
          <w:sz w:val="24"/>
          <w:szCs w:val="24"/>
          <w:lang w:val="en-US" w:eastAsia="zh-CN" w:bidi="ar"/>
        </w:rPr>
        <w:t>要求在30</w:t>
      </w:r>
      <w:r>
        <w:rPr>
          <w:rFonts w:hint="eastAsia" w:ascii="宋体" w:hAnsi="宋体" w:cs="宋体"/>
          <w:b/>
          <w:bCs/>
          <w:color w:val="000000"/>
          <w:kern w:val="0"/>
          <w:sz w:val="24"/>
          <w:szCs w:val="24"/>
          <w:lang w:val="en-US" w:eastAsia="zh-CN" w:bidi="ar"/>
        </w:rPr>
        <w:t>个日历日</w:t>
      </w:r>
      <w:r>
        <w:rPr>
          <w:rFonts w:hint="eastAsia" w:ascii="宋体" w:hAnsi="宋体" w:eastAsia="宋体" w:cs="宋体"/>
          <w:b/>
          <w:bCs/>
          <w:color w:val="000000"/>
          <w:kern w:val="0"/>
          <w:sz w:val="24"/>
          <w:szCs w:val="24"/>
          <w:lang w:val="en-US" w:eastAsia="zh-CN" w:bidi="ar"/>
        </w:rPr>
        <w:t>内完成更换，要求满足合肥市智慧平安小区建设技术标准，与原系统兼容。</w:t>
      </w:r>
    </w:p>
    <w:p w14:paraId="7004D26B">
      <w:pPr>
        <w:spacing w:line="360" w:lineRule="auto"/>
        <w:ind w:firstLine="435"/>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2．运维要求</w:t>
      </w:r>
    </w:p>
    <w:p w14:paraId="137651FF">
      <w:pPr>
        <w:spacing w:line="360" w:lineRule="auto"/>
        <w:ind w:firstLine="435"/>
        <w:outlineLvl w:val="1"/>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（1）前端设备运维</w:t>
      </w:r>
      <w:r>
        <w:rPr>
          <w:rFonts w:hint="eastAsia" w:ascii="宋体" w:hAnsi="宋体" w:eastAsia="宋体" w:cs="宋体"/>
          <w:b/>
          <w:sz w:val="24"/>
          <w:szCs w:val="24"/>
          <w:highlight w:val="none"/>
          <w:lang w:val="en-US" w:eastAsia="zh-CN"/>
        </w:rPr>
        <w:t>要求</w:t>
      </w:r>
    </w:p>
    <w:p w14:paraId="346F905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1）日常巡检</w:t>
      </w:r>
    </w:p>
    <w:p w14:paraId="3701368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每月开展1次全面巡检，出具《巡检报告》，明确问题分类、整改措施及完成时间、异常情况及处理结果等，并于下个月10日前提交。</w:t>
      </w:r>
    </w:p>
    <w:p w14:paraId="449548C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2）日常保养</w:t>
      </w:r>
    </w:p>
    <w:p w14:paraId="2E1610E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通过月度定期检查、清洁、测试及基础维护，及时发现并排除设备潜在故障，确保设备性能稳定、功能完好，满足日常使用及安全防护需求。</w:t>
      </w:r>
    </w:p>
    <w:p w14:paraId="1F93252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a.监控类摄像机（</w:t>
      </w:r>
      <w:r>
        <w:rPr>
          <w:rFonts w:hint="eastAsia" w:ascii="宋体" w:hAnsi="宋体" w:cs="宋体"/>
          <w:lang w:val="en-US" w:eastAsia="zh-CN"/>
        </w:rPr>
        <w:t>高清监控、</w:t>
      </w:r>
      <w:r>
        <w:rPr>
          <w:rFonts w:hint="eastAsia" w:ascii="宋体" w:hAnsi="宋体" w:eastAsia="宋体" w:cs="宋体"/>
        </w:rPr>
        <w:t>人脸抓拍、</w:t>
      </w:r>
      <w:r>
        <w:rPr>
          <w:rFonts w:hint="eastAsia" w:ascii="宋体" w:hAnsi="宋体" w:cs="宋体"/>
          <w:lang w:val="en-US" w:eastAsia="zh-CN"/>
        </w:rPr>
        <w:t>高空抛物、</w:t>
      </w:r>
      <w:r>
        <w:rPr>
          <w:rFonts w:hint="eastAsia" w:ascii="宋体" w:hAnsi="宋体" w:eastAsia="宋体" w:cs="宋体"/>
        </w:rPr>
        <w:t>车辆识别等）</w:t>
      </w:r>
    </w:p>
    <w:p w14:paraId="6B04AAE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用专用镜头纸或无绒布清洁摄像机镜头及防护罩，去除灰尘、水渍、油污等杂物，确保镜头透光性良好；清洁机身外壳，检查防护罩密封性能，若有破损或密封不严需及时处理，防止雨水、灰尘进入设备内部。检查摄像机安装牢固性，有无松动、倾斜情况；查看支架及连接件是否锈蚀，若有轻微锈蚀需进行除锈处理并涂抹防锈剂。接通设备电源，通过中标人提供的免费运维工具查看实时画面，确认高清监控摄像机画面清晰、无卡顿、色彩正常。梳理视频传输线路及电源线，查看有无破损、老化、接头松动情况，确保线路连接稳定。</w:t>
      </w:r>
    </w:p>
    <w:p w14:paraId="2D1D04B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b.硬盘录像机</w:t>
      </w:r>
    </w:p>
    <w:p w14:paraId="4D4A74C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清洁设备机身及散热孔，去除灰尘杂物，确保散热良好；开机检查设备运行状态，有无异常噪音、指示灯闪烁异常情况，若出现故障指示灯亮起需立即排查原因；登录管理界面查看硬盘状态，确认各硬盘正常挂载、无坏道提示；检查录像存储情况，确保录像保存时长符合规定要求，对重要录像进行备份；清理设备日志，释放存储空间，保障设备运行流畅,测试录像回放功能等。</w:t>
      </w:r>
    </w:p>
    <w:p w14:paraId="3C6F257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c.出入口控制设备（</w:t>
      </w:r>
      <w:r>
        <w:rPr>
          <w:rFonts w:hint="eastAsia" w:ascii="宋体" w:hAnsi="宋体" w:cs="宋体"/>
          <w:lang w:val="en-US" w:eastAsia="zh-CN"/>
        </w:rPr>
        <w:t>车辆道闸、</w:t>
      </w:r>
      <w:r>
        <w:rPr>
          <w:rFonts w:hint="eastAsia" w:ascii="宋体" w:hAnsi="宋体" w:eastAsia="宋体" w:cs="宋体"/>
        </w:rPr>
        <w:t>人行通道门、人脸门禁机等）</w:t>
      </w:r>
    </w:p>
    <w:p w14:paraId="0EFD86B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清洁设备机身及机械传动部位，去除灰尘、杂物；对车辆道闸的闸杆、弹簧、齿轮等传动部件涂抹专用润滑油，确保闸杆升降平稳、无卡顿；检查人行通道门的门体结构，确保开关灵活，无变形、异响情况。检查设备安装基础是否牢固，道闸支架、通道门立柱有无松动、倾斜；</w:t>
      </w:r>
      <w:r>
        <w:rPr>
          <w:rFonts w:hint="eastAsia" w:ascii="宋体" w:hAnsi="宋体" w:cs="宋体"/>
          <w:lang w:val="en-US" w:eastAsia="zh-CN"/>
        </w:rPr>
        <w:t>检查</w:t>
      </w:r>
      <w:r>
        <w:rPr>
          <w:rFonts w:hint="eastAsia" w:ascii="宋体" w:hAnsi="宋体" w:eastAsia="宋体" w:cs="宋体"/>
        </w:rPr>
        <w:t>设备与地面连接部位是否完好，若有螺栓松动需及时紧固。检查电源线、网线、视频线等连接接口是否牢固，有无松动、氧化情况。</w:t>
      </w:r>
    </w:p>
    <w:p w14:paraId="2F26330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d.接入终端</w:t>
      </w:r>
    </w:p>
    <w:p w14:paraId="6780B33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清洁终端设备机身、接口及散热孔，确保散热良好；开机检查设备运行状态，有无蓝屏、死机、异常弹窗等情况，查看CPU、内存占用率是否正常。检查终端与前端设备、网络的连接稳定性；测试终端数据接收、转发功能，确认能正常获取前端设备数据并上传；检查终端软件版本，若有更新需求需在备份数据后进行升级;检查终端防火墙设置、杀毒软件状态，确保设备无病毒、恶意软件感染。</w:t>
      </w:r>
    </w:p>
    <w:p w14:paraId="4F6821B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e.设备配套杆件（含背包箱</w:t>
      </w:r>
      <w:r>
        <w:rPr>
          <w:rFonts w:hint="eastAsia" w:ascii="宋体" w:hAnsi="宋体" w:cs="宋体"/>
          <w:lang w:eastAsia="zh-CN"/>
        </w:rPr>
        <w:t>、</w:t>
      </w:r>
      <w:r>
        <w:rPr>
          <w:rFonts w:hint="eastAsia" w:ascii="宋体" w:hAnsi="宋体" w:cs="宋体"/>
          <w:lang w:val="en-US" w:eastAsia="zh-CN"/>
        </w:rPr>
        <w:t>地笼等基础设施</w:t>
      </w:r>
      <w:r>
        <w:rPr>
          <w:rFonts w:hint="eastAsia" w:ascii="宋体" w:hAnsi="宋体" w:eastAsia="宋体" w:cs="宋体"/>
        </w:rPr>
        <w:t>）</w:t>
      </w:r>
    </w:p>
    <w:p w14:paraId="68E34AE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检查杆件有无弯曲、变形、锈蚀情况，对轻微锈蚀部位进行除锈处理并涂刷防锈漆；查看杆件连接法兰、螺栓是否牢固，有无松动、脱落情况，及时进行紧固。清洁背包箱表面及门锁，检查箱体密封性能，确保无雨水、灰尘进入；打开背包箱，检查内部设备线路排列是否整齐，有无杂乱、挤压情况，梳理线路并固定；检查背包箱内接地装置是否良好，接地电阻是否符合要求（≤4Ω）。</w:t>
      </w:r>
    </w:p>
    <w:p w14:paraId="7B001D9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检查摄像机、道闸、通道门等设备的混凝土基础有无裂缝、沉降、破损情况，若出现轻微裂缝需进行填补修复，沉降或破损严重时需立即上报;检查设备与基础连接的螺栓是否牢固，有无锈蚀、滑丝情况，对锈蚀螺栓进行更换，滑丝部位进行修复。</w:t>
      </w:r>
    </w:p>
    <w:p w14:paraId="4E7CC59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cs="宋体"/>
          <w:lang w:val="en-US" w:eastAsia="zh-CN"/>
        </w:rPr>
        <w:t>f</w:t>
      </w:r>
      <w:r>
        <w:rPr>
          <w:rFonts w:hint="eastAsia" w:ascii="宋体" w:hAnsi="宋体" w:eastAsia="宋体" w:cs="宋体"/>
        </w:rPr>
        <w:t>.小区内部组网</w:t>
      </w:r>
    </w:p>
    <w:p w14:paraId="23B5C6B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清洁交换机、路由器等网络设备机身及散热孔，确保散热良好；检查设备运行状态，查看指示灯是否正常，有无异常噪音；测试网络带宽、延迟及稳定性，通过网络测速工具确认网络性能符合要求，若存在网络拥堵需进行优化调整;检查网络设备接地装置是否良好，接地电阻是否符合规定；检查室外网络线路的防雷设施，确保防雷器正常工作，无损坏情况。</w:t>
      </w:r>
    </w:p>
    <w:p w14:paraId="0F953A8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cs="宋体"/>
          <w:lang w:val="en-US" w:eastAsia="zh-CN"/>
        </w:rPr>
        <w:t>g</w:t>
      </w:r>
      <w:r>
        <w:rPr>
          <w:rFonts w:hint="eastAsia" w:ascii="宋体" w:hAnsi="宋体" w:eastAsia="宋体" w:cs="宋体"/>
        </w:rPr>
        <w:t>.供电装置</w:t>
      </w:r>
    </w:p>
    <w:p w14:paraId="4B76C3C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清洁电源柜/箱表面及内部灰尘，检查柜门密封、门锁是否完好；检查内部空气开关、漏电保护器、接触器等元件有无烧蚀、异响情况，测试开关动作是否灵敏。检查供电线路有无破损、老化、过载情况，线路连接是否牢固，有无松动、氧化现象；使用万用表测试设备输入电压，确保电压稳定在额定范围（220V±10%），三相电需检查三相平衡情况。若配备UPS备用电源，需测试其充放电功能，检查电池容量及健康状态，确保断电时能正常为设备供电，供电时长符合规定要求；检查备用发电机（若有）的启动性能、燃油储备及运行状态，确保紧急情况下可正常使用。</w:t>
      </w:r>
    </w:p>
    <w:p w14:paraId="63D97B4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lang w:val="en-US" w:eastAsia="zh-CN"/>
        </w:rPr>
      </w:pPr>
      <w:r>
        <w:rPr>
          <w:rFonts w:hint="eastAsia" w:ascii="宋体" w:hAnsi="宋体" w:cs="宋体"/>
          <w:lang w:val="en-US" w:eastAsia="zh-CN"/>
        </w:rPr>
        <w:t>h.安防防护设备（周界防护等）</w:t>
      </w:r>
    </w:p>
    <w:p w14:paraId="3D6520F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检查红外对射、</w:t>
      </w:r>
      <w:r>
        <w:rPr>
          <w:rFonts w:hint="eastAsia" w:ascii="宋体" w:hAnsi="宋体" w:eastAsia="宋体" w:cs="宋体"/>
          <w:lang w:val="en-US" w:eastAsia="zh-CN"/>
        </w:rPr>
        <w:t>电子围栏</w:t>
      </w:r>
      <w:r>
        <w:rPr>
          <w:rFonts w:hint="eastAsia" w:ascii="宋体" w:hAnsi="宋体" w:eastAsia="宋体" w:cs="宋体"/>
        </w:rPr>
        <w:t>等周界设备的安装位置，确保无遮挡物影响探测效果；清洁设备传感器及发射/接收端，去除灰尘、杂物；测试设备报警功能，通过模拟入侵场景，确认设备能及时触发报警并将信息上传至监控中心，检查报警声音、灯光提示是否正常；检查设备线路连接情况，有无破损、老化问题。</w:t>
      </w:r>
    </w:p>
    <w:p w14:paraId="300A4322">
      <w:pPr>
        <w:pStyle w:val="6"/>
        <w:pageBreakBefore w:val="0"/>
        <w:kinsoku/>
        <w:wordWrap/>
        <w:overflowPunct/>
        <w:topLinePunct w:val="0"/>
        <w:bidi w:val="0"/>
        <w:snapToGrid/>
        <w:spacing w:line="360" w:lineRule="auto"/>
        <w:ind w:firstLine="482"/>
        <w:textAlignment w:val="auto"/>
        <w:rPr>
          <w:rFonts w:hint="eastAsia" w:ascii="宋体" w:hAnsi="宋体" w:eastAsia="宋体" w:cs="宋体"/>
        </w:rPr>
      </w:pPr>
      <w:r>
        <w:rPr>
          <w:rFonts w:hint="eastAsia" w:ascii="宋体" w:hAnsi="宋体" w:eastAsia="宋体" w:cs="宋体"/>
        </w:rPr>
        <w:t>（2）网络链路运维</w:t>
      </w:r>
      <w:r>
        <w:rPr>
          <w:rFonts w:hint="eastAsia" w:ascii="宋体" w:hAnsi="宋体" w:eastAsia="宋体" w:cs="宋体"/>
          <w:lang w:val="en-US" w:eastAsia="zh-CN"/>
        </w:rPr>
        <w:t>要求</w:t>
      </w:r>
    </w:p>
    <w:p w14:paraId="2292F308">
      <w:pPr>
        <w:pageBreakBefore w:val="0"/>
        <w:kinsoku/>
        <w:wordWrap/>
        <w:overflowPunct/>
        <w:topLinePunct w:val="0"/>
        <w:bidi w:val="0"/>
        <w:snapToGrid/>
        <w:spacing w:line="360" w:lineRule="auto"/>
        <w:ind w:firstLine="480"/>
        <w:textAlignment w:val="auto"/>
        <w:rPr>
          <w:rFonts w:hint="eastAsia" w:ascii="宋体" w:hAnsi="宋体" w:eastAsia="宋体" w:cs="宋体"/>
          <w:b/>
          <w:bCs/>
          <w:highlight w:val="yellow"/>
        </w:rPr>
      </w:pPr>
      <w:r>
        <w:rPr>
          <w:rFonts w:hint="eastAsia" w:ascii="宋体" w:hAnsi="宋体" w:eastAsia="宋体" w:cs="宋体"/>
          <w:lang w:val="en-US" w:eastAsia="zh-CN"/>
        </w:rPr>
        <w:t>成交供应商须为每个智慧平安小区至少提供一条不低于100M的专线用于接入智慧平安小区运维平台，以及智慧平安小区运维平台到雪亮平台数据专线（需</w:t>
      </w:r>
      <w:r>
        <w:rPr>
          <w:rFonts w:hint="eastAsia" w:ascii="宋体" w:hAnsi="宋体" w:eastAsia="宋体" w:cs="宋体"/>
          <w:highlight w:val="none"/>
          <w:lang w:val="en-US" w:eastAsia="zh-CN"/>
        </w:rPr>
        <w:t>保证雪亮平台可高效调用各类数据，无卡顿、无延迟）。</w:t>
      </w:r>
      <w:r>
        <w:rPr>
          <w:rFonts w:hint="eastAsia" w:ascii="宋体" w:hAnsi="宋体" w:eastAsia="宋体" w:cs="宋体"/>
          <w:b/>
          <w:bCs/>
          <w:highlight w:val="none"/>
          <w:lang w:val="en-US" w:eastAsia="zh-CN"/>
        </w:rPr>
        <w:t>成交供应商如不具备基础电信业务经营资格的，应当租用具备相应基础电信业务经营资格从业者提供的电信服务或者电信资源从事业务经营活动。</w:t>
      </w:r>
    </w:p>
    <w:p w14:paraId="48FDF9C4">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链路监测：实时监测链路带宽、时延、丢包率，建立“7×24小时”链路状态预警机制，当带宽利用率超80%或丢包率≥1%时，立即触发预警并优化。</w:t>
      </w:r>
    </w:p>
    <w:p w14:paraId="4C6749B4">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中断处置：专线链路中断后，2小时内完成链路修复，全年链路可用率≥99.9%。</w:t>
      </w:r>
    </w:p>
    <w:p w14:paraId="3CD63D99">
      <w:pPr>
        <w:pStyle w:val="6"/>
        <w:pageBreakBefore w:val="0"/>
        <w:kinsoku/>
        <w:wordWrap/>
        <w:overflowPunct/>
        <w:topLinePunct w:val="0"/>
        <w:bidi w:val="0"/>
        <w:snapToGrid/>
        <w:spacing w:line="360" w:lineRule="auto"/>
        <w:ind w:firstLine="482"/>
        <w:textAlignment w:val="auto"/>
        <w:rPr>
          <w:rFonts w:hint="eastAsia" w:ascii="宋体" w:hAnsi="宋体" w:eastAsia="宋体" w:cs="宋体"/>
        </w:rPr>
      </w:pPr>
      <w:r>
        <w:rPr>
          <w:rFonts w:hint="eastAsia" w:ascii="宋体" w:hAnsi="宋体" w:eastAsia="宋体" w:cs="宋体"/>
        </w:rPr>
        <w:t>（3）平台系统运维</w:t>
      </w:r>
      <w:r>
        <w:rPr>
          <w:rFonts w:hint="eastAsia" w:ascii="宋体" w:hAnsi="宋体" w:eastAsia="宋体" w:cs="宋体"/>
          <w:lang w:val="en-US" w:eastAsia="zh-CN"/>
        </w:rPr>
        <w:t>要求</w:t>
      </w:r>
    </w:p>
    <w:p w14:paraId="5283DBD1">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平台系统运维包括已建智慧平安小区的小区物业侧平台，门禁、道闸等数据采集系统</w:t>
      </w:r>
      <w:r>
        <w:rPr>
          <w:rFonts w:hint="eastAsia" w:ascii="宋体" w:hAnsi="宋体" w:cs="宋体"/>
          <w:lang w:val="en-US" w:eastAsia="zh-CN"/>
        </w:rPr>
        <w:t>及相关配套的硬件设备（含：服务器、交换机、存储设备、硬盘录像机NVR、硬盘、监视器、安全设备等所有原平安小区建设范围内的硬件设备）</w:t>
      </w:r>
      <w:r>
        <w:rPr>
          <w:rFonts w:hint="eastAsia" w:ascii="宋体" w:hAnsi="宋体" w:eastAsia="宋体" w:cs="宋体"/>
        </w:rPr>
        <w:t>，县公安侧数据接入雪亮平台的全量软硬件及功能模块包含智慧平安小</w:t>
      </w:r>
      <w:r>
        <w:rPr>
          <w:rFonts w:hint="eastAsia" w:ascii="宋体" w:hAnsi="宋体" w:eastAsia="宋体" w:cs="宋体"/>
          <w:highlight w:val="none"/>
        </w:rPr>
        <w:t>区运维平台、数据接入平台</w:t>
      </w:r>
      <w:r>
        <w:rPr>
          <w:rFonts w:hint="eastAsia" w:ascii="宋体" w:hAnsi="宋体" w:cs="宋体"/>
          <w:highlight w:val="none"/>
          <w:lang w:eastAsia="zh-CN"/>
        </w:rPr>
        <w:t>。</w:t>
      </w:r>
      <w:r>
        <w:rPr>
          <w:rFonts w:hint="eastAsia" w:ascii="宋体" w:hAnsi="宋体" w:cs="宋体"/>
          <w:highlight w:val="none"/>
          <w:lang w:val="en-US" w:eastAsia="zh-CN"/>
        </w:rPr>
        <w:t>智慧平安小区运维平台和数据接入平台由投标人免费提供（资产归投标人所有），数据传输应采用专线</w:t>
      </w:r>
      <w:r>
        <w:rPr>
          <w:rFonts w:hint="eastAsia" w:ascii="宋体" w:hAnsi="宋体" w:eastAsia="宋体" w:cs="宋体"/>
          <w:highlight w:val="none"/>
        </w:rPr>
        <w:t>。</w:t>
      </w:r>
    </w:p>
    <w:p w14:paraId="1A97A659">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cs="宋体"/>
          <w:lang w:eastAsia="zh-CN"/>
        </w:rPr>
        <w:t>投标人</w:t>
      </w:r>
      <w:r>
        <w:rPr>
          <w:rFonts w:hint="eastAsia" w:ascii="宋体" w:hAnsi="宋体" w:eastAsia="宋体" w:cs="宋体"/>
        </w:rPr>
        <w:t>须使用肥西县公安局现有“全要素平台”进行采集，并与已建小区物业侧系统，门禁</w:t>
      </w:r>
      <w:r>
        <w:rPr>
          <w:rFonts w:hint="eastAsia" w:ascii="宋体" w:hAnsi="宋体" w:cs="宋体"/>
          <w:lang w:val="en-US" w:eastAsia="zh-CN"/>
        </w:rPr>
        <w:t>设备联动。智慧小区运维平台与</w:t>
      </w:r>
      <w:r>
        <w:rPr>
          <w:rFonts w:hint="eastAsia" w:ascii="宋体" w:hAnsi="宋体" w:eastAsia="宋体" w:cs="宋体"/>
        </w:rPr>
        <w:t>数据采集系统或前端设备进行数据对接，</w:t>
      </w:r>
      <w:r>
        <w:rPr>
          <w:rFonts w:hint="eastAsia" w:ascii="宋体" w:hAnsi="宋体" w:cs="宋体"/>
          <w:lang w:val="en-US" w:eastAsia="zh-CN"/>
        </w:rPr>
        <w:t>数据接入平台</w:t>
      </w:r>
      <w:r>
        <w:rPr>
          <w:rFonts w:hint="eastAsia" w:ascii="宋体" w:hAnsi="宋体" w:eastAsia="宋体" w:cs="宋体"/>
        </w:rPr>
        <w:t>对各类感知数据进行标准化采集、治理、存储，确保全量整合至公安雪亮平台，且</w:t>
      </w:r>
      <w:r>
        <w:rPr>
          <w:rFonts w:hint="eastAsia" w:ascii="宋体" w:hAnsi="宋体" w:cs="宋体"/>
          <w:lang w:val="en-US" w:eastAsia="zh-CN"/>
        </w:rPr>
        <w:t>智慧平安小区</w:t>
      </w:r>
      <w:r>
        <w:rPr>
          <w:rFonts w:hint="eastAsia" w:ascii="宋体" w:hAnsi="宋体" w:eastAsia="宋体" w:cs="宋体"/>
        </w:rPr>
        <w:t>运维平台功能模块满足考核内容中的要求。</w:t>
      </w:r>
    </w:p>
    <w:p w14:paraId="2794CFAC">
      <w:pPr>
        <w:keepNext w:val="0"/>
        <w:keepLines w:val="0"/>
        <w:pageBreakBefore w:val="0"/>
        <w:widowControl/>
        <w:suppressLineNumbers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rPr>
      </w:pPr>
      <w:r>
        <w:rPr>
          <w:rFonts w:hint="eastAsia" w:ascii="宋体" w:hAnsi="宋体" w:eastAsia="宋体" w:cs="宋体"/>
          <w:color w:val="000000"/>
          <w:kern w:val="0"/>
          <w:sz w:val="24"/>
          <w:szCs w:val="24"/>
          <w:lang w:val="en-US" w:eastAsia="zh-CN" w:bidi="ar"/>
        </w:rPr>
        <w:t>对智慧平安小区各类感知数据的标准化采集、存储、使用等，确保全量整合至公安雪亮平台，保障数据安全可控与应用合规有效。</w:t>
      </w:r>
      <w:r>
        <w:rPr>
          <w:rFonts w:hint="eastAsia" w:ascii="宋体" w:hAnsi="宋体" w:cs="宋体"/>
          <w:lang w:val="en-US" w:eastAsia="zh-CN"/>
        </w:rPr>
        <w:t>一标三实、各类感知等</w:t>
      </w:r>
      <w:r>
        <w:rPr>
          <w:rFonts w:hint="eastAsia" w:ascii="宋体" w:hAnsi="宋体" w:eastAsia="宋体" w:cs="宋体"/>
        </w:rPr>
        <w:t>数据接入须符合《合肥市智慧平安小区数据开放平台接入规范（试行）》要求。</w:t>
      </w:r>
    </w:p>
    <w:p w14:paraId="4EDAD475">
      <w:pPr>
        <w:pageBreakBefore w:val="0"/>
        <w:kinsoku/>
        <w:wordWrap/>
        <w:overflowPunct/>
        <w:topLinePunct w:val="0"/>
        <w:bidi w:val="0"/>
        <w:snapToGrid/>
        <w:spacing w:line="360" w:lineRule="auto"/>
        <w:ind w:firstLine="480"/>
        <w:textAlignment w:val="auto"/>
        <w:rPr>
          <w:rFonts w:hint="eastAsia" w:ascii="宋体" w:hAnsi="宋体" w:cs="宋体"/>
          <w:lang w:val="en-US" w:eastAsia="zh-CN"/>
        </w:rPr>
      </w:pPr>
      <w:r>
        <w:rPr>
          <w:rFonts w:hint="eastAsia" w:ascii="宋体" w:hAnsi="宋体" w:cs="宋体"/>
          <w:lang w:val="en-US" w:eastAsia="zh-CN"/>
        </w:rPr>
        <w:t>安排专人每日、月对各应用系统进行巡检，并根据巡检报告和业务需求，完成系统平台的故障处置、优化调试、系统配置及安全防护，保障系统正常运行。</w:t>
      </w:r>
    </w:p>
    <w:p w14:paraId="463DF5B1">
      <w:pPr>
        <w:pageBreakBefore w:val="0"/>
        <w:kinsoku/>
        <w:wordWrap/>
        <w:overflowPunct/>
        <w:topLinePunct w:val="0"/>
        <w:bidi w:val="0"/>
        <w:snapToGrid/>
        <w:spacing w:line="360" w:lineRule="auto"/>
        <w:ind w:firstLine="480"/>
        <w:textAlignment w:val="auto"/>
        <w:rPr>
          <w:rFonts w:hint="eastAsia" w:ascii="宋体" w:hAnsi="宋体" w:cs="宋体"/>
          <w:lang w:val="en-US" w:eastAsia="zh-CN"/>
        </w:rPr>
      </w:pPr>
      <w:r>
        <w:rPr>
          <w:rFonts w:hint="eastAsia" w:ascii="宋体" w:hAnsi="宋体" w:cs="宋体"/>
          <w:lang w:val="en-US" w:eastAsia="zh-CN"/>
        </w:rPr>
        <w:t>根据实际工作的需要，完善应用系统运行的软硬件设备配置，保障平台及功能模块的正常运行，包括系统平台及功能模块所需的硬件服务器及网络环境等。</w:t>
      </w:r>
    </w:p>
    <w:p w14:paraId="091D6233">
      <w:pPr>
        <w:pageBreakBefore w:val="0"/>
        <w:kinsoku/>
        <w:wordWrap/>
        <w:overflowPunct/>
        <w:topLinePunct w:val="0"/>
        <w:bidi w:val="0"/>
        <w:snapToGrid/>
        <w:spacing w:line="360" w:lineRule="auto"/>
        <w:ind w:firstLine="480"/>
        <w:textAlignment w:val="auto"/>
        <w:rPr>
          <w:rFonts w:hint="default" w:ascii="宋体" w:hAnsi="宋体" w:eastAsia="宋体" w:cs="宋体"/>
          <w:b/>
          <w:bCs/>
          <w:lang w:val="en-US" w:eastAsia="zh-CN"/>
        </w:rPr>
      </w:pPr>
      <w:r>
        <w:rPr>
          <w:rFonts w:hint="eastAsia" w:ascii="宋体" w:hAnsi="宋体" w:cs="宋体"/>
          <w:b/>
          <w:bCs/>
          <w:highlight w:val="none"/>
          <w:lang w:val="en-US" w:eastAsia="zh-CN"/>
        </w:rPr>
        <w:t>智慧小区运维平台需满足《网络安全等级保护基本要求》不低于等保2.0要求，</w:t>
      </w:r>
      <w:r>
        <w:rPr>
          <w:rFonts w:hint="eastAsia" w:ascii="宋体" w:hAnsi="宋体" w:cs="宋体"/>
          <w:b/>
          <w:bCs/>
          <w:lang w:val="en-US" w:eastAsia="zh-CN"/>
        </w:rPr>
        <w:t>平台、平台对应硬件资源以及数据对接所产生的费用由中标单位免费提供。</w:t>
      </w:r>
    </w:p>
    <w:p w14:paraId="12EFBECC">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a.智慧平安小区的小区物业侧平台</w:t>
      </w:r>
    </w:p>
    <w:p w14:paraId="12774C43">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前端设备接入：支持人脸抓拍机、车辆抓拍摄像机、门禁系统、道闸、等设备的数据接入，兼容GB/T28181、GA/T1400、ONVIF等国家标准协议，支持设备厂商私有协议适配。</w:t>
      </w:r>
    </w:p>
    <w:p w14:paraId="05B56A01">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highlight w:val="none"/>
        </w:rPr>
        <w:t>前端数据整合：对结构化数据（人员/车辆信息、设备状态、报警记录）和非结构化数据（图片）进行统一存储（存储时间不少于7天）、</w:t>
      </w:r>
      <w:r>
        <w:rPr>
          <w:rFonts w:hint="eastAsia" w:ascii="宋体" w:hAnsi="宋体" w:eastAsia="宋体" w:cs="宋体"/>
        </w:rPr>
        <w:t>分类管理，支持数据关联查询（如通过人员ID查询关联的抓拍记录、通行记录）</w:t>
      </w:r>
      <w:r>
        <w:rPr>
          <w:rFonts w:hint="eastAsia" w:ascii="宋体" w:hAnsi="宋体" w:cs="宋体"/>
          <w:lang w:eastAsia="zh-CN"/>
        </w:rPr>
        <w:t>。</w:t>
      </w:r>
      <w:r>
        <w:rPr>
          <w:rFonts w:hint="eastAsia" w:ascii="宋体" w:hAnsi="宋体" w:cs="宋体"/>
          <w:lang w:val="en-US" w:eastAsia="zh-CN"/>
        </w:rPr>
        <w:t>采购人认定的重点区域需按照要求满足录像存储时间不少于30天</w:t>
      </w:r>
      <w:r>
        <w:rPr>
          <w:rFonts w:hint="eastAsia" w:ascii="宋体" w:hAnsi="宋体" w:eastAsia="宋体" w:cs="宋体"/>
        </w:rPr>
        <w:t>。</w:t>
      </w:r>
    </w:p>
    <w:p w14:paraId="227E33F1">
      <w:pPr>
        <w:pageBreakBefore w:val="0"/>
        <w:kinsoku/>
        <w:wordWrap/>
        <w:overflowPunct/>
        <w:topLinePunct w:val="0"/>
        <w:bidi w:val="0"/>
        <w:snapToGrid/>
        <w:spacing w:line="360" w:lineRule="auto"/>
        <w:ind w:firstLine="480"/>
        <w:textAlignment w:val="auto"/>
        <w:rPr>
          <w:rFonts w:hint="eastAsia" w:ascii="宋体" w:hAnsi="宋体" w:eastAsia="宋体" w:cs="宋体"/>
          <w:lang w:val="en-US" w:eastAsia="zh-CN"/>
        </w:rPr>
      </w:pPr>
      <w:r>
        <w:rPr>
          <w:rFonts w:hint="eastAsia" w:ascii="宋体" w:hAnsi="宋体" w:eastAsia="宋体" w:cs="宋体"/>
        </w:rPr>
        <w:t>b.</w:t>
      </w:r>
      <w:r>
        <w:rPr>
          <w:rFonts w:hint="eastAsia" w:ascii="宋体" w:hAnsi="宋体" w:cs="宋体"/>
          <w:lang w:val="en-US" w:eastAsia="zh-CN"/>
        </w:rPr>
        <w:t>智慧平安小区</w:t>
      </w:r>
      <w:r>
        <w:rPr>
          <w:rFonts w:hint="eastAsia" w:ascii="宋体" w:hAnsi="宋体" w:eastAsia="宋体" w:cs="宋体"/>
          <w:lang w:val="en-US" w:eastAsia="zh-CN"/>
        </w:rPr>
        <w:t>运维平台</w:t>
      </w:r>
    </w:p>
    <w:p w14:paraId="7F88E933">
      <w:pPr>
        <w:pageBreakBefore w:val="0"/>
        <w:kinsoku/>
        <w:wordWrap/>
        <w:overflowPunct/>
        <w:topLinePunct w:val="0"/>
        <w:bidi w:val="0"/>
        <w:snapToGrid/>
        <w:spacing w:line="360" w:lineRule="auto"/>
        <w:ind w:firstLine="480"/>
        <w:textAlignment w:val="auto"/>
        <w:rPr>
          <w:rFonts w:hint="eastAsia" w:ascii="宋体" w:hAnsi="宋体" w:eastAsia="宋体" w:cs="宋体"/>
          <w:lang w:val="en-US" w:eastAsia="zh-CN"/>
        </w:rPr>
      </w:pPr>
      <w:r>
        <w:rPr>
          <w:rFonts w:hint="eastAsia" w:ascii="宋体" w:hAnsi="宋体" w:eastAsia="宋体" w:cs="宋体"/>
        </w:rPr>
        <w:t>建立本地资产库，用于管理接入设备信息，资产信息需涵盖设备编码、设备名称、MAC地址、摄像机功能类型、摄像机采集区域、经度、纬度、设备状态、IP地址、设备厂商、行政区域等关键属性，并建立维护机制，确保数据的准确性与时效性</w:t>
      </w:r>
      <w:r>
        <w:rPr>
          <w:rFonts w:hint="eastAsia" w:ascii="宋体" w:hAnsi="宋体" w:cs="宋体"/>
          <w:lang w:eastAsia="zh-CN"/>
        </w:rPr>
        <w:t>，</w:t>
      </w:r>
      <w:r>
        <w:rPr>
          <w:rFonts w:hint="eastAsia" w:ascii="宋体" w:hAnsi="宋体" w:cs="宋体"/>
          <w:lang w:val="en-US" w:eastAsia="zh-CN"/>
        </w:rPr>
        <w:t>摄像机的编码规则、摄像机在平台的名称规范，应符合《合肥市公共场所视频资源整合接入编码及标注规范》。视频图像信息标注规范应参照GA/T 751-2024执行。后续可根据采购人要求免费进行功能拓展。</w:t>
      </w:r>
      <w:r>
        <w:rPr>
          <w:rFonts w:hint="eastAsia" w:ascii="宋体" w:hAnsi="宋体" w:eastAsia="宋体" w:cs="宋体"/>
          <w:lang w:val="en-US" w:eastAsia="zh-CN"/>
        </w:rPr>
        <w:t>具备以下功能：</w:t>
      </w:r>
    </w:p>
    <w:p w14:paraId="7FB4CB4F">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1）可视化运维GIS地图及POI标点：GIS地图上的所有POI标点可自动将周围距离较近的标点自动聚合，并可展示聚合的被聚合的标点列表。点击GIS地图上的POI标点可查看改标点所代表的小区基本数据、小区内的设备运行情况以及设备的工单下发情况。</w:t>
      </w:r>
    </w:p>
    <w:p w14:paraId="39633021">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2）运维数据可视化分析：对系统内所有维护的小区进行统计、对系统内所有维护的设备进行统计、对系统内所有推送的设备告警进行统计、对系统内下发的运维工单数量进行统计、对系统内的设备资产类型分布进行图表分析、通过小区维度按照年、月、日对所有数据异常的次数进行图表统计分析、对系统内的所有设备的在线情况，按照年、月、日进行图表统计分析、对系统内的所有大门长开的次数，按照年、月、日进行图表统计分析。</w:t>
      </w:r>
    </w:p>
    <w:p w14:paraId="424904C4">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3）运维管网绘制功能：支持GIS地图上绘制小区内部及外部管网路线，手井，部件等关键信息，支持图上检索、查看管网详情等操作。</w:t>
      </w:r>
    </w:p>
    <w:p w14:paraId="48E9BD97">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4）工单管理功能：分为系统自动工单和人工填报工单管理，支持工单状态查看、超期工单预警等功能。</w:t>
      </w:r>
    </w:p>
    <w:p w14:paraId="296CA773">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5）移动端应用：从工单的接受、处理、上报的闭环处理等。</w:t>
      </w:r>
    </w:p>
    <w:p w14:paraId="7D660EE3">
      <w:pPr>
        <w:pageBreakBefore w:val="0"/>
        <w:kinsoku/>
        <w:wordWrap/>
        <w:overflowPunct/>
        <w:topLinePunct w:val="0"/>
        <w:bidi w:val="0"/>
        <w:snapToGrid/>
        <w:spacing w:line="360" w:lineRule="auto"/>
        <w:ind w:firstLine="480"/>
        <w:textAlignment w:val="auto"/>
        <w:rPr>
          <w:rFonts w:hint="default" w:ascii="宋体" w:hAnsi="宋体" w:cs="宋体"/>
          <w:b/>
          <w:bCs/>
          <w:highlight w:val="none"/>
          <w:lang w:val="en-US" w:eastAsia="zh-CN"/>
        </w:rPr>
      </w:pPr>
      <w:r>
        <w:rPr>
          <w:rFonts w:hint="eastAsia" w:ascii="宋体" w:hAnsi="宋体" w:cs="宋体"/>
          <w:highlight w:val="none"/>
          <w:lang w:val="en-US" w:eastAsia="zh-CN"/>
        </w:rPr>
        <w:t>6）运维考核功能：具有前端在线率统计、故障修复考核、日常巡检考核等基础功能模块，</w:t>
      </w:r>
      <w:r>
        <w:rPr>
          <w:rFonts w:hint="eastAsia" w:ascii="宋体" w:hAnsi="宋体" w:cs="宋体"/>
          <w:b/>
          <w:bCs/>
          <w:highlight w:val="none"/>
          <w:lang w:val="en-US" w:eastAsia="zh-CN"/>
        </w:rPr>
        <w:t>其他功能要求可根据采购人需求在采购人规定时间内完成平台功能升级开发</w:t>
      </w:r>
    </w:p>
    <w:p w14:paraId="543164A1">
      <w:pPr>
        <w:pageBreakBefore w:val="0"/>
        <w:kinsoku/>
        <w:wordWrap/>
        <w:overflowPunct/>
        <w:topLinePunct w:val="0"/>
        <w:bidi w:val="0"/>
        <w:snapToGrid/>
        <w:spacing w:line="360" w:lineRule="auto"/>
        <w:ind w:firstLine="480"/>
        <w:textAlignment w:val="auto"/>
        <w:rPr>
          <w:rFonts w:hint="default" w:ascii="宋体" w:hAnsi="宋体" w:eastAsia="宋体" w:cs="宋体"/>
          <w:lang w:val="en-US" w:eastAsia="zh-CN"/>
        </w:rPr>
      </w:pPr>
      <w:r>
        <w:rPr>
          <w:rFonts w:hint="eastAsia" w:ascii="宋体" w:hAnsi="宋体" w:cs="宋体"/>
          <w:lang w:val="en-US" w:eastAsia="zh-CN"/>
        </w:rPr>
        <w:t>c</w:t>
      </w:r>
      <w:r>
        <w:rPr>
          <w:rFonts w:hint="eastAsia" w:ascii="宋体" w:hAnsi="宋体" w:eastAsia="宋体" w:cs="宋体"/>
        </w:rPr>
        <w:t>.</w:t>
      </w:r>
      <w:r>
        <w:rPr>
          <w:rFonts w:hint="eastAsia" w:ascii="宋体" w:hAnsi="宋体" w:cs="宋体"/>
          <w:lang w:val="en-US" w:eastAsia="zh-CN"/>
        </w:rPr>
        <w:t>数据接入平台</w:t>
      </w:r>
    </w:p>
    <w:p w14:paraId="57DFB75B">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对接公安雪亮数据接入平台：按公安规范提供数据接口，推送小区人员信息、车辆信息、预警事件、视频监控资源（支持公安实时调阅/回放/云台控制），符合公安网安全接入要求。</w:t>
      </w:r>
    </w:p>
    <w:p w14:paraId="078C0B4A">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对接入的人、车抓拍数据进行数据治理，保障设备活跃率、时钟准确率、人脸大图可用性、车辆大图可用性（如有车辆大图）、人脸图片合格性、数据上传及时率及数据唯一性等关键指标满足市、省考核要求。各指标说明如下：</w:t>
      </w:r>
    </w:p>
    <w:p w14:paraId="2299BF05">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设备活跃率：当日产生有效人脸抓拍/过车数据的设备占比。月平均设备活跃率不低于90%。</w:t>
      </w:r>
    </w:p>
    <w:p w14:paraId="7F41F1F0">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时钟准确率：当日数据中有90.00%及以上数据时钟准确的设备数量/有抓拍设备数。其中当日人脸抓拍/过车数据抓拍时间是否晚于数据接收时间，若误差不超过5秒，则认为数据时钟准确。月平均时钟准确率不低于98%。</w:t>
      </w:r>
    </w:p>
    <w:p w14:paraId="1FEB7D33">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人脸大图可用性：（1）大图是否可访问；（2）场景图片是否标注有抓拍时间和抓拍地点；（3）人脸小图是否在场景大图内。每月随机抽检40张，可用性不低于95%。</w:t>
      </w:r>
    </w:p>
    <w:p w14:paraId="282ECE7E">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车辆大图可用性：（1）车辆场景大图是否可访问；（2）大图是否标注有抓拍时间和抓拍地点。每月随机抽检40张，可用性不低于95%。</w:t>
      </w:r>
    </w:p>
    <w:p w14:paraId="26B47DC2">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人脸图片合格性：设备抓拍数据，检测人脸小图中是否只包含一个人脸。每月随机抽检40张，合格率不低于95%。</w:t>
      </w:r>
    </w:p>
    <w:p w14:paraId="754947FA">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数据上传及时率：当日数据中有90.00%及以上数据上传及时的设备数量/有抓拍设备数。其中当日人脸抓拍/过车数据，数据抓拍到接收延迟不超过900秒，认为数据上传及时。月平均数据上传及时率不低于95%。</w:t>
      </w:r>
    </w:p>
    <w:p w14:paraId="175B2D1F">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数据唯一性：当日人脸小图中设备编号、人脸评分、抓拍时间重复的为不唯一数据。</w:t>
      </w:r>
    </w:p>
    <w:p w14:paraId="1FDEB5F0">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d.一标三实信息采集</w:t>
      </w:r>
    </w:p>
    <w:p w14:paraId="3DF66A17">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cs="宋体"/>
          <w:lang w:eastAsia="zh-CN"/>
        </w:rPr>
        <w:t>投标人</w:t>
      </w:r>
      <w:r>
        <w:rPr>
          <w:rFonts w:hint="eastAsia" w:ascii="宋体" w:hAnsi="宋体" w:eastAsia="宋体" w:cs="宋体"/>
        </w:rPr>
        <w:t>需接入肥西县公安局现有“全要素平台”为小区物业侧提供“一标三实”信息采集入口，将物业填报的一标三实信息汇聚到合肥市公安局</w:t>
      </w:r>
      <w:r>
        <w:rPr>
          <w:rFonts w:hint="eastAsia" w:ascii="宋体" w:hAnsi="宋体" w:cs="宋体"/>
          <w:lang w:val="en-US" w:eastAsia="zh-CN"/>
        </w:rPr>
        <w:t>大</w:t>
      </w:r>
      <w:r>
        <w:rPr>
          <w:rFonts w:hint="eastAsia" w:ascii="宋体" w:hAnsi="宋体" w:eastAsia="宋体" w:cs="宋体"/>
        </w:rPr>
        <w:t>数据中心。</w:t>
      </w:r>
    </w:p>
    <w:p w14:paraId="3150CD26">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cs="宋体"/>
          <w:lang w:eastAsia="zh-CN"/>
        </w:rPr>
        <w:t>投标人</w:t>
      </w:r>
      <w:r>
        <w:rPr>
          <w:rFonts w:hint="eastAsia" w:ascii="宋体" w:hAnsi="宋体" w:cs="宋体"/>
          <w:lang w:val="en-US" w:eastAsia="zh-CN"/>
        </w:rPr>
        <w:t>智慧平安小区</w:t>
      </w:r>
      <w:r>
        <w:rPr>
          <w:rFonts w:hint="eastAsia" w:ascii="宋体" w:hAnsi="宋体" w:eastAsia="宋体" w:cs="宋体"/>
        </w:rPr>
        <w:t>运维平台侧不得存储一标三实相关数据。</w:t>
      </w:r>
    </w:p>
    <w:p w14:paraId="03DAE7A7">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安排专人每日月对各应用系统进行巡检，并根据巡检报告和业务需求，完成系统平台的故障处置、优化调试、系统配置及安全防护，保障系统正常运行。</w:t>
      </w:r>
    </w:p>
    <w:p w14:paraId="7BFBC7E2">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根据实际工作的需要，完善应用系统运行的软硬件设备配置，保障平台及功能模块的正常运行，包括系统平台及功能模块所需的硬件服务器及网络环境等。</w:t>
      </w:r>
    </w:p>
    <w:p w14:paraId="4797AD2A">
      <w:pPr>
        <w:pageBreakBefore w:val="0"/>
        <w:kinsoku/>
        <w:wordWrap/>
        <w:overflowPunct/>
        <w:topLinePunct w:val="0"/>
        <w:bidi w:val="0"/>
        <w:snapToGrid/>
        <w:spacing w:line="360" w:lineRule="auto"/>
        <w:ind w:firstLine="480"/>
        <w:textAlignment w:val="auto"/>
        <w:rPr>
          <w:rFonts w:hint="eastAsia" w:ascii="宋体" w:hAnsi="宋体" w:eastAsia="宋体" w:cs="宋体"/>
          <w:highlight w:val="none"/>
        </w:rPr>
      </w:pPr>
      <w:r>
        <w:rPr>
          <w:rFonts w:hint="eastAsia" w:ascii="宋体" w:hAnsi="宋体" w:cs="宋体"/>
          <w:b/>
          <w:bCs/>
          <w:highlight w:val="none"/>
          <w:lang w:val="en-US" w:eastAsia="zh-CN"/>
        </w:rPr>
        <w:t>备注：中标人在运维服务期内，须根据采购人的需求及信息技术发展动态，对各系统平台提供持续更新服务（智慧平安小区运维平台），包括但不限于：（1）功能性更新：对现有功能模块进行优化、调整或新增；（2）安全性更新：及时安装操作系统、数据库、中间件及应用程序的安全补丁；针对国家发布的安全漏洞预警，在限定时间内完成漏洞修复和系统加固；（3）适应性更新：配合采购人硬件设备更换、网络环境变更或国产化替代（信创）要求，进行必要的适配性调整和迁移。中标人须在规定时限内完成升级工作，紧急安全响应：针对高危安全漏洞或系统严重故障，中标人须在接到采购人通知后2小时内响应，24小时内制定并实施修复方案。功能升级周期：对于常规的业务功能优化需求，中标人须在5个工作日内完成评估并反馈开发排期，原则上在15个工作日内完成开发部署。平滑过渡：升级过程应保证业务连续性，对于必须停机的升级，应将停机时间控制在30分钟以内，且必须安排在业务空闲时段进行。若因升级导致业务中断，中标人须承担相应责任，因实际情况确需延长功能开发及部署时间需经采购人同意，若因运维平台无法满足采购人需要的采购人有权解除合同。</w:t>
      </w:r>
    </w:p>
    <w:p w14:paraId="3F01A858">
      <w:pPr>
        <w:pStyle w:val="6"/>
        <w:pageBreakBefore w:val="0"/>
        <w:kinsoku/>
        <w:wordWrap/>
        <w:overflowPunct/>
        <w:topLinePunct w:val="0"/>
        <w:bidi w:val="0"/>
        <w:snapToGrid/>
        <w:spacing w:line="360" w:lineRule="auto"/>
        <w:ind w:firstLine="482"/>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）安全运维</w:t>
      </w:r>
      <w:r>
        <w:rPr>
          <w:rFonts w:hint="eastAsia" w:ascii="宋体" w:hAnsi="宋体" w:eastAsia="宋体" w:cs="宋体"/>
          <w:lang w:val="en-US" w:eastAsia="zh-CN"/>
        </w:rPr>
        <w:t>要求</w:t>
      </w:r>
    </w:p>
    <w:p w14:paraId="42C4C763">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1）采集安全要求</w:t>
      </w:r>
    </w:p>
    <w:p w14:paraId="1221F7F6">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严格遵循《合肥市智慧平安小区数据开放平台接入规范（试行）》采集数据采集业务所需核心信息。</w:t>
      </w:r>
    </w:p>
    <w:p w14:paraId="3C32476C">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2）存储安全要求</w:t>
      </w:r>
    </w:p>
    <w:p w14:paraId="6FEAD6C5">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严格落实“最小授权+分级管控”的访问权限机制，仅向物业等授权单位开放必要权限，杜绝越权访问。</w:t>
      </w:r>
    </w:p>
    <w:p w14:paraId="1F3E29EC">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3）传输安全要求</w:t>
      </w:r>
    </w:p>
    <w:p w14:paraId="2EDAFB02">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数据传输需通过专线实现，严禁明文传输，确保数据不被窃听、篡改。</w:t>
      </w:r>
    </w:p>
    <w:p w14:paraId="21DC3F04">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4）平台安全要求</w:t>
      </w:r>
    </w:p>
    <w:p w14:paraId="196A3447">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已建智慧平安小区的小区物业侧平台，门禁、道闸等数据采集系统，县公安侧数据接入平台需定期进行漏洞、弱口令扫描（每月至少1次），及时修复高危漏洞和弱口令。</w:t>
      </w:r>
    </w:p>
    <w:p w14:paraId="1A6447A2">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5）保密要求</w:t>
      </w:r>
    </w:p>
    <w:p w14:paraId="141CE267">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中标单位应当严格遵守相关规定，严禁泄漏相关信息，未经甲方人员确认，中标单位的服务人员不得对业务系统作任何操作。中标单位应保证其配备人员在服务期间所接触的各种文件，数据、信息、系统资料，系统操作等严格遵守保密制度，不得向第三方透露；按照各级公安机关对公安信息网络的安全要求，由中标单位与采购人签定安全保密协议，中标单位应与项目实施人员签订安全保密协议，落实公安网络安全及信息保密的各项规定；中标单位未落实保密工作要求，造成泄密等后果的，承担相应的责任。</w:t>
      </w:r>
    </w:p>
    <w:p w14:paraId="33264703">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6）其他要求</w:t>
      </w:r>
    </w:p>
    <w:p w14:paraId="5E7EFD67">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中标单位采购的全部设备、材料及中标单位自有的施工或运维用具进入运维现场后,均由中标单位负责保管。项目前端设备及后端平台系统涉及的网络、通信、设备、计算、应用、数据、人员（施工、交通、用水、用电、用气等）等各方面安全均由中标单位负责。</w:t>
      </w:r>
    </w:p>
    <w:p w14:paraId="48CC44EA">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与项目有关的所有设施设备在运维期结束之前，其安全和完整性由中标单位负责，若因市政建设或其他人为原因造成设备设施缺失或损坏的，采购人牵头负责协调落实责任方相关工作，中标单位配合完成重新采购及安装调试。</w:t>
      </w:r>
    </w:p>
    <w:p w14:paraId="23B606C6">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发生数据泄露等安全事件时，1小时内启动应急预案，24小时内完成处置并向采购方上报，不得迟报、漏报、瞒报，处置完成后7日内形成复盘报告。</w:t>
      </w:r>
    </w:p>
    <w:p w14:paraId="3F6B14B8">
      <w:pPr>
        <w:spacing w:line="360" w:lineRule="auto"/>
        <w:ind w:firstLine="435"/>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）其他运维</w:t>
      </w:r>
      <w:r>
        <w:rPr>
          <w:rFonts w:hint="eastAsia" w:ascii="宋体" w:hAnsi="宋体" w:eastAsia="宋体" w:cs="宋体"/>
          <w:b/>
          <w:sz w:val="24"/>
          <w:szCs w:val="24"/>
          <w:highlight w:val="none"/>
          <w:lang w:val="en-US" w:eastAsia="zh-CN"/>
        </w:rPr>
        <w:t>要求</w:t>
      </w:r>
    </w:p>
    <w:p w14:paraId="2DEAE355">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1）服务人员配置</w:t>
      </w:r>
    </w:p>
    <w:p w14:paraId="5AE23468">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根据需要设置驻场运维工程师，提供7×</w:t>
      </w:r>
      <w:r>
        <w:rPr>
          <w:rFonts w:hint="eastAsia" w:ascii="宋体" w:hAnsi="宋体" w:cs="宋体"/>
          <w:lang w:val="en-US" w:eastAsia="zh-CN"/>
        </w:rPr>
        <w:t>24</w:t>
      </w:r>
      <w:r>
        <w:rPr>
          <w:rFonts w:hint="eastAsia" w:ascii="宋体" w:hAnsi="宋体" w:eastAsia="宋体" w:cs="宋体"/>
        </w:rPr>
        <w:t>小时驻场服务，接受采购人的统一管理。人员数量及构成应满足公安对平安小区项目运维的实际需要，项目</w:t>
      </w:r>
      <w:r>
        <w:rPr>
          <w:rFonts w:hint="eastAsia" w:ascii="宋体" w:hAnsi="宋体" w:cs="宋体"/>
          <w:lang w:val="en-US" w:eastAsia="zh-CN"/>
        </w:rPr>
        <w:t>经理</w:t>
      </w:r>
      <w:r>
        <w:rPr>
          <w:rFonts w:hint="eastAsia" w:ascii="宋体" w:hAnsi="宋体" w:eastAsia="宋体" w:cs="宋体"/>
        </w:rPr>
        <w:t>、技术负责人及驻场服务人员不得与其他项目复用。应成立专门的运维团队，并提供400专线用于客户故障报修，运维人员需保持通讯24小时畅通。服务人员应具备相应工作能力，工作日需在项目服务区定位打卡以证明在岗。</w:t>
      </w:r>
    </w:p>
    <w:p w14:paraId="5D7A7293">
      <w:pPr>
        <w:pageBreakBefore w:val="0"/>
        <w:kinsoku/>
        <w:wordWrap/>
        <w:overflowPunct/>
        <w:topLinePunct w:val="0"/>
        <w:autoSpaceDE w:val="0"/>
        <w:autoSpaceDN w:val="0"/>
        <w:bidi w:val="0"/>
        <w:adjustRightInd w:val="0"/>
        <w:snapToGrid/>
        <w:spacing w:line="360" w:lineRule="auto"/>
        <w:ind w:right="127" w:firstLine="480" w:firstLineChars="200"/>
        <w:jc w:val="left"/>
        <w:textAlignment w:val="auto"/>
        <w:rPr>
          <w:rFonts w:hint="eastAsia" w:ascii="宋体" w:hAnsi="宋体" w:eastAsia="宋体" w:cstheme="minorEastAsia"/>
          <w:bCs/>
          <w:sz w:val="24"/>
          <w:szCs w:val="24"/>
          <w:lang w:val="en-US" w:eastAsia="zh-CN"/>
        </w:rPr>
      </w:pPr>
      <w:r>
        <w:rPr>
          <w:rFonts w:hint="eastAsia" w:ascii="宋体" w:hAnsi="宋体" w:eastAsia="宋体" w:cstheme="minorEastAsia"/>
          <w:bCs/>
          <w:sz w:val="24"/>
          <w:szCs w:val="24"/>
          <w:lang w:val="en-US" w:eastAsia="zh-CN"/>
        </w:rPr>
        <w:t>中标人为项目派驻的运维人员应严格服从采购人的日常管理，在采购人指定的办公场所办公，日常执行与采购人工作时间一致的运维工作时间，服从采购人的考勤管理，服从临时性工作安排。对于不符合采购人要求或采购人不满意的人员，采购人有权要求更换，中标人应及时调换。派驻人员应遵守采购人的安全管理要求和规章制度，签订保密协议，不得查询、外泄和滥用采购人的各类业务信息（具体内容以采购人要求为准）。</w:t>
      </w:r>
    </w:p>
    <w:p w14:paraId="659E9123">
      <w:pPr>
        <w:pageBreakBefore w:val="0"/>
        <w:kinsoku/>
        <w:wordWrap/>
        <w:overflowPunct/>
        <w:topLinePunct w:val="0"/>
        <w:autoSpaceDE w:val="0"/>
        <w:autoSpaceDN w:val="0"/>
        <w:bidi w:val="0"/>
        <w:adjustRightInd w:val="0"/>
        <w:snapToGrid/>
        <w:spacing w:line="360" w:lineRule="auto"/>
        <w:ind w:right="127" w:firstLine="480" w:firstLineChars="200"/>
        <w:jc w:val="left"/>
        <w:textAlignment w:val="auto"/>
        <w:rPr>
          <w:rFonts w:hint="eastAsia" w:ascii="宋体" w:hAnsi="宋体" w:eastAsia="宋体" w:cstheme="minorEastAsia"/>
          <w:bCs/>
          <w:sz w:val="24"/>
          <w:szCs w:val="24"/>
          <w:lang w:val="en-US" w:eastAsia="zh-CN"/>
        </w:rPr>
      </w:pPr>
      <w:r>
        <w:rPr>
          <w:rFonts w:hint="eastAsia" w:ascii="宋体" w:hAnsi="宋体" w:eastAsia="宋体" w:cstheme="minorEastAsia"/>
          <w:bCs/>
          <w:sz w:val="24"/>
          <w:szCs w:val="24"/>
          <w:lang w:val="en-US" w:eastAsia="zh-CN"/>
        </w:rPr>
        <w:t>中标人应提供驻场运维人员清单，统一配置车辆、工具等，由采购人负责统一调度。该项目共配置不少于3台运维用车，维护用</w:t>
      </w:r>
      <w:bookmarkStart w:id="252" w:name="_GoBack"/>
      <w:r>
        <w:rPr>
          <w:rFonts w:hint="eastAsia" w:ascii="宋体" w:hAnsi="宋体" w:eastAsia="宋体" w:cstheme="minorEastAsia"/>
          <w:bCs/>
          <w:sz w:val="24"/>
          <w:szCs w:val="24"/>
          <w:lang w:val="en-US" w:eastAsia="zh-CN"/>
        </w:rPr>
        <w:t>车是指货车、皮卡车、面包车和小型汽车等。合同签订后，自有车辆提供与投标人名称一致的行驶证扫描件或影印件；租赁车辆提供租赁合同扫描件(或影印件)供采购人核查。</w:t>
      </w:r>
    </w:p>
    <w:bookmarkEnd w:id="252"/>
    <w:p w14:paraId="755F76F9">
      <w:pPr>
        <w:pageBreakBefore w:val="0"/>
        <w:kinsoku/>
        <w:wordWrap/>
        <w:overflowPunct/>
        <w:topLinePunct w:val="0"/>
        <w:autoSpaceDE w:val="0"/>
        <w:autoSpaceDN w:val="0"/>
        <w:bidi w:val="0"/>
        <w:adjustRightInd w:val="0"/>
        <w:snapToGrid/>
        <w:spacing w:line="360" w:lineRule="auto"/>
        <w:ind w:right="127" w:firstLine="480" w:firstLineChars="200"/>
        <w:jc w:val="left"/>
        <w:textAlignment w:val="auto"/>
        <w:rPr>
          <w:rFonts w:hint="eastAsia" w:ascii="宋体" w:hAnsi="宋体" w:eastAsia="宋体" w:cstheme="minorEastAsia"/>
          <w:bCs/>
          <w:sz w:val="24"/>
          <w:szCs w:val="24"/>
          <w:lang w:val="en-US" w:eastAsia="zh-CN"/>
        </w:rPr>
      </w:pPr>
      <w:r>
        <w:rPr>
          <w:rFonts w:hint="eastAsia" w:ascii="宋体" w:hAnsi="宋体" w:eastAsia="宋体" w:cstheme="minorEastAsia"/>
          <w:bCs/>
          <w:sz w:val="24"/>
          <w:szCs w:val="24"/>
          <w:lang w:val="en-US" w:eastAsia="zh-CN"/>
        </w:rPr>
        <w:t>中标人要为该项目运维配置技术支持人员，技术支持人员应具备相应工作能力，持证上岗</w:t>
      </w:r>
      <w:r>
        <w:rPr>
          <w:rFonts w:hint="eastAsia" w:ascii="宋体" w:hAnsi="宋体" w:cstheme="minorEastAsia"/>
          <w:bCs/>
          <w:sz w:val="24"/>
          <w:szCs w:val="24"/>
          <w:lang w:val="en-US" w:eastAsia="zh-CN"/>
        </w:rPr>
        <w:t>，必</w:t>
      </w:r>
      <w:r>
        <w:rPr>
          <w:rFonts w:hint="eastAsia" w:ascii="宋体" w:hAnsi="宋体" w:eastAsia="宋体" w:cstheme="minorEastAsia"/>
          <w:bCs/>
          <w:sz w:val="24"/>
          <w:szCs w:val="24"/>
          <w:lang w:val="en-US" w:eastAsia="zh-CN"/>
        </w:rPr>
        <w:t>须能够独立解决故障，负责日常问题现场处理。技术支持人员须具备服务器、存储、数据库、网络、中间件等方面的知识和操作技能。</w:t>
      </w:r>
    </w:p>
    <w:p w14:paraId="1C4DB626">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theme="minorEastAsia"/>
          <w:bCs/>
          <w:sz w:val="24"/>
          <w:szCs w:val="24"/>
          <w:lang w:val="en-US" w:eastAsia="zh-CN"/>
        </w:rPr>
        <w:t>中标人需自行配备项目运行中所需的仓库以及仓库管理人员，用于存放该项目中的备品备件以及该项目中更换下来的设备等项目资产，并逐一通过中标人的运维管理系统进行资产登记，实现设备出入库规范管理。</w:t>
      </w:r>
    </w:p>
    <w:p w14:paraId="04610E16">
      <w:pPr>
        <w:pageBreakBefore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人员配备</w:t>
      </w:r>
      <w:r>
        <w:rPr>
          <w:rFonts w:hint="eastAsia" w:ascii="宋体" w:hAnsi="宋体" w:eastAsia="宋体" w:cs="宋体"/>
          <w:b w:val="0"/>
          <w:bCs w:val="0"/>
          <w:sz w:val="21"/>
          <w:szCs w:val="21"/>
          <w:lang w:val="en-US" w:eastAsia="zh-CN"/>
        </w:rPr>
        <w:t>需求表</w:t>
      </w:r>
      <w:r>
        <w:rPr>
          <w:rFonts w:hint="eastAsia" w:ascii="宋体" w:hAnsi="宋体" w:eastAsia="宋体" w:cs="宋体"/>
          <w:b w:val="0"/>
          <w:bCs w:val="0"/>
          <w:sz w:val="21"/>
          <w:szCs w:val="21"/>
        </w:rPr>
        <w:t>（样表）</w:t>
      </w:r>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478"/>
        <w:gridCol w:w="3779"/>
        <w:gridCol w:w="3236"/>
        <w:gridCol w:w="533"/>
      </w:tblGrid>
      <w:tr w14:paraId="68E9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14:paraId="5D64079A">
            <w:pPr>
              <w:pStyle w:val="53"/>
              <w:pageBreakBefore w:val="0"/>
              <w:kinsoku/>
              <w:wordWrap/>
              <w:overflowPunct/>
              <w:topLinePunct w:val="0"/>
              <w:bidi w:val="0"/>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68" w:type="pct"/>
            <w:vAlign w:val="center"/>
          </w:tcPr>
          <w:p w14:paraId="13A1B4AF">
            <w:pPr>
              <w:pStyle w:val="53"/>
              <w:pageBreakBefore w:val="0"/>
              <w:kinsoku/>
              <w:wordWrap/>
              <w:overflowPunct/>
              <w:topLinePunct w:val="0"/>
              <w:bidi w:val="0"/>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岗位要求</w:t>
            </w:r>
          </w:p>
        </w:tc>
        <w:tc>
          <w:tcPr>
            <w:tcW w:w="1964" w:type="pct"/>
            <w:vAlign w:val="center"/>
          </w:tcPr>
          <w:p w14:paraId="2095F620">
            <w:pPr>
              <w:pStyle w:val="53"/>
              <w:pageBreakBefore w:val="0"/>
              <w:kinsoku/>
              <w:wordWrap/>
              <w:overflowPunct/>
              <w:topLinePunct w:val="0"/>
              <w:bidi w:val="0"/>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岗位职责</w:t>
            </w:r>
          </w:p>
        </w:tc>
        <w:tc>
          <w:tcPr>
            <w:tcW w:w="1682" w:type="pct"/>
            <w:vAlign w:val="center"/>
          </w:tcPr>
          <w:p w14:paraId="21E0615C">
            <w:pPr>
              <w:pStyle w:val="53"/>
              <w:pageBreakBefore w:val="0"/>
              <w:kinsoku/>
              <w:wordWrap/>
              <w:overflowPunct/>
              <w:topLinePunct w:val="0"/>
              <w:bidi w:val="0"/>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资格要求</w:t>
            </w:r>
          </w:p>
        </w:tc>
        <w:tc>
          <w:tcPr>
            <w:tcW w:w="277" w:type="pct"/>
            <w:vAlign w:val="center"/>
          </w:tcPr>
          <w:p w14:paraId="72BD498A">
            <w:pPr>
              <w:pStyle w:val="53"/>
              <w:pageBreakBefore w:val="0"/>
              <w:kinsoku/>
              <w:wordWrap/>
              <w:overflowPunct/>
              <w:topLinePunct w:val="0"/>
              <w:bidi w:val="0"/>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人数</w:t>
            </w:r>
          </w:p>
        </w:tc>
      </w:tr>
      <w:tr w14:paraId="13FE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07" w:type="pct"/>
            <w:vAlign w:val="center"/>
          </w:tcPr>
          <w:p w14:paraId="54BB38D3">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768" w:type="pct"/>
            <w:vAlign w:val="center"/>
          </w:tcPr>
          <w:p w14:paraId="38FB662B">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项目运维负责人</w:t>
            </w:r>
          </w:p>
        </w:tc>
        <w:tc>
          <w:tcPr>
            <w:tcW w:w="1964" w:type="pct"/>
            <w:vAlign w:val="center"/>
          </w:tcPr>
          <w:p w14:paraId="197D81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负责项目团队管理、运营状态考核、资源配备、制定服务计划以及指导项目工作。</w:t>
            </w:r>
          </w:p>
          <w:p w14:paraId="2A57BD3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负责风险管理预判潜在风险，制定应对策略，保障项目稳定运行。</w:t>
            </w:r>
          </w:p>
          <w:p w14:paraId="50B0217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负责沟通协调，作为项目与客户的桥梁，确保信息畅通。</w:t>
            </w:r>
          </w:p>
          <w:p w14:paraId="1DB4EAC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负责审核并定期递交月度、季度、年度巡检报告、故障处理报告等运维资料。</w:t>
            </w:r>
          </w:p>
          <w:p w14:paraId="3747F9D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负责制定和落实运维人员实施办法，保障人员实施安全。</w:t>
            </w:r>
          </w:p>
        </w:tc>
        <w:tc>
          <w:tcPr>
            <w:tcW w:w="1682" w:type="pct"/>
            <w:vAlign w:val="center"/>
          </w:tcPr>
          <w:p w14:paraId="4B61A0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全日制本科及以上学历，计算机、或电子信息工程类相关专业。</w:t>
            </w:r>
          </w:p>
          <w:p w14:paraId="083FFEB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须具备计算机技术与软件专业技术资格(水平)考试的信息系统项目管理师证书。</w:t>
            </w:r>
          </w:p>
          <w:p w14:paraId="409AE8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须有智慧平安小区或类似项目的管理经验。</w:t>
            </w:r>
          </w:p>
        </w:tc>
        <w:tc>
          <w:tcPr>
            <w:tcW w:w="277" w:type="pct"/>
            <w:vAlign w:val="center"/>
          </w:tcPr>
          <w:p w14:paraId="4F386E47">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r>
      <w:tr w14:paraId="50D4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07" w:type="pct"/>
            <w:vAlign w:val="center"/>
          </w:tcPr>
          <w:p w14:paraId="5BCD05D4">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p>
        </w:tc>
        <w:tc>
          <w:tcPr>
            <w:tcW w:w="768" w:type="pct"/>
            <w:vAlign w:val="center"/>
          </w:tcPr>
          <w:p w14:paraId="6D3D8AA9">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技术负责人</w:t>
            </w:r>
          </w:p>
        </w:tc>
        <w:tc>
          <w:tcPr>
            <w:tcW w:w="1964" w:type="pct"/>
            <w:vAlign w:val="center"/>
          </w:tcPr>
          <w:p w14:paraId="480831D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负责技术方案的制定，根据项目需求，制定先进且实用的技术方案。</w:t>
            </w:r>
          </w:p>
          <w:p w14:paraId="5B712F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负责质量管理，建立质量保证体系，组织质量检查，处理一般质量事故等。</w:t>
            </w:r>
          </w:p>
          <w:p w14:paraId="063D3CF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负责技术资料管理，组织技术资料的收集、整理和归档，确保资料完整。</w:t>
            </w:r>
          </w:p>
        </w:tc>
        <w:tc>
          <w:tcPr>
            <w:tcW w:w="1682" w:type="pct"/>
            <w:vAlign w:val="center"/>
          </w:tcPr>
          <w:p w14:paraId="7712899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全日制本科及以上学历，计算机、软件工程或电子信息工程类相关专业。</w:t>
            </w:r>
          </w:p>
          <w:p w14:paraId="609EA7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须具备计算机技术与软件专业技术资格(水平)考试的网络工程师证书。</w:t>
            </w:r>
          </w:p>
          <w:p w14:paraId="1B0F17C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kern w:val="0"/>
                <w:sz w:val="21"/>
                <w:szCs w:val="21"/>
                <w:lang w:val="en-US" w:eastAsia="zh-CN"/>
              </w:rPr>
            </w:pPr>
            <w:r>
              <w:rPr>
                <w:rFonts w:hint="eastAsia" w:ascii="宋体" w:hAnsi="宋体" w:cs="宋体"/>
                <w:kern w:val="0"/>
                <w:sz w:val="21"/>
                <w:szCs w:val="21"/>
                <w:lang w:val="en-US" w:eastAsia="zh-CN"/>
              </w:rPr>
              <w:t>须</w:t>
            </w:r>
            <w:r>
              <w:rPr>
                <w:rFonts w:hint="default" w:ascii="宋体" w:hAnsi="宋体" w:cs="宋体"/>
                <w:kern w:val="0"/>
                <w:sz w:val="21"/>
                <w:szCs w:val="21"/>
                <w:lang w:val="en-US" w:eastAsia="zh-CN"/>
              </w:rPr>
              <w:t>有智慧平安小区或类似项目的技术管理经验，能制定技术方案并监督实施</w:t>
            </w:r>
            <w:r>
              <w:rPr>
                <w:rFonts w:hint="eastAsia" w:ascii="宋体" w:hAnsi="宋体" w:cs="宋体"/>
                <w:kern w:val="0"/>
                <w:sz w:val="21"/>
                <w:szCs w:val="21"/>
                <w:lang w:val="en-US" w:eastAsia="zh-CN"/>
              </w:rPr>
              <w:t>。</w:t>
            </w:r>
          </w:p>
        </w:tc>
        <w:tc>
          <w:tcPr>
            <w:tcW w:w="277" w:type="pct"/>
            <w:vAlign w:val="center"/>
          </w:tcPr>
          <w:p w14:paraId="7F96DB7D">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r>
      <w:tr w14:paraId="47A0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 w:type="pct"/>
            <w:vAlign w:val="center"/>
          </w:tcPr>
          <w:p w14:paraId="61F45759">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p>
        </w:tc>
        <w:tc>
          <w:tcPr>
            <w:tcW w:w="768" w:type="pct"/>
            <w:vAlign w:val="center"/>
          </w:tcPr>
          <w:p w14:paraId="763946F4">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驻场服务人员</w:t>
            </w:r>
          </w:p>
        </w:tc>
        <w:tc>
          <w:tcPr>
            <w:tcW w:w="1964" w:type="pct"/>
            <w:vAlign w:val="center"/>
          </w:tcPr>
          <w:p w14:paraId="4B752D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负责对项目内摄像机视频质量、设备在线情况、各类感知数据采集及数据上传情况、各平台系统及网络运行情况进行巡检，日常故障的处理。</w:t>
            </w:r>
          </w:p>
          <w:p w14:paraId="15B7483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负责设备接入、平台对接、并完成日常故障的派发、反馈、验证、闭环等工作。</w:t>
            </w:r>
          </w:p>
          <w:p w14:paraId="0F9D6E5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p>
        </w:tc>
        <w:tc>
          <w:tcPr>
            <w:tcW w:w="1682" w:type="pct"/>
            <w:vAlign w:val="center"/>
          </w:tcPr>
          <w:p w14:paraId="1795B5E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大专及以上学历，计算机、软件工程或电子信息工程类相关专业</w:t>
            </w:r>
          </w:p>
          <w:p w14:paraId="10089D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须具备通过计算机技术与软件专业技术资格(水平)考试的信息系统项目管理师证书或信息安全工程师证书。</w:t>
            </w:r>
          </w:p>
          <w:p w14:paraId="1B840E0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val="0"/>
                <w:bCs w:val="0"/>
                <w:color w:val="auto"/>
                <w:sz w:val="21"/>
                <w:szCs w:val="21"/>
                <w:lang w:eastAsia="zh-CN"/>
              </w:rPr>
            </w:pPr>
            <w:r>
              <w:rPr>
                <w:rFonts w:hint="eastAsia" w:ascii="宋体" w:hAnsi="宋体" w:cs="宋体"/>
                <w:kern w:val="0"/>
                <w:sz w:val="21"/>
                <w:szCs w:val="21"/>
                <w:lang w:val="en-US" w:eastAsia="zh-CN"/>
              </w:rPr>
              <w:t>需熟悉计算机软硬件、网络设备，能独立安装、调试及故障排除</w:t>
            </w:r>
          </w:p>
        </w:tc>
        <w:tc>
          <w:tcPr>
            <w:tcW w:w="277" w:type="pct"/>
            <w:vAlign w:val="center"/>
          </w:tcPr>
          <w:p w14:paraId="5EB0555D">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w:t>
            </w:r>
          </w:p>
        </w:tc>
      </w:tr>
      <w:tr w14:paraId="6D20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07" w:type="pct"/>
            <w:vAlign w:val="center"/>
          </w:tcPr>
          <w:p w14:paraId="1666291B">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p>
        </w:tc>
        <w:tc>
          <w:tcPr>
            <w:tcW w:w="768" w:type="pct"/>
            <w:vAlign w:val="center"/>
          </w:tcPr>
          <w:p w14:paraId="477CD977">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外场运维人员</w:t>
            </w:r>
          </w:p>
        </w:tc>
        <w:tc>
          <w:tcPr>
            <w:tcW w:w="1964" w:type="pct"/>
            <w:vAlign w:val="center"/>
          </w:tcPr>
          <w:p w14:paraId="2576C9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负责摄像机、道闸、门禁系统、设备箱、杆件、服务器、存储及相关网络设备的巡检及维护工作，发现问题及时处理，确保外场各个设备的正常运行。</w:t>
            </w:r>
          </w:p>
          <w:p w14:paraId="1FA3251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负责前端设备的日常巡查、应急响应、安全施工等。</w:t>
            </w:r>
          </w:p>
          <w:p w14:paraId="7D334DF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cs="宋体"/>
                <w:kern w:val="0"/>
                <w:sz w:val="21"/>
                <w:szCs w:val="21"/>
                <w:lang w:val="en-US" w:eastAsia="zh-CN"/>
              </w:rPr>
            </w:pPr>
            <w:r>
              <w:rPr>
                <w:rFonts w:hint="default" w:ascii="宋体" w:hAnsi="宋体" w:cs="宋体"/>
                <w:kern w:val="0"/>
                <w:sz w:val="21"/>
                <w:szCs w:val="21"/>
                <w:lang w:val="en-US" w:eastAsia="zh-CN"/>
              </w:rPr>
              <w:t>按要求执行相关维护计划，确保外场各个设备安全、稳定、高效运行</w:t>
            </w:r>
          </w:p>
        </w:tc>
        <w:tc>
          <w:tcPr>
            <w:tcW w:w="1682" w:type="pct"/>
            <w:vAlign w:val="center"/>
          </w:tcPr>
          <w:p w14:paraId="1E895B9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kern w:val="0"/>
                <w:sz w:val="21"/>
                <w:szCs w:val="21"/>
                <w:lang w:val="en-US" w:eastAsia="zh-CN"/>
              </w:rPr>
            </w:pPr>
            <w:r>
              <w:rPr>
                <w:rFonts w:hint="eastAsia" w:ascii="宋体" w:hAnsi="宋体" w:cs="宋体"/>
                <w:kern w:val="0"/>
                <w:sz w:val="21"/>
                <w:szCs w:val="21"/>
                <w:lang w:val="en-US" w:eastAsia="zh-CN"/>
              </w:rPr>
              <w:t>具备1年以上相关工作经验，具备登高证或电工证。</w:t>
            </w:r>
          </w:p>
          <w:p w14:paraId="476C0B7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b w:val="0"/>
                <w:bCs w:val="0"/>
                <w:color w:val="auto"/>
                <w:sz w:val="21"/>
                <w:szCs w:val="21"/>
                <w:lang w:eastAsia="zh-CN"/>
              </w:rPr>
            </w:pPr>
            <w:r>
              <w:rPr>
                <w:rFonts w:hint="eastAsia" w:ascii="宋体" w:hAnsi="宋体" w:cs="宋体"/>
                <w:kern w:val="0"/>
                <w:sz w:val="21"/>
                <w:szCs w:val="21"/>
                <w:lang w:val="en-US" w:eastAsia="zh-CN"/>
              </w:rPr>
              <w:t>熟悉摄像头、门禁、补光灯、配电箱等前端设备安装与调试，具备基础的网络知识。</w:t>
            </w:r>
          </w:p>
        </w:tc>
        <w:tc>
          <w:tcPr>
            <w:tcW w:w="277" w:type="pct"/>
            <w:vAlign w:val="center"/>
          </w:tcPr>
          <w:p w14:paraId="5C6C5A1E">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r>
      <w:tr w14:paraId="322F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039" w:type="pct"/>
            <w:gridSpan w:val="3"/>
            <w:vAlign w:val="center"/>
          </w:tcPr>
          <w:p w14:paraId="51FEBE46">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总计</w:t>
            </w:r>
          </w:p>
        </w:tc>
        <w:tc>
          <w:tcPr>
            <w:tcW w:w="1682" w:type="pct"/>
            <w:vAlign w:val="center"/>
          </w:tcPr>
          <w:p w14:paraId="340F5BBD">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277" w:type="pct"/>
            <w:vAlign w:val="center"/>
          </w:tcPr>
          <w:p w14:paraId="02E368D3">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9</w:t>
            </w:r>
          </w:p>
        </w:tc>
      </w:tr>
    </w:tbl>
    <w:p w14:paraId="6E23023D">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注：上述人员配备表中所列人员配额为最低数量要求；</w:t>
      </w:r>
    </w:p>
    <w:p w14:paraId="4CCDE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除评标办法中要求提供的相关人员证明材料作为评分条件外，供应商在响应文件中无须提供其他人员相关证明材料，由采购人在</w:t>
      </w:r>
      <w:r>
        <w:rPr>
          <w:rFonts w:hint="eastAsia" w:ascii="宋体" w:hAnsi="宋体" w:eastAsia="宋体" w:cs="宋体"/>
          <w:lang w:eastAsia="zh-CN"/>
        </w:rPr>
        <w:t>中标单位</w:t>
      </w:r>
      <w:r>
        <w:rPr>
          <w:rFonts w:hint="eastAsia" w:ascii="宋体" w:hAnsi="宋体" w:eastAsia="宋体" w:cs="宋体"/>
        </w:rPr>
        <w:t>进场服务前核查人员配备情况</w:t>
      </w:r>
      <w:r>
        <w:rPr>
          <w:rFonts w:hint="eastAsia" w:ascii="宋体" w:hAnsi="宋体" w:cs="宋体"/>
          <w:lang w:eastAsia="zh-CN"/>
        </w:rPr>
        <w:t>（</w:t>
      </w:r>
      <w:r>
        <w:rPr>
          <w:rFonts w:hint="eastAsia" w:ascii="宋体" w:hAnsi="宋体" w:cs="宋体"/>
          <w:b/>
          <w:bCs/>
          <w:lang w:val="en-US" w:eastAsia="zh-CN"/>
        </w:rPr>
        <w:t>人员社保需由中标单位缴纳</w:t>
      </w:r>
      <w:r>
        <w:rPr>
          <w:rFonts w:hint="eastAsia" w:ascii="宋体" w:hAnsi="宋体" w:cs="宋体"/>
          <w:lang w:eastAsia="zh-CN"/>
        </w:rPr>
        <w:t>）</w:t>
      </w:r>
      <w:r>
        <w:rPr>
          <w:rFonts w:hint="eastAsia" w:ascii="宋体" w:hAnsi="宋体" w:eastAsia="宋体" w:cs="宋体"/>
        </w:rPr>
        <w:t>，人员须按照要求配备到位，否则采购人有权解除合同并报监管部门按规定处理。</w:t>
      </w:r>
    </w:p>
    <w:p w14:paraId="1225CFC1">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2）应急保障服务</w:t>
      </w:r>
    </w:p>
    <w:p w14:paraId="71588639">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中标单位应建立标准化的安全运维管理体系,根据重要任务、重大活动等工作需要，按采购人要求提供相应的人员、装备等辅助材料进行现场保障服务，确保系统稳定正常。</w:t>
      </w:r>
    </w:p>
    <w:p w14:paraId="4225139B">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3）运维装备标准化</w:t>
      </w:r>
    </w:p>
    <w:p w14:paraId="33CB51F7">
      <w:pPr>
        <w:pageBreakBefore w:val="0"/>
        <w:kinsoku/>
        <w:wordWrap/>
        <w:overflowPunct/>
        <w:topLinePunct w:val="0"/>
        <w:bidi w:val="0"/>
        <w:snapToGrid/>
        <w:spacing w:line="360" w:lineRule="auto"/>
        <w:ind w:firstLine="480"/>
        <w:textAlignment w:val="auto"/>
        <w:rPr>
          <w:rFonts w:hint="eastAsia" w:ascii="宋体" w:hAnsi="宋体" w:eastAsia="宋体" w:cs="宋体"/>
        </w:rPr>
      </w:pPr>
      <w:r>
        <w:rPr>
          <w:rFonts w:hint="eastAsia" w:ascii="宋体" w:hAnsi="宋体" w:eastAsia="宋体" w:cs="宋体"/>
        </w:rPr>
        <w:t>运维人员着装统一标准，中标单位须配备满足项目日常运维使用的车辆</w:t>
      </w:r>
      <w:r>
        <w:rPr>
          <w:rFonts w:hint="eastAsia" w:ascii="宋体" w:hAnsi="宋体" w:cs="宋体"/>
          <w:lang w:eastAsia="zh-CN"/>
        </w:rPr>
        <w:t>（</w:t>
      </w:r>
      <w:r>
        <w:rPr>
          <w:rFonts w:hint="eastAsia" w:ascii="宋体" w:hAnsi="宋体" w:cs="宋体"/>
          <w:lang w:val="en-US" w:eastAsia="zh-CN"/>
        </w:rPr>
        <w:t>不少于3辆</w:t>
      </w:r>
      <w:r>
        <w:rPr>
          <w:rFonts w:hint="eastAsia" w:ascii="宋体" w:hAnsi="宋体" w:cs="宋体"/>
          <w:lang w:eastAsia="zh-CN"/>
        </w:rPr>
        <w:t>）</w:t>
      </w:r>
      <w:r>
        <w:rPr>
          <w:rFonts w:hint="eastAsia" w:ascii="宋体" w:hAnsi="宋体" w:eastAsia="宋体" w:cs="宋体"/>
        </w:rPr>
        <w:t>。</w:t>
      </w:r>
    </w:p>
    <w:p w14:paraId="133E0F8D">
      <w:pPr>
        <w:pageBreakBefore w:val="0"/>
        <w:kinsoku/>
        <w:wordWrap/>
        <w:overflowPunct/>
        <w:topLinePunct w:val="0"/>
        <w:bidi w:val="0"/>
        <w:snapToGrid/>
        <w:spacing w:line="360" w:lineRule="auto"/>
        <w:ind w:firstLine="480"/>
        <w:textAlignment w:val="auto"/>
        <w:rPr>
          <w:rFonts w:hint="eastAsia"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lang w:val="en-US" w:eastAsia="zh-CN"/>
        </w:rPr>
        <w:t>故障处理记录单填报（样表，故障处理后第二日需提交</w:t>
      </w:r>
      <w:r>
        <w:rPr>
          <w:rFonts w:hint="eastAsia" w:ascii="宋体" w:hAnsi="宋体" w:cs="宋体"/>
          <w:lang w:val="en-US" w:eastAsia="zh-CN"/>
        </w:rPr>
        <w:t>至采购人</w:t>
      </w:r>
      <w:r>
        <w:rPr>
          <w:rFonts w:hint="eastAsia" w:ascii="宋体" w:hAnsi="宋体" w:eastAsia="宋体" w:cs="宋体"/>
          <w:lang w:val="en-US" w:eastAsia="zh-CN"/>
        </w:rPr>
        <w:t>）</w:t>
      </w:r>
    </w:p>
    <w:tbl>
      <w:tblPr>
        <w:tblStyle w:val="2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2233"/>
        <w:gridCol w:w="1675"/>
        <w:gridCol w:w="213"/>
        <w:gridCol w:w="2169"/>
        <w:gridCol w:w="385"/>
        <w:gridCol w:w="2304"/>
      </w:tblGrid>
      <w:tr w14:paraId="34E9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14:paraId="08B67BD2">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故障处理记录单</w:t>
            </w:r>
          </w:p>
        </w:tc>
      </w:tr>
      <w:tr w14:paraId="6ECD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restart"/>
            <w:vAlign w:val="center"/>
          </w:tcPr>
          <w:p w14:paraId="2F4BFCEF">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运</w:t>
            </w:r>
          </w:p>
          <w:p w14:paraId="266768D4">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维</w:t>
            </w:r>
          </w:p>
          <w:p w14:paraId="704013F2">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w:t>
            </w:r>
          </w:p>
          <w:p w14:paraId="007DF153">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程</w:t>
            </w:r>
          </w:p>
          <w:p w14:paraId="4FEE3DE7">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师</w:t>
            </w:r>
          </w:p>
          <w:p w14:paraId="20543760">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填</w:t>
            </w:r>
          </w:p>
          <w:p w14:paraId="268DD498">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写</w:t>
            </w:r>
          </w:p>
        </w:tc>
        <w:tc>
          <w:tcPr>
            <w:tcW w:w="1161" w:type="pct"/>
            <w:vAlign w:val="center"/>
          </w:tcPr>
          <w:p w14:paraId="4AC1F21D">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报修来源</w:t>
            </w:r>
          </w:p>
        </w:tc>
        <w:tc>
          <w:tcPr>
            <w:tcW w:w="3506" w:type="pct"/>
            <w:gridSpan w:val="5"/>
            <w:vAlign w:val="center"/>
          </w:tcPr>
          <w:p w14:paraId="3B2A4BAF">
            <w:pPr>
              <w:pStyle w:val="53"/>
              <w:pageBreakBefore w:val="0"/>
              <w:kinsoku/>
              <w:wordWrap/>
              <w:overflowPunct/>
              <w:topLinePunct w:val="0"/>
              <w:bidi w:val="0"/>
              <w:snapToGrid/>
              <w:spacing w:line="360" w:lineRule="auto"/>
              <w:jc w:val="left"/>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□物业  □</w:t>
            </w:r>
            <w:r>
              <w:rPr>
                <w:rFonts w:hint="eastAsia" w:ascii="宋体" w:hAnsi="宋体" w:cs="宋体"/>
                <w:b w:val="0"/>
                <w:bCs w:val="0"/>
                <w:color w:val="auto"/>
                <w:sz w:val="21"/>
                <w:szCs w:val="21"/>
                <w:lang w:val="en-US" w:eastAsia="zh-CN"/>
              </w:rPr>
              <w:t xml:space="preserve">小区居民  </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 xml:space="preserve">采购方  </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 xml:space="preserve">巡检  </w:t>
            </w: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其他</w:t>
            </w:r>
            <w:r>
              <w:rPr>
                <w:rFonts w:hint="eastAsia" w:ascii="宋体" w:hAnsi="宋体" w:cs="宋体"/>
                <w:b w:val="0"/>
                <w:bCs w:val="0"/>
                <w:color w:val="auto"/>
                <w:sz w:val="21"/>
                <w:szCs w:val="21"/>
                <w:u w:val="single"/>
                <w:lang w:val="en-US" w:eastAsia="zh-CN"/>
              </w:rPr>
              <w:t xml:space="preserve">     </w:t>
            </w:r>
          </w:p>
        </w:tc>
      </w:tr>
      <w:tr w14:paraId="65E9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7C824D14">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1161" w:type="pct"/>
            <w:vAlign w:val="center"/>
          </w:tcPr>
          <w:p w14:paraId="35AB36A0">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小区名称</w:t>
            </w:r>
          </w:p>
        </w:tc>
        <w:tc>
          <w:tcPr>
            <w:tcW w:w="982" w:type="pct"/>
            <w:gridSpan w:val="2"/>
            <w:vAlign w:val="center"/>
          </w:tcPr>
          <w:p w14:paraId="64BC55C0">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1128" w:type="pct"/>
            <w:vAlign w:val="center"/>
          </w:tcPr>
          <w:p w14:paraId="7955A017">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小区地址</w:t>
            </w:r>
          </w:p>
        </w:tc>
        <w:tc>
          <w:tcPr>
            <w:tcW w:w="1394" w:type="pct"/>
            <w:gridSpan w:val="2"/>
            <w:vAlign w:val="center"/>
          </w:tcPr>
          <w:p w14:paraId="05D321E4">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r>
      <w:tr w14:paraId="257A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5DB5D1C6">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1161" w:type="pct"/>
            <w:vAlign w:val="center"/>
          </w:tcPr>
          <w:p w14:paraId="0042640C">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报修联系人</w:t>
            </w:r>
          </w:p>
        </w:tc>
        <w:tc>
          <w:tcPr>
            <w:tcW w:w="982" w:type="pct"/>
            <w:gridSpan w:val="2"/>
            <w:vAlign w:val="center"/>
          </w:tcPr>
          <w:p w14:paraId="5696B53B">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1128" w:type="pct"/>
            <w:vAlign w:val="center"/>
          </w:tcPr>
          <w:p w14:paraId="1F8BDA8D">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联系电话</w:t>
            </w:r>
          </w:p>
        </w:tc>
        <w:tc>
          <w:tcPr>
            <w:tcW w:w="1394" w:type="pct"/>
            <w:gridSpan w:val="2"/>
            <w:vAlign w:val="center"/>
          </w:tcPr>
          <w:p w14:paraId="50A989BA">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r>
      <w:tr w14:paraId="2AB0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71C1F7D9">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4668" w:type="pct"/>
            <w:gridSpan w:val="6"/>
            <w:vAlign w:val="center"/>
          </w:tcPr>
          <w:p w14:paraId="27FEBED0">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故障描述：</w:t>
            </w:r>
          </w:p>
          <w:p w14:paraId="13CA63DD">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p>
        </w:tc>
      </w:tr>
      <w:tr w14:paraId="7A8B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1CD8833E">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4668" w:type="pct"/>
            <w:gridSpan w:val="6"/>
            <w:vAlign w:val="center"/>
          </w:tcPr>
          <w:p w14:paraId="33597EF1">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故障原因：</w:t>
            </w:r>
          </w:p>
          <w:p w14:paraId="7C3CDBBC">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p>
        </w:tc>
      </w:tr>
      <w:tr w14:paraId="5C6B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7E0D7C6C">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4668" w:type="pct"/>
            <w:gridSpan w:val="6"/>
            <w:vAlign w:val="center"/>
          </w:tcPr>
          <w:p w14:paraId="05B921E9">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解决方法：</w:t>
            </w:r>
          </w:p>
          <w:p w14:paraId="4A19D347">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p>
        </w:tc>
      </w:tr>
      <w:tr w14:paraId="0CC2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56B5CBC3">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4668" w:type="pct"/>
            <w:gridSpan w:val="6"/>
            <w:vAlign w:val="center"/>
          </w:tcPr>
          <w:p w14:paraId="0F0E40D9">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修复时间：xxxx年xx月xx日xx时xx分</w:t>
            </w:r>
          </w:p>
          <w:p w14:paraId="455CF952">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上报时间：xxxx年xx月xx日xx时xx分</w:t>
            </w:r>
          </w:p>
          <w:p w14:paraId="775CC903">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服务工程师：</w:t>
            </w:r>
          </w:p>
        </w:tc>
      </w:tr>
      <w:tr w14:paraId="3223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31" w:type="pct"/>
            <w:vMerge w:val="restart"/>
            <w:vAlign w:val="center"/>
          </w:tcPr>
          <w:p w14:paraId="50299D61">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用</w:t>
            </w:r>
          </w:p>
          <w:p w14:paraId="7A1E9B5A">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户</w:t>
            </w:r>
          </w:p>
          <w:p w14:paraId="2AD6C397">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填</w:t>
            </w:r>
          </w:p>
          <w:p w14:paraId="1B8B1BF3">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写</w:t>
            </w:r>
          </w:p>
        </w:tc>
        <w:tc>
          <w:tcPr>
            <w:tcW w:w="1161" w:type="pct"/>
            <w:vMerge w:val="restart"/>
            <w:vAlign w:val="center"/>
          </w:tcPr>
          <w:p w14:paraId="596DCA0C">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故障解决情况</w:t>
            </w:r>
          </w:p>
        </w:tc>
        <w:tc>
          <w:tcPr>
            <w:tcW w:w="3506" w:type="pct"/>
            <w:gridSpan w:val="5"/>
            <w:vAlign w:val="center"/>
          </w:tcPr>
          <w:p w14:paraId="27972B8B">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已解决()未解决()</w:t>
            </w:r>
          </w:p>
        </w:tc>
      </w:tr>
      <w:tr w14:paraId="52F1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31" w:type="pct"/>
            <w:vMerge w:val="continue"/>
            <w:vAlign w:val="center"/>
          </w:tcPr>
          <w:p w14:paraId="3332A7D9">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1161" w:type="pct"/>
            <w:vMerge w:val="continue"/>
            <w:vAlign w:val="center"/>
          </w:tcPr>
          <w:p w14:paraId="7E2514D7">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3506" w:type="pct"/>
            <w:gridSpan w:val="5"/>
            <w:vAlign w:val="center"/>
          </w:tcPr>
          <w:p w14:paraId="5390C165">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是否已告知用户预防措施()</w:t>
            </w:r>
          </w:p>
        </w:tc>
      </w:tr>
      <w:tr w14:paraId="598D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744457AB">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1161" w:type="pct"/>
            <w:vAlign w:val="center"/>
          </w:tcPr>
          <w:p w14:paraId="4F7A9CC5">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服务评价</w:t>
            </w:r>
          </w:p>
        </w:tc>
        <w:tc>
          <w:tcPr>
            <w:tcW w:w="3506" w:type="pct"/>
            <w:gridSpan w:val="5"/>
            <w:vAlign w:val="center"/>
          </w:tcPr>
          <w:p w14:paraId="43869EB2">
            <w:pPr>
              <w:pStyle w:val="53"/>
              <w:pageBreakBefore w:val="0"/>
              <w:kinsoku/>
              <w:wordWrap/>
              <w:overflowPunct/>
              <w:topLinePunct w:val="0"/>
              <w:bidi w:val="0"/>
              <w:snapToGrid/>
              <w:spacing w:line="36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满意()不满意()</w:t>
            </w:r>
          </w:p>
        </w:tc>
      </w:tr>
      <w:tr w14:paraId="476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vMerge w:val="continue"/>
            <w:vAlign w:val="center"/>
          </w:tcPr>
          <w:p w14:paraId="5260E8AB">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1161" w:type="pct"/>
            <w:vAlign w:val="center"/>
          </w:tcPr>
          <w:p w14:paraId="341CCB4E">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现场客户签名</w:t>
            </w:r>
          </w:p>
        </w:tc>
        <w:tc>
          <w:tcPr>
            <w:tcW w:w="871" w:type="pct"/>
            <w:vAlign w:val="center"/>
          </w:tcPr>
          <w:p w14:paraId="0550339F">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c>
          <w:tcPr>
            <w:tcW w:w="1439" w:type="pct"/>
            <w:gridSpan w:val="3"/>
            <w:vAlign w:val="center"/>
          </w:tcPr>
          <w:p w14:paraId="7FB4C9CA">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签名时间</w:t>
            </w:r>
          </w:p>
        </w:tc>
        <w:tc>
          <w:tcPr>
            <w:tcW w:w="1195" w:type="pct"/>
            <w:vAlign w:val="center"/>
          </w:tcPr>
          <w:p w14:paraId="278C9011">
            <w:pPr>
              <w:pStyle w:val="53"/>
              <w:pageBreakBefore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rPr>
            </w:pPr>
          </w:p>
        </w:tc>
      </w:tr>
    </w:tbl>
    <w:p w14:paraId="559F4DD9">
      <w:pPr>
        <w:pageBreakBefore w:val="0"/>
        <w:numPr>
          <w:ilvl w:val="0"/>
          <w:numId w:val="2"/>
        </w:numPr>
        <w:kinsoku/>
        <w:wordWrap/>
        <w:overflowPunct/>
        <w:topLinePunct w:val="0"/>
        <w:bidi w:val="0"/>
        <w:snapToGrid/>
        <w:spacing w:line="360" w:lineRule="auto"/>
        <w:ind w:firstLine="480"/>
        <w:textAlignment w:val="auto"/>
        <w:rPr>
          <w:rFonts w:hint="eastAsia" w:ascii="宋体" w:hAnsi="宋体" w:cs="宋体"/>
          <w:lang w:val="en-US" w:eastAsia="zh-CN"/>
        </w:rPr>
      </w:pPr>
      <w:r>
        <w:rPr>
          <w:rFonts w:hint="eastAsia" w:ascii="宋体" w:hAnsi="宋体" w:cs="宋体"/>
          <w:lang w:val="en-US" w:eastAsia="zh-CN"/>
        </w:rPr>
        <w:t>备品备件保障</w:t>
      </w:r>
    </w:p>
    <w:p w14:paraId="77574D9A">
      <w:pPr>
        <w:keepNext w:val="0"/>
        <w:keepLines w:val="0"/>
        <w:pageBreakBefore w:val="0"/>
        <w:widowControl/>
        <w:suppressLineNumbers w:val="0"/>
        <w:kinsoku/>
        <w:wordWrap/>
        <w:overflowPunct/>
        <w:topLinePunct w:val="0"/>
        <w:autoSpaceDE/>
        <w:autoSpaceDN/>
        <w:bidi w:val="0"/>
        <w:adjustRightInd/>
        <w:snapToGrid/>
        <w:spacing w:line="360" w:lineRule="auto"/>
        <w:ind w:firstLine="460" w:firstLineChars="200"/>
        <w:jc w:val="left"/>
        <w:textAlignment w:val="auto"/>
        <w:rPr>
          <w:rFonts w:hint="eastAsia" w:ascii="宋体" w:hAnsi="宋体" w:cs="宋体"/>
          <w:color w:val="000000"/>
          <w:kern w:val="0"/>
          <w:sz w:val="23"/>
          <w:szCs w:val="23"/>
          <w:lang w:val="en-US" w:eastAsia="zh-CN" w:bidi="ar"/>
        </w:rPr>
      </w:pPr>
      <w:r>
        <w:rPr>
          <w:rFonts w:hint="eastAsia" w:ascii="宋体" w:hAnsi="宋体" w:eastAsia="宋体" w:cs="宋体"/>
          <w:color w:val="000000"/>
          <w:kern w:val="0"/>
          <w:sz w:val="23"/>
          <w:szCs w:val="23"/>
          <w:lang w:val="en-US" w:eastAsia="zh-CN" w:bidi="ar"/>
        </w:rPr>
        <w:t>运维服务商应建立备品仓库，储存足够的备用易损易耗件。备品仓库应合理分布，保证能满足故障抢修的要求。备品仓库应定期进行检查，建立完善的备件机制，即做到“四齐”，即备件齐、配件齐、工具齐、仪器齐</w:t>
      </w:r>
      <w:r>
        <w:rPr>
          <w:rFonts w:hint="eastAsia" w:ascii="宋体" w:hAnsi="宋体" w:cs="宋体"/>
          <w:color w:val="000000"/>
          <w:kern w:val="0"/>
          <w:sz w:val="23"/>
          <w:szCs w:val="23"/>
          <w:lang w:val="en-US" w:eastAsia="zh-CN" w:bidi="ar"/>
        </w:rPr>
        <w:t>。</w:t>
      </w:r>
    </w:p>
    <w:p w14:paraId="17E8F456">
      <w:pPr>
        <w:keepNext w:val="0"/>
        <w:keepLines w:val="0"/>
        <w:pageBreakBefore w:val="0"/>
        <w:widowControl/>
        <w:suppressLineNumbers w:val="0"/>
        <w:kinsoku/>
        <w:wordWrap/>
        <w:overflowPunct/>
        <w:topLinePunct w:val="0"/>
        <w:autoSpaceDE/>
        <w:autoSpaceDN/>
        <w:bidi w:val="0"/>
        <w:adjustRightInd/>
        <w:snapToGrid/>
        <w:spacing w:line="360" w:lineRule="auto"/>
        <w:ind w:firstLine="460" w:firstLineChars="200"/>
        <w:jc w:val="left"/>
        <w:textAlignment w:val="auto"/>
        <w:rPr>
          <w:rFonts w:hint="default" w:ascii="宋体" w:hAnsi="宋体" w:cs="宋体"/>
          <w:color w:val="000000"/>
          <w:kern w:val="0"/>
          <w:sz w:val="23"/>
          <w:szCs w:val="23"/>
          <w:lang w:val="en-US" w:eastAsia="zh-CN" w:bidi="ar"/>
        </w:rPr>
      </w:pPr>
      <w:r>
        <w:rPr>
          <w:rFonts w:hint="eastAsia" w:ascii="宋体" w:hAnsi="宋体" w:cs="宋体"/>
          <w:color w:val="000000"/>
          <w:kern w:val="0"/>
          <w:sz w:val="23"/>
          <w:szCs w:val="23"/>
          <w:lang w:val="en-US" w:eastAsia="zh-CN" w:bidi="ar"/>
        </w:rPr>
        <w:t>所有更换的备品备件性能必须优于原有设备，所有设备更换必须报采购人同意后方可实施。</w:t>
      </w:r>
    </w:p>
    <w:p w14:paraId="67B1EF92">
      <w:pPr>
        <w:pageBreakBefore w:val="0"/>
        <w:numPr>
          <w:ilvl w:val="0"/>
          <w:numId w:val="2"/>
        </w:numPr>
        <w:kinsoku/>
        <w:wordWrap/>
        <w:overflowPunct/>
        <w:topLinePunct w:val="0"/>
        <w:bidi w:val="0"/>
        <w:snapToGrid/>
        <w:spacing w:line="360" w:lineRule="auto"/>
        <w:ind w:firstLine="480"/>
        <w:textAlignment w:val="auto"/>
        <w:rPr>
          <w:rFonts w:hint="eastAsia" w:ascii="宋体" w:hAnsi="宋体" w:cs="宋体"/>
          <w:lang w:val="en-US" w:eastAsia="zh-CN"/>
        </w:rPr>
      </w:pPr>
      <w:r>
        <w:rPr>
          <w:rFonts w:hint="eastAsia" w:ascii="宋体" w:hAnsi="宋体" w:cs="宋体"/>
          <w:lang w:val="en-US" w:eastAsia="zh-CN"/>
        </w:rPr>
        <w:t>运维质效年度评估</w:t>
      </w:r>
    </w:p>
    <w:p w14:paraId="0BB1DDEC">
      <w:pPr>
        <w:pageBreakBefore w:val="0"/>
        <w:kinsoku/>
        <w:wordWrap/>
        <w:overflowPunct/>
        <w:topLinePunct w:val="0"/>
        <w:bidi w:val="0"/>
        <w:snapToGrid/>
        <w:spacing w:line="360" w:lineRule="auto"/>
        <w:ind w:firstLine="480"/>
        <w:textAlignment w:val="auto"/>
        <w:rPr>
          <w:rFonts w:hint="default"/>
          <w:lang w:val="en-US" w:eastAsia="zh-CN"/>
        </w:rPr>
      </w:pPr>
      <w:r>
        <w:rPr>
          <w:rFonts w:hint="eastAsia"/>
          <w:lang w:eastAsia="zh-CN"/>
        </w:rPr>
        <w:t>中标单位</w:t>
      </w:r>
      <w:r>
        <w:rPr>
          <w:rFonts w:hint="eastAsia"/>
        </w:rPr>
        <w:t>应配合开展运维质量监管与年度质效评估工作，接受动态退出管理，若</w:t>
      </w:r>
      <w:r>
        <w:rPr>
          <w:rFonts w:hint="eastAsia"/>
          <w:lang w:eastAsia="zh-CN"/>
        </w:rPr>
        <w:t>中标单位</w:t>
      </w:r>
      <w:r>
        <w:rPr>
          <w:rFonts w:hint="eastAsia"/>
        </w:rPr>
        <w:t>评估不达标则按要求配合完成工作交接等相关事宜。</w:t>
      </w:r>
    </w:p>
    <w:p w14:paraId="6581F210">
      <w:pPr>
        <w:pStyle w:val="5"/>
        <w:numPr>
          <w:ilvl w:val="0"/>
          <w:numId w:val="0"/>
        </w:numPr>
        <w:spacing w:before="160" w:after="80" w:line="360" w:lineRule="auto"/>
        <w:ind w:firstLine="482" w:firstLineChars="200"/>
        <w:jc w:val="both"/>
        <w:rPr>
          <w:rFonts w:hint="eastAsia" w:hAnsi="宋体" w:cs="宋体"/>
          <w:b/>
          <w:bCs/>
          <w:sz w:val="24"/>
          <w:szCs w:val="24"/>
          <w:highlight w:val="none"/>
          <w:lang w:val="en-US" w:eastAsia="zh-CN"/>
        </w:rPr>
      </w:pPr>
      <w:r>
        <w:rPr>
          <w:rFonts w:hint="eastAsia" w:ascii="宋体" w:hAnsi="宋体" w:eastAsia="宋体" w:cs="宋体"/>
          <w:b/>
          <w:bCs/>
          <w:kern w:val="2"/>
          <w:sz w:val="24"/>
          <w:szCs w:val="24"/>
          <w:lang w:val="en-US" w:eastAsia="zh-CN" w:bidi="ar-SA"/>
        </w:rPr>
        <w:t>3.</w:t>
      </w:r>
      <w:r>
        <w:rPr>
          <w:rFonts w:hint="eastAsia" w:hAnsi="宋体" w:cs="宋体"/>
          <w:b/>
          <w:bCs/>
          <w:sz w:val="24"/>
          <w:szCs w:val="24"/>
          <w:highlight w:val="none"/>
          <w:lang w:val="en-US" w:eastAsia="zh-CN"/>
        </w:rPr>
        <w:t>升级改造服务要求</w:t>
      </w:r>
    </w:p>
    <w:p w14:paraId="58FCEB98">
      <w:pPr>
        <w:keepNext w:val="0"/>
        <w:keepLines w:val="0"/>
        <w:pageBreakBefore w:val="0"/>
        <w:widowControl w:val="0"/>
        <w:kinsoku/>
        <w:wordWrap/>
        <w:overflowPunct/>
        <w:topLinePunct w:val="0"/>
        <w:autoSpaceDE/>
        <w:autoSpaceDN/>
        <w:bidi w:val="0"/>
        <w:adjustRightInd/>
        <w:snapToGrid/>
        <w:spacing w:line="360" w:lineRule="auto"/>
        <w:ind w:firstLine="482"/>
        <w:textAlignment w:val="auto"/>
      </w:pPr>
      <w:r>
        <w:rPr>
          <w:rFonts w:hint="eastAsia"/>
        </w:rPr>
        <w:t>对设备故障无法使用以及性能不达标的老旧设备进行</w:t>
      </w:r>
      <w:r>
        <w:rPr>
          <w:rFonts w:hint="eastAsia"/>
          <w:lang w:val="en-US" w:eastAsia="zh-CN"/>
        </w:rPr>
        <w:t>免费</w:t>
      </w:r>
      <w:r>
        <w:rPr>
          <w:rFonts w:hint="eastAsia"/>
        </w:rPr>
        <w:t>更换或升级，改造后需符合现行《合肥市智慧平安小区建设技术标准》。</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2453"/>
        <w:gridCol w:w="4512"/>
        <w:gridCol w:w="899"/>
        <w:gridCol w:w="760"/>
      </w:tblGrid>
      <w:tr w14:paraId="3270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5"/>
            <w:vAlign w:val="center"/>
          </w:tcPr>
          <w:p w14:paraId="676540B4">
            <w:pPr>
              <w:widowControl/>
              <w:ind w:firstLine="422"/>
              <w:jc w:val="center"/>
              <w:textAlignment w:val="center"/>
              <w:rPr>
                <w:rFonts w:hint="eastAsia"/>
                <w:b/>
                <w:bCs/>
                <w:sz w:val="21"/>
                <w:szCs w:val="21"/>
              </w:rPr>
            </w:pPr>
            <w:r>
              <w:rPr>
                <w:rFonts w:hint="eastAsia"/>
                <w:b/>
                <w:bCs/>
                <w:sz w:val="21"/>
                <w:szCs w:val="21"/>
              </w:rPr>
              <w:t>设备升级改造清单（须与建设期合同项目资产对应）</w:t>
            </w:r>
          </w:p>
        </w:tc>
      </w:tr>
      <w:tr w14:paraId="225B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167B0C9A">
            <w:pPr>
              <w:widowControl/>
              <w:ind w:firstLine="0" w:firstLineChars="0"/>
              <w:jc w:val="center"/>
              <w:textAlignment w:val="center"/>
              <w:rPr>
                <w:rFonts w:hint="eastAsia"/>
                <w:b/>
                <w:bCs/>
                <w:sz w:val="21"/>
                <w:szCs w:val="21"/>
              </w:rPr>
            </w:pPr>
            <w:r>
              <w:rPr>
                <w:b/>
                <w:bCs/>
                <w:sz w:val="21"/>
                <w:szCs w:val="21"/>
              </w:rPr>
              <w:t>序号</w:t>
            </w:r>
          </w:p>
        </w:tc>
        <w:tc>
          <w:tcPr>
            <w:tcW w:w="1275" w:type="pct"/>
            <w:vAlign w:val="center"/>
          </w:tcPr>
          <w:p w14:paraId="099F2021">
            <w:pPr>
              <w:widowControl/>
              <w:ind w:firstLine="422"/>
              <w:jc w:val="center"/>
              <w:textAlignment w:val="center"/>
              <w:rPr>
                <w:rFonts w:hint="eastAsia"/>
                <w:b/>
                <w:bCs/>
                <w:sz w:val="21"/>
                <w:szCs w:val="21"/>
              </w:rPr>
            </w:pPr>
            <w:r>
              <w:rPr>
                <w:b/>
                <w:bCs/>
                <w:sz w:val="21"/>
                <w:szCs w:val="21"/>
              </w:rPr>
              <w:t>设备名称</w:t>
            </w:r>
          </w:p>
        </w:tc>
        <w:tc>
          <w:tcPr>
            <w:tcW w:w="2345" w:type="pct"/>
            <w:vAlign w:val="center"/>
          </w:tcPr>
          <w:p w14:paraId="38A03D99">
            <w:pPr>
              <w:widowControl/>
              <w:ind w:firstLine="0" w:firstLineChars="0"/>
              <w:jc w:val="center"/>
              <w:textAlignment w:val="center"/>
              <w:rPr>
                <w:rFonts w:hint="eastAsia"/>
                <w:b/>
                <w:bCs/>
                <w:sz w:val="21"/>
                <w:szCs w:val="21"/>
              </w:rPr>
            </w:pPr>
            <w:r>
              <w:rPr>
                <w:rFonts w:hint="eastAsia"/>
                <w:b/>
                <w:bCs/>
                <w:sz w:val="21"/>
                <w:szCs w:val="21"/>
              </w:rPr>
              <w:t>技术参数要求</w:t>
            </w:r>
          </w:p>
        </w:tc>
        <w:tc>
          <w:tcPr>
            <w:tcW w:w="467" w:type="pct"/>
            <w:vAlign w:val="center"/>
          </w:tcPr>
          <w:p w14:paraId="7667E57B">
            <w:pPr>
              <w:widowControl/>
              <w:ind w:firstLine="0" w:firstLineChars="0"/>
              <w:jc w:val="center"/>
              <w:textAlignment w:val="center"/>
              <w:rPr>
                <w:rFonts w:hint="eastAsia"/>
                <w:b/>
                <w:bCs/>
                <w:sz w:val="21"/>
                <w:szCs w:val="21"/>
              </w:rPr>
            </w:pPr>
            <w:r>
              <w:rPr>
                <w:b/>
                <w:bCs/>
                <w:sz w:val="21"/>
                <w:szCs w:val="21"/>
              </w:rPr>
              <w:t>数量</w:t>
            </w:r>
          </w:p>
        </w:tc>
        <w:tc>
          <w:tcPr>
            <w:tcW w:w="394" w:type="pct"/>
            <w:vAlign w:val="center"/>
          </w:tcPr>
          <w:p w14:paraId="0ADB83CB">
            <w:pPr>
              <w:widowControl/>
              <w:ind w:firstLine="0" w:firstLineChars="0"/>
              <w:jc w:val="center"/>
              <w:textAlignment w:val="center"/>
              <w:rPr>
                <w:rFonts w:hint="eastAsia"/>
                <w:b/>
                <w:bCs/>
                <w:sz w:val="21"/>
                <w:szCs w:val="21"/>
              </w:rPr>
            </w:pPr>
            <w:r>
              <w:rPr>
                <w:rFonts w:hint="eastAsia"/>
                <w:b/>
                <w:bCs/>
                <w:sz w:val="21"/>
                <w:szCs w:val="21"/>
              </w:rPr>
              <w:t>备注</w:t>
            </w:r>
          </w:p>
        </w:tc>
      </w:tr>
      <w:tr w14:paraId="5CD5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3187901B">
            <w:pPr>
              <w:widowControl/>
              <w:ind w:firstLine="0" w:firstLineChars="0"/>
              <w:jc w:val="center"/>
              <w:textAlignment w:val="center"/>
              <w:rPr>
                <w:rFonts w:hint="eastAsia"/>
                <w:sz w:val="21"/>
                <w:szCs w:val="21"/>
              </w:rPr>
            </w:pPr>
            <w:r>
              <w:rPr>
                <w:sz w:val="21"/>
                <w:szCs w:val="21"/>
              </w:rPr>
              <w:t>1</w:t>
            </w:r>
          </w:p>
        </w:tc>
        <w:tc>
          <w:tcPr>
            <w:tcW w:w="1275" w:type="pct"/>
            <w:vAlign w:val="center"/>
          </w:tcPr>
          <w:p w14:paraId="38B036FF">
            <w:pPr>
              <w:widowControl/>
              <w:ind w:firstLine="0" w:firstLineChars="0"/>
              <w:textAlignment w:val="center"/>
              <w:rPr>
                <w:rFonts w:hint="eastAsia"/>
                <w:sz w:val="21"/>
                <w:szCs w:val="21"/>
              </w:rPr>
            </w:pPr>
            <w:r>
              <w:rPr>
                <w:rFonts w:hint="eastAsia"/>
                <w:sz w:val="21"/>
                <w:szCs w:val="21"/>
              </w:rPr>
              <w:t>高清监控</w:t>
            </w:r>
          </w:p>
        </w:tc>
        <w:tc>
          <w:tcPr>
            <w:tcW w:w="2345" w:type="pct"/>
            <w:vAlign w:val="center"/>
          </w:tcPr>
          <w:p w14:paraId="5B3AB0A6">
            <w:pPr>
              <w:widowControl/>
              <w:ind w:firstLine="0" w:firstLineChars="0"/>
              <w:jc w:val="left"/>
              <w:textAlignment w:val="center"/>
              <w:rPr>
                <w:rFonts w:hint="eastAsia"/>
                <w:sz w:val="21"/>
                <w:szCs w:val="21"/>
              </w:rPr>
            </w:pPr>
          </w:p>
        </w:tc>
        <w:tc>
          <w:tcPr>
            <w:tcW w:w="467" w:type="pct"/>
            <w:vAlign w:val="center"/>
          </w:tcPr>
          <w:p w14:paraId="7597AC3D">
            <w:pPr>
              <w:widowControl/>
              <w:ind w:firstLine="420"/>
              <w:jc w:val="left"/>
              <w:textAlignment w:val="center"/>
              <w:rPr>
                <w:rFonts w:hint="eastAsia"/>
                <w:sz w:val="21"/>
                <w:szCs w:val="21"/>
              </w:rPr>
            </w:pPr>
          </w:p>
        </w:tc>
        <w:tc>
          <w:tcPr>
            <w:tcW w:w="394" w:type="pct"/>
            <w:vAlign w:val="center"/>
          </w:tcPr>
          <w:p w14:paraId="56B79B7E">
            <w:pPr>
              <w:widowControl/>
              <w:ind w:firstLine="420"/>
              <w:jc w:val="left"/>
              <w:textAlignment w:val="center"/>
              <w:rPr>
                <w:rFonts w:hint="eastAsia"/>
                <w:sz w:val="21"/>
                <w:szCs w:val="21"/>
              </w:rPr>
            </w:pPr>
          </w:p>
        </w:tc>
      </w:tr>
      <w:tr w14:paraId="1F77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73EDFBBD">
            <w:pPr>
              <w:widowControl/>
              <w:ind w:firstLine="0" w:firstLineChars="0"/>
              <w:jc w:val="center"/>
              <w:textAlignment w:val="center"/>
              <w:rPr>
                <w:rFonts w:hint="eastAsia"/>
                <w:sz w:val="21"/>
                <w:szCs w:val="21"/>
              </w:rPr>
            </w:pPr>
            <w:r>
              <w:rPr>
                <w:sz w:val="21"/>
                <w:szCs w:val="21"/>
              </w:rPr>
              <w:t>2</w:t>
            </w:r>
          </w:p>
        </w:tc>
        <w:tc>
          <w:tcPr>
            <w:tcW w:w="1275" w:type="pct"/>
            <w:vAlign w:val="center"/>
          </w:tcPr>
          <w:p w14:paraId="0BDF7C06">
            <w:pPr>
              <w:widowControl/>
              <w:ind w:firstLine="0" w:firstLineChars="0"/>
              <w:textAlignment w:val="center"/>
              <w:rPr>
                <w:rFonts w:hint="eastAsia"/>
                <w:sz w:val="21"/>
                <w:szCs w:val="21"/>
              </w:rPr>
            </w:pPr>
            <w:r>
              <w:rPr>
                <w:rFonts w:hint="eastAsia"/>
                <w:sz w:val="21"/>
                <w:szCs w:val="21"/>
              </w:rPr>
              <w:t>人脸抓拍摄像机</w:t>
            </w:r>
          </w:p>
        </w:tc>
        <w:tc>
          <w:tcPr>
            <w:tcW w:w="2345" w:type="pct"/>
            <w:vAlign w:val="center"/>
          </w:tcPr>
          <w:p w14:paraId="17A5971F">
            <w:pPr>
              <w:widowControl/>
              <w:ind w:firstLine="0" w:firstLineChars="0"/>
              <w:jc w:val="left"/>
              <w:textAlignment w:val="center"/>
              <w:rPr>
                <w:rFonts w:hint="eastAsia"/>
                <w:sz w:val="21"/>
                <w:szCs w:val="21"/>
              </w:rPr>
            </w:pPr>
          </w:p>
        </w:tc>
        <w:tc>
          <w:tcPr>
            <w:tcW w:w="467" w:type="pct"/>
            <w:vAlign w:val="center"/>
          </w:tcPr>
          <w:p w14:paraId="46A348CB">
            <w:pPr>
              <w:widowControl/>
              <w:ind w:firstLine="420"/>
              <w:jc w:val="left"/>
              <w:textAlignment w:val="center"/>
              <w:rPr>
                <w:rFonts w:hint="eastAsia"/>
                <w:sz w:val="21"/>
                <w:szCs w:val="21"/>
              </w:rPr>
            </w:pPr>
          </w:p>
        </w:tc>
        <w:tc>
          <w:tcPr>
            <w:tcW w:w="394" w:type="pct"/>
            <w:vAlign w:val="center"/>
          </w:tcPr>
          <w:p w14:paraId="012C66FF">
            <w:pPr>
              <w:widowControl/>
              <w:ind w:firstLine="420"/>
              <w:jc w:val="left"/>
              <w:textAlignment w:val="center"/>
              <w:rPr>
                <w:rFonts w:hint="eastAsia"/>
                <w:sz w:val="21"/>
                <w:szCs w:val="21"/>
              </w:rPr>
            </w:pPr>
          </w:p>
        </w:tc>
      </w:tr>
      <w:tr w14:paraId="63CD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5753EF45">
            <w:pPr>
              <w:widowControl/>
              <w:ind w:firstLine="0" w:firstLineChars="0"/>
              <w:jc w:val="center"/>
              <w:textAlignment w:val="center"/>
              <w:rPr>
                <w:rFonts w:hint="eastAsia"/>
                <w:sz w:val="21"/>
                <w:szCs w:val="21"/>
              </w:rPr>
            </w:pPr>
            <w:r>
              <w:rPr>
                <w:sz w:val="21"/>
                <w:szCs w:val="21"/>
              </w:rPr>
              <w:t>3</w:t>
            </w:r>
          </w:p>
        </w:tc>
        <w:tc>
          <w:tcPr>
            <w:tcW w:w="1275" w:type="pct"/>
            <w:vAlign w:val="center"/>
          </w:tcPr>
          <w:p w14:paraId="4A0F0930">
            <w:pPr>
              <w:widowControl/>
              <w:ind w:firstLine="0" w:firstLineChars="0"/>
              <w:textAlignment w:val="center"/>
              <w:rPr>
                <w:rFonts w:hint="eastAsia"/>
                <w:sz w:val="21"/>
                <w:szCs w:val="21"/>
              </w:rPr>
            </w:pPr>
            <w:r>
              <w:rPr>
                <w:rFonts w:hint="eastAsia"/>
                <w:sz w:val="21"/>
                <w:szCs w:val="21"/>
              </w:rPr>
              <w:t>高空抛物摄像机</w:t>
            </w:r>
          </w:p>
        </w:tc>
        <w:tc>
          <w:tcPr>
            <w:tcW w:w="2345" w:type="pct"/>
            <w:vAlign w:val="center"/>
          </w:tcPr>
          <w:p w14:paraId="3DE053CC">
            <w:pPr>
              <w:widowControl/>
              <w:ind w:firstLine="0" w:firstLineChars="0"/>
              <w:jc w:val="left"/>
              <w:textAlignment w:val="center"/>
              <w:rPr>
                <w:rFonts w:hint="eastAsia"/>
                <w:sz w:val="21"/>
                <w:szCs w:val="21"/>
              </w:rPr>
            </w:pPr>
          </w:p>
        </w:tc>
        <w:tc>
          <w:tcPr>
            <w:tcW w:w="467" w:type="pct"/>
            <w:vAlign w:val="center"/>
          </w:tcPr>
          <w:p w14:paraId="61FB9F62">
            <w:pPr>
              <w:widowControl/>
              <w:ind w:firstLine="420"/>
              <w:jc w:val="left"/>
              <w:textAlignment w:val="center"/>
              <w:rPr>
                <w:rFonts w:hint="eastAsia"/>
                <w:sz w:val="21"/>
                <w:szCs w:val="21"/>
              </w:rPr>
            </w:pPr>
          </w:p>
        </w:tc>
        <w:tc>
          <w:tcPr>
            <w:tcW w:w="394" w:type="pct"/>
            <w:vAlign w:val="center"/>
          </w:tcPr>
          <w:p w14:paraId="0D1E707C">
            <w:pPr>
              <w:widowControl/>
              <w:ind w:firstLine="420"/>
              <w:jc w:val="left"/>
              <w:textAlignment w:val="center"/>
              <w:rPr>
                <w:rFonts w:hint="eastAsia"/>
                <w:sz w:val="21"/>
                <w:szCs w:val="21"/>
              </w:rPr>
            </w:pPr>
          </w:p>
        </w:tc>
      </w:tr>
      <w:tr w14:paraId="2443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18" w:type="pct"/>
            <w:vAlign w:val="center"/>
          </w:tcPr>
          <w:p w14:paraId="70A9F401">
            <w:pPr>
              <w:widowControl/>
              <w:ind w:firstLine="0" w:firstLineChars="0"/>
              <w:jc w:val="center"/>
              <w:textAlignment w:val="center"/>
              <w:rPr>
                <w:rFonts w:hint="eastAsia"/>
                <w:sz w:val="21"/>
                <w:szCs w:val="21"/>
              </w:rPr>
            </w:pPr>
            <w:r>
              <w:rPr>
                <w:sz w:val="21"/>
                <w:szCs w:val="21"/>
              </w:rPr>
              <w:t>4</w:t>
            </w:r>
          </w:p>
        </w:tc>
        <w:tc>
          <w:tcPr>
            <w:tcW w:w="1275" w:type="pct"/>
            <w:vAlign w:val="center"/>
          </w:tcPr>
          <w:p w14:paraId="4302B357">
            <w:pPr>
              <w:widowControl/>
              <w:ind w:firstLine="0" w:firstLineChars="0"/>
              <w:textAlignment w:val="center"/>
              <w:rPr>
                <w:rFonts w:hint="eastAsia"/>
                <w:sz w:val="21"/>
                <w:szCs w:val="21"/>
              </w:rPr>
            </w:pPr>
            <w:r>
              <w:rPr>
                <w:rFonts w:hint="eastAsia"/>
                <w:sz w:val="21"/>
                <w:szCs w:val="21"/>
              </w:rPr>
              <w:t>车辆识别摄像机</w:t>
            </w:r>
          </w:p>
        </w:tc>
        <w:tc>
          <w:tcPr>
            <w:tcW w:w="2345" w:type="pct"/>
            <w:vAlign w:val="center"/>
          </w:tcPr>
          <w:p w14:paraId="59A6D683">
            <w:pPr>
              <w:widowControl/>
              <w:ind w:firstLine="0" w:firstLineChars="0"/>
              <w:jc w:val="left"/>
              <w:textAlignment w:val="center"/>
              <w:rPr>
                <w:rFonts w:hint="eastAsia"/>
                <w:sz w:val="21"/>
                <w:szCs w:val="21"/>
              </w:rPr>
            </w:pPr>
          </w:p>
        </w:tc>
        <w:tc>
          <w:tcPr>
            <w:tcW w:w="467" w:type="pct"/>
            <w:vAlign w:val="center"/>
          </w:tcPr>
          <w:p w14:paraId="70804B7C">
            <w:pPr>
              <w:widowControl/>
              <w:ind w:firstLine="420"/>
              <w:jc w:val="left"/>
              <w:textAlignment w:val="center"/>
              <w:rPr>
                <w:rFonts w:hint="eastAsia"/>
                <w:sz w:val="21"/>
                <w:szCs w:val="21"/>
              </w:rPr>
            </w:pPr>
          </w:p>
        </w:tc>
        <w:tc>
          <w:tcPr>
            <w:tcW w:w="394" w:type="pct"/>
            <w:vAlign w:val="center"/>
          </w:tcPr>
          <w:p w14:paraId="04DCC378">
            <w:pPr>
              <w:widowControl/>
              <w:ind w:firstLine="420"/>
              <w:jc w:val="left"/>
              <w:textAlignment w:val="center"/>
              <w:rPr>
                <w:rFonts w:hint="eastAsia"/>
                <w:sz w:val="21"/>
                <w:szCs w:val="21"/>
              </w:rPr>
            </w:pPr>
          </w:p>
        </w:tc>
      </w:tr>
      <w:tr w14:paraId="12EA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4E10AB7C">
            <w:pPr>
              <w:widowControl/>
              <w:ind w:firstLine="0" w:firstLineChars="0"/>
              <w:jc w:val="center"/>
              <w:textAlignment w:val="center"/>
              <w:rPr>
                <w:rFonts w:hint="eastAsia"/>
                <w:sz w:val="21"/>
                <w:szCs w:val="21"/>
              </w:rPr>
            </w:pPr>
            <w:r>
              <w:rPr>
                <w:sz w:val="21"/>
                <w:szCs w:val="21"/>
              </w:rPr>
              <w:t>5</w:t>
            </w:r>
          </w:p>
        </w:tc>
        <w:tc>
          <w:tcPr>
            <w:tcW w:w="1275" w:type="pct"/>
            <w:vAlign w:val="center"/>
          </w:tcPr>
          <w:p w14:paraId="708F9D52">
            <w:pPr>
              <w:widowControl/>
              <w:ind w:firstLine="0" w:firstLineChars="0"/>
              <w:textAlignment w:val="center"/>
              <w:rPr>
                <w:rFonts w:hint="eastAsia"/>
                <w:sz w:val="21"/>
                <w:szCs w:val="21"/>
              </w:rPr>
            </w:pPr>
            <w:r>
              <w:rPr>
                <w:rFonts w:hint="eastAsia"/>
                <w:sz w:val="21"/>
                <w:szCs w:val="21"/>
              </w:rPr>
              <w:t>硬盘录像机</w:t>
            </w:r>
          </w:p>
        </w:tc>
        <w:tc>
          <w:tcPr>
            <w:tcW w:w="2345" w:type="pct"/>
            <w:vAlign w:val="center"/>
          </w:tcPr>
          <w:p w14:paraId="5093347F">
            <w:pPr>
              <w:widowControl/>
              <w:ind w:firstLine="0" w:firstLineChars="0"/>
              <w:jc w:val="left"/>
              <w:textAlignment w:val="center"/>
              <w:rPr>
                <w:rFonts w:hint="eastAsia"/>
                <w:sz w:val="21"/>
                <w:szCs w:val="21"/>
              </w:rPr>
            </w:pPr>
          </w:p>
        </w:tc>
        <w:tc>
          <w:tcPr>
            <w:tcW w:w="467" w:type="pct"/>
            <w:vAlign w:val="center"/>
          </w:tcPr>
          <w:p w14:paraId="3A51C095">
            <w:pPr>
              <w:widowControl/>
              <w:ind w:firstLine="420"/>
              <w:jc w:val="left"/>
              <w:textAlignment w:val="center"/>
              <w:rPr>
                <w:rFonts w:hint="eastAsia"/>
                <w:sz w:val="21"/>
                <w:szCs w:val="21"/>
              </w:rPr>
            </w:pPr>
          </w:p>
        </w:tc>
        <w:tc>
          <w:tcPr>
            <w:tcW w:w="394" w:type="pct"/>
            <w:vAlign w:val="center"/>
          </w:tcPr>
          <w:p w14:paraId="6D55E2CD">
            <w:pPr>
              <w:widowControl/>
              <w:ind w:firstLine="420"/>
              <w:jc w:val="left"/>
              <w:textAlignment w:val="center"/>
              <w:rPr>
                <w:rFonts w:hint="eastAsia"/>
                <w:sz w:val="21"/>
                <w:szCs w:val="21"/>
              </w:rPr>
            </w:pPr>
          </w:p>
        </w:tc>
      </w:tr>
      <w:tr w14:paraId="10F9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5408DAF5">
            <w:pPr>
              <w:widowControl/>
              <w:ind w:firstLine="0" w:firstLineChars="0"/>
              <w:jc w:val="center"/>
              <w:textAlignment w:val="center"/>
              <w:rPr>
                <w:rFonts w:hint="eastAsia"/>
                <w:sz w:val="21"/>
                <w:szCs w:val="21"/>
              </w:rPr>
            </w:pPr>
            <w:r>
              <w:rPr>
                <w:sz w:val="21"/>
                <w:szCs w:val="21"/>
              </w:rPr>
              <w:t>6</w:t>
            </w:r>
          </w:p>
        </w:tc>
        <w:tc>
          <w:tcPr>
            <w:tcW w:w="1275" w:type="pct"/>
            <w:vAlign w:val="center"/>
          </w:tcPr>
          <w:p w14:paraId="72C4D319">
            <w:pPr>
              <w:widowControl/>
              <w:ind w:firstLine="0" w:firstLineChars="0"/>
              <w:textAlignment w:val="center"/>
              <w:rPr>
                <w:rFonts w:hint="eastAsia"/>
                <w:sz w:val="21"/>
                <w:szCs w:val="21"/>
              </w:rPr>
            </w:pPr>
            <w:r>
              <w:rPr>
                <w:rFonts w:hint="eastAsia"/>
                <w:sz w:val="21"/>
                <w:szCs w:val="21"/>
              </w:rPr>
              <w:t>车辆道闸</w:t>
            </w:r>
          </w:p>
        </w:tc>
        <w:tc>
          <w:tcPr>
            <w:tcW w:w="2345" w:type="pct"/>
            <w:vAlign w:val="center"/>
          </w:tcPr>
          <w:p w14:paraId="03E36E15">
            <w:pPr>
              <w:widowControl/>
              <w:ind w:firstLine="0" w:firstLineChars="0"/>
              <w:jc w:val="left"/>
              <w:textAlignment w:val="center"/>
              <w:rPr>
                <w:rFonts w:hint="eastAsia"/>
                <w:sz w:val="21"/>
                <w:szCs w:val="21"/>
              </w:rPr>
            </w:pPr>
          </w:p>
        </w:tc>
        <w:tc>
          <w:tcPr>
            <w:tcW w:w="467" w:type="pct"/>
            <w:vAlign w:val="center"/>
          </w:tcPr>
          <w:p w14:paraId="4702C2D1">
            <w:pPr>
              <w:widowControl/>
              <w:ind w:firstLine="420"/>
              <w:jc w:val="left"/>
              <w:textAlignment w:val="center"/>
              <w:rPr>
                <w:rFonts w:hint="eastAsia"/>
                <w:sz w:val="21"/>
                <w:szCs w:val="21"/>
              </w:rPr>
            </w:pPr>
          </w:p>
        </w:tc>
        <w:tc>
          <w:tcPr>
            <w:tcW w:w="394" w:type="pct"/>
            <w:vAlign w:val="center"/>
          </w:tcPr>
          <w:p w14:paraId="4FF8A5B0">
            <w:pPr>
              <w:widowControl/>
              <w:ind w:firstLine="420"/>
              <w:jc w:val="left"/>
              <w:textAlignment w:val="center"/>
              <w:rPr>
                <w:rFonts w:hint="eastAsia"/>
                <w:sz w:val="21"/>
                <w:szCs w:val="21"/>
              </w:rPr>
            </w:pPr>
          </w:p>
        </w:tc>
      </w:tr>
      <w:tr w14:paraId="7BFA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4565FDE0">
            <w:pPr>
              <w:widowControl/>
              <w:ind w:firstLine="0" w:firstLineChars="0"/>
              <w:jc w:val="center"/>
              <w:textAlignment w:val="center"/>
              <w:rPr>
                <w:rFonts w:hint="eastAsia"/>
                <w:sz w:val="21"/>
                <w:szCs w:val="21"/>
              </w:rPr>
            </w:pPr>
            <w:r>
              <w:rPr>
                <w:rFonts w:hint="eastAsia"/>
                <w:sz w:val="21"/>
                <w:szCs w:val="21"/>
              </w:rPr>
              <w:t>7</w:t>
            </w:r>
          </w:p>
        </w:tc>
        <w:tc>
          <w:tcPr>
            <w:tcW w:w="1275" w:type="pct"/>
            <w:vAlign w:val="center"/>
          </w:tcPr>
          <w:p w14:paraId="74C94839">
            <w:pPr>
              <w:widowControl/>
              <w:ind w:firstLine="0" w:firstLineChars="0"/>
              <w:textAlignment w:val="center"/>
              <w:rPr>
                <w:rFonts w:hint="eastAsia"/>
                <w:sz w:val="21"/>
                <w:szCs w:val="21"/>
              </w:rPr>
            </w:pPr>
            <w:r>
              <w:rPr>
                <w:rFonts w:hint="eastAsia"/>
                <w:sz w:val="21"/>
                <w:szCs w:val="21"/>
              </w:rPr>
              <w:t>人行通道门</w:t>
            </w:r>
          </w:p>
        </w:tc>
        <w:tc>
          <w:tcPr>
            <w:tcW w:w="2345" w:type="pct"/>
            <w:vAlign w:val="center"/>
          </w:tcPr>
          <w:p w14:paraId="68E4A858">
            <w:pPr>
              <w:widowControl/>
              <w:ind w:firstLine="0" w:firstLineChars="0"/>
              <w:jc w:val="left"/>
              <w:textAlignment w:val="center"/>
              <w:rPr>
                <w:rFonts w:hint="eastAsia"/>
                <w:sz w:val="21"/>
                <w:szCs w:val="21"/>
              </w:rPr>
            </w:pPr>
          </w:p>
        </w:tc>
        <w:tc>
          <w:tcPr>
            <w:tcW w:w="467" w:type="pct"/>
            <w:vAlign w:val="center"/>
          </w:tcPr>
          <w:p w14:paraId="271B18B4">
            <w:pPr>
              <w:widowControl/>
              <w:ind w:firstLine="420"/>
              <w:jc w:val="left"/>
              <w:textAlignment w:val="center"/>
              <w:rPr>
                <w:rFonts w:hint="eastAsia"/>
                <w:sz w:val="21"/>
                <w:szCs w:val="21"/>
              </w:rPr>
            </w:pPr>
          </w:p>
        </w:tc>
        <w:tc>
          <w:tcPr>
            <w:tcW w:w="394" w:type="pct"/>
            <w:vAlign w:val="center"/>
          </w:tcPr>
          <w:p w14:paraId="558F77F9">
            <w:pPr>
              <w:widowControl/>
              <w:ind w:firstLine="420"/>
              <w:jc w:val="left"/>
              <w:textAlignment w:val="center"/>
              <w:rPr>
                <w:rFonts w:hint="eastAsia"/>
                <w:sz w:val="21"/>
                <w:szCs w:val="21"/>
              </w:rPr>
            </w:pPr>
          </w:p>
        </w:tc>
      </w:tr>
      <w:tr w14:paraId="6071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50A81F4C">
            <w:pPr>
              <w:widowControl/>
              <w:ind w:firstLine="0" w:firstLineChars="0"/>
              <w:jc w:val="center"/>
              <w:textAlignment w:val="center"/>
              <w:rPr>
                <w:rFonts w:hint="eastAsia"/>
                <w:sz w:val="21"/>
                <w:szCs w:val="21"/>
              </w:rPr>
            </w:pPr>
            <w:r>
              <w:rPr>
                <w:rFonts w:hint="eastAsia"/>
                <w:sz w:val="21"/>
                <w:szCs w:val="21"/>
              </w:rPr>
              <w:t>8</w:t>
            </w:r>
          </w:p>
        </w:tc>
        <w:tc>
          <w:tcPr>
            <w:tcW w:w="1275" w:type="pct"/>
            <w:vAlign w:val="center"/>
          </w:tcPr>
          <w:p w14:paraId="5CC587A4">
            <w:pPr>
              <w:widowControl/>
              <w:ind w:firstLine="0" w:firstLineChars="0"/>
              <w:textAlignment w:val="center"/>
              <w:rPr>
                <w:rFonts w:hint="eastAsia"/>
                <w:sz w:val="21"/>
                <w:szCs w:val="21"/>
              </w:rPr>
            </w:pPr>
            <w:r>
              <w:rPr>
                <w:rFonts w:hint="eastAsia"/>
                <w:sz w:val="21"/>
                <w:szCs w:val="21"/>
              </w:rPr>
              <w:t>电子巡更设备</w:t>
            </w:r>
          </w:p>
        </w:tc>
        <w:tc>
          <w:tcPr>
            <w:tcW w:w="2345" w:type="pct"/>
            <w:vAlign w:val="center"/>
          </w:tcPr>
          <w:p w14:paraId="20F18109">
            <w:pPr>
              <w:widowControl/>
              <w:ind w:firstLine="0" w:firstLineChars="0"/>
              <w:jc w:val="left"/>
              <w:textAlignment w:val="center"/>
              <w:rPr>
                <w:rFonts w:hint="eastAsia"/>
                <w:sz w:val="21"/>
                <w:szCs w:val="21"/>
              </w:rPr>
            </w:pPr>
          </w:p>
        </w:tc>
        <w:tc>
          <w:tcPr>
            <w:tcW w:w="467" w:type="pct"/>
            <w:vAlign w:val="center"/>
          </w:tcPr>
          <w:p w14:paraId="6BF003AB">
            <w:pPr>
              <w:widowControl/>
              <w:ind w:firstLine="420"/>
              <w:jc w:val="left"/>
              <w:textAlignment w:val="center"/>
              <w:rPr>
                <w:rFonts w:hint="eastAsia"/>
                <w:sz w:val="21"/>
                <w:szCs w:val="21"/>
              </w:rPr>
            </w:pPr>
          </w:p>
        </w:tc>
        <w:tc>
          <w:tcPr>
            <w:tcW w:w="394" w:type="pct"/>
            <w:vAlign w:val="center"/>
          </w:tcPr>
          <w:p w14:paraId="71C9A94F">
            <w:pPr>
              <w:widowControl/>
              <w:ind w:firstLine="420"/>
              <w:jc w:val="left"/>
              <w:textAlignment w:val="center"/>
              <w:rPr>
                <w:rFonts w:hint="eastAsia"/>
                <w:sz w:val="21"/>
                <w:szCs w:val="21"/>
              </w:rPr>
            </w:pPr>
          </w:p>
        </w:tc>
      </w:tr>
      <w:tr w14:paraId="5E1A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720B6A8F">
            <w:pPr>
              <w:widowControl/>
              <w:ind w:firstLine="0" w:firstLineChars="0"/>
              <w:jc w:val="center"/>
              <w:textAlignment w:val="center"/>
              <w:rPr>
                <w:rFonts w:hint="eastAsia"/>
                <w:sz w:val="21"/>
                <w:szCs w:val="21"/>
              </w:rPr>
            </w:pPr>
            <w:r>
              <w:rPr>
                <w:rFonts w:hint="eastAsia"/>
                <w:sz w:val="21"/>
                <w:szCs w:val="21"/>
              </w:rPr>
              <w:t>9</w:t>
            </w:r>
          </w:p>
        </w:tc>
        <w:tc>
          <w:tcPr>
            <w:tcW w:w="1275" w:type="pct"/>
            <w:vAlign w:val="center"/>
          </w:tcPr>
          <w:p w14:paraId="3B03F22D">
            <w:pPr>
              <w:widowControl/>
              <w:ind w:firstLine="0" w:firstLineChars="0"/>
              <w:textAlignment w:val="center"/>
              <w:rPr>
                <w:rFonts w:hint="eastAsia"/>
                <w:sz w:val="21"/>
                <w:szCs w:val="21"/>
              </w:rPr>
            </w:pPr>
            <w:r>
              <w:rPr>
                <w:rFonts w:hint="eastAsia"/>
                <w:sz w:val="21"/>
                <w:szCs w:val="21"/>
              </w:rPr>
              <w:t>周界防护设备</w:t>
            </w:r>
          </w:p>
        </w:tc>
        <w:tc>
          <w:tcPr>
            <w:tcW w:w="2345" w:type="pct"/>
            <w:vAlign w:val="center"/>
          </w:tcPr>
          <w:p w14:paraId="216E7680">
            <w:pPr>
              <w:widowControl/>
              <w:ind w:firstLine="0" w:firstLineChars="0"/>
              <w:jc w:val="left"/>
              <w:textAlignment w:val="center"/>
              <w:rPr>
                <w:rFonts w:hint="eastAsia"/>
                <w:sz w:val="21"/>
                <w:szCs w:val="21"/>
              </w:rPr>
            </w:pPr>
          </w:p>
        </w:tc>
        <w:tc>
          <w:tcPr>
            <w:tcW w:w="467" w:type="pct"/>
            <w:vAlign w:val="center"/>
          </w:tcPr>
          <w:p w14:paraId="25C4D149">
            <w:pPr>
              <w:widowControl/>
              <w:ind w:firstLine="420"/>
              <w:jc w:val="left"/>
              <w:textAlignment w:val="center"/>
              <w:rPr>
                <w:rFonts w:hint="eastAsia"/>
                <w:sz w:val="21"/>
                <w:szCs w:val="21"/>
              </w:rPr>
            </w:pPr>
          </w:p>
        </w:tc>
        <w:tc>
          <w:tcPr>
            <w:tcW w:w="394" w:type="pct"/>
            <w:vAlign w:val="center"/>
          </w:tcPr>
          <w:p w14:paraId="0A9DAD9F">
            <w:pPr>
              <w:widowControl/>
              <w:ind w:firstLine="420"/>
              <w:jc w:val="left"/>
              <w:textAlignment w:val="center"/>
              <w:rPr>
                <w:rFonts w:hint="eastAsia"/>
                <w:sz w:val="21"/>
                <w:szCs w:val="21"/>
              </w:rPr>
            </w:pPr>
          </w:p>
        </w:tc>
      </w:tr>
      <w:tr w14:paraId="307F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35EAAA53">
            <w:pPr>
              <w:widowControl/>
              <w:ind w:firstLine="0" w:firstLineChars="0"/>
              <w:jc w:val="center"/>
              <w:textAlignment w:val="center"/>
              <w:rPr>
                <w:rFonts w:hint="eastAsia"/>
                <w:sz w:val="21"/>
                <w:szCs w:val="21"/>
              </w:rPr>
            </w:pPr>
            <w:r>
              <w:rPr>
                <w:rFonts w:hint="eastAsia"/>
                <w:sz w:val="21"/>
                <w:szCs w:val="21"/>
              </w:rPr>
              <w:t>10</w:t>
            </w:r>
          </w:p>
        </w:tc>
        <w:tc>
          <w:tcPr>
            <w:tcW w:w="1275" w:type="pct"/>
            <w:vAlign w:val="center"/>
          </w:tcPr>
          <w:p w14:paraId="0694F60B">
            <w:pPr>
              <w:widowControl/>
              <w:ind w:firstLine="0" w:firstLineChars="0"/>
              <w:textAlignment w:val="center"/>
              <w:rPr>
                <w:rFonts w:hint="eastAsia"/>
                <w:sz w:val="21"/>
                <w:szCs w:val="21"/>
              </w:rPr>
            </w:pPr>
            <w:r>
              <w:rPr>
                <w:rFonts w:hint="eastAsia"/>
                <w:sz w:val="21"/>
                <w:szCs w:val="21"/>
              </w:rPr>
              <w:t>人脸门禁机</w:t>
            </w:r>
          </w:p>
        </w:tc>
        <w:tc>
          <w:tcPr>
            <w:tcW w:w="2345" w:type="pct"/>
            <w:vAlign w:val="center"/>
          </w:tcPr>
          <w:p w14:paraId="1BAFA6D7">
            <w:pPr>
              <w:widowControl/>
              <w:ind w:firstLine="0" w:firstLineChars="0"/>
              <w:jc w:val="left"/>
              <w:textAlignment w:val="center"/>
              <w:rPr>
                <w:rFonts w:hint="eastAsia"/>
                <w:sz w:val="21"/>
                <w:szCs w:val="21"/>
              </w:rPr>
            </w:pPr>
          </w:p>
        </w:tc>
        <w:tc>
          <w:tcPr>
            <w:tcW w:w="467" w:type="pct"/>
            <w:vAlign w:val="center"/>
          </w:tcPr>
          <w:p w14:paraId="3CA04B57">
            <w:pPr>
              <w:widowControl/>
              <w:ind w:firstLine="420"/>
              <w:jc w:val="left"/>
              <w:textAlignment w:val="center"/>
              <w:rPr>
                <w:rFonts w:hint="eastAsia"/>
                <w:sz w:val="21"/>
                <w:szCs w:val="21"/>
              </w:rPr>
            </w:pPr>
          </w:p>
        </w:tc>
        <w:tc>
          <w:tcPr>
            <w:tcW w:w="394" w:type="pct"/>
            <w:vAlign w:val="center"/>
          </w:tcPr>
          <w:p w14:paraId="6C771C26">
            <w:pPr>
              <w:widowControl/>
              <w:ind w:firstLine="420"/>
              <w:jc w:val="left"/>
              <w:textAlignment w:val="center"/>
              <w:rPr>
                <w:rFonts w:hint="eastAsia"/>
                <w:sz w:val="21"/>
                <w:szCs w:val="21"/>
              </w:rPr>
            </w:pPr>
          </w:p>
        </w:tc>
      </w:tr>
      <w:tr w14:paraId="6DFE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31C003B8">
            <w:pPr>
              <w:widowControl/>
              <w:ind w:firstLine="0" w:firstLineChars="0"/>
              <w:jc w:val="center"/>
              <w:textAlignment w:val="center"/>
              <w:rPr>
                <w:rFonts w:hint="eastAsia"/>
                <w:sz w:val="21"/>
                <w:szCs w:val="21"/>
              </w:rPr>
            </w:pPr>
            <w:r>
              <w:rPr>
                <w:rFonts w:hint="eastAsia"/>
                <w:sz w:val="21"/>
                <w:szCs w:val="21"/>
              </w:rPr>
              <w:t>11</w:t>
            </w:r>
          </w:p>
        </w:tc>
        <w:tc>
          <w:tcPr>
            <w:tcW w:w="1275" w:type="pct"/>
            <w:vAlign w:val="center"/>
          </w:tcPr>
          <w:p w14:paraId="2E5B6689">
            <w:pPr>
              <w:widowControl/>
              <w:ind w:firstLine="0" w:firstLineChars="0"/>
              <w:textAlignment w:val="center"/>
              <w:rPr>
                <w:rFonts w:hint="eastAsia"/>
                <w:sz w:val="21"/>
                <w:szCs w:val="21"/>
              </w:rPr>
            </w:pPr>
            <w:r>
              <w:rPr>
                <w:rFonts w:hint="eastAsia"/>
                <w:sz w:val="21"/>
                <w:szCs w:val="21"/>
              </w:rPr>
              <w:t>接入终端</w:t>
            </w:r>
          </w:p>
        </w:tc>
        <w:tc>
          <w:tcPr>
            <w:tcW w:w="2345" w:type="pct"/>
            <w:vAlign w:val="center"/>
          </w:tcPr>
          <w:p w14:paraId="0379748F">
            <w:pPr>
              <w:widowControl/>
              <w:ind w:firstLine="0" w:firstLineChars="0"/>
              <w:jc w:val="left"/>
              <w:textAlignment w:val="center"/>
              <w:rPr>
                <w:rFonts w:hint="eastAsia"/>
                <w:sz w:val="21"/>
                <w:szCs w:val="21"/>
              </w:rPr>
            </w:pPr>
          </w:p>
        </w:tc>
        <w:tc>
          <w:tcPr>
            <w:tcW w:w="467" w:type="pct"/>
            <w:vAlign w:val="center"/>
          </w:tcPr>
          <w:p w14:paraId="65793CCE">
            <w:pPr>
              <w:widowControl/>
              <w:ind w:firstLine="420"/>
              <w:jc w:val="left"/>
              <w:textAlignment w:val="center"/>
              <w:rPr>
                <w:rFonts w:hint="eastAsia"/>
                <w:sz w:val="21"/>
                <w:szCs w:val="21"/>
              </w:rPr>
            </w:pPr>
          </w:p>
        </w:tc>
        <w:tc>
          <w:tcPr>
            <w:tcW w:w="394" w:type="pct"/>
            <w:vAlign w:val="center"/>
          </w:tcPr>
          <w:p w14:paraId="771EA724">
            <w:pPr>
              <w:widowControl/>
              <w:ind w:firstLine="420"/>
              <w:jc w:val="left"/>
              <w:textAlignment w:val="center"/>
              <w:rPr>
                <w:rFonts w:hint="eastAsia"/>
                <w:sz w:val="21"/>
                <w:szCs w:val="21"/>
              </w:rPr>
            </w:pPr>
          </w:p>
        </w:tc>
      </w:tr>
      <w:tr w14:paraId="0D7A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6957B78F">
            <w:pPr>
              <w:widowControl/>
              <w:ind w:firstLine="0" w:firstLineChars="0"/>
              <w:jc w:val="center"/>
              <w:textAlignment w:val="center"/>
              <w:rPr>
                <w:rFonts w:hint="eastAsia"/>
                <w:sz w:val="21"/>
                <w:szCs w:val="21"/>
              </w:rPr>
            </w:pPr>
            <w:r>
              <w:rPr>
                <w:rFonts w:hint="eastAsia"/>
                <w:sz w:val="21"/>
                <w:szCs w:val="21"/>
              </w:rPr>
              <w:t>12</w:t>
            </w:r>
          </w:p>
        </w:tc>
        <w:tc>
          <w:tcPr>
            <w:tcW w:w="1275" w:type="pct"/>
            <w:vAlign w:val="center"/>
          </w:tcPr>
          <w:p w14:paraId="6529D811">
            <w:pPr>
              <w:widowControl/>
              <w:ind w:firstLine="0" w:firstLineChars="0"/>
              <w:textAlignment w:val="center"/>
              <w:rPr>
                <w:rFonts w:hint="eastAsia"/>
                <w:sz w:val="21"/>
                <w:szCs w:val="21"/>
              </w:rPr>
            </w:pPr>
            <w:r>
              <w:rPr>
                <w:sz w:val="21"/>
                <w:szCs w:val="21"/>
              </w:rPr>
              <w:t>杆件</w:t>
            </w:r>
            <w:r>
              <w:rPr>
                <w:rFonts w:hint="eastAsia"/>
                <w:sz w:val="21"/>
                <w:szCs w:val="21"/>
              </w:rPr>
              <w:t>（含背包箱）</w:t>
            </w:r>
          </w:p>
        </w:tc>
        <w:tc>
          <w:tcPr>
            <w:tcW w:w="2345" w:type="pct"/>
            <w:vAlign w:val="center"/>
          </w:tcPr>
          <w:p w14:paraId="1152EC54">
            <w:pPr>
              <w:widowControl/>
              <w:ind w:firstLine="0" w:firstLineChars="0"/>
              <w:jc w:val="left"/>
              <w:textAlignment w:val="center"/>
              <w:rPr>
                <w:rFonts w:hint="eastAsia"/>
                <w:sz w:val="21"/>
                <w:szCs w:val="21"/>
              </w:rPr>
            </w:pPr>
          </w:p>
        </w:tc>
        <w:tc>
          <w:tcPr>
            <w:tcW w:w="467" w:type="pct"/>
            <w:vAlign w:val="center"/>
          </w:tcPr>
          <w:p w14:paraId="3541186D">
            <w:pPr>
              <w:widowControl/>
              <w:ind w:firstLine="420"/>
              <w:jc w:val="left"/>
              <w:textAlignment w:val="center"/>
              <w:rPr>
                <w:rFonts w:hint="eastAsia"/>
                <w:sz w:val="21"/>
                <w:szCs w:val="21"/>
              </w:rPr>
            </w:pPr>
          </w:p>
        </w:tc>
        <w:tc>
          <w:tcPr>
            <w:tcW w:w="394" w:type="pct"/>
            <w:vAlign w:val="center"/>
          </w:tcPr>
          <w:p w14:paraId="1D52D322">
            <w:pPr>
              <w:widowControl/>
              <w:ind w:firstLine="420"/>
              <w:jc w:val="left"/>
              <w:textAlignment w:val="center"/>
              <w:rPr>
                <w:rFonts w:hint="eastAsia"/>
                <w:sz w:val="21"/>
                <w:szCs w:val="21"/>
              </w:rPr>
            </w:pPr>
          </w:p>
        </w:tc>
      </w:tr>
      <w:tr w14:paraId="0990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8" w:type="pct"/>
            <w:vAlign w:val="center"/>
          </w:tcPr>
          <w:p w14:paraId="30CFDB71">
            <w:pPr>
              <w:widowControl/>
              <w:ind w:firstLine="0" w:firstLineChars="0"/>
              <w:jc w:val="center"/>
              <w:textAlignment w:val="center"/>
              <w:rPr>
                <w:rFonts w:hint="eastAsia"/>
                <w:sz w:val="21"/>
                <w:szCs w:val="21"/>
              </w:rPr>
            </w:pPr>
            <w:r>
              <w:rPr>
                <w:rFonts w:hint="eastAsia"/>
                <w:sz w:val="21"/>
                <w:szCs w:val="21"/>
              </w:rPr>
              <w:t>13</w:t>
            </w:r>
          </w:p>
        </w:tc>
        <w:tc>
          <w:tcPr>
            <w:tcW w:w="1275" w:type="pct"/>
            <w:vAlign w:val="center"/>
          </w:tcPr>
          <w:p w14:paraId="312259D7">
            <w:pPr>
              <w:widowControl/>
              <w:ind w:firstLine="0" w:firstLineChars="0"/>
              <w:textAlignment w:val="center"/>
              <w:rPr>
                <w:rFonts w:hint="eastAsia"/>
                <w:sz w:val="21"/>
                <w:szCs w:val="21"/>
              </w:rPr>
            </w:pPr>
            <w:r>
              <w:rPr>
                <w:sz w:val="21"/>
                <w:szCs w:val="21"/>
              </w:rPr>
              <w:t>供电</w:t>
            </w:r>
            <w:r>
              <w:rPr>
                <w:rFonts w:hint="eastAsia"/>
                <w:sz w:val="21"/>
                <w:szCs w:val="21"/>
              </w:rPr>
              <w:t>（含UPS）</w:t>
            </w:r>
          </w:p>
        </w:tc>
        <w:tc>
          <w:tcPr>
            <w:tcW w:w="2345" w:type="pct"/>
            <w:vAlign w:val="center"/>
          </w:tcPr>
          <w:p w14:paraId="0DDD5424">
            <w:pPr>
              <w:widowControl/>
              <w:ind w:firstLine="0" w:firstLineChars="0"/>
              <w:jc w:val="left"/>
              <w:textAlignment w:val="center"/>
              <w:rPr>
                <w:rFonts w:hint="eastAsia"/>
                <w:sz w:val="21"/>
                <w:szCs w:val="21"/>
              </w:rPr>
            </w:pPr>
          </w:p>
        </w:tc>
        <w:tc>
          <w:tcPr>
            <w:tcW w:w="467" w:type="pct"/>
            <w:vAlign w:val="center"/>
          </w:tcPr>
          <w:p w14:paraId="7EF1A40B">
            <w:pPr>
              <w:widowControl/>
              <w:ind w:firstLine="420"/>
              <w:jc w:val="left"/>
              <w:textAlignment w:val="center"/>
              <w:rPr>
                <w:rFonts w:hint="eastAsia"/>
                <w:sz w:val="21"/>
                <w:szCs w:val="21"/>
              </w:rPr>
            </w:pPr>
          </w:p>
        </w:tc>
        <w:tc>
          <w:tcPr>
            <w:tcW w:w="394" w:type="pct"/>
            <w:vAlign w:val="center"/>
          </w:tcPr>
          <w:p w14:paraId="172F3854">
            <w:pPr>
              <w:widowControl/>
              <w:ind w:firstLine="420"/>
              <w:jc w:val="left"/>
              <w:textAlignment w:val="center"/>
              <w:rPr>
                <w:rFonts w:hint="eastAsia"/>
                <w:sz w:val="21"/>
                <w:szCs w:val="21"/>
              </w:rPr>
            </w:pPr>
          </w:p>
        </w:tc>
      </w:tr>
      <w:tr w14:paraId="39E7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8" w:type="pct"/>
            <w:vAlign w:val="center"/>
          </w:tcPr>
          <w:p w14:paraId="0E134E65">
            <w:pPr>
              <w:widowControl/>
              <w:ind w:firstLine="0" w:firstLineChars="0"/>
              <w:jc w:val="center"/>
              <w:textAlignment w:val="center"/>
              <w:rPr>
                <w:rFonts w:hint="eastAsia"/>
                <w:sz w:val="21"/>
                <w:szCs w:val="21"/>
              </w:rPr>
            </w:pPr>
            <w:r>
              <w:rPr>
                <w:sz w:val="21"/>
                <w:szCs w:val="21"/>
              </w:rPr>
              <w:t>...</w:t>
            </w:r>
          </w:p>
        </w:tc>
        <w:tc>
          <w:tcPr>
            <w:tcW w:w="1275" w:type="pct"/>
            <w:vAlign w:val="center"/>
          </w:tcPr>
          <w:p w14:paraId="15B33550">
            <w:pPr>
              <w:widowControl/>
              <w:ind w:firstLine="0" w:firstLineChars="0"/>
              <w:jc w:val="left"/>
              <w:textAlignment w:val="center"/>
              <w:rPr>
                <w:rFonts w:hint="eastAsia"/>
                <w:sz w:val="21"/>
                <w:szCs w:val="21"/>
              </w:rPr>
            </w:pPr>
            <w:r>
              <w:rPr>
                <w:sz w:val="21"/>
                <w:szCs w:val="21"/>
              </w:rPr>
              <w:t>...</w:t>
            </w:r>
          </w:p>
        </w:tc>
        <w:tc>
          <w:tcPr>
            <w:tcW w:w="2345" w:type="pct"/>
            <w:vAlign w:val="center"/>
          </w:tcPr>
          <w:p w14:paraId="1710EF85">
            <w:pPr>
              <w:widowControl/>
              <w:ind w:firstLine="0" w:firstLineChars="0"/>
              <w:jc w:val="left"/>
              <w:textAlignment w:val="center"/>
              <w:rPr>
                <w:rFonts w:hint="eastAsia"/>
                <w:sz w:val="21"/>
                <w:szCs w:val="21"/>
              </w:rPr>
            </w:pPr>
            <w:r>
              <w:rPr>
                <w:sz w:val="21"/>
                <w:szCs w:val="21"/>
              </w:rPr>
              <w:t>...</w:t>
            </w:r>
          </w:p>
        </w:tc>
        <w:tc>
          <w:tcPr>
            <w:tcW w:w="467" w:type="pct"/>
            <w:vAlign w:val="center"/>
          </w:tcPr>
          <w:p w14:paraId="7FC1704B">
            <w:pPr>
              <w:widowControl/>
              <w:ind w:firstLine="420"/>
              <w:jc w:val="left"/>
              <w:textAlignment w:val="center"/>
              <w:rPr>
                <w:rFonts w:hint="eastAsia"/>
                <w:sz w:val="21"/>
                <w:szCs w:val="21"/>
              </w:rPr>
            </w:pPr>
            <w:r>
              <w:rPr>
                <w:sz w:val="21"/>
                <w:szCs w:val="21"/>
              </w:rPr>
              <w:t>...</w:t>
            </w:r>
          </w:p>
        </w:tc>
        <w:tc>
          <w:tcPr>
            <w:tcW w:w="394" w:type="pct"/>
            <w:vAlign w:val="center"/>
          </w:tcPr>
          <w:p w14:paraId="3AFDE92E">
            <w:pPr>
              <w:widowControl/>
              <w:ind w:firstLine="420"/>
              <w:jc w:val="left"/>
              <w:textAlignment w:val="center"/>
              <w:rPr>
                <w:rFonts w:hint="eastAsia"/>
                <w:sz w:val="21"/>
                <w:szCs w:val="21"/>
              </w:rPr>
            </w:pPr>
          </w:p>
        </w:tc>
      </w:tr>
    </w:tbl>
    <w:p w14:paraId="098430BC">
      <w:pPr>
        <w:numPr>
          <w:ilvl w:val="0"/>
          <w:numId w:val="0"/>
        </w:numPr>
        <w:rPr>
          <w:rFonts w:hint="default"/>
          <w:lang w:val="en-US" w:eastAsia="zh-CN"/>
        </w:rPr>
      </w:pPr>
    </w:p>
    <w:p w14:paraId="3DEDDAF1">
      <w:pPr>
        <w:numPr>
          <w:ilvl w:val="0"/>
          <w:numId w:val="0"/>
        </w:numPr>
        <w:spacing w:line="360" w:lineRule="auto"/>
        <w:ind w:firstLine="435" w:firstLineChars="0"/>
        <w:outlineLvl w:val="1"/>
        <w:rPr>
          <w:rFonts w:hint="default" w:ascii="宋体" w:hAnsi="宋体" w:eastAsia="宋体" w:cs="宋体"/>
          <w:b/>
          <w:bCs/>
          <w:sz w:val="24"/>
          <w:szCs w:val="24"/>
          <w:highlight w:val="none"/>
          <w:lang w:val="en-US" w:eastAsia="zh-CN"/>
        </w:rPr>
      </w:pPr>
      <w:r>
        <w:rPr>
          <w:rFonts w:hint="eastAsia" w:ascii="宋体" w:hAnsi="宋体" w:eastAsia="宋体" w:cs="宋体"/>
          <w:b/>
          <w:bCs/>
          <w:kern w:val="2"/>
          <w:sz w:val="24"/>
          <w:szCs w:val="24"/>
          <w:lang w:val="en-US" w:eastAsia="zh-CN" w:bidi="ar-SA"/>
        </w:rPr>
        <w:t>四、</w:t>
      </w:r>
      <w:r>
        <w:rPr>
          <w:rFonts w:hint="eastAsia" w:ascii="宋体" w:hAnsi="宋体" w:eastAsia="宋体" w:cs="宋体"/>
          <w:b/>
          <w:bCs/>
          <w:sz w:val="24"/>
          <w:szCs w:val="24"/>
          <w:highlight w:val="none"/>
          <w:lang w:val="en-US" w:eastAsia="zh-CN"/>
        </w:rPr>
        <w:t>运维考核</w:t>
      </w:r>
    </w:p>
    <w:p w14:paraId="4A10EFAC">
      <w:pPr>
        <w:pageBreakBefore w:val="0"/>
        <w:widowControl w:val="0"/>
        <w:kinsoku/>
        <w:wordWrap/>
        <w:overflowPunct/>
        <w:topLinePunct w:val="0"/>
        <w:autoSpaceDE/>
        <w:autoSpaceDN/>
        <w:bidi w:val="0"/>
        <w:adjustRightInd/>
        <w:snapToGrid/>
        <w:spacing w:line="360" w:lineRule="auto"/>
        <w:ind w:firstLine="480"/>
        <w:textAlignment w:val="auto"/>
        <w:rPr>
          <w:rFonts w:hint="eastAsia"/>
        </w:rPr>
      </w:pPr>
      <w:r>
        <w:rPr>
          <w:rFonts w:hint="eastAsia"/>
        </w:rPr>
        <w:t>例外情形：因小区改造、市政建设、城市改造、供电公司计划性及区域临时性停电、自然灾害等非</w:t>
      </w:r>
      <w:r>
        <w:rPr>
          <w:rFonts w:hint="eastAsia"/>
          <w:lang w:eastAsia="zh-CN"/>
        </w:rPr>
        <w:t>中标单位</w:t>
      </w:r>
      <w:r>
        <w:rPr>
          <w:rFonts w:hint="eastAsia"/>
        </w:rPr>
        <w:t>原因造成的故障、中断、设备损坏等，</w:t>
      </w:r>
      <w:r>
        <w:rPr>
          <w:rFonts w:hint="eastAsia"/>
          <w:lang w:eastAsia="zh-CN"/>
        </w:rPr>
        <w:t>中标单位</w:t>
      </w:r>
      <w:r>
        <w:rPr>
          <w:rFonts w:hint="eastAsia"/>
        </w:rPr>
        <w:t>需在24小时内书面通知采购人并提供有效证明材料，经采购人确认后，该时段不计入考核周期，不触发相关扣款。</w:t>
      </w:r>
    </w:p>
    <w:p w14:paraId="4D04BF17">
      <w:pPr>
        <w:pageBreakBefore w:val="0"/>
        <w:widowControl w:val="0"/>
        <w:kinsoku/>
        <w:wordWrap/>
        <w:overflowPunct/>
        <w:topLinePunct w:val="0"/>
        <w:autoSpaceDE/>
        <w:autoSpaceDN/>
        <w:bidi w:val="0"/>
        <w:adjustRightInd/>
        <w:snapToGrid/>
        <w:spacing w:line="360" w:lineRule="auto"/>
        <w:ind w:firstLine="480"/>
        <w:textAlignment w:val="auto"/>
        <w:rPr>
          <w:rFonts w:hint="eastAsia"/>
        </w:rPr>
      </w:pPr>
      <w:r>
        <w:rPr>
          <w:rFonts w:hint="eastAsia"/>
        </w:rPr>
        <w:t>扣款规则：各项考核的扣款金额为单次违规的基础扣款，同一违规行为同时触发多项考核的，按最高扣款标准执行，不重复叠加；扣款总额累计不超过当月运维服务费用总额。运维服务考核内容包括前端设备运维考核、网络链路运维考核、平台系统运维考核、安全运维考核、驻点服务考核、应急保障考核等，具体考核要求如下：</w:t>
      </w:r>
    </w:p>
    <w:p w14:paraId="2DB2FDB4">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1．前端设备运维考核</w:t>
      </w:r>
    </w:p>
    <w:p w14:paraId="2C662DEE">
      <w:pPr>
        <w:pageBreakBefore w:val="0"/>
        <w:widowControl w:val="0"/>
        <w:kinsoku/>
        <w:wordWrap/>
        <w:overflowPunct/>
        <w:topLinePunct w:val="0"/>
        <w:autoSpaceDE/>
        <w:autoSpaceDN/>
        <w:bidi w:val="0"/>
        <w:adjustRightInd/>
        <w:snapToGrid/>
        <w:spacing w:line="360" w:lineRule="auto"/>
        <w:ind w:firstLine="480"/>
        <w:textAlignment w:val="auto"/>
        <w:rPr>
          <w:rFonts w:hint="eastAsia"/>
        </w:rPr>
      </w:pPr>
      <w:r>
        <w:rPr>
          <w:rFonts w:hint="eastAsia"/>
        </w:rPr>
        <w:t>前端摄像机故障是指前端设备离线以及前端设备在线但实际图像因镜头污损、图像模糊、异物遮挡、控制故障、枪机画面严重偏离监控有效区域等图像不能达到有效使用效果的情况，影响小区前端感知数据的正常推送。</w:t>
      </w:r>
    </w:p>
    <w:p w14:paraId="66FCE025">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（1）在线率考核</w:t>
      </w:r>
    </w:p>
    <w:p w14:paraId="0E2FDFB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考核指标：月度在线率(X)=实际可用时间/理论总时间*100%=（摄像机数量×24×A-Σ摄像机故障时间）/（摄像机数量×24×</w:t>
      </w:r>
      <w:r>
        <w:rPr>
          <w:rFonts w:hint="eastAsia" w:ascii="宋体" w:hAnsi="宋体" w:cs="宋体"/>
          <w:highlight w:val="none"/>
          <w:lang w:val="en-US" w:eastAsia="zh-CN"/>
        </w:rPr>
        <w:t>A</w:t>
      </w:r>
      <w:r>
        <w:rPr>
          <w:rFonts w:hint="eastAsia" w:ascii="宋体" w:hAnsi="宋体" w:eastAsia="宋体" w:cs="宋体"/>
        </w:rPr>
        <w:t>）×100%（A指当月运维期内自然日数，摄像机故障时间依据运维平台统计时长）。</w:t>
      </w:r>
    </w:p>
    <w:p w14:paraId="5DA6DF2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考核要求：月度在线率≥90%。</w:t>
      </w:r>
    </w:p>
    <w:p w14:paraId="65CC9DC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扣款标准：在线率＜90%时，按（1-X）×当月运维费用总额扣款。</w:t>
      </w:r>
    </w:p>
    <w:p w14:paraId="75CEED9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考核周期：月度。</w:t>
      </w:r>
    </w:p>
    <w:p w14:paraId="1E7D4FB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说明：故障时间指经采购人确认的、非例外情形导致的设备离线时间；</w:t>
      </w:r>
      <w:r>
        <w:rPr>
          <w:rFonts w:hint="eastAsia" w:ascii="宋体" w:hAnsi="宋体" w:cs="宋体"/>
          <w:lang w:val="en-US" w:eastAsia="zh-CN"/>
        </w:rPr>
        <w:t>24</w:t>
      </w:r>
      <w:r>
        <w:rPr>
          <w:rFonts w:hint="eastAsia" w:ascii="宋体" w:hAnsi="宋体" w:eastAsia="宋体" w:cs="宋体"/>
        </w:rPr>
        <w:t>小时内修复的故障，其故障时间不计入在线率统计。</w:t>
      </w:r>
    </w:p>
    <w:p w14:paraId="4DCFE24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具体考核要求如下：</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3"/>
        <w:gridCol w:w="2745"/>
        <w:gridCol w:w="3051"/>
        <w:gridCol w:w="1455"/>
      </w:tblGrid>
      <w:tr w14:paraId="720C7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33" w:type="pct"/>
            <w:vAlign w:val="center"/>
          </w:tcPr>
          <w:p w14:paraId="0443BF67">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sz w:val="21"/>
                <w:szCs w:val="21"/>
              </w:rPr>
            </w:pPr>
            <w:r>
              <w:rPr>
                <w:b/>
                <w:bCs/>
                <w:sz w:val="21"/>
                <w:szCs w:val="21"/>
              </w:rPr>
              <w:t>月度考核在线率</w:t>
            </w:r>
          </w:p>
        </w:tc>
        <w:tc>
          <w:tcPr>
            <w:tcW w:w="1426" w:type="pct"/>
            <w:vAlign w:val="center"/>
          </w:tcPr>
          <w:p w14:paraId="36129747">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sz w:val="21"/>
                <w:szCs w:val="21"/>
              </w:rPr>
            </w:pPr>
            <w:r>
              <w:rPr>
                <w:b/>
                <w:bCs/>
                <w:sz w:val="21"/>
                <w:szCs w:val="21"/>
              </w:rPr>
              <w:t>扣款标准</w:t>
            </w:r>
          </w:p>
        </w:tc>
        <w:tc>
          <w:tcPr>
            <w:tcW w:w="1585" w:type="pct"/>
            <w:vAlign w:val="center"/>
          </w:tcPr>
          <w:p w14:paraId="024255DD">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sz w:val="21"/>
                <w:szCs w:val="21"/>
              </w:rPr>
            </w:pPr>
            <w:r>
              <w:rPr>
                <w:b/>
                <w:bCs/>
                <w:sz w:val="21"/>
                <w:szCs w:val="21"/>
              </w:rPr>
              <w:t>扣款基准</w:t>
            </w:r>
          </w:p>
        </w:tc>
        <w:tc>
          <w:tcPr>
            <w:tcW w:w="756" w:type="pct"/>
            <w:vAlign w:val="center"/>
          </w:tcPr>
          <w:p w14:paraId="45E4B54F">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sz w:val="21"/>
                <w:szCs w:val="21"/>
              </w:rPr>
            </w:pPr>
            <w:r>
              <w:rPr>
                <w:b/>
                <w:bCs/>
                <w:sz w:val="21"/>
                <w:szCs w:val="21"/>
              </w:rPr>
              <w:t>考核周期</w:t>
            </w:r>
          </w:p>
        </w:tc>
      </w:tr>
      <w:tr w14:paraId="65F2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vAlign w:val="center"/>
          </w:tcPr>
          <w:p w14:paraId="62360643">
            <w:pPr>
              <w:pageBreakBefore w:val="0"/>
              <w:widowControl w:val="0"/>
              <w:kinsoku/>
              <w:wordWrap/>
              <w:overflowPunct/>
              <w:topLinePunct w:val="0"/>
              <w:autoSpaceDE/>
              <w:autoSpaceDN/>
              <w:bidi w:val="0"/>
              <w:adjustRightInd/>
              <w:snapToGrid/>
              <w:spacing w:line="360" w:lineRule="auto"/>
              <w:ind w:firstLine="420"/>
              <w:textAlignment w:val="auto"/>
              <w:rPr>
                <w:rFonts w:hint="eastAsia"/>
                <w:sz w:val="21"/>
                <w:szCs w:val="21"/>
              </w:rPr>
            </w:pPr>
            <w:r>
              <w:rPr>
                <w:sz w:val="21"/>
                <w:szCs w:val="21"/>
              </w:rPr>
              <w:t>X≥90%</w:t>
            </w:r>
          </w:p>
        </w:tc>
        <w:tc>
          <w:tcPr>
            <w:tcW w:w="1426" w:type="pct"/>
            <w:vAlign w:val="center"/>
          </w:tcPr>
          <w:p w14:paraId="4D9B30C0">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sz w:val="21"/>
                <w:szCs w:val="21"/>
              </w:rPr>
            </w:pPr>
            <w:r>
              <w:rPr>
                <w:sz w:val="21"/>
                <w:szCs w:val="21"/>
              </w:rPr>
              <w:t>不扣款</w:t>
            </w:r>
          </w:p>
        </w:tc>
        <w:tc>
          <w:tcPr>
            <w:tcW w:w="1585" w:type="pct"/>
            <w:vMerge w:val="restart"/>
            <w:vAlign w:val="center"/>
          </w:tcPr>
          <w:p w14:paraId="55AA0B9E">
            <w:pPr>
              <w:pageBreakBefore w:val="0"/>
              <w:widowControl w:val="0"/>
              <w:kinsoku/>
              <w:wordWrap/>
              <w:overflowPunct/>
              <w:topLinePunct w:val="0"/>
              <w:autoSpaceDE/>
              <w:autoSpaceDN/>
              <w:bidi w:val="0"/>
              <w:adjustRightInd/>
              <w:snapToGrid/>
              <w:spacing w:line="360" w:lineRule="auto"/>
              <w:ind w:firstLine="420"/>
              <w:textAlignment w:val="auto"/>
              <w:rPr>
                <w:rFonts w:hint="eastAsia"/>
                <w:sz w:val="21"/>
                <w:szCs w:val="21"/>
              </w:rPr>
            </w:pPr>
            <w:r>
              <w:rPr>
                <w:sz w:val="21"/>
                <w:szCs w:val="21"/>
              </w:rPr>
              <w:t>合同总价/12个月</w:t>
            </w:r>
          </w:p>
        </w:tc>
        <w:tc>
          <w:tcPr>
            <w:tcW w:w="756" w:type="pct"/>
            <w:vMerge w:val="restart"/>
            <w:vAlign w:val="center"/>
          </w:tcPr>
          <w:p w14:paraId="778C8C61">
            <w:pPr>
              <w:pageBreakBefore w:val="0"/>
              <w:widowControl w:val="0"/>
              <w:kinsoku/>
              <w:wordWrap/>
              <w:overflowPunct/>
              <w:topLinePunct w:val="0"/>
              <w:autoSpaceDE/>
              <w:autoSpaceDN/>
              <w:bidi w:val="0"/>
              <w:adjustRightInd/>
              <w:snapToGrid/>
              <w:spacing w:line="360" w:lineRule="auto"/>
              <w:ind w:firstLine="199" w:firstLineChars="95"/>
              <w:textAlignment w:val="auto"/>
              <w:rPr>
                <w:rFonts w:hint="eastAsia"/>
                <w:sz w:val="21"/>
                <w:szCs w:val="21"/>
              </w:rPr>
            </w:pPr>
            <w:r>
              <w:rPr>
                <w:sz w:val="21"/>
                <w:szCs w:val="21"/>
              </w:rPr>
              <w:t>月度</w:t>
            </w:r>
          </w:p>
        </w:tc>
      </w:tr>
      <w:tr w14:paraId="4BF4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33" w:type="pct"/>
            <w:vAlign w:val="center"/>
          </w:tcPr>
          <w:p w14:paraId="1D55E6CE">
            <w:pPr>
              <w:pageBreakBefore w:val="0"/>
              <w:widowControl w:val="0"/>
              <w:kinsoku/>
              <w:wordWrap/>
              <w:overflowPunct/>
              <w:topLinePunct w:val="0"/>
              <w:autoSpaceDE/>
              <w:autoSpaceDN/>
              <w:bidi w:val="0"/>
              <w:adjustRightInd/>
              <w:snapToGrid/>
              <w:spacing w:line="360" w:lineRule="auto"/>
              <w:ind w:firstLine="420"/>
              <w:textAlignment w:val="auto"/>
              <w:rPr>
                <w:rFonts w:hint="eastAsia"/>
                <w:sz w:val="21"/>
                <w:szCs w:val="21"/>
              </w:rPr>
            </w:pPr>
            <w:r>
              <w:rPr>
                <w:sz w:val="21"/>
                <w:szCs w:val="21"/>
              </w:rPr>
              <w:t>X＜90%</w:t>
            </w:r>
          </w:p>
        </w:tc>
        <w:tc>
          <w:tcPr>
            <w:tcW w:w="1426" w:type="pct"/>
            <w:vAlign w:val="center"/>
          </w:tcPr>
          <w:p w14:paraId="0384336C">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sz w:val="21"/>
                <w:szCs w:val="21"/>
              </w:rPr>
            </w:pPr>
            <w:r>
              <w:rPr>
                <w:sz w:val="21"/>
                <w:szCs w:val="21"/>
              </w:rPr>
              <w:t>按照1-X的比例扣款</w:t>
            </w:r>
          </w:p>
        </w:tc>
        <w:tc>
          <w:tcPr>
            <w:tcW w:w="1585" w:type="pct"/>
            <w:vMerge w:val="continue"/>
            <w:vAlign w:val="center"/>
          </w:tcPr>
          <w:p w14:paraId="01B56DC3">
            <w:pPr>
              <w:pageBreakBefore w:val="0"/>
              <w:widowControl w:val="0"/>
              <w:kinsoku/>
              <w:wordWrap/>
              <w:overflowPunct/>
              <w:topLinePunct w:val="0"/>
              <w:autoSpaceDE/>
              <w:autoSpaceDN/>
              <w:bidi w:val="0"/>
              <w:adjustRightInd/>
              <w:snapToGrid/>
              <w:spacing w:line="360" w:lineRule="auto"/>
              <w:ind w:firstLine="420"/>
              <w:textAlignment w:val="auto"/>
              <w:rPr>
                <w:rFonts w:hint="eastAsia"/>
                <w:sz w:val="21"/>
                <w:szCs w:val="21"/>
              </w:rPr>
            </w:pPr>
          </w:p>
        </w:tc>
        <w:tc>
          <w:tcPr>
            <w:tcW w:w="756" w:type="pct"/>
            <w:vMerge w:val="continue"/>
            <w:vAlign w:val="center"/>
          </w:tcPr>
          <w:p w14:paraId="284075CF">
            <w:pPr>
              <w:pageBreakBefore w:val="0"/>
              <w:widowControl w:val="0"/>
              <w:kinsoku/>
              <w:wordWrap/>
              <w:overflowPunct/>
              <w:topLinePunct w:val="0"/>
              <w:autoSpaceDE/>
              <w:autoSpaceDN/>
              <w:bidi w:val="0"/>
              <w:adjustRightInd/>
              <w:snapToGrid/>
              <w:spacing w:line="360" w:lineRule="auto"/>
              <w:ind w:firstLine="420"/>
              <w:textAlignment w:val="auto"/>
              <w:rPr>
                <w:rFonts w:hint="eastAsia"/>
                <w:sz w:val="21"/>
                <w:szCs w:val="21"/>
              </w:rPr>
            </w:pPr>
          </w:p>
        </w:tc>
      </w:tr>
    </w:tbl>
    <w:p w14:paraId="7A77CD14">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（2）故障修复超时考核</w:t>
      </w:r>
    </w:p>
    <w:p w14:paraId="610363C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故障在</w:t>
      </w:r>
      <w:r>
        <w:rPr>
          <w:rFonts w:hint="eastAsia" w:ascii="宋体" w:hAnsi="宋体" w:cs="宋体"/>
          <w:lang w:val="en-US" w:eastAsia="zh-CN"/>
        </w:rPr>
        <w:t>24</w:t>
      </w:r>
      <w:r>
        <w:rPr>
          <w:rFonts w:hint="eastAsia" w:ascii="宋体" w:hAnsi="宋体" w:eastAsia="宋体" w:cs="宋体"/>
        </w:rPr>
        <w:t>小时内完成修复的，故障时间不计入在线率考核；发生故障后达到一周未修复的，每处每次扣除月度运维费用200元，每延期1天修复（不足一天按一天计算），增加500元（搁置、迁建期内的除外）。</w:t>
      </w:r>
    </w:p>
    <w:p w14:paraId="5A18090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因小区改造、市政建设、城市改造、供电公司计划性及区域临时性停电等不可预见因素造成前端故障、设备丢失、线路破坏等，中标单位在遇到以上情况后，需及时书面通知采购人，提供证明材料，提出整改措施并得到采购人确认</w:t>
      </w:r>
      <w:r>
        <w:rPr>
          <w:rFonts w:hint="eastAsia" w:ascii="宋体" w:hAnsi="宋体" w:cs="宋体"/>
          <w:lang w:eastAsia="zh-CN"/>
        </w:rPr>
        <w:t>，</w:t>
      </w:r>
      <w:r>
        <w:rPr>
          <w:rFonts w:hint="eastAsia" w:ascii="宋体" w:hAnsi="宋体" w:cs="宋体"/>
          <w:lang w:val="en-US" w:eastAsia="zh-CN"/>
        </w:rPr>
        <w:t>所有运维资产由中标单位负责保全，若出现资产丢失、损坏等情况由中标单位负责处理解决</w:t>
      </w:r>
      <w:r>
        <w:rPr>
          <w:rFonts w:hint="eastAsia" w:ascii="宋体" w:hAnsi="宋体" w:eastAsia="宋体" w:cs="宋体"/>
        </w:rPr>
        <w:t>。搁置、迁建期不计入在线率考核的故障考核时间。搁置、迁建期结束，仍未恢复的，自超期之日起纳入离线时长。</w:t>
      </w:r>
    </w:p>
    <w:p w14:paraId="671F7123">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（3）日常巡检考核</w:t>
      </w:r>
    </w:p>
    <w:p w14:paraId="3C4447D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考核要求：每月开展1次全面巡检，出具《巡检报告》，明确问题分类、整改措施及完成时间。</w:t>
      </w:r>
    </w:p>
    <w:p w14:paraId="22860F0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扣款标准：</w:t>
      </w:r>
    </w:p>
    <w:p w14:paraId="0BFB514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未按要求开展月度巡检或未提交《巡检报告》的，每次扣除500元；</w:t>
      </w:r>
    </w:p>
    <w:p w14:paraId="436A643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巡检报告内容不实、未明确整改措施的，每次扣除1000元；</w:t>
      </w:r>
    </w:p>
    <w:p w14:paraId="6F04A55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考核周期：每月。</w:t>
      </w:r>
    </w:p>
    <w:p w14:paraId="7C1E88A5">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2．网络链路运维考核</w:t>
      </w:r>
    </w:p>
    <w:p w14:paraId="55B56590">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（1）考核要求</w:t>
      </w:r>
    </w:p>
    <w:p w14:paraId="2B061C0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链路监测：实现“7×24小时”实时监测链路带宽、时延、丢包率，当带宽利用率超80%或丢包率≥1%时，立即触发预警并执行优化。</w:t>
      </w:r>
    </w:p>
    <w:p w14:paraId="246D324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中断处置：专线链路中断后，2小时内完成链路修复，确保全年链路可用率≥99.9%。</w:t>
      </w:r>
    </w:p>
    <w:p w14:paraId="0C2E6E17">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（2）扣款标准</w:t>
      </w:r>
    </w:p>
    <w:p w14:paraId="6C4226D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未实现“7×24小时”实时监测，或未按要求触发预警、未执行优化的，每发现1次扣除500元。</w:t>
      </w:r>
    </w:p>
    <w:p w14:paraId="40D9190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链路中断后，修复超时（超2小时）的，每次扣除500元；全年链路可用率未达99.9%的，按差额比例额外扣除1000元。（全年的链路可用率没达到99.9%，每差一个百分点，额外扣1000块钱）</w:t>
      </w:r>
    </w:p>
    <w:p w14:paraId="63A2761D">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（3）考核周期</w:t>
      </w:r>
    </w:p>
    <w:p w14:paraId="6A9A1C6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月度（链路监测、中断处置执行情况）、年度（安全保障、链路可用率达标情况）。</w:t>
      </w:r>
    </w:p>
    <w:p w14:paraId="3541CFBA">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（4）例外情形</w:t>
      </w:r>
    </w:p>
    <w:p w14:paraId="5525DE5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因市政施工、运营商故障、自然灾害、供电中断等非中标单位原因导致的链路问题，中标单位需在24小时内提交书面说明及有效证明材料（如运营商故障通知、政府施工公告），经采购人确认后，该时段不计入运维责任时长，不触发扣款。</w:t>
      </w:r>
    </w:p>
    <w:p w14:paraId="19721401">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3．平台系统运维考核</w:t>
      </w:r>
    </w:p>
    <w:p w14:paraId="0EAA11E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lang w:val="en-US" w:eastAsia="zh-CN"/>
        </w:rPr>
      </w:pPr>
      <w:r>
        <w:rPr>
          <w:rFonts w:hint="eastAsia" w:ascii="宋体" w:hAnsi="宋体" w:cs="宋体"/>
          <w:lang w:val="en-US" w:eastAsia="zh-CN"/>
        </w:rPr>
        <w:t>当平台系统发生故障后，按照故障修复时间进行扣款，平台故障指故障确定由平台本身服务造成，且影响业务使用的，不包括用户客户端因素。</w:t>
      </w:r>
    </w:p>
    <w:p w14:paraId="5F6EBE0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cs="宋体"/>
          <w:lang w:val="en-US" w:eastAsia="zh-CN"/>
        </w:rPr>
        <w:t>数据接入平台故障修复超过2小时扣除1000元/次；超过6小时扣除5000元/次；超过12小时的扣除12000元/次。</w:t>
      </w:r>
    </w:p>
    <w:p w14:paraId="6EE43CF7">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4.数据治理考核</w:t>
      </w:r>
    </w:p>
    <w:p w14:paraId="4503B2E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设备活跃率：月平均设备活跃率低于90%，扣除月度基数运维费用的</w:t>
      </w:r>
      <w:r>
        <w:rPr>
          <w:rFonts w:hint="eastAsia" w:ascii="宋体" w:hAnsi="宋体" w:cs="宋体"/>
          <w:lang w:val="en-US" w:eastAsia="zh-CN"/>
        </w:rPr>
        <w:t>3</w:t>
      </w:r>
      <w:r>
        <w:rPr>
          <w:rFonts w:hint="eastAsia" w:ascii="宋体" w:hAnsi="宋体" w:eastAsia="宋体" w:cs="宋体"/>
        </w:rPr>
        <w:t>%，设备活跃率按照市局雪亮平台考核。</w:t>
      </w:r>
    </w:p>
    <w:p w14:paraId="39F4678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时钟准确率：月平均时钟准确率低于9</w:t>
      </w:r>
      <w:r>
        <w:rPr>
          <w:rFonts w:hint="eastAsia" w:ascii="宋体" w:hAnsi="宋体" w:cs="宋体"/>
          <w:lang w:val="en-US" w:eastAsia="zh-CN"/>
        </w:rPr>
        <w:t>0</w:t>
      </w:r>
      <w:r>
        <w:rPr>
          <w:rFonts w:hint="eastAsia" w:ascii="宋体" w:hAnsi="宋体" w:eastAsia="宋体" w:cs="宋体"/>
        </w:rPr>
        <w:t>%，扣除月度基数运维费用的</w:t>
      </w:r>
      <w:r>
        <w:rPr>
          <w:rFonts w:hint="eastAsia" w:ascii="宋体" w:hAnsi="宋体" w:cs="宋体"/>
          <w:lang w:val="en-US" w:eastAsia="zh-CN"/>
        </w:rPr>
        <w:t>3</w:t>
      </w:r>
      <w:r>
        <w:rPr>
          <w:rFonts w:hint="eastAsia" w:ascii="宋体" w:hAnsi="宋体" w:eastAsia="宋体" w:cs="宋体"/>
        </w:rPr>
        <w:t>%。时钟准确率按照市局雪亮平台考核。</w:t>
      </w:r>
    </w:p>
    <w:p w14:paraId="70352ED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人脸大图可用性：每月随机抽检40张，可用性低于9</w:t>
      </w:r>
      <w:r>
        <w:rPr>
          <w:rFonts w:hint="eastAsia" w:ascii="宋体" w:hAnsi="宋体" w:cs="宋体"/>
          <w:lang w:val="en-US" w:eastAsia="zh-CN"/>
        </w:rPr>
        <w:t>0</w:t>
      </w:r>
      <w:r>
        <w:rPr>
          <w:rFonts w:hint="eastAsia" w:ascii="宋体" w:hAnsi="宋体" w:eastAsia="宋体" w:cs="宋体"/>
        </w:rPr>
        <w:t>%，扣除月度基数运维费用的</w:t>
      </w:r>
      <w:r>
        <w:rPr>
          <w:rFonts w:hint="eastAsia" w:ascii="宋体" w:hAnsi="宋体" w:cs="宋体"/>
          <w:lang w:val="en-US" w:eastAsia="zh-CN"/>
        </w:rPr>
        <w:t>3</w:t>
      </w:r>
      <w:r>
        <w:rPr>
          <w:rFonts w:hint="eastAsia" w:ascii="宋体" w:hAnsi="宋体" w:eastAsia="宋体" w:cs="宋体"/>
        </w:rPr>
        <w:t>%。</w:t>
      </w:r>
    </w:p>
    <w:p w14:paraId="4352C4C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车辆大图可用性：每月随机抽检40张，可用性低于9</w:t>
      </w:r>
      <w:r>
        <w:rPr>
          <w:rFonts w:hint="eastAsia" w:ascii="宋体" w:hAnsi="宋体" w:cs="宋体"/>
          <w:lang w:val="en-US" w:eastAsia="zh-CN"/>
        </w:rPr>
        <w:t>0</w:t>
      </w:r>
      <w:r>
        <w:rPr>
          <w:rFonts w:hint="eastAsia" w:ascii="宋体" w:hAnsi="宋体" w:eastAsia="宋体" w:cs="宋体"/>
        </w:rPr>
        <w:t>%，扣除月度基数运维费用的</w:t>
      </w:r>
      <w:r>
        <w:rPr>
          <w:rFonts w:hint="eastAsia" w:ascii="宋体" w:hAnsi="宋体" w:cs="宋体"/>
          <w:lang w:val="en-US" w:eastAsia="zh-CN"/>
        </w:rPr>
        <w:t>3</w:t>
      </w:r>
      <w:r>
        <w:rPr>
          <w:rFonts w:hint="eastAsia" w:ascii="宋体" w:hAnsi="宋体" w:eastAsia="宋体" w:cs="宋体"/>
        </w:rPr>
        <w:t>%。</w:t>
      </w:r>
    </w:p>
    <w:p w14:paraId="5954A61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人脸图片合格性：每月随机抽检40张，合格率低于9</w:t>
      </w:r>
      <w:r>
        <w:rPr>
          <w:rFonts w:hint="eastAsia" w:ascii="宋体" w:hAnsi="宋体" w:cs="宋体"/>
          <w:lang w:val="en-US" w:eastAsia="zh-CN"/>
        </w:rPr>
        <w:t>0</w:t>
      </w:r>
      <w:r>
        <w:rPr>
          <w:rFonts w:hint="eastAsia" w:ascii="宋体" w:hAnsi="宋体" w:eastAsia="宋体" w:cs="宋体"/>
        </w:rPr>
        <w:t>%，扣除月度基数运维费用的</w:t>
      </w:r>
      <w:r>
        <w:rPr>
          <w:rFonts w:hint="eastAsia" w:ascii="宋体" w:hAnsi="宋体" w:cs="宋体"/>
          <w:lang w:val="en-US" w:eastAsia="zh-CN"/>
        </w:rPr>
        <w:t>3</w:t>
      </w:r>
      <w:r>
        <w:rPr>
          <w:rFonts w:hint="eastAsia" w:ascii="宋体" w:hAnsi="宋体" w:eastAsia="宋体" w:cs="宋体"/>
        </w:rPr>
        <w:t>%。</w:t>
      </w:r>
    </w:p>
    <w:p w14:paraId="292056F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数据上传及时率：月平均数据上传及时率低于9</w:t>
      </w:r>
      <w:r>
        <w:rPr>
          <w:rFonts w:hint="eastAsia" w:ascii="宋体" w:hAnsi="宋体" w:cs="宋体"/>
          <w:lang w:val="en-US" w:eastAsia="zh-CN"/>
        </w:rPr>
        <w:t>0</w:t>
      </w:r>
      <w:r>
        <w:rPr>
          <w:rFonts w:hint="eastAsia" w:ascii="宋体" w:hAnsi="宋体" w:eastAsia="宋体" w:cs="宋体"/>
        </w:rPr>
        <w:t>%，扣除月度基数运维费用的</w:t>
      </w:r>
      <w:r>
        <w:rPr>
          <w:rFonts w:hint="eastAsia" w:ascii="宋体" w:hAnsi="宋体" w:cs="宋体"/>
          <w:lang w:val="en-US" w:eastAsia="zh-CN"/>
        </w:rPr>
        <w:t>3</w:t>
      </w:r>
      <w:r>
        <w:rPr>
          <w:rFonts w:hint="eastAsia" w:ascii="宋体" w:hAnsi="宋体" w:eastAsia="宋体" w:cs="宋体"/>
        </w:rPr>
        <w:t>%。</w:t>
      </w:r>
    </w:p>
    <w:p w14:paraId="71FF598C">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5．安全运维考核</w:t>
      </w:r>
    </w:p>
    <w:p w14:paraId="30026118">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（1）采集安全要求考核</w:t>
      </w:r>
    </w:p>
    <w:p w14:paraId="6653ACC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考核指标：接入规范符合性、超范围采集情况。</w:t>
      </w:r>
    </w:p>
    <w:p w14:paraId="3318776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考核方式：抽查数据采集记录、核查运维台账。</w:t>
      </w:r>
    </w:p>
    <w:p w14:paraId="4CA9A93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考核标准：未按接入规范采集数据的，每发现1次扣除500元。</w:t>
      </w:r>
    </w:p>
    <w:p w14:paraId="23CCC9E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考核周期：每月</w:t>
      </w:r>
    </w:p>
    <w:p w14:paraId="026A0ACC">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（2）存储安全要求考核</w:t>
      </w:r>
    </w:p>
    <w:p w14:paraId="392CD4D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考核指标：加密落实、数据清理及时性。</w:t>
      </w:r>
    </w:p>
    <w:p w14:paraId="07EE978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考核方式：核查存储配置、清理记录。</w:t>
      </w:r>
    </w:p>
    <w:p w14:paraId="6736CDF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考核标准：向授权</w:t>
      </w:r>
      <w:r>
        <w:rPr>
          <w:rFonts w:hint="eastAsia" w:ascii="宋体" w:hAnsi="宋体" w:cs="宋体"/>
          <w:lang w:val="en-US" w:eastAsia="zh-CN"/>
        </w:rPr>
        <w:t>以外</w:t>
      </w:r>
      <w:r>
        <w:rPr>
          <w:rFonts w:hint="eastAsia" w:ascii="宋体" w:hAnsi="宋体" w:eastAsia="宋体" w:cs="宋体"/>
        </w:rPr>
        <w:t>单位开放</w:t>
      </w:r>
      <w:r>
        <w:rPr>
          <w:rFonts w:hint="eastAsia" w:ascii="宋体" w:hAnsi="宋体" w:cs="宋体"/>
          <w:lang w:val="en-US" w:eastAsia="zh-CN"/>
        </w:rPr>
        <w:t>非</w:t>
      </w:r>
      <w:r>
        <w:rPr>
          <w:rFonts w:hint="eastAsia" w:ascii="宋体" w:hAnsi="宋体" w:eastAsia="宋体" w:cs="宋体"/>
        </w:rPr>
        <w:t>必要权限的，或越权访问的，扣除1000元</w:t>
      </w:r>
      <w:r>
        <w:rPr>
          <w:rFonts w:hint="eastAsia" w:ascii="宋体" w:hAnsi="宋体" w:cs="宋体"/>
          <w:lang w:val="en-US" w:eastAsia="zh-CN"/>
        </w:rPr>
        <w:t>/次</w:t>
      </w:r>
      <w:r>
        <w:rPr>
          <w:rFonts w:hint="eastAsia" w:ascii="宋体" w:hAnsi="宋体" w:eastAsia="宋体" w:cs="宋体"/>
        </w:rPr>
        <w:t>。</w:t>
      </w:r>
    </w:p>
    <w:p w14:paraId="3C89172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考核周期：每月。</w:t>
      </w:r>
    </w:p>
    <w:p w14:paraId="72496457">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（3）传输安全要求考核</w:t>
      </w:r>
    </w:p>
    <w:p w14:paraId="049B5A8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考核指标：链路加密合规性、月度测试开展情况。</w:t>
      </w:r>
    </w:p>
    <w:p w14:paraId="56EC25A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考核方式：技术检测、监测记录。</w:t>
      </w:r>
    </w:p>
    <w:p w14:paraId="3C6CB41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考核标准：未通过加密链路传输的，每发现1次扣除1000元</w:t>
      </w:r>
      <w:r>
        <w:rPr>
          <w:rFonts w:hint="eastAsia" w:ascii="宋体" w:hAnsi="宋体" w:cs="宋体"/>
          <w:lang w:val="en-US" w:eastAsia="zh-CN"/>
        </w:rPr>
        <w:t>/次</w:t>
      </w:r>
      <w:r>
        <w:rPr>
          <w:rFonts w:hint="eastAsia" w:ascii="宋体" w:hAnsi="宋体" w:eastAsia="宋体" w:cs="宋体"/>
        </w:rPr>
        <w:t>。</w:t>
      </w:r>
    </w:p>
    <w:p w14:paraId="3145699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考核周期：每月。</w:t>
      </w:r>
    </w:p>
    <w:p w14:paraId="4EF179A9">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（4）平台运维安全要求考核</w:t>
      </w:r>
    </w:p>
    <w:p w14:paraId="20D5292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考核指标：漏洞、</w:t>
      </w:r>
      <w:r>
        <w:rPr>
          <w:rFonts w:hint="eastAsia" w:ascii="宋体" w:hAnsi="宋体" w:cs="宋体"/>
          <w:lang w:val="en-US" w:eastAsia="zh-CN"/>
        </w:rPr>
        <w:t>端口、</w:t>
      </w:r>
      <w:r>
        <w:rPr>
          <w:rFonts w:hint="eastAsia" w:ascii="宋体" w:hAnsi="宋体" w:eastAsia="宋体" w:cs="宋体"/>
        </w:rPr>
        <w:t>弱口令扫描频次、运维操作合规性。</w:t>
      </w:r>
    </w:p>
    <w:p w14:paraId="2C979D9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考核方式：核查运维记录、漏洞扫描报告。</w:t>
      </w:r>
    </w:p>
    <w:p w14:paraId="4F84C7E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考核标准：未按月开展漏洞扫描的，每次扣除1000元</w:t>
      </w:r>
      <w:r>
        <w:rPr>
          <w:rFonts w:hint="eastAsia" w:ascii="宋体" w:hAnsi="宋体" w:cs="宋体"/>
          <w:lang w:val="en-US" w:eastAsia="zh-CN"/>
        </w:rPr>
        <w:t>/次</w:t>
      </w:r>
      <w:r>
        <w:rPr>
          <w:rFonts w:hint="eastAsia" w:ascii="宋体" w:hAnsi="宋体" w:eastAsia="宋体" w:cs="宋体"/>
        </w:rPr>
        <w:t>；高危漏洞</w:t>
      </w:r>
      <w:r>
        <w:rPr>
          <w:rFonts w:hint="eastAsia" w:ascii="宋体" w:hAnsi="宋体" w:cs="宋体"/>
          <w:lang w:eastAsia="zh-CN"/>
        </w:rPr>
        <w:t>、</w:t>
      </w:r>
      <w:r>
        <w:rPr>
          <w:rFonts w:hint="eastAsia" w:ascii="宋体" w:hAnsi="宋体" w:cs="宋体"/>
          <w:lang w:val="en-US" w:eastAsia="zh-CN"/>
        </w:rPr>
        <w:t>端口、弱口令</w:t>
      </w:r>
      <w:r>
        <w:rPr>
          <w:rFonts w:hint="eastAsia" w:ascii="宋体" w:hAnsi="宋体" w:eastAsia="宋体" w:cs="宋体"/>
        </w:rPr>
        <w:t>未及时修复的，每个漏洞扣除500元</w:t>
      </w:r>
      <w:r>
        <w:rPr>
          <w:rFonts w:hint="eastAsia" w:ascii="宋体" w:hAnsi="宋体" w:cs="宋体"/>
          <w:lang w:val="en-US" w:eastAsia="zh-CN"/>
        </w:rPr>
        <w:t>/次</w:t>
      </w:r>
      <w:r>
        <w:rPr>
          <w:rFonts w:hint="eastAsia" w:ascii="宋体" w:hAnsi="宋体" w:eastAsia="宋体" w:cs="宋体"/>
        </w:rPr>
        <w:t>。</w:t>
      </w:r>
    </w:p>
    <w:p w14:paraId="33F6996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考核周期：每月。</w:t>
      </w:r>
    </w:p>
    <w:p w14:paraId="1668CBA2">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（5）保密考核</w:t>
      </w:r>
    </w:p>
    <w:p w14:paraId="4D58C1F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考核指标：人员是否履行信息安全保密要求。</w:t>
      </w:r>
    </w:p>
    <w:p w14:paraId="61152E5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考核方式：日常保密检查、违规行为核查。</w:t>
      </w:r>
    </w:p>
    <w:p w14:paraId="049EA54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考核标准：泄露相关敏感、</w:t>
      </w:r>
      <w:r>
        <w:rPr>
          <w:rFonts w:hint="eastAsia" w:ascii="宋体" w:hAnsi="宋体" w:cs="宋体"/>
          <w:lang w:val="en-US" w:eastAsia="zh-CN"/>
        </w:rPr>
        <w:t>涉密</w:t>
      </w:r>
      <w:r>
        <w:rPr>
          <w:rFonts w:hint="eastAsia" w:ascii="宋体" w:hAnsi="宋体" w:eastAsia="宋体" w:cs="宋体"/>
        </w:rPr>
        <w:t>信息每发生一次，</w:t>
      </w:r>
      <w:r>
        <w:rPr>
          <w:rFonts w:hint="eastAsia" w:ascii="宋体" w:hAnsi="宋体" w:cs="宋体"/>
          <w:lang w:val="en-US" w:eastAsia="zh-CN"/>
        </w:rPr>
        <w:t>扣除当月全部运维、链路租赁费用</w:t>
      </w:r>
      <w:r>
        <w:rPr>
          <w:rFonts w:hint="eastAsia" w:ascii="宋体" w:hAnsi="宋体" w:eastAsia="宋体" w:cs="宋体"/>
        </w:rPr>
        <w:t>。</w:t>
      </w:r>
    </w:p>
    <w:p w14:paraId="5536818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考核周期：月度。</w:t>
      </w:r>
    </w:p>
    <w:p w14:paraId="271527B6">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（6）其他安全考核</w:t>
      </w:r>
    </w:p>
    <w:p w14:paraId="71A1460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考核指标：</w:t>
      </w:r>
      <w:r>
        <w:rPr>
          <w:rFonts w:hint="eastAsia" w:ascii="宋体" w:hAnsi="宋体" w:cs="宋体"/>
          <w:lang w:val="en-US" w:eastAsia="zh-CN"/>
        </w:rPr>
        <w:t>日常运维操作过程中，</w:t>
      </w:r>
      <w:r>
        <w:rPr>
          <w:rFonts w:hint="eastAsia" w:ascii="宋体" w:hAnsi="宋体" w:eastAsia="宋体" w:cs="宋体"/>
        </w:rPr>
        <w:t>遵守安全生产的有关法律规定、系统软硬件安装、调试及运维规范性。</w:t>
      </w:r>
    </w:p>
    <w:p w14:paraId="5307B33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考核方式：日常规范检查、违规行为核查。</w:t>
      </w:r>
    </w:p>
    <w:p w14:paraId="6972FB7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考核标准：每发生一次运维安全事故，扣款100000元；造成系统存在安全漏洞且影响业务的，每次扣款50000元。</w:t>
      </w:r>
    </w:p>
    <w:p w14:paraId="7B256D0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考核周期：月度。</w:t>
      </w:r>
    </w:p>
    <w:p w14:paraId="72A42A7E">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6．其他服务考核</w:t>
      </w:r>
    </w:p>
    <w:p w14:paraId="796DBB71">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（1）驻场运维服务人员考核</w:t>
      </w:r>
    </w:p>
    <w:p w14:paraId="01BCC53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cs="宋体"/>
          <w:lang w:val="en-US" w:eastAsia="zh-CN"/>
        </w:rPr>
        <w:t>本项目所有</w:t>
      </w:r>
      <w:r>
        <w:rPr>
          <w:rFonts w:hint="eastAsia" w:ascii="宋体" w:hAnsi="宋体" w:eastAsia="宋体" w:cs="宋体"/>
        </w:rPr>
        <w:t>运维服务人员</w:t>
      </w:r>
      <w:r>
        <w:rPr>
          <w:rFonts w:hint="eastAsia" w:ascii="宋体" w:hAnsi="宋体" w:cs="宋体"/>
          <w:lang w:val="en-US" w:eastAsia="zh-CN"/>
        </w:rPr>
        <w:t>均需</w:t>
      </w:r>
      <w:r>
        <w:rPr>
          <w:rFonts w:hint="eastAsia" w:ascii="宋体" w:hAnsi="宋体" w:eastAsia="宋体" w:cs="宋体"/>
        </w:rPr>
        <w:t>服从采购人的日常考勤管理，配备电子打卡，</w:t>
      </w:r>
      <w:r>
        <w:rPr>
          <w:rFonts w:hint="eastAsia" w:ascii="宋体" w:hAnsi="宋体" w:cs="宋体"/>
          <w:lang w:val="en-US" w:eastAsia="zh-CN"/>
        </w:rPr>
        <w:t>运维服务</w:t>
      </w:r>
      <w:r>
        <w:rPr>
          <w:rFonts w:hint="eastAsia" w:ascii="宋体" w:hAnsi="宋体" w:eastAsia="宋体" w:cs="宋体"/>
        </w:rPr>
        <w:t>人员无故缺勤，扣除服务费500元</w:t>
      </w:r>
      <w:r>
        <w:rPr>
          <w:rFonts w:hint="eastAsia" w:ascii="宋体" w:hAnsi="宋体" w:cs="宋体"/>
          <w:lang w:val="en-US" w:eastAsia="zh-CN"/>
        </w:rPr>
        <w:t>/次</w:t>
      </w:r>
      <w:r>
        <w:rPr>
          <w:rFonts w:hint="eastAsia" w:ascii="宋体" w:hAnsi="宋体" w:eastAsia="宋体" w:cs="宋体"/>
        </w:rPr>
        <w:t>。未经采购人同意，中标单位不得更换项目所有的投标人员，擅自更换的视为缺勤。项目运维负责人、技术负责人员及驻场服务人员与其它项目复用的，扣除服务费1000元</w:t>
      </w:r>
      <w:r>
        <w:rPr>
          <w:rFonts w:hint="eastAsia" w:ascii="宋体" w:hAnsi="宋体" w:cs="宋体"/>
          <w:lang w:val="en-US" w:eastAsia="zh-CN"/>
        </w:rPr>
        <w:t>/人/日</w:t>
      </w:r>
      <w:r>
        <w:rPr>
          <w:rFonts w:hint="eastAsia" w:ascii="宋体" w:hAnsi="宋体" w:eastAsia="宋体" w:cs="宋体"/>
        </w:rPr>
        <w:t>。</w:t>
      </w:r>
    </w:p>
    <w:p w14:paraId="41E7208E">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（2）应急保障服务考核</w:t>
      </w:r>
    </w:p>
    <w:p w14:paraId="5AD8C34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rPr>
        <w:t>中标单位未能按要求完成保障任务的，每次扣除服务费1000元</w:t>
      </w:r>
      <w:r>
        <w:rPr>
          <w:rFonts w:hint="eastAsia" w:ascii="宋体" w:hAnsi="宋体" w:cs="宋体"/>
          <w:lang w:val="en-US" w:eastAsia="zh-CN"/>
        </w:rPr>
        <w:t>/次</w:t>
      </w:r>
      <w:r>
        <w:rPr>
          <w:rFonts w:hint="eastAsia" w:ascii="宋体" w:hAnsi="宋体" w:eastAsia="宋体" w:cs="宋体"/>
        </w:rPr>
        <w:t>。</w:t>
      </w:r>
    </w:p>
    <w:p w14:paraId="48C9380A">
      <w:pPr>
        <w:numPr>
          <w:ilvl w:val="0"/>
          <w:numId w:val="0"/>
        </w:numPr>
        <w:spacing w:line="360" w:lineRule="auto"/>
        <w:ind w:firstLine="435" w:firstLineChars="0"/>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（3）运维质效评估考核</w:t>
      </w:r>
    </w:p>
    <w:p w14:paraId="594084A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rPr>
      </w:pPr>
      <w:r>
        <w:rPr>
          <w:rFonts w:hint="eastAsia" w:ascii="宋体" w:hAnsi="宋体" w:eastAsia="宋体" w:cs="宋体"/>
        </w:rPr>
        <w:t>运维质效评估考核满分设100分。月度服务期开始时，得分为100分，按照下表的考核标准进行扣分，每项扣完为止。考核人依据月度服务质量考核得分确定履约情况：若年度前11个月服务质量考核平均分最终得分为90分（含90分）以上为优秀，80-89分为良好、70-79分为合格、70分以下为不合格。</w:t>
      </w:r>
    </w:p>
    <w:p w14:paraId="1071BD0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rPr>
      </w:pPr>
      <w:r>
        <w:rPr>
          <w:rFonts w:hint="eastAsia" w:ascii="宋体" w:hAnsi="宋体" w:eastAsia="宋体" w:cs="宋体"/>
          <w:b/>
          <w:bCs/>
        </w:rPr>
        <w:t>运维质效评估作为服务期满后续签合同的重要依据。</w:t>
      </w:r>
    </w:p>
    <w:tbl>
      <w:tblPr>
        <w:tblStyle w:val="25"/>
        <w:tblW w:w="44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032"/>
        <w:gridCol w:w="694"/>
        <w:gridCol w:w="4080"/>
        <w:gridCol w:w="1067"/>
      </w:tblGrid>
      <w:tr w14:paraId="4529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694FF0F3">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bCs/>
                <w:kern w:val="0"/>
                <w:sz w:val="21"/>
                <w:szCs w:val="21"/>
              </w:rPr>
            </w:pPr>
            <w:r>
              <w:rPr>
                <w:rFonts w:ascii="Times New Roman" w:hAnsi="Times New Roman" w:cs="Times New Roman"/>
                <w:b/>
                <w:bCs/>
                <w:kern w:val="0"/>
                <w:sz w:val="21"/>
                <w:szCs w:val="21"/>
              </w:rPr>
              <w:t>序号</w:t>
            </w:r>
          </w:p>
        </w:tc>
        <w:tc>
          <w:tcPr>
            <w:tcW w:w="1191" w:type="pct"/>
            <w:vAlign w:val="center"/>
          </w:tcPr>
          <w:p w14:paraId="3ADB9370">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bCs/>
                <w:kern w:val="0"/>
                <w:sz w:val="21"/>
                <w:szCs w:val="21"/>
              </w:rPr>
            </w:pPr>
            <w:r>
              <w:rPr>
                <w:rFonts w:ascii="Times New Roman" w:hAnsi="Times New Roman" w:cs="Times New Roman"/>
                <w:b/>
                <w:bCs/>
                <w:kern w:val="0"/>
                <w:sz w:val="21"/>
                <w:szCs w:val="21"/>
              </w:rPr>
              <w:t>考核因素</w:t>
            </w:r>
          </w:p>
        </w:tc>
        <w:tc>
          <w:tcPr>
            <w:tcW w:w="407" w:type="pct"/>
            <w:vAlign w:val="center"/>
          </w:tcPr>
          <w:p w14:paraId="14B3FE84">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bCs/>
                <w:kern w:val="0"/>
                <w:sz w:val="21"/>
                <w:szCs w:val="21"/>
              </w:rPr>
            </w:pPr>
            <w:r>
              <w:rPr>
                <w:rFonts w:ascii="Times New Roman" w:hAnsi="Times New Roman" w:cs="Times New Roman"/>
                <w:b/>
                <w:bCs/>
                <w:kern w:val="0"/>
                <w:sz w:val="21"/>
                <w:szCs w:val="21"/>
              </w:rPr>
              <w:t>分值</w:t>
            </w:r>
          </w:p>
        </w:tc>
        <w:tc>
          <w:tcPr>
            <w:tcW w:w="2391" w:type="pct"/>
            <w:vAlign w:val="center"/>
          </w:tcPr>
          <w:p w14:paraId="5837C4B9">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bCs/>
                <w:kern w:val="0"/>
                <w:sz w:val="21"/>
                <w:szCs w:val="21"/>
              </w:rPr>
            </w:pPr>
            <w:r>
              <w:rPr>
                <w:rFonts w:ascii="Times New Roman" w:hAnsi="Times New Roman" w:cs="Times New Roman"/>
                <w:b/>
                <w:bCs/>
                <w:kern w:val="0"/>
                <w:sz w:val="21"/>
                <w:szCs w:val="21"/>
              </w:rPr>
              <w:t>考核标准</w:t>
            </w:r>
          </w:p>
        </w:tc>
        <w:tc>
          <w:tcPr>
            <w:tcW w:w="625" w:type="pct"/>
            <w:vAlign w:val="center"/>
          </w:tcPr>
          <w:p w14:paraId="2E95D56E">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b/>
                <w:bCs/>
                <w:kern w:val="0"/>
                <w:sz w:val="21"/>
                <w:szCs w:val="21"/>
              </w:rPr>
            </w:pPr>
            <w:r>
              <w:rPr>
                <w:rFonts w:ascii="Times New Roman" w:hAnsi="Times New Roman" w:cs="Times New Roman"/>
                <w:b/>
                <w:bCs/>
                <w:kern w:val="0"/>
                <w:sz w:val="21"/>
                <w:szCs w:val="21"/>
              </w:rPr>
              <w:t>考核得分</w:t>
            </w:r>
          </w:p>
        </w:tc>
      </w:tr>
      <w:tr w14:paraId="01F0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84" w:type="pct"/>
            <w:vAlign w:val="center"/>
          </w:tcPr>
          <w:p w14:paraId="6D145F9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1</w:t>
            </w:r>
          </w:p>
        </w:tc>
        <w:tc>
          <w:tcPr>
            <w:tcW w:w="1191" w:type="pct"/>
            <w:vAlign w:val="center"/>
          </w:tcPr>
          <w:p w14:paraId="41A4B99D">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前端设备月度在线率</w:t>
            </w:r>
          </w:p>
        </w:tc>
        <w:tc>
          <w:tcPr>
            <w:tcW w:w="407" w:type="pct"/>
            <w:vAlign w:val="center"/>
          </w:tcPr>
          <w:p w14:paraId="6771A30F">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10</w:t>
            </w:r>
          </w:p>
        </w:tc>
        <w:tc>
          <w:tcPr>
            <w:tcW w:w="2391" w:type="pct"/>
            <w:vAlign w:val="center"/>
          </w:tcPr>
          <w:p w14:paraId="0D896D4A">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月度前端设备在线率未达90%，每低1个百分点扣0.5分</w:t>
            </w:r>
          </w:p>
        </w:tc>
        <w:tc>
          <w:tcPr>
            <w:tcW w:w="625" w:type="pct"/>
            <w:vAlign w:val="center"/>
          </w:tcPr>
          <w:p w14:paraId="64934CA9">
            <w:pPr>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kern w:val="0"/>
                <w:sz w:val="21"/>
                <w:szCs w:val="21"/>
              </w:rPr>
            </w:pPr>
          </w:p>
        </w:tc>
      </w:tr>
      <w:tr w14:paraId="089D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102234E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2</w:t>
            </w:r>
          </w:p>
        </w:tc>
        <w:tc>
          <w:tcPr>
            <w:tcW w:w="1191" w:type="pct"/>
            <w:vAlign w:val="center"/>
          </w:tcPr>
          <w:p w14:paraId="0B54C650">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日常巡检与报告合规性</w:t>
            </w:r>
          </w:p>
        </w:tc>
        <w:tc>
          <w:tcPr>
            <w:tcW w:w="407" w:type="pct"/>
            <w:vAlign w:val="center"/>
          </w:tcPr>
          <w:p w14:paraId="4E489240">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10</w:t>
            </w:r>
          </w:p>
        </w:tc>
        <w:tc>
          <w:tcPr>
            <w:tcW w:w="2391" w:type="pct"/>
            <w:vAlign w:val="center"/>
          </w:tcPr>
          <w:p w14:paraId="511F7B03">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未在次月10日前提交《巡检报告》的，每次扣5分；《巡检报告》内容不实、未明确问题分类或整改措施或完成时间的，每次扣5分</w:t>
            </w:r>
          </w:p>
        </w:tc>
        <w:tc>
          <w:tcPr>
            <w:tcW w:w="625" w:type="pct"/>
            <w:vAlign w:val="center"/>
          </w:tcPr>
          <w:p w14:paraId="204EC30B">
            <w:pPr>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kern w:val="0"/>
                <w:sz w:val="21"/>
                <w:szCs w:val="21"/>
              </w:rPr>
            </w:pPr>
          </w:p>
        </w:tc>
      </w:tr>
      <w:tr w14:paraId="521E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384" w:type="pct"/>
            <w:vAlign w:val="center"/>
          </w:tcPr>
          <w:p w14:paraId="154D361C">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3</w:t>
            </w:r>
          </w:p>
        </w:tc>
        <w:tc>
          <w:tcPr>
            <w:tcW w:w="1191" w:type="pct"/>
            <w:vAlign w:val="center"/>
          </w:tcPr>
          <w:p w14:paraId="4E218A64">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网络链路中断修复时效</w:t>
            </w:r>
          </w:p>
        </w:tc>
        <w:tc>
          <w:tcPr>
            <w:tcW w:w="407" w:type="pct"/>
            <w:vAlign w:val="center"/>
          </w:tcPr>
          <w:p w14:paraId="77C6FD56">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10</w:t>
            </w:r>
          </w:p>
        </w:tc>
        <w:tc>
          <w:tcPr>
            <w:tcW w:w="2391" w:type="pct"/>
            <w:vAlign w:val="center"/>
          </w:tcPr>
          <w:p w14:paraId="27F1B25F">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链路中断超2小时未修复的，每次扣0.5分；超6小时未修复的，每次扣1分，超12小时未修复的扣2分</w:t>
            </w:r>
          </w:p>
        </w:tc>
        <w:tc>
          <w:tcPr>
            <w:tcW w:w="625" w:type="pct"/>
            <w:vAlign w:val="center"/>
          </w:tcPr>
          <w:p w14:paraId="11F72A4E">
            <w:pPr>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kern w:val="0"/>
                <w:sz w:val="21"/>
                <w:szCs w:val="21"/>
              </w:rPr>
            </w:pPr>
          </w:p>
        </w:tc>
      </w:tr>
      <w:tr w14:paraId="1C5F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7DEB614C">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4</w:t>
            </w:r>
          </w:p>
        </w:tc>
        <w:tc>
          <w:tcPr>
            <w:tcW w:w="1191" w:type="pct"/>
            <w:vAlign w:val="center"/>
          </w:tcPr>
          <w:p w14:paraId="4A00AA41">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平台系统故障修复时效</w:t>
            </w:r>
          </w:p>
        </w:tc>
        <w:tc>
          <w:tcPr>
            <w:tcW w:w="407" w:type="pct"/>
            <w:vAlign w:val="center"/>
          </w:tcPr>
          <w:p w14:paraId="16904D04">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10</w:t>
            </w:r>
          </w:p>
        </w:tc>
        <w:tc>
          <w:tcPr>
            <w:tcW w:w="2391" w:type="pct"/>
            <w:vAlign w:val="center"/>
          </w:tcPr>
          <w:p w14:paraId="38E75E48">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平台系统故障超2小时未修复的，每次扣0.5分，超6小时未修复的，每次扣1分，超12小时未修复的，扣2分。</w:t>
            </w:r>
          </w:p>
        </w:tc>
        <w:tc>
          <w:tcPr>
            <w:tcW w:w="625" w:type="pct"/>
            <w:vAlign w:val="center"/>
          </w:tcPr>
          <w:p w14:paraId="14019936">
            <w:pPr>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kern w:val="0"/>
                <w:sz w:val="21"/>
                <w:szCs w:val="21"/>
              </w:rPr>
            </w:pPr>
          </w:p>
        </w:tc>
      </w:tr>
      <w:tr w14:paraId="265F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84" w:type="pct"/>
            <w:vAlign w:val="center"/>
          </w:tcPr>
          <w:p w14:paraId="113892EE">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5</w:t>
            </w:r>
          </w:p>
        </w:tc>
        <w:tc>
          <w:tcPr>
            <w:tcW w:w="1191" w:type="pct"/>
            <w:vAlign w:val="center"/>
          </w:tcPr>
          <w:p w14:paraId="42696AEF">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安全保密合规性</w:t>
            </w:r>
          </w:p>
        </w:tc>
        <w:tc>
          <w:tcPr>
            <w:tcW w:w="407" w:type="pct"/>
            <w:vAlign w:val="center"/>
          </w:tcPr>
          <w:p w14:paraId="61382EAF">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kern w:val="0"/>
                <w:sz w:val="21"/>
                <w:szCs w:val="21"/>
                <w:lang w:eastAsia="zh-CN"/>
              </w:rPr>
            </w:pPr>
            <w:r>
              <w:rPr>
                <w:rFonts w:ascii="Times New Roman" w:hAnsi="Times New Roman" w:cs="Times New Roman"/>
                <w:kern w:val="0"/>
                <w:sz w:val="21"/>
                <w:szCs w:val="21"/>
              </w:rPr>
              <w:t>1</w:t>
            </w:r>
            <w:r>
              <w:rPr>
                <w:rFonts w:hint="eastAsia" w:ascii="Times New Roman" w:hAnsi="Times New Roman" w:cs="Times New Roman"/>
                <w:kern w:val="0"/>
                <w:sz w:val="21"/>
                <w:szCs w:val="21"/>
                <w:lang w:val="en-US" w:eastAsia="zh-CN"/>
              </w:rPr>
              <w:t>5</w:t>
            </w:r>
          </w:p>
        </w:tc>
        <w:tc>
          <w:tcPr>
            <w:tcW w:w="2391" w:type="pct"/>
            <w:vAlign w:val="center"/>
          </w:tcPr>
          <w:p w14:paraId="4363E3F0">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发生敏感/涉密信息泄露事件的，每次扣10分，未按要求与项目实施人员签订安全保密协议的，每人扣2分；高危漏洞、弱口令未及时修复的，每次扣2分。</w:t>
            </w:r>
          </w:p>
        </w:tc>
        <w:tc>
          <w:tcPr>
            <w:tcW w:w="625" w:type="pct"/>
            <w:vAlign w:val="center"/>
          </w:tcPr>
          <w:p w14:paraId="40556065">
            <w:pPr>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kern w:val="0"/>
                <w:sz w:val="21"/>
                <w:szCs w:val="21"/>
              </w:rPr>
            </w:pPr>
          </w:p>
        </w:tc>
      </w:tr>
      <w:tr w14:paraId="4DFD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477F34DC">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6</w:t>
            </w:r>
          </w:p>
        </w:tc>
        <w:tc>
          <w:tcPr>
            <w:tcW w:w="1191" w:type="pct"/>
            <w:vAlign w:val="center"/>
          </w:tcPr>
          <w:p w14:paraId="761BC904">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数据治理核心指标达标率</w:t>
            </w:r>
          </w:p>
        </w:tc>
        <w:tc>
          <w:tcPr>
            <w:tcW w:w="407" w:type="pct"/>
            <w:vAlign w:val="center"/>
          </w:tcPr>
          <w:p w14:paraId="22FB8A47">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kern w:val="0"/>
                <w:sz w:val="21"/>
                <w:szCs w:val="21"/>
                <w:lang w:eastAsia="zh-CN"/>
              </w:rPr>
            </w:pPr>
            <w:r>
              <w:rPr>
                <w:rFonts w:ascii="Times New Roman" w:hAnsi="Times New Roman" w:cs="Times New Roman"/>
                <w:kern w:val="0"/>
                <w:sz w:val="21"/>
                <w:szCs w:val="21"/>
              </w:rPr>
              <w:t>1</w:t>
            </w:r>
            <w:r>
              <w:rPr>
                <w:rFonts w:hint="eastAsia" w:ascii="Times New Roman" w:hAnsi="Times New Roman" w:cs="Times New Roman"/>
                <w:kern w:val="0"/>
                <w:sz w:val="21"/>
                <w:szCs w:val="21"/>
                <w:lang w:val="en-US" w:eastAsia="zh-CN"/>
              </w:rPr>
              <w:t>5</w:t>
            </w:r>
          </w:p>
        </w:tc>
        <w:tc>
          <w:tcPr>
            <w:tcW w:w="2391" w:type="pct"/>
            <w:vAlign w:val="center"/>
          </w:tcPr>
          <w:p w14:paraId="26F487F5">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设备活跃率、时钟准确率、人脸大图可用性、车辆大图可用性、人脸图片合格性、人脸图片合格性、数据上传及时率中，任一指标月平均未达90%（以公安雪亮平台通报为准）的，每项扣1分。存在数据重复、超范围采集等不合规情况的，每次扣2分。</w:t>
            </w:r>
          </w:p>
        </w:tc>
        <w:tc>
          <w:tcPr>
            <w:tcW w:w="625" w:type="pct"/>
            <w:vAlign w:val="center"/>
          </w:tcPr>
          <w:p w14:paraId="2AB3C79F">
            <w:pPr>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kern w:val="0"/>
                <w:sz w:val="21"/>
                <w:szCs w:val="21"/>
              </w:rPr>
            </w:pPr>
          </w:p>
        </w:tc>
      </w:tr>
      <w:tr w14:paraId="3D4D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84" w:type="pct"/>
            <w:vAlign w:val="center"/>
          </w:tcPr>
          <w:p w14:paraId="20FAF75B">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7</w:t>
            </w:r>
          </w:p>
        </w:tc>
        <w:tc>
          <w:tcPr>
            <w:tcW w:w="1191" w:type="pct"/>
            <w:vAlign w:val="center"/>
          </w:tcPr>
          <w:p w14:paraId="56F01F8B">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ascii="Times New Roman" w:hAnsi="Times New Roman" w:cs="Times New Roman"/>
                <w:kern w:val="0"/>
                <w:sz w:val="21"/>
                <w:szCs w:val="21"/>
              </w:rPr>
              <w:t>服务团队</w:t>
            </w:r>
            <w:r>
              <w:rPr>
                <w:rFonts w:hint="eastAsia" w:ascii="Times New Roman" w:hAnsi="Times New Roman" w:cs="Times New Roman"/>
                <w:kern w:val="0"/>
                <w:sz w:val="21"/>
                <w:szCs w:val="21"/>
                <w:lang w:val="en-US" w:eastAsia="zh-CN"/>
              </w:rPr>
              <w:t>配置与履职合规性</w:t>
            </w:r>
          </w:p>
        </w:tc>
        <w:tc>
          <w:tcPr>
            <w:tcW w:w="407" w:type="pct"/>
            <w:vAlign w:val="center"/>
          </w:tcPr>
          <w:p w14:paraId="54F70E42">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10</w:t>
            </w:r>
          </w:p>
        </w:tc>
        <w:tc>
          <w:tcPr>
            <w:tcW w:w="2391" w:type="pct"/>
            <w:vAlign w:val="center"/>
          </w:tcPr>
          <w:p w14:paraId="24EACFFF">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运维</w:t>
            </w:r>
            <w:r>
              <w:rPr>
                <w:rFonts w:hint="eastAsia" w:ascii="Times New Roman" w:hAnsi="Times New Roman" w:cs="Times New Roman"/>
                <w:kern w:val="0"/>
                <w:sz w:val="21"/>
                <w:szCs w:val="21"/>
                <w:lang w:val="en-US" w:eastAsia="zh-CN"/>
              </w:rPr>
              <w:t>人员无故缺勤的，扣1分/人/天；项目运维负责人、技术负责人、驻场人员与其他项目复用的，发现1人次</w:t>
            </w:r>
            <w:r>
              <w:rPr>
                <w:rFonts w:ascii="Times New Roman" w:hAnsi="Times New Roman" w:cs="Times New Roman"/>
                <w:kern w:val="0"/>
                <w:sz w:val="21"/>
                <w:szCs w:val="21"/>
              </w:rPr>
              <w:t>扣</w:t>
            </w:r>
            <w:r>
              <w:rPr>
                <w:rFonts w:hint="eastAsia" w:ascii="Times New Roman" w:hAnsi="Times New Roman" w:cs="Times New Roman"/>
                <w:kern w:val="0"/>
                <w:sz w:val="21"/>
                <w:szCs w:val="21"/>
                <w:lang w:val="en-US" w:eastAsia="zh-CN"/>
              </w:rPr>
              <w:t>2</w:t>
            </w:r>
            <w:r>
              <w:rPr>
                <w:rFonts w:ascii="Times New Roman" w:hAnsi="Times New Roman" w:cs="Times New Roman"/>
                <w:kern w:val="0"/>
                <w:sz w:val="21"/>
                <w:szCs w:val="21"/>
              </w:rPr>
              <w:t>分。</w:t>
            </w:r>
          </w:p>
        </w:tc>
        <w:tc>
          <w:tcPr>
            <w:tcW w:w="625" w:type="pct"/>
            <w:vAlign w:val="center"/>
          </w:tcPr>
          <w:p w14:paraId="567E108C">
            <w:pPr>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kern w:val="0"/>
                <w:sz w:val="21"/>
                <w:szCs w:val="21"/>
              </w:rPr>
            </w:pPr>
          </w:p>
        </w:tc>
      </w:tr>
      <w:tr w14:paraId="43E0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67D96B81">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8</w:t>
            </w:r>
          </w:p>
        </w:tc>
        <w:tc>
          <w:tcPr>
            <w:tcW w:w="1191" w:type="pct"/>
            <w:vAlign w:val="center"/>
          </w:tcPr>
          <w:p w14:paraId="1AFE3544">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重要活动保障</w:t>
            </w:r>
          </w:p>
        </w:tc>
        <w:tc>
          <w:tcPr>
            <w:tcW w:w="407" w:type="pct"/>
            <w:vAlign w:val="center"/>
          </w:tcPr>
          <w:p w14:paraId="254E3FC8">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10</w:t>
            </w:r>
          </w:p>
        </w:tc>
        <w:tc>
          <w:tcPr>
            <w:tcW w:w="2391" w:type="pct"/>
            <w:vAlign w:val="center"/>
          </w:tcPr>
          <w:p w14:paraId="45F19979">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未按照要求提供活动技术保障服务的或其他相关工作的，每次扣1分。</w:t>
            </w:r>
          </w:p>
        </w:tc>
        <w:tc>
          <w:tcPr>
            <w:tcW w:w="625" w:type="pct"/>
            <w:vAlign w:val="center"/>
          </w:tcPr>
          <w:p w14:paraId="7D7D1D7A">
            <w:pPr>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kern w:val="0"/>
                <w:sz w:val="21"/>
                <w:szCs w:val="21"/>
              </w:rPr>
            </w:pPr>
          </w:p>
        </w:tc>
      </w:tr>
      <w:tr w14:paraId="2B2E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84" w:type="pct"/>
            <w:vAlign w:val="center"/>
          </w:tcPr>
          <w:p w14:paraId="2314F087">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9</w:t>
            </w:r>
          </w:p>
        </w:tc>
        <w:tc>
          <w:tcPr>
            <w:tcW w:w="1191" w:type="pct"/>
            <w:vAlign w:val="center"/>
          </w:tcPr>
          <w:p w14:paraId="755C404F">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相应服务</w:t>
            </w:r>
          </w:p>
        </w:tc>
        <w:tc>
          <w:tcPr>
            <w:tcW w:w="407" w:type="pct"/>
            <w:vAlign w:val="center"/>
          </w:tcPr>
          <w:p w14:paraId="6F1C0BA9">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kern w:val="0"/>
                <w:sz w:val="21"/>
                <w:szCs w:val="21"/>
              </w:rPr>
            </w:pPr>
            <w:r>
              <w:rPr>
                <w:rFonts w:ascii="Times New Roman" w:hAnsi="Times New Roman" w:cs="Times New Roman"/>
                <w:kern w:val="0"/>
                <w:sz w:val="21"/>
                <w:szCs w:val="21"/>
              </w:rPr>
              <w:t>10</w:t>
            </w:r>
          </w:p>
        </w:tc>
        <w:tc>
          <w:tcPr>
            <w:tcW w:w="2391" w:type="pct"/>
            <w:vAlign w:val="center"/>
          </w:tcPr>
          <w:p w14:paraId="21F84111">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未及时响应服务对象报修申请，每次扣1分</w:t>
            </w:r>
          </w:p>
        </w:tc>
        <w:tc>
          <w:tcPr>
            <w:tcW w:w="625" w:type="pct"/>
            <w:vAlign w:val="center"/>
          </w:tcPr>
          <w:p w14:paraId="27957176">
            <w:pPr>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kern w:val="0"/>
                <w:sz w:val="21"/>
                <w:szCs w:val="21"/>
              </w:rPr>
            </w:pPr>
          </w:p>
        </w:tc>
      </w:tr>
      <w:tr w14:paraId="791C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5" w:type="pct"/>
            <w:gridSpan w:val="2"/>
            <w:vAlign w:val="center"/>
          </w:tcPr>
          <w:p w14:paraId="030E77EA">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合计得分</w:t>
            </w:r>
          </w:p>
        </w:tc>
        <w:tc>
          <w:tcPr>
            <w:tcW w:w="407" w:type="pct"/>
            <w:vAlign w:val="center"/>
          </w:tcPr>
          <w:p w14:paraId="5D1B07F3">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kern w:val="0"/>
                <w:sz w:val="21"/>
                <w:szCs w:val="21"/>
                <w:lang w:val="en-US" w:eastAsia="zh-CN"/>
              </w:rPr>
            </w:pPr>
            <w:r>
              <w:rPr>
                <w:rFonts w:hint="eastAsia" w:ascii="Times New Roman" w:hAnsi="Times New Roman" w:cs="Times New Roman"/>
                <w:kern w:val="0"/>
                <w:sz w:val="21"/>
                <w:szCs w:val="21"/>
                <w:lang w:val="en-US" w:eastAsia="zh-CN"/>
              </w:rPr>
              <w:t>100</w:t>
            </w:r>
          </w:p>
        </w:tc>
        <w:tc>
          <w:tcPr>
            <w:tcW w:w="2391" w:type="pct"/>
            <w:vAlign w:val="center"/>
          </w:tcPr>
          <w:p w14:paraId="710CDB1B">
            <w:pPr>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kern w:val="0"/>
                <w:sz w:val="21"/>
                <w:szCs w:val="21"/>
              </w:rPr>
            </w:pPr>
          </w:p>
        </w:tc>
        <w:tc>
          <w:tcPr>
            <w:tcW w:w="625" w:type="pct"/>
            <w:vAlign w:val="center"/>
          </w:tcPr>
          <w:p w14:paraId="1AA2F84F">
            <w:pPr>
              <w:pageBreakBefore w:val="0"/>
              <w:widowControl w:val="0"/>
              <w:kinsoku/>
              <w:wordWrap/>
              <w:overflowPunct/>
              <w:topLinePunct w:val="0"/>
              <w:autoSpaceDE/>
              <w:autoSpaceDN/>
              <w:bidi w:val="0"/>
              <w:adjustRightInd/>
              <w:snapToGrid/>
              <w:spacing w:line="360" w:lineRule="auto"/>
              <w:ind w:firstLine="420"/>
              <w:textAlignment w:val="auto"/>
              <w:rPr>
                <w:rFonts w:hint="eastAsia" w:ascii="Times New Roman" w:hAnsi="Times New Roman" w:cs="Times New Roman"/>
                <w:kern w:val="0"/>
                <w:sz w:val="21"/>
                <w:szCs w:val="21"/>
              </w:rPr>
            </w:pPr>
          </w:p>
        </w:tc>
      </w:tr>
    </w:tbl>
    <w:p w14:paraId="706ECCC8">
      <w:pPr>
        <w:pageBreakBefore w:val="0"/>
        <w:widowControl w:val="0"/>
        <w:kinsoku/>
        <w:wordWrap/>
        <w:overflowPunct/>
        <w:topLinePunct w:val="0"/>
        <w:autoSpaceDE/>
        <w:autoSpaceDN/>
        <w:bidi w:val="0"/>
        <w:adjustRightInd/>
        <w:snapToGrid/>
        <w:spacing w:line="360" w:lineRule="auto"/>
        <w:textAlignment w:val="auto"/>
        <w:rPr>
          <w:rFonts w:hint="eastAsia"/>
          <w:b/>
          <w:bCs/>
          <w:lang w:val="en-US" w:eastAsia="zh-CN"/>
        </w:rPr>
      </w:pPr>
    </w:p>
    <w:p w14:paraId="7FB2CB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highlight w:val="none"/>
          <w:lang w:val="en-US" w:eastAsia="zh-CN"/>
        </w:rPr>
      </w:pPr>
      <w:r>
        <w:rPr>
          <w:rFonts w:hint="eastAsia"/>
          <w:b/>
          <w:bCs/>
          <w:lang w:val="en-US" w:eastAsia="zh-CN"/>
        </w:rPr>
        <w:t>备注：以上前端设备运维考核、网络链路运维考核、平台系统运维考核、安全运维考核和其他服务考核等内容后期可根据合肥市公安局智慧平安小区运维服务考核标准进行调整。</w:t>
      </w:r>
    </w:p>
    <w:p w14:paraId="0A7CA91C">
      <w:pPr>
        <w:spacing w:line="360" w:lineRule="auto"/>
        <w:ind w:firstLine="435"/>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、报价要求</w:t>
      </w:r>
    </w:p>
    <w:bookmarkEnd w:id="59"/>
    <w:p w14:paraId="7E485ADE">
      <w:pPr>
        <w:keepNext w:val="0"/>
        <w:keepLines w:val="0"/>
        <w:pageBreakBefore w:val="0"/>
        <w:kinsoku/>
        <w:wordWrap/>
        <w:overflowPunct/>
        <w:topLinePunct w:val="0"/>
        <w:autoSpaceDE/>
        <w:autoSpaceDN/>
        <w:bidi w:val="0"/>
        <w:adjustRightInd/>
        <w:snapToGrid/>
        <w:spacing w:line="360" w:lineRule="auto"/>
        <w:ind w:firstLine="480"/>
        <w:rPr>
          <w:rFonts w:hint="eastAsia"/>
          <w:b/>
          <w:bCs/>
          <w:sz w:val="28"/>
          <w:szCs w:val="24"/>
          <w:lang w:val="en-US" w:eastAsia="zh-CN"/>
        </w:rPr>
      </w:pPr>
      <w:r>
        <w:rPr>
          <w:rFonts w:hint="eastAsia" w:ascii="宋体" w:hAnsi="宋体" w:eastAsia="宋体" w:cs="宋体"/>
          <w:lang w:val="en-US" w:eastAsia="zh-CN"/>
        </w:rPr>
        <w:t>1</w:t>
      </w:r>
      <w:r>
        <w:rPr>
          <w:rFonts w:hint="eastAsia" w:ascii="宋体" w:hAnsi="宋体" w:eastAsia="宋体" w:cs="宋体"/>
          <w:b/>
          <w:bCs/>
          <w:lang w:val="en-US" w:eastAsia="zh-CN"/>
        </w:rPr>
        <w:t>.本项目采用总价报价，并同时进行分项报价，总价报价、分项报价均不得超过本项目最高限价及分项控制价</w:t>
      </w:r>
      <w:r>
        <w:rPr>
          <w:rFonts w:hint="eastAsia" w:ascii="宋体" w:hAnsi="宋体" w:cs="宋体"/>
          <w:b/>
          <w:bCs/>
          <w:lang w:val="en-US" w:eastAsia="zh-CN"/>
        </w:rPr>
        <w:t>，否则投标无效</w:t>
      </w:r>
      <w:r>
        <w:rPr>
          <w:rFonts w:hint="eastAsia" w:ascii="宋体" w:hAnsi="宋体" w:eastAsia="宋体" w:cs="宋体"/>
          <w:lang w:val="en-US" w:eastAsia="zh-CN"/>
        </w:rPr>
        <w:t>。总价报价作为本项目价格分计算的依据分项报价包括链路费</w:t>
      </w:r>
      <w:r>
        <w:rPr>
          <w:rFonts w:hint="eastAsia" w:ascii="宋体" w:hAnsi="宋体" w:cs="宋体"/>
          <w:lang w:val="en-US" w:eastAsia="zh-CN"/>
        </w:rPr>
        <w:t>、</w:t>
      </w:r>
      <w:r>
        <w:rPr>
          <w:rFonts w:hint="eastAsia" w:ascii="宋体" w:hAnsi="宋体" w:eastAsia="宋体" w:cs="宋体"/>
          <w:lang w:val="en-US" w:eastAsia="zh-CN"/>
        </w:rPr>
        <w:t>服务费</w:t>
      </w:r>
      <w:r>
        <w:rPr>
          <w:rFonts w:hint="eastAsia" w:ascii="宋体" w:hAnsi="宋体" w:cs="宋体"/>
          <w:lang w:val="en-US" w:eastAsia="zh-CN"/>
        </w:rPr>
        <w:t>及视频监控服务费三</w:t>
      </w:r>
      <w:r>
        <w:rPr>
          <w:rFonts w:hint="eastAsia" w:ascii="宋体" w:hAnsi="宋体" w:eastAsia="宋体" w:cs="宋体"/>
          <w:lang w:val="en-US" w:eastAsia="zh-CN"/>
        </w:rPr>
        <w:t>块。以上</w:t>
      </w:r>
      <w:r>
        <w:rPr>
          <w:rFonts w:hint="eastAsia" w:ascii="宋体" w:hAnsi="宋体" w:cs="宋体"/>
          <w:lang w:val="en-US" w:eastAsia="zh-CN"/>
        </w:rPr>
        <w:t>三</w:t>
      </w:r>
      <w:r>
        <w:rPr>
          <w:rFonts w:hint="eastAsia" w:ascii="宋体" w:hAnsi="宋体" w:eastAsia="宋体" w:cs="宋体"/>
          <w:lang w:val="en-US" w:eastAsia="zh-CN"/>
        </w:rPr>
        <w:t>项报价的总价之和为完成本次项目的全费用价格，包含完成本次项目所发生的一切费用。具体设备现状以及小区内外环境等情况，建议供应商自行勘察现场进行了解，如项目成交后，因供应商未及时勘察现场而导致报价缺项、漏项造成成交后无法兑现服务，成交供应商自行承担一切后果。</w:t>
      </w:r>
    </w:p>
    <w:p w14:paraId="36B5D228">
      <w:pPr>
        <w:keepNext w:val="0"/>
        <w:keepLines w:val="0"/>
        <w:pageBreakBefore w:val="0"/>
        <w:kinsoku/>
        <w:wordWrap/>
        <w:overflowPunct/>
        <w:topLinePunct w:val="0"/>
        <w:autoSpaceDE/>
        <w:autoSpaceDN/>
        <w:bidi w:val="0"/>
        <w:adjustRightInd/>
        <w:snapToGrid/>
        <w:spacing w:line="360" w:lineRule="auto"/>
        <w:jc w:val="center"/>
        <w:rPr>
          <w:rFonts w:hint="default" w:eastAsia="宋体"/>
          <w:b/>
          <w:bCs/>
          <w:sz w:val="28"/>
          <w:szCs w:val="24"/>
          <w:lang w:val="en-US" w:eastAsia="zh-CN"/>
        </w:rPr>
      </w:pPr>
      <w:r>
        <w:rPr>
          <w:rFonts w:hint="eastAsia"/>
          <w:b/>
          <w:bCs/>
          <w:sz w:val="28"/>
          <w:szCs w:val="24"/>
          <w:lang w:val="en-US" w:eastAsia="zh-CN"/>
        </w:rPr>
        <w:t>分项报价明细表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263"/>
        <w:gridCol w:w="780"/>
        <w:gridCol w:w="1046"/>
        <w:gridCol w:w="1611"/>
        <w:gridCol w:w="1577"/>
      </w:tblGrid>
      <w:tr w14:paraId="0E05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Align w:val="center"/>
          </w:tcPr>
          <w:p w14:paraId="596F077D">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分项名称</w:t>
            </w:r>
          </w:p>
        </w:tc>
        <w:tc>
          <w:tcPr>
            <w:tcW w:w="2263" w:type="dxa"/>
            <w:vAlign w:val="center"/>
          </w:tcPr>
          <w:p w14:paraId="7013BD6F">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分项控制单价（元）</w:t>
            </w:r>
          </w:p>
        </w:tc>
        <w:tc>
          <w:tcPr>
            <w:tcW w:w="780" w:type="dxa"/>
            <w:vAlign w:val="center"/>
          </w:tcPr>
          <w:p w14:paraId="3453AB6B">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年数</w:t>
            </w:r>
          </w:p>
        </w:tc>
        <w:tc>
          <w:tcPr>
            <w:tcW w:w="1046" w:type="dxa"/>
            <w:vAlign w:val="center"/>
          </w:tcPr>
          <w:p w14:paraId="7D5CC712">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1611" w:type="dxa"/>
            <w:vAlign w:val="center"/>
          </w:tcPr>
          <w:p w14:paraId="1D256AA1">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数量（暂定）</w:t>
            </w:r>
          </w:p>
        </w:tc>
        <w:tc>
          <w:tcPr>
            <w:tcW w:w="1577" w:type="dxa"/>
            <w:vAlign w:val="center"/>
          </w:tcPr>
          <w:p w14:paraId="0CDAB2B7">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小计（元）</w:t>
            </w:r>
          </w:p>
        </w:tc>
      </w:tr>
      <w:tr w14:paraId="53E6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3" w:type="dxa"/>
            <w:vAlign w:val="center"/>
          </w:tcPr>
          <w:p w14:paraId="3CB1D9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链路费</w:t>
            </w:r>
          </w:p>
        </w:tc>
        <w:tc>
          <w:tcPr>
            <w:tcW w:w="2263" w:type="dxa"/>
            <w:vAlign w:val="center"/>
          </w:tcPr>
          <w:p w14:paraId="5E3050C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1998</w:t>
            </w:r>
          </w:p>
        </w:tc>
        <w:tc>
          <w:tcPr>
            <w:tcW w:w="780" w:type="dxa"/>
            <w:vAlign w:val="center"/>
          </w:tcPr>
          <w:p w14:paraId="290548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46" w:type="dxa"/>
            <w:vAlign w:val="center"/>
          </w:tcPr>
          <w:p w14:paraId="5DCA45A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1611" w:type="dxa"/>
            <w:vAlign w:val="center"/>
          </w:tcPr>
          <w:p w14:paraId="60707D8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198</w:t>
            </w:r>
          </w:p>
        </w:tc>
        <w:tc>
          <w:tcPr>
            <w:tcW w:w="1577" w:type="dxa"/>
            <w:vAlign w:val="center"/>
          </w:tcPr>
          <w:p w14:paraId="7DC699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395604</w:t>
            </w:r>
          </w:p>
        </w:tc>
      </w:tr>
      <w:tr w14:paraId="19DF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43" w:type="dxa"/>
            <w:shd w:val="clear" w:color="auto" w:fill="auto"/>
            <w:vAlign w:val="center"/>
          </w:tcPr>
          <w:p w14:paraId="5E9B0F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服务费</w:t>
            </w:r>
          </w:p>
        </w:tc>
        <w:tc>
          <w:tcPr>
            <w:tcW w:w="2263" w:type="dxa"/>
            <w:shd w:val="clear" w:color="auto" w:fill="auto"/>
            <w:vAlign w:val="center"/>
          </w:tcPr>
          <w:p w14:paraId="47F6638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6500</w:t>
            </w:r>
          </w:p>
        </w:tc>
        <w:tc>
          <w:tcPr>
            <w:tcW w:w="780" w:type="dxa"/>
            <w:shd w:val="clear" w:color="auto" w:fill="auto"/>
            <w:vAlign w:val="center"/>
          </w:tcPr>
          <w:p w14:paraId="34242BC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46" w:type="dxa"/>
            <w:shd w:val="clear" w:color="auto" w:fill="auto"/>
            <w:vAlign w:val="center"/>
          </w:tcPr>
          <w:p w14:paraId="3920FA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611" w:type="dxa"/>
            <w:shd w:val="clear" w:color="auto" w:fill="auto"/>
            <w:vAlign w:val="center"/>
          </w:tcPr>
          <w:p w14:paraId="224546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115</w:t>
            </w:r>
          </w:p>
        </w:tc>
        <w:tc>
          <w:tcPr>
            <w:tcW w:w="1577" w:type="dxa"/>
            <w:shd w:val="clear" w:color="auto" w:fill="auto"/>
            <w:vAlign w:val="center"/>
          </w:tcPr>
          <w:p w14:paraId="253F83B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747500</w:t>
            </w:r>
          </w:p>
        </w:tc>
      </w:tr>
      <w:tr w14:paraId="6EB9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Align w:val="center"/>
          </w:tcPr>
          <w:p w14:paraId="377478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视频监控服务费</w:t>
            </w:r>
          </w:p>
        </w:tc>
        <w:tc>
          <w:tcPr>
            <w:tcW w:w="2263" w:type="dxa"/>
            <w:vAlign w:val="center"/>
          </w:tcPr>
          <w:p w14:paraId="22EB8FA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414</w:t>
            </w:r>
          </w:p>
        </w:tc>
        <w:tc>
          <w:tcPr>
            <w:tcW w:w="780" w:type="dxa"/>
            <w:vAlign w:val="center"/>
          </w:tcPr>
          <w:p w14:paraId="4E51F6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46" w:type="dxa"/>
            <w:vAlign w:val="center"/>
          </w:tcPr>
          <w:p w14:paraId="283AF92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路</w:t>
            </w:r>
          </w:p>
        </w:tc>
        <w:tc>
          <w:tcPr>
            <w:tcW w:w="1611" w:type="dxa"/>
            <w:vAlign w:val="center"/>
          </w:tcPr>
          <w:p w14:paraId="1A9B05B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695</w:t>
            </w:r>
          </w:p>
        </w:tc>
        <w:tc>
          <w:tcPr>
            <w:tcW w:w="1577" w:type="dxa"/>
            <w:vAlign w:val="center"/>
          </w:tcPr>
          <w:p w14:paraId="54BE37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287730</w:t>
            </w:r>
          </w:p>
        </w:tc>
      </w:tr>
      <w:tr w14:paraId="347A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3" w:type="dxa"/>
            <w:gridSpan w:val="5"/>
            <w:vAlign w:val="center"/>
          </w:tcPr>
          <w:p w14:paraId="671F0B8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577" w:type="dxa"/>
            <w:vAlign w:val="center"/>
          </w:tcPr>
          <w:p w14:paraId="648ECE5E">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1430834</w:t>
            </w:r>
          </w:p>
        </w:tc>
      </w:tr>
    </w:tbl>
    <w:p w14:paraId="2DF4A5AD">
      <w:pPr>
        <w:keepNext w:val="0"/>
        <w:keepLines w:val="0"/>
        <w:pageBreakBefore w:val="0"/>
        <w:kinsoku/>
        <w:wordWrap/>
        <w:overflowPunct/>
        <w:topLinePunct w:val="0"/>
        <w:autoSpaceDE/>
        <w:autoSpaceDN/>
        <w:bidi w:val="0"/>
        <w:adjustRightInd/>
        <w:snapToGrid/>
        <w:spacing w:line="360" w:lineRule="auto"/>
        <w:ind w:firstLine="480"/>
        <w:rPr>
          <w:rFonts w:hint="eastAsia" w:ascii="宋体" w:hAnsi="宋体" w:eastAsia="宋体" w:cs="宋体"/>
          <w:lang w:val="en-US" w:eastAsia="zh-CN"/>
        </w:rPr>
      </w:pPr>
    </w:p>
    <w:p w14:paraId="36AF62C5">
      <w:pPr>
        <w:keepNext w:val="0"/>
        <w:keepLines w:val="0"/>
        <w:pageBreakBefore w:val="0"/>
        <w:kinsoku/>
        <w:wordWrap/>
        <w:overflowPunct/>
        <w:topLinePunct w:val="0"/>
        <w:autoSpaceDE/>
        <w:autoSpaceDN/>
        <w:bidi w:val="0"/>
        <w:adjustRightInd/>
        <w:snapToGrid/>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2.本项目采用据实结算，即运维费=（链路费</w:t>
      </w:r>
      <w:r>
        <w:rPr>
          <w:rFonts w:hint="eastAsia" w:ascii="宋体" w:hAnsi="宋体" w:cs="宋体"/>
          <w:lang w:val="en-US" w:eastAsia="zh-CN"/>
        </w:rPr>
        <w:t>成交</w:t>
      </w:r>
      <w:r>
        <w:rPr>
          <w:rFonts w:hint="eastAsia" w:ascii="宋体" w:hAnsi="宋体" w:eastAsia="宋体" w:cs="宋体"/>
          <w:lang w:val="en-US" w:eastAsia="zh-CN"/>
        </w:rPr>
        <w:t>单价/12*接入链路数量*月数）+（服务费</w:t>
      </w:r>
      <w:r>
        <w:rPr>
          <w:rFonts w:hint="eastAsia" w:ascii="宋体" w:hAnsi="宋体" w:cs="宋体"/>
          <w:lang w:val="en-US" w:eastAsia="zh-CN"/>
        </w:rPr>
        <w:t>成交</w:t>
      </w:r>
      <w:r>
        <w:rPr>
          <w:rFonts w:hint="eastAsia" w:ascii="宋体" w:hAnsi="宋体" w:eastAsia="宋体" w:cs="宋体"/>
          <w:lang w:val="en-US" w:eastAsia="zh-CN"/>
        </w:rPr>
        <w:t>单价/12*服务小区数量*月数）+（视频监控服务费</w:t>
      </w:r>
      <w:r>
        <w:rPr>
          <w:rFonts w:hint="eastAsia" w:ascii="宋体" w:hAnsi="宋体" w:cs="宋体"/>
          <w:lang w:val="en-US" w:eastAsia="zh-CN"/>
        </w:rPr>
        <w:t>成交</w:t>
      </w:r>
      <w:r>
        <w:rPr>
          <w:rFonts w:hint="eastAsia" w:ascii="宋体" w:hAnsi="宋体" w:eastAsia="宋体" w:cs="宋体"/>
          <w:lang w:val="en-US" w:eastAsia="zh-CN"/>
        </w:rPr>
        <w:t xml:space="preserve">单价/12*视频监控数量*月数），最终结算金额不超过本项目合同金额。 </w:t>
      </w:r>
    </w:p>
    <w:p w14:paraId="5A73904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b/>
          <w:bCs/>
        </w:rPr>
      </w:pPr>
      <w:r>
        <w:rPr>
          <w:rFonts w:hint="eastAsia" w:ascii="宋体" w:hAnsi="宋体" w:eastAsia="宋体" w:cs="宋体"/>
          <w:b/>
          <w:bCs/>
          <w:color w:val="000000"/>
          <w:kern w:val="0"/>
          <w:sz w:val="24"/>
          <w:szCs w:val="24"/>
          <w:lang w:val="en-US" w:eastAsia="zh-CN" w:bidi="ar"/>
        </w:rPr>
        <w:t>3.成交供应商需提供平台</w:t>
      </w:r>
      <w:r>
        <w:rPr>
          <w:rFonts w:hint="eastAsia"/>
          <w:b/>
          <w:bCs/>
          <w:sz w:val="24"/>
          <w:szCs w:val="24"/>
          <w:lang w:val="en-US" w:eastAsia="zh-CN"/>
        </w:rPr>
        <w:t>，采购人可根据实际运维需求要求成交供应商每年提供不少于前端设备总数的5%设备作为备品备件，需按照采购人指定要求完成设备安装及后期维护，同时成交供应商需考虑应急保障（需按采购人要求完成临时设备故障排查、修复等工作）等一切</w:t>
      </w:r>
      <w:r>
        <w:rPr>
          <w:rFonts w:hint="eastAsia" w:ascii="宋体" w:hAnsi="宋体" w:eastAsia="宋体" w:cs="宋体"/>
          <w:b/>
          <w:bCs/>
          <w:color w:val="000000"/>
          <w:kern w:val="0"/>
          <w:sz w:val="24"/>
          <w:szCs w:val="24"/>
          <w:lang w:val="en-US" w:eastAsia="zh-CN" w:bidi="ar"/>
        </w:rPr>
        <w:t>相关费用需在报价时统筹考虑。</w:t>
      </w:r>
    </w:p>
    <w:p w14:paraId="2141B4B1">
      <w:pPr>
        <w:numPr>
          <w:ilvl w:val="0"/>
          <w:numId w:val="0"/>
        </w:numPr>
        <w:spacing w:line="360" w:lineRule="auto"/>
        <w:ind w:firstLine="435" w:firstLineChars="0"/>
        <w:outlineLvl w:val="1"/>
        <w:rPr>
          <w:rFonts w:hint="eastAsia" w:ascii="宋体" w:hAnsi="宋体" w:eastAsia="宋体" w:cs="Times New Roman"/>
          <w:b/>
          <w:bCs/>
          <w:color w:val="auto"/>
          <w:kern w:val="2"/>
          <w:sz w:val="32"/>
          <w:szCs w:val="32"/>
          <w:highlight w:val="none"/>
          <w:lang w:val="en-US" w:eastAsia="zh-CN" w:bidi="ar-SA"/>
        </w:rPr>
      </w:pPr>
      <w:r>
        <w:rPr>
          <w:rFonts w:hint="eastAsia" w:ascii="宋体" w:hAnsi="宋体" w:eastAsia="宋体" w:cs="Times New Roman"/>
          <w:b/>
          <w:bCs/>
          <w:color w:val="auto"/>
          <w:kern w:val="2"/>
          <w:sz w:val="32"/>
          <w:szCs w:val="32"/>
          <w:highlight w:val="none"/>
          <w:lang w:val="en-US" w:eastAsia="zh-CN" w:bidi="ar-SA"/>
        </w:rPr>
        <w:br w:type="page"/>
      </w:r>
    </w:p>
    <w:p w14:paraId="78535A91">
      <w:pPr>
        <w:jc w:val="center"/>
        <w:outlineLvl w:val="0"/>
        <w:rPr>
          <w:rFonts w:hint="eastAsia" w:ascii="宋体" w:hAnsi="宋体" w:eastAsia="宋体" w:cs="Times New Roman"/>
          <w:b/>
          <w:bCs/>
          <w:color w:val="auto"/>
          <w:kern w:val="2"/>
          <w:sz w:val="32"/>
          <w:szCs w:val="32"/>
          <w:highlight w:val="none"/>
          <w:lang w:val="en-US" w:eastAsia="zh-CN" w:bidi="ar-SA"/>
        </w:rPr>
      </w:pPr>
      <w:bookmarkStart w:id="60" w:name="_Toc15126"/>
      <w:r>
        <w:rPr>
          <w:rFonts w:hint="eastAsia" w:ascii="宋体" w:hAnsi="宋体" w:eastAsia="宋体" w:cs="Times New Roman"/>
          <w:b/>
          <w:bCs/>
          <w:color w:val="auto"/>
          <w:kern w:val="2"/>
          <w:sz w:val="32"/>
          <w:szCs w:val="32"/>
          <w:highlight w:val="none"/>
          <w:lang w:val="en-US" w:eastAsia="zh-CN" w:bidi="ar-SA"/>
        </w:rPr>
        <w:t>第</w:t>
      </w:r>
      <w:bookmarkStart w:id="61" w:name="_Hlt240110027"/>
      <w:bookmarkEnd w:id="61"/>
      <w:r>
        <w:rPr>
          <w:rFonts w:hint="eastAsia" w:ascii="宋体" w:hAnsi="宋体" w:eastAsia="宋体" w:cs="Times New Roman"/>
          <w:b/>
          <w:bCs/>
          <w:color w:val="auto"/>
          <w:kern w:val="2"/>
          <w:sz w:val="32"/>
          <w:szCs w:val="32"/>
          <w:highlight w:val="none"/>
          <w:lang w:val="en-US" w:eastAsia="zh-CN" w:bidi="ar-SA"/>
        </w:rPr>
        <w:t>五章 评标办法</w:t>
      </w:r>
      <w:bookmarkEnd w:id="58"/>
      <w:bookmarkEnd w:id="60"/>
    </w:p>
    <w:p w14:paraId="58B8A03E">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1.为了做好肥西县智慧平安小区统一运维项目（项目编号：</w:t>
      </w:r>
      <w:r>
        <w:rPr>
          <w:rFonts w:hint="eastAsia" w:ascii="宋体" w:hAnsi="宋体"/>
          <w:bCs/>
          <w:color w:val="auto"/>
          <w:szCs w:val="24"/>
          <w:highlight w:val="none"/>
          <w:lang w:eastAsia="zh-CN"/>
        </w:rPr>
        <w:t>2026PHBZ311</w:t>
      </w:r>
      <w:r>
        <w:rPr>
          <w:rFonts w:hint="eastAsia" w:ascii="宋体" w:hAnsi="宋体"/>
          <w:bCs/>
          <w:color w:val="auto"/>
          <w:szCs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14:paraId="2B07867E">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2.本次项目评标采用综合评分法作为对投标人标书的比较方法。</w:t>
      </w:r>
    </w:p>
    <w:p w14:paraId="0437C918">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3.本项目将依法组建不少于5人的评标委员会，负责本项目的评标工作。</w:t>
      </w:r>
    </w:p>
    <w:p w14:paraId="45F36685">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4．评标委员会按照“客观公正，实事求是”的原则，评价参加本次招标的投标人所提供的产品或服务价格、性能、质量、服务及对招标文件的符合性及响应性。</w:t>
      </w:r>
    </w:p>
    <w:p w14:paraId="49171A66">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5.评标工作于开标后进行。评标委员会应认真研究招标文件，至少应了解和熟悉以下内容：</w:t>
      </w:r>
    </w:p>
    <w:p w14:paraId="1C773976">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5.1招标的目标；</w:t>
      </w:r>
    </w:p>
    <w:p w14:paraId="67CA0A0C">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5.2招标项目的范围和性质；</w:t>
      </w:r>
    </w:p>
    <w:p w14:paraId="562EB7CC">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5.3招标文件中规定的主要技术要求、标准和商务条款；</w:t>
      </w:r>
    </w:p>
    <w:p w14:paraId="423E801B">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5.4招标文件规定的评标标准、评标方法和在评标过程中考虑的相关因素。</w:t>
      </w:r>
    </w:p>
    <w:p w14:paraId="0940E157">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6有效投标应符合以下原则：</w:t>
      </w:r>
    </w:p>
    <w:p w14:paraId="3E5BFEF6">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6.1满足招标文件的实质性要求；</w:t>
      </w:r>
    </w:p>
    <w:p w14:paraId="50F3333E">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6.2无重大偏离、保留或招标人不能接受的附加条件；</w:t>
      </w:r>
    </w:p>
    <w:p w14:paraId="5C03186D">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6.3通过初审；</w:t>
      </w:r>
    </w:p>
    <w:p w14:paraId="6B0EFA9A">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6.4评标委员会依据招标文件认定的其他原则。</w:t>
      </w:r>
    </w:p>
    <w:p w14:paraId="630B8CE0">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7.评标委员会遵循公开、公平、公正和科学诚信的原则，对所有投标文件均采用相同程序和标准，进行评定。</w:t>
      </w:r>
    </w:p>
    <w:p w14:paraId="588EF253">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8.评审程序</w:t>
      </w:r>
    </w:p>
    <w:p w14:paraId="1BC4ADBD">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8.1本项目采用综合评分法进行评审，在最大限度地满足招标文件实质性要求前提下，按照招标文件中规定的各项因素进行综合评审。综合评分法的主要因素是：技术部分、商务部分以及相应的比重。</w:t>
      </w:r>
    </w:p>
    <w:p w14:paraId="09851700">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8.2评标委员会首先对所有投标人进行初审，初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初审结论分为通过和未通过。</w:t>
      </w:r>
    </w:p>
    <w:p w14:paraId="00C9A5B9">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8.3评委独立评审后，评标委员会对投标人某项指标如有不同意见，按照少数服从多数的原则，确定该项指标是否通过。符合初审指标通过标准的，为有效投标。评标委员会按下表内容进行初审。</w:t>
      </w:r>
    </w:p>
    <w:p w14:paraId="36B7B17A">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8.4初审</w:t>
      </w:r>
    </w:p>
    <w:tbl>
      <w:tblPr>
        <w:tblStyle w:val="24"/>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6"/>
        <w:gridCol w:w="2839"/>
        <w:gridCol w:w="819"/>
        <w:gridCol w:w="2717"/>
      </w:tblGrid>
      <w:tr w14:paraId="271B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14:paraId="52D99A46">
            <w:pPr>
              <w:pStyle w:val="34"/>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highlight w:val="none"/>
              </w:rPr>
            </w:pPr>
            <w:r>
              <w:rPr>
                <w:rFonts w:hint="eastAsia" w:ascii="宋体" w:hAnsi="宋体"/>
                <w:b/>
                <w:color w:val="auto"/>
                <w:szCs w:val="24"/>
                <w:highlight w:val="none"/>
              </w:rPr>
              <w:t>初审表（废标指标一览表）</w:t>
            </w:r>
          </w:p>
        </w:tc>
      </w:tr>
      <w:tr w14:paraId="398A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14:paraId="2E5BAAAF">
            <w:pPr>
              <w:adjustRightInd w:val="0"/>
              <w:snapToGrid w:val="0"/>
              <w:spacing w:line="360" w:lineRule="auto"/>
              <w:ind w:right="-10"/>
              <w:jc w:val="center"/>
              <w:rPr>
                <w:rFonts w:hint="eastAsia" w:ascii="宋体" w:hAnsi="宋体"/>
                <w:b/>
                <w:bCs/>
                <w:color w:val="auto"/>
                <w:szCs w:val="24"/>
                <w:highlight w:val="none"/>
              </w:rPr>
            </w:pPr>
            <w:r>
              <w:rPr>
                <w:rFonts w:hint="eastAsia" w:ascii="宋体" w:hAnsi="宋体"/>
                <w:b/>
                <w:bCs/>
                <w:color w:val="auto"/>
                <w:szCs w:val="24"/>
                <w:highlight w:val="none"/>
              </w:rPr>
              <w:t>初审指标</w:t>
            </w:r>
          </w:p>
        </w:tc>
      </w:tr>
      <w:tr w14:paraId="0627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14:paraId="2AE33C3B">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序号</w:t>
            </w:r>
          </w:p>
        </w:tc>
        <w:tc>
          <w:tcPr>
            <w:tcW w:w="2066" w:type="dxa"/>
            <w:tcBorders>
              <w:bottom w:val="single" w:color="auto" w:sz="4" w:space="0"/>
            </w:tcBorders>
            <w:vAlign w:val="center"/>
          </w:tcPr>
          <w:p w14:paraId="46382592">
            <w:pPr>
              <w:pStyle w:val="34"/>
              <w:pBdr>
                <w:bottom w:val="none" w:color="auto" w:sz="0" w:space="0"/>
              </w:pBdr>
              <w:tabs>
                <w:tab w:val="clear" w:pos="4153"/>
                <w:tab w:val="clear" w:pos="8306"/>
              </w:tabs>
              <w:snapToGrid w:val="0"/>
              <w:spacing w:line="420" w:lineRule="exact"/>
              <w:ind w:right="-11"/>
              <w:textAlignment w:val="auto"/>
              <w:rPr>
                <w:rFonts w:hint="eastAsia" w:ascii="宋体" w:hAnsi="宋体"/>
                <w:color w:val="auto"/>
                <w:kern w:val="2"/>
                <w:szCs w:val="24"/>
                <w:highlight w:val="none"/>
              </w:rPr>
            </w:pPr>
            <w:r>
              <w:rPr>
                <w:rFonts w:hint="eastAsia" w:ascii="宋体" w:hAnsi="宋体"/>
                <w:color w:val="auto"/>
                <w:kern w:val="2"/>
                <w:szCs w:val="24"/>
                <w:highlight w:val="none"/>
              </w:rPr>
              <w:t>指标名称</w:t>
            </w:r>
          </w:p>
        </w:tc>
        <w:tc>
          <w:tcPr>
            <w:tcW w:w="2839" w:type="dxa"/>
            <w:tcBorders>
              <w:bottom w:val="single" w:color="auto" w:sz="4" w:space="0"/>
            </w:tcBorders>
            <w:vAlign w:val="center"/>
          </w:tcPr>
          <w:p w14:paraId="6FB7E1F9">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指标要求</w:t>
            </w:r>
          </w:p>
        </w:tc>
        <w:tc>
          <w:tcPr>
            <w:tcW w:w="819" w:type="dxa"/>
            <w:tcBorders>
              <w:bottom w:val="single" w:color="auto" w:sz="4" w:space="0"/>
            </w:tcBorders>
            <w:vAlign w:val="center"/>
          </w:tcPr>
          <w:p w14:paraId="783C154E">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是否通过</w:t>
            </w:r>
          </w:p>
        </w:tc>
        <w:tc>
          <w:tcPr>
            <w:tcW w:w="2717" w:type="dxa"/>
            <w:tcBorders>
              <w:bottom w:val="single" w:color="auto" w:sz="4" w:space="0"/>
            </w:tcBorders>
            <w:vAlign w:val="center"/>
          </w:tcPr>
          <w:p w14:paraId="7F9381D6">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投标文件格式及提交资料要求</w:t>
            </w:r>
          </w:p>
        </w:tc>
      </w:tr>
      <w:tr w14:paraId="5EE6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atLeast"/>
        </w:trPr>
        <w:tc>
          <w:tcPr>
            <w:tcW w:w="720" w:type="dxa"/>
            <w:vAlign w:val="center"/>
          </w:tcPr>
          <w:p w14:paraId="75DD3EFB">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1</w:t>
            </w:r>
          </w:p>
        </w:tc>
        <w:tc>
          <w:tcPr>
            <w:tcW w:w="2066" w:type="dxa"/>
            <w:vAlign w:val="center"/>
          </w:tcPr>
          <w:p w14:paraId="2DF5D365">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营业执照或事业单位法人证书</w:t>
            </w:r>
          </w:p>
        </w:tc>
        <w:tc>
          <w:tcPr>
            <w:tcW w:w="2839" w:type="dxa"/>
            <w:vAlign w:val="center"/>
          </w:tcPr>
          <w:p w14:paraId="760BA667">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合法有效</w:t>
            </w:r>
          </w:p>
        </w:tc>
        <w:tc>
          <w:tcPr>
            <w:tcW w:w="819" w:type="dxa"/>
            <w:vAlign w:val="center"/>
          </w:tcPr>
          <w:p w14:paraId="359EBAD2">
            <w:pPr>
              <w:adjustRightInd w:val="0"/>
              <w:snapToGrid w:val="0"/>
              <w:spacing w:line="420" w:lineRule="exact"/>
              <w:ind w:right="-11"/>
              <w:jc w:val="center"/>
              <w:rPr>
                <w:rFonts w:hint="eastAsia" w:ascii="宋体" w:hAnsi="宋体"/>
                <w:color w:val="auto"/>
                <w:szCs w:val="24"/>
                <w:highlight w:val="none"/>
              </w:rPr>
            </w:pPr>
          </w:p>
        </w:tc>
        <w:tc>
          <w:tcPr>
            <w:tcW w:w="2717" w:type="dxa"/>
            <w:vAlign w:val="center"/>
          </w:tcPr>
          <w:p w14:paraId="3A7DE768">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提供有效的营业执照（或事业单位法人证书）的复印件或影印件</w:t>
            </w:r>
            <w:r>
              <w:rPr>
                <w:rFonts w:hint="eastAsia" w:ascii="宋体" w:hAnsi="宋体"/>
                <w:b/>
                <w:bCs/>
                <w:color w:val="auto"/>
                <w:szCs w:val="24"/>
                <w:highlight w:val="none"/>
              </w:rPr>
              <w:t>，应完整的体现出营业执照</w:t>
            </w:r>
            <w:r>
              <w:rPr>
                <w:rFonts w:hint="eastAsia" w:ascii="宋体" w:hAnsi="宋体"/>
                <w:b/>
                <w:color w:val="auto"/>
                <w:szCs w:val="24"/>
                <w:highlight w:val="none"/>
              </w:rPr>
              <w:t>（或事业单位法人证书）</w:t>
            </w:r>
            <w:r>
              <w:rPr>
                <w:rFonts w:hint="eastAsia" w:ascii="宋体" w:hAnsi="宋体"/>
                <w:b/>
                <w:bCs/>
                <w:color w:val="auto"/>
                <w:szCs w:val="24"/>
                <w:highlight w:val="none"/>
              </w:rPr>
              <w:t>的全部内容</w:t>
            </w:r>
          </w:p>
        </w:tc>
      </w:tr>
      <w:tr w14:paraId="502A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720" w:type="dxa"/>
            <w:vAlign w:val="center"/>
          </w:tcPr>
          <w:p w14:paraId="413361D8">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2</w:t>
            </w:r>
          </w:p>
        </w:tc>
        <w:tc>
          <w:tcPr>
            <w:tcW w:w="2066" w:type="dxa"/>
            <w:vAlign w:val="center"/>
          </w:tcPr>
          <w:p w14:paraId="73941EA5">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投标函</w:t>
            </w:r>
          </w:p>
        </w:tc>
        <w:tc>
          <w:tcPr>
            <w:tcW w:w="2839" w:type="dxa"/>
            <w:vAlign w:val="center"/>
          </w:tcPr>
          <w:p w14:paraId="619E8428">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819" w:type="dxa"/>
            <w:vAlign w:val="center"/>
          </w:tcPr>
          <w:p w14:paraId="53224C2C">
            <w:pPr>
              <w:adjustRightInd w:val="0"/>
              <w:snapToGrid w:val="0"/>
              <w:spacing w:line="420" w:lineRule="exact"/>
              <w:ind w:right="-11"/>
              <w:jc w:val="center"/>
              <w:rPr>
                <w:rFonts w:hint="eastAsia" w:ascii="宋体" w:hAnsi="宋体"/>
                <w:color w:val="auto"/>
                <w:szCs w:val="24"/>
                <w:highlight w:val="none"/>
              </w:rPr>
            </w:pPr>
          </w:p>
        </w:tc>
        <w:tc>
          <w:tcPr>
            <w:tcW w:w="2717" w:type="dxa"/>
            <w:vAlign w:val="center"/>
          </w:tcPr>
          <w:p w14:paraId="3CF2BE31">
            <w:pPr>
              <w:adjustRightInd w:val="0"/>
              <w:snapToGrid w:val="0"/>
              <w:spacing w:line="420" w:lineRule="exact"/>
              <w:ind w:right="-11"/>
              <w:jc w:val="center"/>
              <w:rPr>
                <w:rFonts w:hint="eastAsia" w:ascii="宋体" w:hAnsi="宋体"/>
                <w:color w:val="auto"/>
                <w:szCs w:val="24"/>
                <w:highlight w:val="none"/>
              </w:rPr>
            </w:pPr>
          </w:p>
        </w:tc>
      </w:tr>
      <w:tr w14:paraId="208B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20" w:type="dxa"/>
            <w:vAlign w:val="center"/>
          </w:tcPr>
          <w:p w14:paraId="36F2BB98">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3</w:t>
            </w:r>
          </w:p>
        </w:tc>
        <w:tc>
          <w:tcPr>
            <w:tcW w:w="2066" w:type="dxa"/>
            <w:vAlign w:val="center"/>
          </w:tcPr>
          <w:p w14:paraId="5FE8DFDC">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投标授权书</w:t>
            </w:r>
          </w:p>
        </w:tc>
        <w:tc>
          <w:tcPr>
            <w:tcW w:w="2839" w:type="dxa"/>
            <w:vAlign w:val="center"/>
          </w:tcPr>
          <w:p w14:paraId="29AD045F">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819" w:type="dxa"/>
            <w:vAlign w:val="center"/>
          </w:tcPr>
          <w:p w14:paraId="5837B13D">
            <w:pPr>
              <w:adjustRightInd w:val="0"/>
              <w:snapToGrid w:val="0"/>
              <w:spacing w:line="420" w:lineRule="exact"/>
              <w:ind w:right="-11"/>
              <w:jc w:val="center"/>
              <w:rPr>
                <w:rFonts w:hint="eastAsia" w:ascii="宋体" w:hAnsi="宋体"/>
                <w:color w:val="auto"/>
                <w:szCs w:val="24"/>
                <w:highlight w:val="none"/>
              </w:rPr>
            </w:pPr>
          </w:p>
        </w:tc>
        <w:tc>
          <w:tcPr>
            <w:tcW w:w="2717" w:type="dxa"/>
            <w:vAlign w:val="center"/>
          </w:tcPr>
          <w:p w14:paraId="2BA0175E">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要求详见第七章投标文件格式“投标授权书”</w:t>
            </w:r>
          </w:p>
        </w:tc>
      </w:tr>
      <w:tr w14:paraId="3278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14:paraId="61740857">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4</w:t>
            </w:r>
          </w:p>
        </w:tc>
        <w:tc>
          <w:tcPr>
            <w:tcW w:w="2066" w:type="dxa"/>
            <w:vAlign w:val="center"/>
          </w:tcPr>
          <w:p w14:paraId="6B861E95">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投标保证金及电子交易服务费</w:t>
            </w:r>
          </w:p>
        </w:tc>
        <w:tc>
          <w:tcPr>
            <w:tcW w:w="2839" w:type="dxa"/>
            <w:vAlign w:val="center"/>
          </w:tcPr>
          <w:p w14:paraId="2648BFB3">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819" w:type="dxa"/>
            <w:vAlign w:val="center"/>
          </w:tcPr>
          <w:p w14:paraId="38A1DBB4">
            <w:pPr>
              <w:adjustRightInd w:val="0"/>
              <w:snapToGrid w:val="0"/>
              <w:spacing w:line="420" w:lineRule="exact"/>
              <w:ind w:right="-11"/>
              <w:jc w:val="center"/>
              <w:rPr>
                <w:rFonts w:hint="eastAsia" w:ascii="宋体" w:hAnsi="宋体"/>
                <w:color w:val="auto"/>
                <w:szCs w:val="24"/>
                <w:highlight w:val="none"/>
              </w:rPr>
            </w:pPr>
          </w:p>
        </w:tc>
        <w:tc>
          <w:tcPr>
            <w:tcW w:w="2717" w:type="dxa"/>
            <w:vAlign w:val="center"/>
          </w:tcPr>
          <w:p w14:paraId="288957DA">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第二章投标人须知前附表11条</w:t>
            </w:r>
            <w:r>
              <w:rPr>
                <w:rFonts w:hint="eastAsia" w:cs="宋体"/>
                <w:b/>
                <w:bCs/>
                <w:color w:val="auto"/>
                <w:szCs w:val="24"/>
                <w:highlight w:val="none"/>
              </w:rPr>
              <w:t>（以代理机构财务查询为准）</w:t>
            </w:r>
          </w:p>
        </w:tc>
      </w:tr>
      <w:tr w14:paraId="2CC5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14:paraId="4B3512C2">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5</w:t>
            </w:r>
          </w:p>
        </w:tc>
        <w:tc>
          <w:tcPr>
            <w:tcW w:w="2066" w:type="dxa"/>
            <w:vAlign w:val="center"/>
          </w:tcPr>
          <w:p w14:paraId="4885643F">
            <w:pPr>
              <w:spacing w:after="50" w:line="360" w:lineRule="auto"/>
              <w:ind w:right="-10"/>
              <w:jc w:val="center"/>
              <w:rPr>
                <w:rFonts w:hint="eastAsia" w:ascii="宋体" w:hAnsi="宋体"/>
                <w:color w:val="auto"/>
                <w:szCs w:val="24"/>
                <w:highlight w:val="none"/>
              </w:rPr>
            </w:pPr>
            <w:r>
              <w:rPr>
                <w:rFonts w:hint="eastAsia" w:ascii="宋体" w:hAnsi="宋体"/>
                <w:color w:val="auto"/>
                <w:szCs w:val="24"/>
                <w:highlight w:val="none"/>
              </w:rPr>
              <w:t>投标人信用承诺</w:t>
            </w:r>
          </w:p>
        </w:tc>
        <w:tc>
          <w:tcPr>
            <w:tcW w:w="2839" w:type="dxa"/>
            <w:vAlign w:val="center"/>
          </w:tcPr>
          <w:p w14:paraId="350E2037">
            <w:pPr>
              <w:spacing w:after="50" w:line="360" w:lineRule="auto"/>
              <w:ind w:right="-10"/>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819" w:type="dxa"/>
            <w:vAlign w:val="center"/>
          </w:tcPr>
          <w:p w14:paraId="2224CA5D">
            <w:pPr>
              <w:adjustRightInd w:val="0"/>
              <w:snapToGrid w:val="0"/>
              <w:spacing w:line="360" w:lineRule="auto"/>
              <w:ind w:right="-10"/>
              <w:jc w:val="center"/>
              <w:rPr>
                <w:rFonts w:hint="eastAsia" w:ascii="宋体" w:hAnsi="宋体"/>
                <w:color w:val="auto"/>
                <w:szCs w:val="24"/>
                <w:highlight w:val="none"/>
              </w:rPr>
            </w:pPr>
          </w:p>
        </w:tc>
        <w:tc>
          <w:tcPr>
            <w:tcW w:w="2717" w:type="dxa"/>
            <w:vAlign w:val="center"/>
          </w:tcPr>
          <w:p w14:paraId="7042E526">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详见第七章投标文件格式</w:t>
            </w:r>
            <w:r>
              <w:rPr>
                <w:rFonts w:hint="eastAsia" w:ascii="宋体" w:hAnsi="宋体"/>
                <w:color w:val="auto"/>
                <w:highlight w:val="none"/>
              </w:rPr>
              <w:t>“</w:t>
            </w:r>
            <w:r>
              <w:rPr>
                <w:rFonts w:hint="eastAsia" w:ascii="宋体" w:hAnsi="宋体"/>
                <w:color w:val="auto"/>
                <w:szCs w:val="24"/>
                <w:highlight w:val="none"/>
              </w:rPr>
              <w:t>投标人信用承诺</w:t>
            </w:r>
            <w:r>
              <w:rPr>
                <w:rFonts w:hint="eastAsia" w:ascii="宋体" w:hAnsi="宋体"/>
                <w:color w:val="auto"/>
                <w:highlight w:val="none"/>
              </w:rPr>
              <w:t>”</w:t>
            </w:r>
          </w:p>
        </w:tc>
      </w:tr>
      <w:tr w14:paraId="4506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14:paraId="01F59117">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6</w:t>
            </w:r>
          </w:p>
        </w:tc>
        <w:tc>
          <w:tcPr>
            <w:tcW w:w="2066" w:type="dxa"/>
            <w:vAlign w:val="center"/>
          </w:tcPr>
          <w:p w14:paraId="15345D39">
            <w:pPr>
              <w:spacing w:after="50" w:line="360" w:lineRule="auto"/>
              <w:ind w:right="-10"/>
              <w:jc w:val="center"/>
              <w:rPr>
                <w:rFonts w:hint="eastAsia" w:ascii="宋体" w:hAnsi="宋体"/>
                <w:color w:val="auto"/>
                <w:szCs w:val="24"/>
                <w:highlight w:val="none"/>
              </w:rPr>
            </w:pPr>
            <w:r>
              <w:rPr>
                <w:rFonts w:hint="eastAsia" w:ascii="宋体" w:hAnsi="宋体"/>
                <w:color w:val="auto"/>
                <w:szCs w:val="24"/>
                <w:highlight w:val="none"/>
              </w:rPr>
              <w:t>开标一览表</w:t>
            </w:r>
          </w:p>
        </w:tc>
        <w:tc>
          <w:tcPr>
            <w:tcW w:w="2839" w:type="dxa"/>
            <w:vAlign w:val="center"/>
          </w:tcPr>
          <w:p w14:paraId="7967A8A7">
            <w:pPr>
              <w:spacing w:after="50" w:line="360" w:lineRule="auto"/>
              <w:ind w:right="-10"/>
              <w:jc w:val="center"/>
              <w:rPr>
                <w:rFonts w:hint="eastAsia" w:ascii="宋体" w:hAnsi="宋体"/>
                <w:color w:val="auto"/>
                <w:szCs w:val="24"/>
                <w:highlight w:val="none"/>
              </w:rPr>
            </w:pPr>
            <w:r>
              <w:rPr>
                <w:rFonts w:hint="eastAsia" w:ascii="宋体" w:hAnsi="宋体"/>
                <w:color w:val="auto"/>
                <w:szCs w:val="24"/>
                <w:highlight w:val="none"/>
              </w:rPr>
              <w:t>符合招标文件要求</w:t>
            </w:r>
          </w:p>
        </w:tc>
        <w:tc>
          <w:tcPr>
            <w:tcW w:w="819" w:type="dxa"/>
            <w:vAlign w:val="center"/>
          </w:tcPr>
          <w:p w14:paraId="50E0E69C">
            <w:pPr>
              <w:adjustRightInd w:val="0"/>
              <w:snapToGrid w:val="0"/>
              <w:spacing w:line="420" w:lineRule="exact"/>
              <w:ind w:right="-11"/>
              <w:jc w:val="center"/>
              <w:rPr>
                <w:rFonts w:hint="eastAsia" w:ascii="宋体" w:hAnsi="宋体"/>
                <w:color w:val="auto"/>
                <w:szCs w:val="24"/>
                <w:highlight w:val="none"/>
              </w:rPr>
            </w:pPr>
          </w:p>
        </w:tc>
        <w:tc>
          <w:tcPr>
            <w:tcW w:w="2717" w:type="dxa"/>
            <w:vAlign w:val="center"/>
          </w:tcPr>
          <w:p w14:paraId="5B043D1C">
            <w:pPr>
              <w:adjustRightInd w:val="0"/>
              <w:snapToGrid w:val="0"/>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第七章投标文件格式一</w:t>
            </w:r>
          </w:p>
        </w:tc>
      </w:tr>
      <w:tr w14:paraId="163D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720" w:type="dxa"/>
            <w:vAlign w:val="center"/>
          </w:tcPr>
          <w:p w14:paraId="276F474A">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7</w:t>
            </w:r>
          </w:p>
        </w:tc>
        <w:tc>
          <w:tcPr>
            <w:tcW w:w="2066" w:type="dxa"/>
            <w:vAlign w:val="center"/>
          </w:tcPr>
          <w:p w14:paraId="68E12A23">
            <w:pPr>
              <w:spacing w:line="420" w:lineRule="exact"/>
              <w:ind w:right="-11"/>
              <w:jc w:val="center"/>
              <w:rPr>
                <w:rFonts w:hint="default" w:ascii="宋体" w:hAnsi="宋体" w:eastAsia="宋体"/>
                <w:color w:val="auto"/>
                <w:szCs w:val="24"/>
                <w:highlight w:val="none"/>
                <w:lang w:val="en-US" w:eastAsia="zh-CN"/>
              </w:rPr>
            </w:pPr>
            <w:r>
              <w:rPr>
                <w:rFonts w:hint="eastAsia" w:ascii="宋体" w:hAnsi="宋体"/>
                <w:color w:val="auto"/>
                <w:szCs w:val="24"/>
                <w:highlight w:val="none"/>
                <w:lang w:val="en-US" w:eastAsia="zh-CN"/>
              </w:rPr>
              <w:t>投标人资格（如要求）</w:t>
            </w:r>
          </w:p>
        </w:tc>
        <w:tc>
          <w:tcPr>
            <w:tcW w:w="2839" w:type="dxa"/>
            <w:vAlign w:val="center"/>
          </w:tcPr>
          <w:p w14:paraId="03E7119C">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符合招标公告要求</w:t>
            </w:r>
          </w:p>
        </w:tc>
        <w:tc>
          <w:tcPr>
            <w:tcW w:w="819" w:type="dxa"/>
            <w:vAlign w:val="center"/>
          </w:tcPr>
          <w:p w14:paraId="1397AF16">
            <w:pPr>
              <w:adjustRightInd w:val="0"/>
              <w:snapToGrid w:val="0"/>
              <w:spacing w:line="420" w:lineRule="exact"/>
              <w:ind w:right="-11"/>
              <w:jc w:val="center"/>
              <w:rPr>
                <w:rFonts w:hint="eastAsia" w:ascii="宋体" w:hAnsi="宋体"/>
                <w:color w:val="auto"/>
                <w:szCs w:val="24"/>
                <w:highlight w:val="none"/>
              </w:rPr>
            </w:pPr>
          </w:p>
        </w:tc>
        <w:tc>
          <w:tcPr>
            <w:tcW w:w="2717" w:type="dxa"/>
            <w:vAlign w:val="center"/>
          </w:tcPr>
          <w:p w14:paraId="126756B0">
            <w:pPr>
              <w:adjustRightInd w:val="0"/>
              <w:snapToGrid w:val="0"/>
              <w:spacing w:line="360" w:lineRule="auto"/>
              <w:ind w:right="-10"/>
              <w:jc w:val="center"/>
              <w:rPr>
                <w:rFonts w:hint="eastAsia" w:ascii="宋体" w:hAnsi="宋体"/>
                <w:color w:val="auto"/>
                <w:szCs w:val="24"/>
                <w:highlight w:val="none"/>
              </w:rPr>
            </w:pPr>
            <w:r>
              <w:rPr>
                <w:rFonts w:hint="eastAsia" w:ascii="宋体" w:hAnsi="宋体"/>
                <w:color w:val="auto"/>
                <w:szCs w:val="24"/>
                <w:highlight w:val="none"/>
              </w:rPr>
              <w:t>提供复印件或影印件</w:t>
            </w:r>
          </w:p>
        </w:tc>
      </w:tr>
      <w:tr w14:paraId="155A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14:paraId="63E9E8B8">
            <w:pPr>
              <w:adjustRightInd w:val="0"/>
              <w:snapToGrid w:val="0"/>
              <w:spacing w:line="360" w:lineRule="auto"/>
              <w:ind w:right="-10"/>
              <w:jc w:val="center"/>
              <w:rPr>
                <w:rFonts w:hint="eastAsia" w:ascii="宋体" w:hAnsi="宋体" w:eastAsia="宋体"/>
                <w:color w:val="auto"/>
                <w:szCs w:val="24"/>
                <w:highlight w:val="none"/>
                <w:lang w:eastAsia="zh-CN"/>
              </w:rPr>
            </w:pPr>
            <w:r>
              <w:rPr>
                <w:rFonts w:hint="eastAsia" w:ascii="宋体" w:hAnsi="宋体"/>
                <w:color w:val="auto"/>
                <w:szCs w:val="24"/>
                <w:highlight w:val="none"/>
                <w:lang w:val="en-US" w:eastAsia="zh-CN"/>
              </w:rPr>
              <w:t>8</w:t>
            </w:r>
          </w:p>
        </w:tc>
        <w:tc>
          <w:tcPr>
            <w:tcW w:w="2066" w:type="dxa"/>
            <w:vAlign w:val="center"/>
          </w:tcPr>
          <w:p w14:paraId="5696A0E6">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其他要求</w:t>
            </w:r>
          </w:p>
        </w:tc>
        <w:tc>
          <w:tcPr>
            <w:tcW w:w="2839" w:type="dxa"/>
            <w:vAlign w:val="center"/>
          </w:tcPr>
          <w:p w14:paraId="75479C8D">
            <w:pPr>
              <w:spacing w:line="420" w:lineRule="exact"/>
              <w:ind w:right="-11"/>
              <w:jc w:val="center"/>
              <w:rPr>
                <w:rFonts w:hint="eastAsia" w:ascii="宋体" w:hAnsi="宋体"/>
                <w:color w:val="auto"/>
                <w:szCs w:val="24"/>
                <w:highlight w:val="none"/>
              </w:rPr>
            </w:pPr>
            <w:r>
              <w:rPr>
                <w:rFonts w:hint="eastAsia" w:ascii="宋体" w:hAnsi="宋体"/>
                <w:color w:val="auto"/>
                <w:szCs w:val="24"/>
                <w:highlight w:val="none"/>
              </w:rPr>
              <w:t>上述指标中未列出，但国家相关法律法规或招标文件有明确规定的</w:t>
            </w:r>
          </w:p>
        </w:tc>
        <w:tc>
          <w:tcPr>
            <w:tcW w:w="819" w:type="dxa"/>
            <w:vAlign w:val="center"/>
          </w:tcPr>
          <w:p w14:paraId="689B4B0C">
            <w:pPr>
              <w:adjustRightInd w:val="0"/>
              <w:snapToGrid w:val="0"/>
              <w:spacing w:line="420" w:lineRule="exact"/>
              <w:ind w:right="-11"/>
              <w:jc w:val="center"/>
              <w:rPr>
                <w:rFonts w:hint="eastAsia" w:ascii="宋体" w:hAnsi="宋体"/>
                <w:color w:val="auto"/>
                <w:szCs w:val="24"/>
                <w:highlight w:val="none"/>
              </w:rPr>
            </w:pPr>
          </w:p>
        </w:tc>
        <w:tc>
          <w:tcPr>
            <w:tcW w:w="2717" w:type="dxa"/>
            <w:vAlign w:val="center"/>
          </w:tcPr>
          <w:p w14:paraId="18D73020">
            <w:pPr>
              <w:adjustRightInd w:val="0"/>
              <w:snapToGrid w:val="0"/>
              <w:spacing w:line="420" w:lineRule="exact"/>
              <w:ind w:right="-11"/>
              <w:jc w:val="center"/>
              <w:rPr>
                <w:rFonts w:hint="eastAsia" w:ascii="宋体" w:hAnsi="宋体"/>
                <w:color w:val="auto"/>
                <w:szCs w:val="24"/>
                <w:highlight w:val="none"/>
              </w:rPr>
            </w:pPr>
          </w:p>
        </w:tc>
      </w:tr>
      <w:tr w14:paraId="3B2F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14:paraId="4FF557E7">
            <w:pPr>
              <w:adjustRightInd w:val="0"/>
              <w:snapToGrid w:val="0"/>
              <w:spacing w:line="360" w:lineRule="auto"/>
              <w:ind w:right="-10"/>
              <w:jc w:val="left"/>
              <w:rPr>
                <w:rFonts w:hint="eastAsia" w:ascii="宋体" w:hAnsi="宋体"/>
                <w:color w:val="auto"/>
                <w:szCs w:val="24"/>
                <w:highlight w:val="none"/>
              </w:rPr>
            </w:pPr>
            <w:r>
              <w:rPr>
                <w:rFonts w:hint="eastAsia" w:ascii="宋体" w:hAnsi="宋体"/>
                <w:color w:val="auto"/>
                <w:szCs w:val="24"/>
                <w:highlight w:val="none"/>
              </w:rPr>
              <w:t>初审指标通过标准：投标人必须通过上述全部指标。</w:t>
            </w:r>
          </w:p>
          <w:p w14:paraId="54F1C629">
            <w:pPr>
              <w:adjustRightInd w:val="0"/>
              <w:snapToGrid w:val="0"/>
              <w:spacing w:line="420" w:lineRule="exact"/>
              <w:ind w:right="-11"/>
              <w:jc w:val="left"/>
              <w:rPr>
                <w:rFonts w:hint="eastAsia" w:ascii="宋体" w:hAnsi="宋体"/>
                <w:color w:val="auto"/>
                <w:szCs w:val="24"/>
                <w:highlight w:val="none"/>
              </w:rPr>
            </w:pPr>
            <w:r>
              <w:rPr>
                <w:rFonts w:hint="eastAsia" w:ascii="宋体" w:hAnsi="宋体"/>
                <w:color w:val="auto"/>
                <w:szCs w:val="24"/>
                <w:highlight w:val="none"/>
              </w:rPr>
              <w:t>评标委员会根据表中所列各项指标对投标人是否为有效标进行评审，未列入上表中的指标不得作为废标依据。</w:t>
            </w:r>
          </w:p>
        </w:tc>
      </w:tr>
    </w:tbl>
    <w:p w14:paraId="75B52570">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8.5评标委员会将对所有通过初审的投标文件进行详细评审，具体如下：</w:t>
      </w:r>
    </w:p>
    <w:p w14:paraId="281C9BE3">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根据评分的细则，评委应对进入详细评审的所有投标文件进行评分，并分别填写打分表。</w:t>
      </w:r>
    </w:p>
    <w:p w14:paraId="19004CA8">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8.6</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hint="eastAsia" w:asciiTheme="minorEastAsia" w:hAnsiTheme="minorEastAsia" w:eastAsiaTheme="minorEastAsia"/>
          <w:sz w:val="24"/>
          <w:highlight w:val="none"/>
          <w:u w:val="single"/>
          <w:lang w:val="en-US" w:eastAsia="zh-CN"/>
        </w:rPr>
        <w:t>90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10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236"/>
        <w:gridCol w:w="4936"/>
        <w:gridCol w:w="1202"/>
      </w:tblGrid>
      <w:tr w14:paraId="6BB2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48" w:type="dxa"/>
            <w:noWrap w:val="0"/>
            <w:vAlign w:val="center"/>
          </w:tcPr>
          <w:p w14:paraId="34355196">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类别</w:t>
            </w:r>
          </w:p>
        </w:tc>
        <w:tc>
          <w:tcPr>
            <w:tcW w:w="1236" w:type="dxa"/>
            <w:noWrap w:val="0"/>
            <w:vAlign w:val="center"/>
          </w:tcPr>
          <w:p w14:paraId="5F118F18">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评分内容</w:t>
            </w:r>
          </w:p>
        </w:tc>
        <w:tc>
          <w:tcPr>
            <w:tcW w:w="4936" w:type="dxa"/>
            <w:noWrap w:val="0"/>
            <w:vAlign w:val="center"/>
          </w:tcPr>
          <w:p w14:paraId="0244E44B">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评分标准</w:t>
            </w:r>
          </w:p>
        </w:tc>
        <w:tc>
          <w:tcPr>
            <w:tcW w:w="1202" w:type="dxa"/>
            <w:noWrap w:val="0"/>
            <w:vAlign w:val="center"/>
          </w:tcPr>
          <w:p w14:paraId="7E89F0DF">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分值范围</w:t>
            </w:r>
          </w:p>
        </w:tc>
      </w:tr>
      <w:tr w14:paraId="2405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restart"/>
            <w:noWrap w:val="0"/>
            <w:vAlign w:val="center"/>
          </w:tcPr>
          <w:p w14:paraId="04EDA51A">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p w14:paraId="314574C6">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技术资信分</w:t>
            </w:r>
          </w:p>
          <w:p w14:paraId="657B7806">
            <w:pPr>
              <w:keepNext w:val="0"/>
              <w:keepLines w:val="0"/>
              <w:pageBreakBefore w:val="0"/>
              <w:kinsoku/>
              <w:wordWrap/>
              <w:overflowPunct/>
              <w:topLinePunct w:val="0"/>
              <w:autoSpaceDE/>
              <w:autoSpaceDN/>
              <w:bidi w:val="0"/>
              <w:adjustRightInd/>
              <w:snapToGrid/>
              <w:spacing w:line="460" w:lineRule="exact"/>
              <w:ind w:left="0" w:leftChars="0" w:firstLine="0" w:firstLineChars="0"/>
              <w:rPr>
                <w:rFonts w:hint="eastAsia"/>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0分）</w:t>
            </w:r>
          </w:p>
        </w:tc>
        <w:tc>
          <w:tcPr>
            <w:tcW w:w="1236" w:type="dxa"/>
            <w:shd w:val="clear" w:color="auto" w:fill="auto"/>
            <w:noWrap w:val="0"/>
            <w:vAlign w:val="center"/>
          </w:tcPr>
          <w:p w14:paraId="3A4E9D1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sz w:val="24"/>
                <w:szCs w:val="24"/>
              </w:rPr>
              <w:t>现状调研分析</w:t>
            </w:r>
          </w:p>
        </w:tc>
        <w:tc>
          <w:tcPr>
            <w:tcW w:w="4936" w:type="dxa"/>
            <w:shd w:val="clear" w:color="auto" w:fill="auto"/>
            <w:noWrap w:val="0"/>
            <w:vAlign w:val="center"/>
          </w:tcPr>
          <w:p w14:paraId="4979D2D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本项目要求投标人自行组织现场勘察工作，评审委员会将对投标人提交的现状调研报告进行综合评分，评分维度涵盖原项目建设背景、各小区感知设备的数量与运行状态、平台数据传输质量、服务器及存储系统运行状况等方面</w:t>
            </w:r>
            <w:r>
              <w:rPr>
                <w:rFonts w:hint="eastAsia" w:ascii="宋体" w:hAnsi="宋体" w:cs="宋体"/>
                <w:b w:val="0"/>
                <w:bCs w:val="0"/>
                <w:i w:val="0"/>
                <w:iCs w:val="0"/>
                <w:color w:val="000000"/>
                <w:kern w:val="2"/>
                <w:sz w:val="24"/>
                <w:szCs w:val="24"/>
                <w:u w:val="none"/>
                <w:lang w:val="en-US" w:eastAsia="zh-CN" w:bidi="ar-SA"/>
              </w:rPr>
              <w:t>，</w:t>
            </w:r>
            <w:r>
              <w:rPr>
                <w:rFonts w:hint="eastAsia" w:ascii="宋体" w:hAnsi="宋体" w:eastAsia="宋体" w:cs="宋体"/>
                <w:b w:val="0"/>
                <w:bCs w:val="0"/>
                <w:i w:val="0"/>
                <w:iCs w:val="0"/>
                <w:color w:val="000000"/>
                <w:kern w:val="2"/>
                <w:sz w:val="24"/>
                <w:szCs w:val="24"/>
                <w:u w:val="none"/>
                <w:lang w:val="en-US" w:eastAsia="zh-CN" w:bidi="ar-SA"/>
              </w:rPr>
              <w:t>由评审委员会进行综合评审：</w:t>
            </w:r>
          </w:p>
          <w:p w14:paraId="5787870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lang w:val="en-US" w:eastAsia="zh-CN" w:bidi="ar-SA"/>
              </w:rPr>
              <w:t>1.</w:t>
            </w:r>
            <w:r>
              <w:rPr>
                <w:rFonts w:hint="eastAsia" w:ascii="宋体" w:hAnsi="宋体" w:eastAsia="宋体" w:cs="宋体"/>
                <w:b/>
                <w:bCs/>
                <w:i w:val="0"/>
                <w:iCs w:val="0"/>
                <w:color w:val="000000"/>
                <w:kern w:val="2"/>
                <w:sz w:val="24"/>
                <w:szCs w:val="24"/>
                <w:u w:val="none"/>
                <w:lang w:val="en-US" w:eastAsia="zh-CN" w:bidi="ar-SA"/>
              </w:rPr>
              <w:t>投标人需在自行完成现场调研后提交总体调研方案，内容应包括本项目涉及的所有小区分布情况、设备清单及原项目建设历史等信息。</w:t>
            </w:r>
          </w:p>
          <w:p w14:paraId="652D67A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lang w:val="en-US" w:eastAsia="zh-CN" w:bidi="ar-SA"/>
              </w:rPr>
              <w:t>（1）</w:t>
            </w:r>
            <w:r>
              <w:rPr>
                <w:rFonts w:hint="eastAsia" w:ascii="宋体" w:hAnsi="宋体" w:eastAsia="宋体" w:cs="宋体"/>
                <w:i w:val="0"/>
                <w:iCs w:val="0"/>
                <w:color w:val="000000"/>
                <w:kern w:val="2"/>
                <w:sz w:val="24"/>
                <w:szCs w:val="24"/>
                <w:u w:val="none"/>
                <w:lang w:val="en-US" w:eastAsia="zh-CN" w:bidi="ar-SA"/>
              </w:rPr>
              <w:t>内容全面、资料完整规范的，得1.5≤F≤3分；</w:t>
            </w:r>
          </w:p>
          <w:p w14:paraId="24E1441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r>
              <w:rPr>
                <w:rFonts w:hint="eastAsia" w:ascii="宋体" w:hAnsi="宋体" w:eastAsia="宋体" w:cs="宋体"/>
                <w:i w:val="0"/>
                <w:iCs w:val="0"/>
                <w:color w:val="000000"/>
                <w:kern w:val="2"/>
                <w:sz w:val="24"/>
                <w:szCs w:val="24"/>
                <w:u w:val="none"/>
                <w:lang w:val="en-US" w:eastAsia="zh-CN" w:bidi="ar-SA"/>
              </w:rPr>
              <w:t>勘察内容一般、资料存在少量遗漏的，得0&lt;F&lt;1.5分</w:t>
            </w:r>
            <w:r>
              <w:rPr>
                <w:rFonts w:hint="eastAsia" w:ascii="宋体" w:hAnsi="宋体" w:cs="宋体"/>
                <w:i w:val="0"/>
                <w:iCs w:val="0"/>
                <w:color w:val="000000"/>
                <w:kern w:val="2"/>
                <w:sz w:val="24"/>
                <w:szCs w:val="24"/>
                <w:u w:val="none"/>
                <w:lang w:val="en-US" w:eastAsia="zh-CN" w:bidi="ar-SA"/>
              </w:rPr>
              <w:t>；</w:t>
            </w:r>
          </w:p>
          <w:p w14:paraId="72224C9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未提供不得分。</w:t>
            </w:r>
          </w:p>
          <w:p w14:paraId="6A3F849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b/>
                <w:bCs/>
                <w:i w:val="0"/>
                <w:iCs w:val="0"/>
                <w:color w:val="000000"/>
                <w:kern w:val="2"/>
                <w:sz w:val="24"/>
                <w:szCs w:val="24"/>
                <w:u w:val="none"/>
                <w:lang w:val="en-US" w:eastAsia="zh-CN" w:bidi="ar-SA"/>
              </w:rPr>
              <w:t>2.</w:t>
            </w:r>
            <w:r>
              <w:rPr>
                <w:rFonts w:hint="eastAsia" w:ascii="宋体" w:hAnsi="宋体" w:eastAsia="宋体" w:cs="宋体"/>
                <w:b/>
                <w:bCs/>
                <w:i w:val="0"/>
                <w:iCs w:val="0"/>
                <w:color w:val="000000"/>
                <w:kern w:val="2"/>
                <w:sz w:val="24"/>
                <w:szCs w:val="24"/>
                <w:u w:val="none"/>
                <w:lang w:val="en-US" w:eastAsia="zh-CN" w:bidi="ar-SA"/>
              </w:rPr>
              <w:t>投标人需对本项目所有小区的前端感知设备进行全面调研，准确掌握设备的种类、型号、数量及实际运行状态</w:t>
            </w:r>
            <w:r>
              <w:rPr>
                <w:rFonts w:hint="eastAsia" w:ascii="宋体" w:hAnsi="宋体" w:cs="宋体"/>
                <w:i w:val="0"/>
                <w:iCs w:val="0"/>
                <w:color w:val="000000"/>
                <w:kern w:val="2"/>
                <w:sz w:val="24"/>
                <w:szCs w:val="24"/>
                <w:u w:val="none"/>
                <w:lang w:val="en-US" w:eastAsia="zh-CN" w:bidi="ar-SA"/>
              </w:rPr>
              <w:t>。</w:t>
            </w:r>
          </w:p>
          <w:p w14:paraId="30582F1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lang w:val="en-US" w:eastAsia="zh-CN" w:bidi="ar-SA"/>
              </w:rPr>
              <w:t>（1）</w:t>
            </w:r>
            <w:r>
              <w:rPr>
                <w:rFonts w:hint="eastAsia" w:ascii="宋体" w:hAnsi="宋体" w:eastAsia="宋体" w:cs="宋体"/>
                <w:i w:val="0"/>
                <w:iCs w:val="0"/>
                <w:color w:val="000000"/>
                <w:kern w:val="2"/>
                <w:sz w:val="24"/>
                <w:szCs w:val="24"/>
                <w:u w:val="none"/>
                <w:lang w:val="en-US" w:eastAsia="zh-CN" w:bidi="ar-SA"/>
              </w:rPr>
              <w:t>内容全面、资料完整规范的，得1.5≤F≤3分；</w:t>
            </w:r>
          </w:p>
          <w:p w14:paraId="0E690F34">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r>
              <w:rPr>
                <w:rFonts w:hint="eastAsia" w:ascii="宋体" w:hAnsi="宋体" w:eastAsia="宋体" w:cs="宋体"/>
                <w:i w:val="0"/>
                <w:iCs w:val="0"/>
                <w:color w:val="000000"/>
                <w:kern w:val="2"/>
                <w:sz w:val="24"/>
                <w:szCs w:val="24"/>
                <w:u w:val="none"/>
                <w:lang w:val="en-US" w:eastAsia="zh-CN" w:bidi="ar-SA"/>
              </w:rPr>
              <w:t>勘察内容一般、资料存在少量遗漏的，得0&lt;F&lt;1.5分</w:t>
            </w:r>
            <w:r>
              <w:rPr>
                <w:rFonts w:hint="eastAsia" w:ascii="宋体" w:hAnsi="宋体" w:cs="宋体"/>
                <w:i w:val="0"/>
                <w:iCs w:val="0"/>
                <w:color w:val="000000"/>
                <w:kern w:val="2"/>
                <w:sz w:val="24"/>
                <w:szCs w:val="24"/>
                <w:u w:val="none"/>
                <w:lang w:val="en-US" w:eastAsia="zh-CN" w:bidi="ar-SA"/>
              </w:rPr>
              <w:t>；</w:t>
            </w:r>
          </w:p>
          <w:p w14:paraId="1ED6C1D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未提供不得分。</w:t>
            </w:r>
          </w:p>
          <w:p w14:paraId="5EA0A17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2"/>
                <w:sz w:val="24"/>
                <w:szCs w:val="24"/>
                <w:u w:val="none"/>
                <w:lang w:val="en-US" w:eastAsia="zh-CN" w:bidi="ar-SA"/>
              </w:rPr>
              <w:t>3.</w:t>
            </w:r>
            <w:r>
              <w:rPr>
                <w:rFonts w:hint="eastAsia" w:ascii="宋体" w:hAnsi="宋体" w:eastAsia="宋体" w:cs="宋体"/>
                <w:b/>
                <w:bCs/>
                <w:i w:val="0"/>
                <w:iCs w:val="0"/>
                <w:color w:val="000000"/>
                <w:kern w:val="2"/>
                <w:sz w:val="24"/>
                <w:szCs w:val="24"/>
                <w:u w:val="none"/>
                <w:lang w:val="en-US" w:eastAsia="zh-CN" w:bidi="ar-SA"/>
              </w:rPr>
              <w:t>投标人需根据项目需求，对小区侧、公安侧等全链路后端系统进行现场调研，内容应包括网络架构、软件平台功能、硬件设备配置及运行状态等，</w:t>
            </w:r>
          </w:p>
          <w:p w14:paraId="5F03469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lang w:val="en-US" w:eastAsia="zh-CN" w:bidi="ar-SA"/>
              </w:rPr>
              <w:t>（1）</w:t>
            </w:r>
            <w:r>
              <w:rPr>
                <w:rFonts w:hint="eastAsia" w:ascii="宋体" w:hAnsi="宋体" w:eastAsia="宋体" w:cs="宋体"/>
                <w:i w:val="0"/>
                <w:iCs w:val="0"/>
                <w:color w:val="000000"/>
                <w:kern w:val="2"/>
                <w:sz w:val="24"/>
                <w:szCs w:val="24"/>
                <w:u w:val="none"/>
                <w:lang w:val="en-US" w:eastAsia="zh-CN" w:bidi="ar-SA"/>
              </w:rPr>
              <w:t>内容全面、资料完整规范的，得1.5≤F≤3分；</w:t>
            </w:r>
          </w:p>
          <w:p w14:paraId="15F36FD5">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r>
              <w:rPr>
                <w:rFonts w:hint="eastAsia" w:ascii="宋体" w:hAnsi="宋体" w:eastAsia="宋体" w:cs="宋体"/>
                <w:i w:val="0"/>
                <w:iCs w:val="0"/>
                <w:color w:val="000000"/>
                <w:kern w:val="2"/>
                <w:sz w:val="24"/>
                <w:szCs w:val="24"/>
                <w:u w:val="none"/>
                <w:lang w:val="en-US" w:eastAsia="zh-CN" w:bidi="ar-SA"/>
              </w:rPr>
              <w:t>勘察内容一般、资料存在少量遗漏的，得0&lt;F&lt;1.5分</w:t>
            </w:r>
            <w:r>
              <w:rPr>
                <w:rFonts w:hint="eastAsia" w:ascii="宋体" w:hAnsi="宋体" w:cs="宋体"/>
                <w:i w:val="0"/>
                <w:iCs w:val="0"/>
                <w:color w:val="000000"/>
                <w:kern w:val="2"/>
                <w:sz w:val="24"/>
                <w:szCs w:val="24"/>
                <w:u w:val="none"/>
                <w:lang w:val="en-US" w:eastAsia="zh-CN" w:bidi="ar-SA"/>
              </w:rPr>
              <w:t>；</w:t>
            </w:r>
          </w:p>
          <w:p w14:paraId="29D1F2A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未提供不得分。</w:t>
            </w:r>
          </w:p>
        </w:tc>
        <w:tc>
          <w:tcPr>
            <w:tcW w:w="1202" w:type="dxa"/>
            <w:shd w:val="clear" w:color="auto" w:fill="auto"/>
            <w:noWrap w:val="0"/>
            <w:vAlign w:val="center"/>
          </w:tcPr>
          <w:p w14:paraId="789809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Style w:val="47"/>
                <w:lang w:val="en-US" w:eastAsia="zh-CN" w:bidi="ar"/>
              </w:rPr>
              <w:t>0-</w:t>
            </w:r>
            <w:r>
              <w:rPr>
                <w:rStyle w:val="47"/>
                <w:rFonts w:hint="eastAsia"/>
                <w:lang w:val="en-US" w:eastAsia="zh-CN" w:bidi="ar"/>
              </w:rPr>
              <w:t>9</w:t>
            </w:r>
            <w:r>
              <w:rPr>
                <w:rStyle w:val="47"/>
                <w:lang w:val="en-US" w:eastAsia="zh-CN" w:bidi="ar"/>
              </w:rPr>
              <w:t>分</w:t>
            </w:r>
          </w:p>
        </w:tc>
      </w:tr>
      <w:tr w14:paraId="596A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0A8CBAF8">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39C47A7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sz w:val="24"/>
                <w:szCs w:val="24"/>
              </w:rPr>
              <w:t>项目重难点分析</w:t>
            </w:r>
          </w:p>
        </w:tc>
        <w:tc>
          <w:tcPr>
            <w:tcW w:w="4936" w:type="dxa"/>
            <w:shd w:val="clear" w:color="auto" w:fill="auto"/>
            <w:noWrap w:val="0"/>
            <w:vAlign w:val="center"/>
          </w:tcPr>
          <w:p w14:paraId="3889D5F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投标人根据本项目的具体概况提供针对本项目的重难点分析，包括但不限于运维实施的风险点分析及应对策略、人卡车卡数据上报至</w:t>
            </w:r>
            <w:r>
              <w:rPr>
                <w:rFonts w:hint="eastAsia" w:ascii="宋体" w:hAnsi="宋体" w:cs="宋体"/>
                <w:b w:val="0"/>
                <w:bCs w:val="0"/>
                <w:i w:val="0"/>
                <w:iCs w:val="0"/>
                <w:color w:val="000000"/>
                <w:kern w:val="2"/>
                <w:sz w:val="24"/>
                <w:szCs w:val="24"/>
                <w:u w:val="none"/>
                <w:lang w:val="en-US" w:eastAsia="zh-CN" w:bidi="ar-SA"/>
              </w:rPr>
              <w:t>合肥市</w:t>
            </w:r>
            <w:r>
              <w:rPr>
                <w:rFonts w:hint="eastAsia" w:ascii="宋体" w:hAnsi="宋体" w:eastAsia="宋体" w:cs="宋体"/>
                <w:b w:val="0"/>
                <w:bCs w:val="0"/>
                <w:i w:val="0"/>
                <w:iCs w:val="0"/>
                <w:color w:val="000000"/>
                <w:kern w:val="2"/>
                <w:sz w:val="24"/>
                <w:szCs w:val="24"/>
                <w:u w:val="none"/>
                <w:lang w:val="en-US" w:eastAsia="zh-CN" w:bidi="ar-SA"/>
              </w:rPr>
              <w:t>雪亮平台及使用的风险点分析及应对策略、运维平台搭建难点分析及应对策略等，由评审委员会进行综合评审：</w:t>
            </w:r>
          </w:p>
          <w:p w14:paraId="4504ADD0">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lang w:val="en-US" w:eastAsia="zh-CN" w:bidi="ar-SA"/>
              </w:rPr>
              <w:t>1.</w:t>
            </w:r>
            <w:r>
              <w:rPr>
                <w:rFonts w:hint="eastAsia" w:ascii="宋体" w:hAnsi="宋体" w:eastAsia="宋体" w:cs="宋体"/>
                <w:b/>
                <w:bCs/>
                <w:i w:val="0"/>
                <w:iCs w:val="0"/>
                <w:color w:val="000000"/>
                <w:kern w:val="2"/>
                <w:sz w:val="24"/>
                <w:szCs w:val="24"/>
                <w:u w:val="none"/>
                <w:lang w:val="en-US" w:eastAsia="zh-CN" w:bidi="ar-SA"/>
              </w:rPr>
              <w:t>投标人对本项目运维实施的风险点分析及应对策略重难点分析</w:t>
            </w:r>
            <w:r>
              <w:rPr>
                <w:rFonts w:hint="eastAsia" w:ascii="宋体" w:hAnsi="宋体" w:cs="宋体"/>
                <w:b/>
                <w:bCs/>
                <w:i w:val="0"/>
                <w:iCs w:val="0"/>
                <w:color w:val="000000"/>
                <w:kern w:val="2"/>
                <w:sz w:val="24"/>
                <w:szCs w:val="24"/>
                <w:u w:val="none"/>
                <w:lang w:val="en-US" w:eastAsia="zh-CN" w:bidi="ar-SA"/>
              </w:rPr>
              <w:t>。</w:t>
            </w:r>
          </w:p>
          <w:p w14:paraId="6547C7C3">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lang w:val="en-US" w:eastAsia="zh-CN" w:bidi="ar-SA"/>
              </w:rPr>
              <w:t>（1）</w:t>
            </w:r>
            <w:r>
              <w:rPr>
                <w:rFonts w:hint="eastAsia" w:ascii="宋体" w:hAnsi="宋体" w:eastAsia="宋体" w:cs="宋体"/>
                <w:i w:val="0"/>
                <w:iCs w:val="0"/>
                <w:color w:val="000000"/>
                <w:kern w:val="2"/>
                <w:sz w:val="24"/>
                <w:szCs w:val="24"/>
                <w:u w:val="none"/>
                <w:lang w:val="en-US" w:eastAsia="zh-CN" w:bidi="ar-SA"/>
              </w:rPr>
              <w:t>内容全面、资料完整规范的，得1.5≤F≤3分；</w:t>
            </w:r>
          </w:p>
          <w:p w14:paraId="214AB3A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r>
              <w:rPr>
                <w:rFonts w:hint="eastAsia" w:ascii="宋体" w:hAnsi="宋体" w:eastAsia="宋体" w:cs="宋体"/>
                <w:i w:val="0"/>
                <w:iCs w:val="0"/>
                <w:color w:val="000000"/>
                <w:kern w:val="2"/>
                <w:sz w:val="24"/>
                <w:szCs w:val="24"/>
                <w:u w:val="none"/>
                <w:lang w:val="en-US" w:eastAsia="zh-CN" w:bidi="ar-SA"/>
              </w:rPr>
              <w:t>勘察内容一般、资料存在少量遗漏的，得0&lt;F&lt;1.5分</w:t>
            </w:r>
            <w:r>
              <w:rPr>
                <w:rFonts w:hint="eastAsia" w:ascii="宋体" w:hAnsi="宋体" w:cs="宋体"/>
                <w:i w:val="0"/>
                <w:iCs w:val="0"/>
                <w:color w:val="000000"/>
                <w:kern w:val="2"/>
                <w:sz w:val="24"/>
                <w:szCs w:val="24"/>
                <w:u w:val="none"/>
                <w:lang w:val="en-US" w:eastAsia="zh-CN" w:bidi="ar-SA"/>
              </w:rPr>
              <w:t>；</w:t>
            </w:r>
          </w:p>
          <w:p w14:paraId="3DCBC322">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未提供不得分。</w:t>
            </w:r>
          </w:p>
          <w:p w14:paraId="263E5DB6">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2"/>
                <w:sz w:val="24"/>
                <w:szCs w:val="24"/>
                <w:u w:val="none"/>
                <w:lang w:val="en-US" w:eastAsia="zh-CN" w:bidi="ar-SA"/>
              </w:rPr>
              <w:t>2.</w:t>
            </w:r>
            <w:r>
              <w:rPr>
                <w:rFonts w:hint="eastAsia" w:ascii="宋体" w:hAnsi="宋体" w:eastAsia="宋体" w:cs="宋体"/>
                <w:b/>
                <w:bCs/>
                <w:i w:val="0"/>
                <w:iCs w:val="0"/>
                <w:color w:val="000000"/>
                <w:kern w:val="2"/>
                <w:sz w:val="24"/>
                <w:szCs w:val="24"/>
                <w:u w:val="none"/>
                <w:lang w:val="en-US" w:eastAsia="zh-CN" w:bidi="ar-SA"/>
              </w:rPr>
              <w:t>投标人需对本项目的核心技术重难点进行深入剖析，并提供完整的网络拓扑图及详细的技术说明</w:t>
            </w:r>
            <w:r>
              <w:rPr>
                <w:rFonts w:hint="eastAsia" w:ascii="宋体" w:hAnsi="宋体" w:cs="宋体"/>
                <w:b/>
                <w:bCs/>
                <w:i w:val="0"/>
                <w:iCs w:val="0"/>
                <w:color w:val="000000"/>
                <w:kern w:val="2"/>
                <w:sz w:val="24"/>
                <w:szCs w:val="24"/>
                <w:u w:val="none"/>
                <w:lang w:val="en-US" w:eastAsia="zh-CN" w:bidi="ar-SA"/>
              </w:rPr>
              <w:t>。</w:t>
            </w:r>
          </w:p>
          <w:p w14:paraId="1E4B3A5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lang w:val="en-US" w:eastAsia="zh-CN" w:bidi="ar-SA"/>
              </w:rPr>
              <w:t>（1）</w:t>
            </w:r>
            <w:r>
              <w:rPr>
                <w:rFonts w:hint="eastAsia" w:ascii="宋体" w:hAnsi="宋体" w:eastAsia="宋体" w:cs="宋体"/>
                <w:i w:val="0"/>
                <w:iCs w:val="0"/>
                <w:color w:val="000000"/>
                <w:kern w:val="2"/>
                <w:sz w:val="24"/>
                <w:szCs w:val="24"/>
                <w:u w:val="none"/>
                <w:lang w:val="en-US" w:eastAsia="zh-CN" w:bidi="ar-SA"/>
              </w:rPr>
              <w:t>内容全面、资料完整规范的，得1.5≤F≤3分；</w:t>
            </w:r>
          </w:p>
          <w:p w14:paraId="14A191E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r>
              <w:rPr>
                <w:rFonts w:hint="eastAsia" w:ascii="宋体" w:hAnsi="宋体" w:eastAsia="宋体" w:cs="宋体"/>
                <w:i w:val="0"/>
                <w:iCs w:val="0"/>
                <w:color w:val="000000"/>
                <w:kern w:val="2"/>
                <w:sz w:val="24"/>
                <w:szCs w:val="24"/>
                <w:u w:val="none"/>
                <w:lang w:val="en-US" w:eastAsia="zh-CN" w:bidi="ar-SA"/>
              </w:rPr>
              <w:t>勘察内容一般、资料存在少量遗漏的，得0&lt;F&lt;1.5分</w:t>
            </w:r>
            <w:r>
              <w:rPr>
                <w:rFonts w:hint="eastAsia" w:ascii="宋体" w:hAnsi="宋体" w:cs="宋体"/>
                <w:i w:val="0"/>
                <w:iCs w:val="0"/>
                <w:color w:val="000000"/>
                <w:kern w:val="2"/>
                <w:sz w:val="24"/>
                <w:szCs w:val="24"/>
                <w:u w:val="none"/>
                <w:lang w:val="en-US" w:eastAsia="zh-CN" w:bidi="ar-SA"/>
              </w:rPr>
              <w:t>；</w:t>
            </w:r>
          </w:p>
          <w:p w14:paraId="4A3EF7B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未提供不得分。</w:t>
            </w:r>
          </w:p>
          <w:p w14:paraId="5717DA1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2"/>
                <w:sz w:val="24"/>
                <w:szCs w:val="24"/>
                <w:lang w:val="en-US" w:eastAsia="zh-CN" w:bidi="ar-SA"/>
              </w:rPr>
              <w:t>3.</w:t>
            </w:r>
            <w:r>
              <w:rPr>
                <w:rFonts w:hint="eastAsia" w:ascii="宋体" w:hAnsi="宋体" w:eastAsia="宋体" w:cs="宋体"/>
                <w:b/>
                <w:bCs/>
                <w:i w:val="0"/>
                <w:iCs w:val="0"/>
                <w:color w:val="000000"/>
                <w:kern w:val="2"/>
                <w:sz w:val="24"/>
                <w:szCs w:val="24"/>
                <w:u w:val="none"/>
                <w:lang w:val="en-US" w:eastAsia="zh-CN" w:bidi="ar-SA"/>
              </w:rPr>
              <w:t>投标人需针对人卡车卡数据上报至雪亮平台的风险及应对策略、优化节约人脸解析算法的资源应对策略，运维平台搭建的难点及解决方案等内容，提供完整的分析方案</w:t>
            </w:r>
            <w:r>
              <w:rPr>
                <w:rFonts w:hint="eastAsia" w:ascii="宋体" w:hAnsi="宋体" w:cs="宋体"/>
                <w:b/>
                <w:bCs/>
                <w:i w:val="0"/>
                <w:iCs w:val="0"/>
                <w:color w:val="000000"/>
                <w:kern w:val="2"/>
                <w:sz w:val="24"/>
                <w:szCs w:val="24"/>
                <w:u w:val="none"/>
                <w:lang w:val="en-US" w:eastAsia="zh-CN" w:bidi="ar-SA"/>
              </w:rPr>
              <w:t>。</w:t>
            </w:r>
          </w:p>
          <w:p w14:paraId="02DD88C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lang w:val="en-US" w:eastAsia="zh-CN" w:bidi="ar-SA"/>
              </w:rPr>
              <w:t>（1）</w:t>
            </w:r>
            <w:r>
              <w:rPr>
                <w:rFonts w:hint="eastAsia" w:ascii="宋体" w:hAnsi="宋体" w:eastAsia="宋体" w:cs="宋体"/>
                <w:i w:val="0"/>
                <w:iCs w:val="0"/>
                <w:color w:val="000000"/>
                <w:kern w:val="2"/>
                <w:sz w:val="24"/>
                <w:szCs w:val="24"/>
                <w:u w:val="none"/>
                <w:lang w:val="en-US" w:eastAsia="zh-CN" w:bidi="ar-SA"/>
              </w:rPr>
              <w:t>内容全面、资料完整规范的，得1.5≤F≤3分；</w:t>
            </w:r>
          </w:p>
          <w:p w14:paraId="3943B5D0">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r>
              <w:rPr>
                <w:rFonts w:hint="eastAsia" w:ascii="宋体" w:hAnsi="宋体" w:eastAsia="宋体" w:cs="宋体"/>
                <w:i w:val="0"/>
                <w:iCs w:val="0"/>
                <w:color w:val="000000"/>
                <w:kern w:val="2"/>
                <w:sz w:val="24"/>
                <w:szCs w:val="24"/>
                <w:u w:val="none"/>
                <w:lang w:val="en-US" w:eastAsia="zh-CN" w:bidi="ar-SA"/>
              </w:rPr>
              <w:t>勘察内容一般、资料存在少量遗漏的，得0&lt;F&lt;1.5分</w:t>
            </w:r>
            <w:r>
              <w:rPr>
                <w:rFonts w:hint="eastAsia" w:ascii="宋体" w:hAnsi="宋体" w:cs="宋体"/>
                <w:i w:val="0"/>
                <w:iCs w:val="0"/>
                <w:color w:val="000000"/>
                <w:kern w:val="2"/>
                <w:sz w:val="24"/>
                <w:szCs w:val="24"/>
                <w:u w:val="none"/>
                <w:lang w:val="en-US" w:eastAsia="zh-CN" w:bidi="ar-SA"/>
              </w:rPr>
              <w:t>；</w:t>
            </w:r>
          </w:p>
          <w:p w14:paraId="370EBEB3">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未提供不得分。</w:t>
            </w:r>
          </w:p>
        </w:tc>
        <w:tc>
          <w:tcPr>
            <w:tcW w:w="1202" w:type="dxa"/>
            <w:shd w:val="clear" w:color="auto" w:fill="auto"/>
            <w:noWrap w:val="0"/>
            <w:vAlign w:val="center"/>
          </w:tcPr>
          <w:p w14:paraId="1A2F479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9</w:t>
            </w:r>
            <w:r>
              <w:rPr>
                <w:rFonts w:ascii="宋体" w:hAnsi="宋体" w:eastAsia="宋体" w:cs="宋体"/>
                <w:i w:val="0"/>
                <w:iCs w:val="0"/>
                <w:color w:val="000000"/>
                <w:kern w:val="0"/>
                <w:sz w:val="24"/>
                <w:szCs w:val="24"/>
                <w:u w:val="none"/>
                <w:lang w:val="en-US" w:eastAsia="zh-CN" w:bidi="ar"/>
              </w:rPr>
              <w:t>分</w:t>
            </w:r>
          </w:p>
        </w:tc>
      </w:tr>
      <w:tr w14:paraId="36AF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321CDDA3">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0C36DC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sz w:val="24"/>
                <w:szCs w:val="24"/>
              </w:rPr>
              <w:t>运维方案</w:t>
            </w:r>
          </w:p>
        </w:tc>
        <w:tc>
          <w:tcPr>
            <w:tcW w:w="4936" w:type="dxa"/>
            <w:shd w:val="clear" w:color="auto" w:fill="auto"/>
            <w:noWrap w:val="0"/>
            <w:vAlign w:val="center"/>
          </w:tcPr>
          <w:p w14:paraId="7A50A26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评标委员会根据本项目特点和实际需求，对项目运维服务架构、运维服务策略等，由评审委员会进行综合评审：</w:t>
            </w:r>
          </w:p>
          <w:p w14:paraId="0759C37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lang w:val="en-US" w:eastAsia="zh-CN" w:bidi="ar-SA"/>
              </w:rPr>
              <w:t>1.</w:t>
            </w:r>
            <w:r>
              <w:rPr>
                <w:rFonts w:hint="eastAsia" w:ascii="宋体" w:hAnsi="宋体" w:eastAsia="宋体" w:cs="宋体"/>
                <w:b/>
                <w:bCs/>
                <w:i w:val="0"/>
                <w:iCs w:val="0"/>
                <w:color w:val="000000"/>
                <w:kern w:val="2"/>
                <w:sz w:val="24"/>
                <w:szCs w:val="24"/>
                <w:u w:val="none"/>
                <w:lang w:val="en-US" w:eastAsia="zh-CN" w:bidi="ar-SA"/>
              </w:rPr>
              <w:t>投标人需提供完整的运维服务架构方案，明确运维人员配置、运维车辆安排、运维场所设置等内容</w:t>
            </w:r>
            <w:r>
              <w:rPr>
                <w:rFonts w:hint="eastAsia" w:ascii="宋体" w:hAnsi="宋体" w:cs="宋体"/>
                <w:b/>
                <w:bCs/>
                <w:i w:val="0"/>
                <w:iCs w:val="0"/>
                <w:color w:val="000000"/>
                <w:kern w:val="2"/>
                <w:sz w:val="24"/>
                <w:szCs w:val="24"/>
                <w:u w:val="none"/>
                <w:lang w:val="en-US" w:eastAsia="zh-CN" w:bidi="ar-SA"/>
              </w:rPr>
              <w:t>。</w:t>
            </w:r>
          </w:p>
          <w:p w14:paraId="0B6CC1ED">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lang w:val="en-US" w:eastAsia="zh-CN" w:bidi="ar-SA"/>
              </w:rPr>
              <w:t>（1）</w:t>
            </w:r>
            <w:r>
              <w:rPr>
                <w:rFonts w:hint="eastAsia" w:ascii="宋体" w:hAnsi="宋体" w:eastAsia="宋体" w:cs="宋体"/>
                <w:i w:val="0"/>
                <w:iCs w:val="0"/>
                <w:color w:val="000000"/>
                <w:kern w:val="2"/>
                <w:sz w:val="24"/>
                <w:szCs w:val="24"/>
                <w:u w:val="none"/>
                <w:lang w:val="en-US" w:eastAsia="zh-CN" w:bidi="ar-SA"/>
              </w:rPr>
              <w:t>方案针对性强、具体可行，能有效保障运维服务稳定运行，得2≤F≤4分；</w:t>
            </w:r>
          </w:p>
          <w:p w14:paraId="00503143">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r>
              <w:rPr>
                <w:rFonts w:hint="eastAsia" w:ascii="宋体" w:hAnsi="宋体" w:eastAsia="宋体" w:cs="宋体"/>
                <w:i w:val="0"/>
                <w:iCs w:val="0"/>
                <w:color w:val="000000"/>
                <w:kern w:val="2"/>
                <w:sz w:val="24"/>
                <w:szCs w:val="24"/>
                <w:u w:val="none"/>
                <w:lang w:val="en-US" w:eastAsia="zh-CN" w:bidi="ar-SA"/>
              </w:rPr>
              <w:t>方案针对性一般、措施基本可行，能基本保障硬件稳定运行，得0&lt;F&lt;2分；</w:t>
            </w:r>
          </w:p>
          <w:p w14:paraId="11D82C1F">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未提供不得分。</w:t>
            </w:r>
          </w:p>
          <w:p w14:paraId="57D3BBE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2"/>
                <w:sz w:val="24"/>
                <w:szCs w:val="24"/>
                <w:u w:val="none"/>
                <w:lang w:val="en-US" w:eastAsia="zh-CN" w:bidi="ar-SA"/>
              </w:rPr>
              <w:t>2.</w:t>
            </w:r>
            <w:r>
              <w:rPr>
                <w:rFonts w:hint="eastAsia" w:ascii="宋体" w:hAnsi="宋体" w:eastAsia="宋体" w:cs="宋体"/>
                <w:b/>
                <w:bCs/>
                <w:i w:val="0"/>
                <w:iCs w:val="0"/>
                <w:color w:val="000000"/>
                <w:kern w:val="2"/>
                <w:sz w:val="24"/>
                <w:szCs w:val="24"/>
                <w:u w:val="none"/>
                <w:lang w:val="en-US" w:eastAsia="zh-CN" w:bidi="ar-SA"/>
              </w:rPr>
              <w:t>投标人需提供详细的运维服务策略方案，内容应包括日常巡查内容、设备维保措施、现场服务响应机制、备品备件管理等</w:t>
            </w:r>
            <w:r>
              <w:rPr>
                <w:rFonts w:hint="eastAsia" w:ascii="宋体" w:hAnsi="宋体" w:cs="宋体"/>
                <w:b/>
                <w:bCs/>
                <w:i w:val="0"/>
                <w:iCs w:val="0"/>
                <w:color w:val="000000"/>
                <w:kern w:val="2"/>
                <w:sz w:val="24"/>
                <w:szCs w:val="24"/>
                <w:u w:val="none"/>
                <w:lang w:val="en-US" w:eastAsia="zh-CN" w:bidi="ar-SA"/>
              </w:rPr>
              <w:t>。</w:t>
            </w:r>
          </w:p>
          <w:p w14:paraId="207F638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lang w:val="en-US" w:eastAsia="zh-CN" w:bidi="ar-SA"/>
              </w:rPr>
              <w:t>（1）</w:t>
            </w:r>
            <w:r>
              <w:rPr>
                <w:rFonts w:hint="eastAsia" w:ascii="宋体" w:hAnsi="宋体" w:eastAsia="宋体" w:cs="宋体"/>
                <w:i w:val="0"/>
                <w:iCs w:val="0"/>
                <w:color w:val="000000"/>
                <w:kern w:val="2"/>
                <w:sz w:val="24"/>
                <w:szCs w:val="24"/>
                <w:u w:val="none"/>
                <w:lang w:val="en-US" w:eastAsia="zh-CN" w:bidi="ar-SA"/>
              </w:rPr>
              <w:t>方案针对性强、具体可行，能有效保障运维服务稳定运行，得2≤F≤4分；</w:t>
            </w:r>
          </w:p>
          <w:p w14:paraId="2145783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（2）</w:t>
            </w:r>
            <w:r>
              <w:rPr>
                <w:rFonts w:hint="eastAsia" w:ascii="宋体" w:hAnsi="宋体" w:eastAsia="宋体" w:cs="宋体"/>
                <w:i w:val="0"/>
                <w:iCs w:val="0"/>
                <w:color w:val="000000"/>
                <w:kern w:val="2"/>
                <w:sz w:val="24"/>
                <w:szCs w:val="24"/>
                <w:u w:val="none"/>
                <w:lang w:val="en-US" w:eastAsia="zh-CN" w:bidi="ar-SA"/>
              </w:rPr>
              <w:t>方案针对性一般、措施基本可行，能基本保障硬件稳定运行，得0&lt;F&lt;2分；</w:t>
            </w:r>
          </w:p>
          <w:p w14:paraId="6D0EEE2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未提供不得分。</w:t>
            </w:r>
          </w:p>
        </w:tc>
        <w:tc>
          <w:tcPr>
            <w:tcW w:w="1202" w:type="dxa"/>
            <w:shd w:val="clear" w:color="auto" w:fill="auto"/>
            <w:noWrap w:val="0"/>
            <w:vAlign w:val="center"/>
          </w:tcPr>
          <w:p w14:paraId="4426BDE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Style w:val="47"/>
                <w:lang w:val="en-US" w:eastAsia="zh-CN" w:bidi="ar"/>
              </w:rPr>
              <w:t>0-</w:t>
            </w:r>
            <w:r>
              <w:rPr>
                <w:rStyle w:val="47"/>
                <w:rFonts w:hint="eastAsia"/>
                <w:lang w:val="en-US" w:eastAsia="zh-CN" w:bidi="ar"/>
              </w:rPr>
              <w:t>8</w:t>
            </w:r>
            <w:r>
              <w:rPr>
                <w:rStyle w:val="47"/>
                <w:lang w:val="en-US" w:eastAsia="zh-CN" w:bidi="ar"/>
              </w:rPr>
              <w:t>分</w:t>
            </w:r>
          </w:p>
        </w:tc>
      </w:tr>
      <w:tr w14:paraId="52D2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00D4088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36A31A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4"/>
                <w:szCs w:val="24"/>
                <w:lang w:bidi="ar"/>
              </w:rPr>
              <w:t>数据接入方案</w:t>
            </w:r>
          </w:p>
        </w:tc>
        <w:tc>
          <w:tcPr>
            <w:tcW w:w="4936" w:type="dxa"/>
            <w:shd w:val="clear" w:color="auto" w:fill="auto"/>
            <w:noWrap w:val="0"/>
            <w:vAlign w:val="center"/>
          </w:tcPr>
          <w:p w14:paraId="1837D14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2"/>
                <w:sz w:val="24"/>
                <w:szCs w:val="24"/>
                <w:u w:val="none"/>
                <w:lang w:val="en-US" w:eastAsia="zh-CN" w:bidi="ar-SA"/>
              </w:rPr>
              <w:t>评标委员会根据本项目特点和实际需求，对各类感知数据进行标准化采集、治理、存储，包括但不限于“肥西公安全要素平台”居民采集的功能使用介绍、授权及对接“一标三实”方案、采集的静态数据脱敏及使用方案，实时感知图片数据汇聚及上报方案，</w:t>
            </w:r>
            <w:r>
              <w:rPr>
                <w:rFonts w:hint="eastAsia" w:ascii="宋体" w:hAnsi="宋体" w:cs="宋体"/>
                <w:b w:val="0"/>
                <w:bCs w:val="0"/>
                <w:i w:val="0"/>
                <w:iCs w:val="0"/>
                <w:color w:val="000000"/>
                <w:kern w:val="2"/>
                <w:sz w:val="24"/>
                <w:szCs w:val="24"/>
                <w:u w:val="none"/>
                <w:lang w:val="en-US" w:eastAsia="zh-CN" w:bidi="ar-SA"/>
              </w:rPr>
              <w:t>实时视频</w:t>
            </w:r>
            <w:r>
              <w:rPr>
                <w:rFonts w:hint="eastAsia" w:ascii="宋体" w:hAnsi="宋体" w:eastAsia="宋体" w:cs="宋体"/>
                <w:b w:val="0"/>
                <w:bCs w:val="0"/>
                <w:i w:val="0"/>
                <w:iCs w:val="0"/>
                <w:color w:val="000000"/>
                <w:kern w:val="2"/>
                <w:sz w:val="24"/>
                <w:szCs w:val="24"/>
                <w:u w:val="none"/>
                <w:lang w:val="en-US" w:eastAsia="zh-CN" w:bidi="ar-SA"/>
              </w:rPr>
              <w:t>接入方案等，由评审委员会进行综合评审；确保全量整合至公安雪亮平台方案，包括但不限于采用的组网架构、传输协议、数据标准、安全策略等，由评审委员会进行综合评审：</w:t>
            </w:r>
          </w:p>
          <w:p w14:paraId="768E1686">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lang w:val="en-US" w:eastAsia="zh-CN" w:bidi="ar-SA"/>
              </w:rPr>
              <w:t>1.</w:t>
            </w:r>
            <w:r>
              <w:rPr>
                <w:rFonts w:hint="eastAsia" w:ascii="宋体" w:hAnsi="宋体" w:eastAsia="宋体" w:cs="宋体"/>
                <w:b/>
                <w:bCs/>
                <w:i w:val="0"/>
                <w:iCs w:val="0"/>
                <w:color w:val="000000"/>
                <w:kern w:val="2"/>
                <w:sz w:val="24"/>
                <w:szCs w:val="24"/>
                <w:u w:val="none"/>
                <w:lang w:val="en-US" w:eastAsia="zh-CN" w:bidi="ar-SA"/>
              </w:rPr>
              <w:t>投标人提供对接“一标三实”方案</w:t>
            </w:r>
            <w:r>
              <w:rPr>
                <w:rFonts w:hint="eastAsia" w:ascii="宋体" w:hAnsi="宋体" w:cs="宋体"/>
                <w:b/>
                <w:bCs/>
                <w:i w:val="0"/>
                <w:iCs w:val="0"/>
                <w:color w:val="000000"/>
                <w:kern w:val="2"/>
                <w:sz w:val="24"/>
                <w:szCs w:val="24"/>
                <w:u w:val="none"/>
                <w:lang w:val="en-US" w:eastAsia="zh-CN" w:bidi="ar-SA"/>
              </w:rPr>
              <w:t>。</w:t>
            </w:r>
          </w:p>
          <w:p w14:paraId="3E41921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lang w:val="en-US" w:eastAsia="zh-CN" w:bidi="ar-SA"/>
              </w:rPr>
              <w:t>（1）</w:t>
            </w:r>
            <w:r>
              <w:rPr>
                <w:rFonts w:hint="eastAsia" w:ascii="宋体" w:hAnsi="宋体" w:eastAsia="宋体" w:cs="宋体"/>
                <w:b w:val="0"/>
                <w:bCs w:val="0"/>
                <w:i w:val="0"/>
                <w:iCs w:val="0"/>
                <w:color w:val="000000"/>
                <w:kern w:val="2"/>
                <w:sz w:val="24"/>
                <w:szCs w:val="24"/>
                <w:u w:val="none"/>
                <w:lang w:val="en-US" w:eastAsia="zh-CN" w:bidi="ar-SA"/>
              </w:rPr>
              <w:t>方案针对性强、具体可行，能有效保障运维服务稳定运行，得1≤F≤2分；</w:t>
            </w:r>
          </w:p>
          <w:p w14:paraId="6260135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u w:val="none"/>
                <w:lang w:val="en-US" w:eastAsia="zh-CN" w:bidi="ar-SA"/>
              </w:rPr>
              <w:t>（2）</w:t>
            </w:r>
            <w:r>
              <w:rPr>
                <w:rFonts w:hint="eastAsia" w:ascii="宋体" w:hAnsi="宋体" w:eastAsia="宋体" w:cs="宋体"/>
                <w:b w:val="0"/>
                <w:bCs w:val="0"/>
                <w:i w:val="0"/>
                <w:iCs w:val="0"/>
                <w:color w:val="000000"/>
                <w:kern w:val="2"/>
                <w:sz w:val="24"/>
                <w:szCs w:val="24"/>
                <w:u w:val="none"/>
                <w:lang w:val="en-US" w:eastAsia="zh-CN" w:bidi="ar-SA"/>
              </w:rPr>
              <w:t>方案针对性一般、措施基本可行，能基本保障硬件稳定运行，得0&lt;F&lt;1分；</w:t>
            </w:r>
          </w:p>
          <w:p w14:paraId="517246F2">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u w:val="none"/>
                <w:lang w:val="en-US" w:eastAsia="zh-CN" w:bidi="ar-SA"/>
              </w:rPr>
              <w:t>（3）</w:t>
            </w:r>
            <w:r>
              <w:rPr>
                <w:rFonts w:hint="eastAsia" w:ascii="宋体" w:hAnsi="宋体" w:eastAsia="宋体" w:cs="宋体"/>
                <w:b w:val="0"/>
                <w:bCs w:val="0"/>
                <w:i w:val="0"/>
                <w:iCs w:val="0"/>
                <w:color w:val="000000"/>
                <w:kern w:val="2"/>
                <w:sz w:val="24"/>
                <w:szCs w:val="24"/>
                <w:u w:val="none"/>
                <w:lang w:val="en-US" w:eastAsia="zh-CN" w:bidi="ar-SA"/>
              </w:rPr>
              <w:t>未提供不得分。</w:t>
            </w:r>
          </w:p>
          <w:p w14:paraId="2213841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2"/>
                <w:sz w:val="24"/>
                <w:szCs w:val="24"/>
                <w:u w:val="none"/>
                <w:lang w:val="en-US" w:eastAsia="zh-CN" w:bidi="ar-SA"/>
              </w:rPr>
              <w:t>2.</w:t>
            </w:r>
            <w:r>
              <w:rPr>
                <w:rFonts w:hint="eastAsia" w:ascii="宋体" w:hAnsi="宋体" w:eastAsia="宋体" w:cs="宋体"/>
                <w:b/>
                <w:bCs/>
                <w:i w:val="0"/>
                <w:iCs w:val="0"/>
                <w:color w:val="000000"/>
                <w:kern w:val="2"/>
                <w:sz w:val="24"/>
                <w:szCs w:val="24"/>
                <w:u w:val="none"/>
                <w:lang w:val="en-US" w:eastAsia="zh-CN" w:bidi="ar-SA"/>
              </w:rPr>
              <w:t>投标人提供采集的静态数据脱敏及使用方案</w:t>
            </w:r>
            <w:r>
              <w:rPr>
                <w:rFonts w:hint="eastAsia" w:ascii="宋体" w:hAnsi="宋体" w:cs="宋体"/>
                <w:b/>
                <w:bCs/>
                <w:i w:val="0"/>
                <w:iCs w:val="0"/>
                <w:color w:val="000000"/>
                <w:kern w:val="2"/>
                <w:sz w:val="24"/>
                <w:szCs w:val="24"/>
                <w:u w:val="none"/>
                <w:lang w:val="en-US" w:eastAsia="zh-CN" w:bidi="ar-SA"/>
              </w:rPr>
              <w:t>。</w:t>
            </w:r>
          </w:p>
          <w:p w14:paraId="37024A3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lang w:val="en-US" w:eastAsia="zh-CN" w:bidi="ar-SA"/>
              </w:rPr>
              <w:t>（1）</w:t>
            </w:r>
            <w:r>
              <w:rPr>
                <w:rFonts w:hint="eastAsia" w:ascii="宋体" w:hAnsi="宋体" w:eastAsia="宋体" w:cs="宋体"/>
                <w:b w:val="0"/>
                <w:bCs w:val="0"/>
                <w:i w:val="0"/>
                <w:iCs w:val="0"/>
                <w:color w:val="000000"/>
                <w:kern w:val="2"/>
                <w:sz w:val="24"/>
                <w:szCs w:val="24"/>
                <w:u w:val="none"/>
                <w:lang w:val="en-US" w:eastAsia="zh-CN" w:bidi="ar-SA"/>
              </w:rPr>
              <w:t>方案针对性强、具体可行，能有效保障运维服务稳定运行，得1≤F≤2分；</w:t>
            </w:r>
          </w:p>
          <w:p w14:paraId="526DA945">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u w:val="none"/>
                <w:lang w:val="en-US" w:eastAsia="zh-CN" w:bidi="ar-SA"/>
              </w:rPr>
              <w:t>（2）</w:t>
            </w:r>
            <w:r>
              <w:rPr>
                <w:rFonts w:hint="eastAsia" w:ascii="宋体" w:hAnsi="宋体" w:eastAsia="宋体" w:cs="宋体"/>
                <w:b w:val="0"/>
                <w:bCs w:val="0"/>
                <w:i w:val="0"/>
                <w:iCs w:val="0"/>
                <w:color w:val="000000"/>
                <w:kern w:val="2"/>
                <w:sz w:val="24"/>
                <w:szCs w:val="24"/>
                <w:u w:val="none"/>
                <w:lang w:val="en-US" w:eastAsia="zh-CN" w:bidi="ar-SA"/>
              </w:rPr>
              <w:t>方案针对性一般、措施基本可行，能基本保障硬件稳定运行，得0&lt;F&lt;1分；</w:t>
            </w:r>
          </w:p>
          <w:p w14:paraId="23355F9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u w:val="none"/>
                <w:lang w:val="en-US" w:eastAsia="zh-CN" w:bidi="ar-SA"/>
              </w:rPr>
              <w:t>（3）</w:t>
            </w:r>
            <w:r>
              <w:rPr>
                <w:rFonts w:hint="eastAsia" w:ascii="宋体" w:hAnsi="宋体" w:eastAsia="宋体" w:cs="宋体"/>
                <w:b w:val="0"/>
                <w:bCs w:val="0"/>
                <w:i w:val="0"/>
                <w:iCs w:val="0"/>
                <w:color w:val="000000"/>
                <w:kern w:val="2"/>
                <w:sz w:val="24"/>
                <w:szCs w:val="24"/>
                <w:u w:val="none"/>
                <w:lang w:val="en-US" w:eastAsia="zh-CN" w:bidi="ar-SA"/>
              </w:rPr>
              <w:t>未提供不得分。</w:t>
            </w:r>
          </w:p>
          <w:p w14:paraId="2528CD9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2"/>
                <w:sz w:val="24"/>
                <w:szCs w:val="24"/>
                <w:u w:val="none"/>
                <w:lang w:val="en-US" w:eastAsia="zh-CN" w:bidi="ar-SA"/>
              </w:rPr>
              <w:t>3.</w:t>
            </w:r>
            <w:r>
              <w:rPr>
                <w:rFonts w:hint="eastAsia" w:ascii="宋体" w:hAnsi="宋体" w:eastAsia="宋体" w:cs="宋体"/>
                <w:b/>
                <w:bCs/>
                <w:i w:val="0"/>
                <w:iCs w:val="0"/>
                <w:color w:val="000000"/>
                <w:kern w:val="2"/>
                <w:sz w:val="24"/>
                <w:szCs w:val="24"/>
                <w:u w:val="none"/>
                <w:lang w:val="en-US" w:eastAsia="zh-CN" w:bidi="ar-SA"/>
              </w:rPr>
              <w:t>投标人提供实时感知图片数据汇聚及上报方案</w:t>
            </w:r>
            <w:r>
              <w:rPr>
                <w:rFonts w:hint="eastAsia" w:ascii="宋体" w:hAnsi="宋体" w:cs="宋体"/>
                <w:b/>
                <w:bCs/>
                <w:i w:val="0"/>
                <w:iCs w:val="0"/>
                <w:color w:val="000000"/>
                <w:kern w:val="2"/>
                <w:sz w:val="24"/>
                <w:szCs w:val="24"/>
                <w:u w:val="none"/>
                <w:lang w:val="en-US" w:eastAsia="zh-CN" w:bidi="ar-SA"/>
              </w:rPr>
              <w:t>。</w:t>
            </w:r>
          </w:p>
          <w:p w14:paraId="1784C4EE">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lang w:val="en-US" w:eastAsia="zh-CN" w:bidi="ar-SA"/>
              </w:rPr>
              <w:t>（1）</w:t>
            </w:r>
            <w:r>
              <w:rPr>
                <w:rFonts w:hint="eastAsia" w:ascii="宋体" w:hAnsi="宋体" w:eastAsia="宋体" w:cs="宋体"/>
                <w:b w:val="0"/>
                <w:bCs w:val="0"/>
                <w:i w:val="0"/>
                <w:iCs w:val="0"/>
                <w:color w:val="000000"/>
                <w:kern w:val="2"/>
                <w:sz w:val="24"/>
                <w:szCs w:val="24"/>
                <w:u w:val="none"/>
                <w:lang w:val="en-US" w:eastAsia="zh-CN" w:bidi="ar-SA"/>
              </w:rPr>
              <w:t>方案针对性强、具体可行，能有效保障运维服务稳定运行，得1≤F≤2分；</w:t>
            </w:r>
          </w:p>
          <w:p w14:paraId="21D50DF1">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u w:val="none"/>
                <w:lang w:val="en-US" w:eastAsia="zh-CN" w:bidi="ar-SA"/>
              </w:rPr>
              <w:t>（2）</w:t>
            </w:r>
            <w:r>
              <w:rPr>
                <w:rFonts w:hint="eastAsia" w:ascii="宋体" w:hAnsi="宋体" w:eastAsia="宋体" w:cs="宋体"/>
                <w:b w:val="0"/>
                <w:bCs w:val="0"/>
                <w:i w:val="0"/>
                <w:iCs w:val="0"/>
                <w:color w:val="000000"/>
                <w:kern w:val="2"/>
                <w:sz w:val="24"/>
                <w:szCs w:val="24"/>
                <w:u w:val="none"/>
                <w:lang w:val="en-US" w:eastAsia="zh-CN" w:bidi="ar-SA"/>
              </w:rPr>
              <w:t>方案针对性一般、措施基本可行，能基本保障硬件稳定运行，得0&lt;F&lt;1分；</w:t>
            </w:r>
          </w:p>
          <w:p w14:paraId="7ABB544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u w:val="none"/>
                <w:lang w:val="en-US" w:eastAsia="zh-CN" w:bidi="ar-SA"/>
              </w:rPr>
              <w:t>（3）</w:t>
            </w:r>
            <w:r>
              <w:rPr>
                <w:rFonts w:hint="eastAsia" w:ascii="宋体" w:hAnsi="宋体" w:eastAsia="宋体" w:cs="宋体"/>
                <w:b w:val="0"/>
                <w:bCs w:val="0"/>
                <w:i w:val="0"/>
                <w:iCs w:val="0"/>
                <w:color w:val="000000"/>
                <w:kern w:val="2"/>
                <w:sz w:val="24"/>
                <w:szCs w:val="24"/>
                <w:u w:val="none"/>
                <w:lang w:val="en-US" w:eastAsia="zh-CN" w:bidi="ar-SA"/>
              </w:rPr>
              <w:t>未提供不得分。</w:t>
            </w:r>
          </w:p>
          <w:p w14:paraId="7CB357E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cs="宋体"/>
                <w:b/>
                <w:bCs/>
                <w:i w:val="0"/>
                <w:iCs w:val="0"/>
                <w:color w:val="000000"/>
                <w:kern w:val="2"/>
                <w:sz w:val="24"/>
                <w:szCs w:val="24"/>
                <w:u w:val="none"/>
                <w:lang w:val="en-US" w:eastAsia="zh-CN" w:bidi="ar-SA"/>
              </w:rPr>
            </w:pPr>
            <w:r>
              <w:rPr>
                <w:rFonts w:hint="eastAsia" w:ascii="宋体" w:hAnsi="宋体" w:cs="宋体"/>
                <w:b/>
                <w:bCs/>
                <w:i w:val="0"/>
                <w:iCs w:val="0"/>
                <w:color w:val="000000"/>
                <w:kern w:val="2"/>
                <w:sz w:val="24"/>
                <w:szCs w:val="24"/>
                <w:u w:val="none"/>
                <w:lang w:val="en-US" w:eastAsia="zh-CN" w:bidi="ar-SA"/>
              </w:rPr>
              <w:t>4.</w:t>
            </w:r>
            <w:r>
              <w:rPr>
                <w:rFonts w:hint="eastAsia" w:ascii="宋体" w:hAnsi="宋体" w:eastAsia="宋体" w:cs="宋体"/>
                <w:b/>
                <w:bCs/>
                <w:i w:val="0"/>
                <w:iCs w:val="0"/>
                <w:color w:val="000000"/>
                <w:kern w:val="2"/>
                <w:sz w:val="24"/>
                <w:szCs w:val="24"/>
                <w:u w:val="none"/>
                <w:lang w:val="en-US" w:eastAsia="zh-CN" w:bidi="ar-SA"/>
              </w:rPr>
              <w:t>投标人提供</w:t>
            </w:r>
            <w:r>
              <w:rPr>
                <w:rFonts w:hint="eastAsia" w:ascii="宋体" w:hAnsi="宋体" w:cs="宋体"/>
                <w:b/>
                <w:bCs/>
                <w:i w:val="0"/>
                <w:iCs w:val="0"/>
                <w:color w:val="000000"/>
                <w:kern w:val="2"/>
                <w:sz w:val="24"/>
                <w:szCs w:val="24"/>
                <w:u w:val="none"/>
                <w:lang w:val="en-US" w:eastAsia="zh-CN" w:bidi="ar-SA"/>
              </w:rPr>
              <w:t>实时视频</w:t>
            </w:r>
            <w:r>
              <w:rPr>
                <w:rFonts w:hint="eastAsia" w:ascii="宋体" w:hAnsi="宋体" w:eastAsia="宋体" w:cs="宋体"/>
                <w:b/>
                <w:bCs/>
                <w:i w:val="0"/>
                <w:iCs w:val="0"/>
                <w:color w:val="000000"/>
                <w:kern w:val="2"/>
                <w:sz w:val="24"/>
                <w:szCs w:val="24"/>
                <w:u w:val="none"/>
                <w:lang w:val="en-US" w:eastAsia="zh-CN" w:bidi="ar-SA"/>
              </w:rPr>
              <w:t>接入方案等</w:t>
            </w:r>
            <w:r>
              <w:rPr>
                <w:rFonts w:hint="eastAsia" w:ascii="宋体" w:hAnsi="宋体" w:cs="宋体"/>
                <w:b/>
                <w:bCs/>
                <w:i w:val="0"/>
                <w:iCs w:val="0"/>
                <w:color w:val="000000"/>
                <w:kern w:val="2"/>
                <w:sz w:val="24"/>
                <w:szCs w:val="24"/>
                <w:u w:val="none"/>
                <w:lang w:val="en-US" w:eastAsia="zh-CN" w:bidi="ar-SA"/>
              </w:rPr>
              <w:t>。</w:t>
            </w:r>
          </w:p>
          <w:p w14:paraId="4140BF12">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lang w:val="en-US" w:eastAsia="zh-CN" w:bidi="ar-SA"/>
              </w:rPr>
              <w:t>（1）</w:t>
            </w:r>
            <w:r>
              <w:rPr>
                <w:rFonts w:hint="eastAsia" w:ascii="宋体" w:hAnsi="宋体" w:eastAsia="宋体" w:cs="宋体"/>
                <w:b w:val="0"/>
                <w:bCs w:val="0"/>
                <w:i w:val="0"/>
                <w:iCs w:val="0"/>
                <w:color w:val="000000"/>
                <w:kern w:val="2"/>
                <w:sz w:val="24"/>
                <w:szCs w:val="24"/>
                <w:u w:val="none"/>
                <w:lang w:val="en-US" w:eastAsia="zh-CN" w:bidi="ar-SA"/>
              </w:rPr>
              <w:t>方案针对性强、具体可行，能有效保障运维服务稳定运行，得1≤F≤2分；</w:t>
            </w:r>
          </w:p>
          <w:p w14:paraId="2968B5E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u w:val="none"/>
                <w:lang w:val="en-US" w:eastAsia="zh-CN" w:bidi="ar-SA"/>
              </w:rPr>
              <w:t>（2）</w:t>
            </w:r>
            <w:r>
              <w:rPr>
                <w:rFonts w:hint="eastAsia" w:ascii="宋体" w:hAnsi="宋体" w:eastAsia="宋体" w:cs="宋体"/>
                <w:b w:val="0"/>
                <w:bCs w:val="0"/>
                <w:i w:val="0"/>
                <w:iCs w:val="0"/>
                <w:color w:val="000000"/>
                <w:kern w:val="2"/>
                <w:sz w:val="24"/>
                <w:szCs w:val="24"/>
                <w:u w:val="none"/>
                <w:lang w:val="en-US" w:eastAsia="zh-CN" w:bidi="ar-SA"/>
              </w:rPr>
              <w:t>方案针对性一般、措施基本可行，能基本保障硬件稳定运行，得0&lt;F&lt;1分；</w:t>
            </w:r>
          </w:p>
          <w:p w14:paraId="406FF8F2">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cs="宋体"/>
                <w:b w:val="0"/>
                <w:bCs w:val="0"/>
                <w:i w:val="0"/>
                <w:iCs w:val="0"/>
                <w:color w:val="000000"/>
                <w:kern w:val="2"/>
                <w:sz w:val="24"/>
                <w:szCs w:val="24"/>
                <w:u w:val="none"/>
                <w:lang w:val="en-US" w:eastAsia="zh-CN" w:bidi="ar-SA"/>
              </w:rPr>
              <w:t>（3）</w:t>
            </w:r>
            <w:r>
              <w:rPr>
                <w:rFonts w:hint="eastAsia" w:ascii="宋体" w:hAnsi="宋体" w:eastAsia="宋体" w:cs="宋体"/>
                <w:b w:val="0"/>
                <w:bCs w:val="0"/>
                <w:i w:val="0"/>
                <w:iCs w:val="0"/>
                <w:color w:val="000000"/>
                <w:kern w:val="2"/>
                <w:sz w:val="24"/>
                <w:szCs w:val="24"/>
                <w:u w:val="none"/>
                <w:lang w:val="en-US" w:eastAsia="zh-CN" w:bidi="ar-SA"/>
              </w:rPr>
              <w:t>未提供不得分。</w:t>
            </w:r>
          </w:p>
        </w:tc>
        <w:tc>
          <w:tcPr>
            <w:tcW w:w="1202" w:type="dxa"/>
            <w:shd w:val="clear" w:color="auto" w:fill="auto"/>
            <w:noWrap w:val="0"/>
            <w:vAlign w:val="center"/>
          </w:tcPr>
          <w:p w14:paraId="606EE65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Style w:val="47"/>
                <w:lang w:val="en-US" w:eastAsia="zh-CN" w:bidi="ar"/>
              </w:rPr>
              <w:t>0-</w:t>
            </w:r>
            <w:r>
              <w:rPr>
                <w:rStyle w:val="47"/>
                <w:rFonts w:hint="eastAsia"/>
                <w:lang w:val="en-US" w:eastAsia="zh-CN" w:bidi="ar"/>
              </w:rPr>
              <w:t>8</w:t>
            </w:r>
            <w:r>
              <w:rPr>
                <w:rStyle w:val="47"/>
                <w:lang w:val="en-US" w:eastAsia="zh-CN" w:bidi="ar"/>
              </w:rPr>
              <w:t>分</w:t>
            </w:r>
          </w:p>
        </w:tc>
      </w:tr>
      <w:tr w14:paraId="28AE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141E9A5B">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0E95F80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宋体" w:hAnsi="宋体" w:eastAsia="宋体" w:cs="宋体"/>
                <w:i w:val="0"/>
                <w:iCs w:val="0"/>
                <w:color w:val="000000"/>
                <w:kern w:val="2"/>
                <w:sz w:val="24"/>
                <w:szCs w:val="24"/>
                <w:u w:val="none"/>
                <w:lang w:val="en-US" w:eastAsia="zh-CN" w:bidi="ar-SA"/>
              </w:rPr>
            </w:pPr>
            <w:r>
              <w:rPr>
                <w:rFonts w:hint="eastAsia" w:ascii="宋体" w:hAnsi="宋体" w:cs="宋体"/>
                <w:kern w:val="0"/>
                <w:sz w:val="24"/>
                <w:szCs w:val="24"/>
                <w:lang w:bidi="ar"/>
              </w:rPr>
              <w:t>运维常见问题处置方案</w:t>
            </w:r>
          </w:p>
        </w:tc>
        <w:tc>
          <w:tcPr>
            <w:tcW w:w="4936" w:type="dxa"/>
            <w:shd w:val="clear" w:color="auto" w:fill="auto"/>
            <w:noWrap w:val="0"/>
            <w:vAlign w:val="top"/>
          </w:tcPr>
          <w:p w14:paraId="25237C2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投标人根据本项目的服务要求，制定运维常见问题处置方案，方案内容包括但不限于服务开始前及服务过程中预期问题分析及应对措施等，由评审委员会进行综合评审：</w:t>
            </w:r>
          </w:p>
          <w:p w14:paraId="361B5F8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（1）方案内容完整详细，各项措施可行性强，完全满足采购需求的，得</w:t>
            </w:r>
            <w:r>
              <w:rPr>
                <w:rFonts w:hint="eastAsia" w:ascii="宋体" w:hAnsi="宋体" w:cs="宋体"/>
                <w:i w:val="0"/>
                <w:iCs w:val="0"/>
                <w:color w:val="000000"/>
                <w:kern w:val="2"/>
                <w:sz w:val="24"/>
                <w:szCs w:val="24"/>
                <w:u w:val="none"/>
                <w:lang w:val="en-US" w:eastAsia="zh-CN" w:bidi="ar-SA"/>
              </w:rPr>
              <w:t>4.5</w:t>
            </w:r>
            <w:r>
              <w:rPr>
                <w:rFonts w:hint="eastAsia" w:ascii="宋体" w:hAnsi="宋体" w:eastAsia="宋体" w:cs="宋体"/>
                <w:i w:val="0"/>
                <w:iCs w:val="0"/>
                <w:color w:val="000000"/>
                <w:kern w:val="2"/>
                <w:sz w:val="24"/>
                <w:szCs w:val="24"/>
                <w:u w:val="none"/>
                <w:lang w:val="en-US" w:eastAsia="zh-CN" w:bidi="ar-SA"/>
              </w:rPr>
              <w:t>分≤F≤</w:t>
            </w:r>
            <w:r>
              <w:rPr>
                <w:rFonts w:hint="eastAsia" w:ascii="宋体" w:hAnsi="宋体" w:cs="宋体"/>
                <w:i w:val="0"/>
                <w:iCs w:val="0"/>
                <w:color w:val="000000"/>
                <w:kern w:val="2"/>
                <w:sz w:val="24"/>
                <w:szCs w:val="24"/>
                <w:u w:val="none"/>
                <w:lang w:val="en-US" w:eastAsia="zh-CN" w:bidi="ar-SA"/>
              </w:rPr>
              <w:t>5</w:t>
            </w:r>
            <w:r>
              <w:rPr>
                <w:rFonts w:hint="eastAsia" w:ascii="宋体" w:hAnsi="宋体" w:eastAsia="宋体" w:cs="宋体"/>
                <w:i w:val="0"/>
                <w:iCs w:val="0"/>
                <w:color w:val="000000"/>
                <w:kern w:val="2"/>
                <w:sz w:val="24"/>
                <w:szCs w:val="24"/>
                <w:u w:val="none"/>
                <w:lang w:val="en-US" w:eastAsia="zh-CN" w:bidi="ar-SA"/>
              </w:rPr>
              <w:t>分；</w:t>
            </w:r>
          </w:p>
          <w:p w14:paraId="49DA56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（2）方案内容详细，各项措施具有可行性，贴近采购需求的，得</w:t>
            </w: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分＜F＜</w:t>
            </w:r>
            <w:r>
              <w:rPr>
                <w:rFonts w:hint="eastAsia" w:ascii="宋体" w:hAnsi="宋体" w:cs="宋体"/>
                <w:i w:val="0"/>
                <w:iCs w:val="0"/>
                <w:color w:val="000000"/>
                <w:kern w:val="2"/>
                <w:sz w:val="24"/>
                <w:szCs w:val="24"/>
                <w:u w:val="none"/>
                <w:lang w:val="en-US" w:eastAsia="zh-CN" w:bidi="ar-SA"/>
              </w:rPr>
              <w:t>4.5</w:t>
            </w:r>
            <w:r>
              <w:rPr>
                <w:rFonts w:hint="eastAsia" w:ascii="宋体" w:hAnsi="宋体" w:eastAsia="宋体" w:cs="宋体"/>
                <w:i w:val="0"/>
                <w:iCs w:val="0"/>
                <w:color w:val="000000"/>
                <w:kern w:val="2"/>
                <w:sz w:val="24"/>
                <w:szCs w:val="24"/>
                <w:u w:val="none"/>
                <w:lang w:val="en-US" w:eastAsia="zh-CN" w:bidi="ar-SA"/>
              </w:rPr>
              <w:t>分；</w:t>
            </w:r>
          </w:p>
          <w:p w14:paraId="07018A0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top"/>
              <w:rPr>
                <w:rFonts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（3）方案的适用性、可行性有待提升的，得0分≤F≤</w:t>
            </w:r>
            <w:r>
              <w:rPr>
                <w:rFonts w:hint="eastAsia" w:ascii="宋体" w:hAnsi="宋体" w:cs="宋体"/>
                <w:i w:val="0"/>
                <w:iCs w:val="0"/>
                <w:color w:val="000000"/>
                <w:kern w:val="2"/>
                <w:sz w:val="24"/>
                <w:szCs w:val="24"/>
                <w:u w:val="none"/>
                <w:lang w:val="en-US" w:eastAsia="zh-CN" w:bidi="ar-SA"/>
              </w:rPr>
              <w:t>3</w:t>
            </w:r>
            <w:r>
              <w:rPr>
                <w:rFonts w:hint="eastAsia" w:ascii="宋体" w:hAnsi="宋体" w:eastAsia="宋体" w:cs="宋体"/>
                <w:i w:val="0"/>
                <w:iCs w:val="0"/>
                <w:color w:val="000000"/>
                <w:kern w:val="2"/>
                <w:sz w:val="24"/>
                <w:szCs w:val="24"/>
                <w:u w:val="none"/>
                <w:lang w:val="en-US" w:eastAsia="zh-CN" w:bidi="ar-SA"/>
              </w:rPr>
              <w:t>分。</w:t>
            </w:r>
          </w:p>
        </w:tc>
        <w:tc>
          <w:tcPr>
            <w:tcW w:w="1202" w:type="dxa"/>
            <w:shd w:val="clear" w:color="auto" w:fill="auto"/>
            <w:noWrap w:val="0"/>
            <w:vAlign w:val="center"/>
          </w:tcPr>
          <w:p w14:paraId="5BF46E9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0-</w:t>
            </w:r>
            <w:r>
              <w:rPr>
                <w:rFonts w:hint="eastAsia" w:ascii="宋体" w:hAnsi="宋体" w:cs="宋体"/>
                <w:i w:val="0"/>
                <w:iCs w:val="0"/>
                <w:color w:val="000000"/>
                <w:kern w:val="0"/>
                <w:sz w:val="24"/>
                <w:szCs w:val="24"/>
                <w:u w:val="none"/>
                <w:lang w:val="en-US" w:eastAsia="zh-CN" w:bidi="ar"/>
              </w:rPr>
              <w:t>5</w:t>
            </w:r>
            <w:r>
              <w:rPr>
                <w:rFonts w:ascii="宋体" w:hAnsi="宋体" w:eastAsia="宋体" w:cs="宋体"/>
                <w:i w:val="0"/>
                <w:iCs w:val="0"/>
                <w:color w:val="000000"/>
                <w:kern w:val="0"/>
                <w:sz w:val="24"/>
                <w:szCs w:val="24"/>
                <w:u w:val="none"/>
                <w:lang w:val="en-US" w:eastAsia="zh-CN" w:bidi="ar"/>
              </w:rPr>
              <w:t>分</w:t>
            </w:r>
          </w:p>
        </w:tc>
      </w:tr>
      <w:tr w14:paraId="55EF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717F27A6">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49437E2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宋体" w:hAnsi="宋体" w:eastAsia="宋体" w:cs="宋体"/>
                <w:i w:val="0"/>
                <w:iCs w:val="0"/>
                <w:color w:val="000000"/>
                <w:kern w:val="2"/>
                <w:sz w:val="24"/>
                <w:szCs w:val="24"/>
                <w:u w:val="none"/>
                <w:lang w:val="en-US" w:eastAsia="zh-CN" w:bidi="ar-SA"/>
              </w:rPr>
            </w:pPr>
            <w:r>
              <w:rPr>
                <w:rFonts w:hint="eastAsia" w:ascii="宋体" w:hAnsi="宋体" w:cs="宋体"/>
                <w:kern w:val="0"/>
                <w:sz w:val="24"/>
                <w:szCs w:val="24"/>
                <w:lang w:bidi="ar"/>
              </w:rPr>
              <w:t>系统演示</w:t>
            </w:r>
          </w:p>
        </w:tc>
        <w:tc>
          <w:tcPr>
            <w:tcW w:w="4936" w:type="dxa"/>
            <w:shd w:val="clear" w:color="auto" w:fill="auto"/>
            <w:noWrap w:val="0"/>
            <w:vAlign w:val="center"/>
          </w:tcPr>
          <w:p w14:paraId="00EE87D5">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投标人提供不超过15分钟的真实平台演示，主要包含以下内容（</w:t>
            </w:r>
            <w:r>
              <w:rPr>
                <w:rFonts w:hint="eastAsia" w:ascii="宋体" w:hAnsi="宋体" w:eastAsia="宋体" w:cs="宋体"/>
                <w:b/>
                <w:bCs/>
                <w:kern w:val="0"/>
                <w:sz w:val="24"/>
                <w:szCs w:val="24"/>
                <w:lang w:bidi="ar"/>
              </w:rPr>
              <w:t>详见第</w:t>
            </w:r>
            <w:r>
              <w:rPr>
                <w:rFonts w:hint="eastAsia" w:ascii="宋体" w:hAnsi="宋体" w:eastAsia="宋体" w:cs="宋体"/>
                <w:b/>
                <w:bCs/>
                <w:kern w:val="0"/>
                <w:sz w:val="24"/>
                <w:szCs w:val="24"/>
                <w:lang w:val="en-US" w:eastAsia="zh-CN" w:bidi="ar"/>
              </w:rPr>
              <w:t>四</w:t>
            </w:r>
            <w:r>
              <w:rPr>
                <w:rFonts w:hint="eastAsia" w:ascii="宋体" w:hAnsi="宋体" w:eastAsia="宋体" w:cs="宋体"/>
                <w:b/>
                <w:bCs/>
                <w:kern w:val="0"/>
                <w:sz w:val="24"/>
                <w:szCs w:val="24"/>
                <w:lang w:bidi="ar"/>
              </w:rPr>
              <w:t>章“运维内容”中第2点运维要求中（</w:t>
            </w:r>
            <w:r>
              <w:rPr>
                <w:rFonts w:hint="eastAsia" w:ascii="宋体" w:hAnsi="宋体" w:eastAsia="宋体" w:cs="宋体"/>
                <w:b/>
                <w:bCs/>
                <w:kern w:val="0"/>
                <w:sz w:val="24"/>
                <w:szCs w:val="24"/>
                <w:lang w:val="en-US" w:eastAsia="zh-CN" w:bidi="ar"/>
              </w:rPr>
              <w:t>3</w:t>
            </w:r>
            <w:r>
              <w:rPr>
                <w:rFonts w:hint="eastAsia" w:ascii="宋体" w:hAnsi="宋体" w:eastAsia="宋体" w:cs="宋体"/>
                <w:b/>
                <w:bCs/>
                <w:kern w:val="0"/>
                <w:sz w:val="24"/>
                <w:szCs w:val="24"/>
                <w:lang w:bidi="ar"/>
              </w:rPr>
              <w:t>）平台系统运维</w:t>
            </w:r>
            <w:r>
              <w:rPr>
                <w:rFonts w:hint="eastAsia" w:ascii="宋体" w:hAnsi="宋体" w:eastAsia="宋体" w:cs="宋体"/>
                <w:b/>
                <w:bCs/>
                <w:kern w:val="0"/>
                <w:sz w:val="24"/>
                <w:szCs w:val="24"/>
                <w:lang w:val="en-US" w:eastAsia="zh-CN" w:bidi="ar"/>
              </w:rPr>
              <w:t>要求</w:t>
            </w:r>
            <w:r>
              <w:rPr>
                <w:rFonts w:hint="eastAsia" w:ascii="宋体" w:hAnsi="宋体" w:eastAsia="宋体" w:cs="宋体"/>
                <w:b/>
                <w:bCs/>
                <w:kern w:val="0"/>
                <w:sz w:val="24"/>
                <w:szCs w:val="24"/>
                <w:lang w:bidi="ar"/>
              </w:rPr>
              <w:t>b.</w:t>
            </w:r>
            <w:r>
              <w:rPr>
                <w:rFonts w:hint="eastAsia" w:ascii="宋体" w:hAnsi="宋体" w:eastAsia="宋体" w:cs="宋体"/>
                <w:b/>
                <w:bCs/>
                <w:kern w:val="0"/>
                <w:sz w:val="24"/>
                <w:szCs w:val="24"/>
                <w:lang w:val="en-US" w:eastAsia="zh-CN" w:bidi="ar"/>
              </w:rPr>
              <w:t>智慧平安小区运维平台</w:t>
            </w:r>
            <w:r>
              <w:rPr>
                <w:rFonts w:hint="eastAsia" w:ascii="宋体" w:hAnsi="宋体" w:eastAsia="宋体" w:cs="宋体"/>
                <w:kern w:val="0"/>
                <w:sz w:val="24"/>
                <w:szCs w:val="24"/>
                <w:lang w:bidi="ar"/>
              </w:rPr>
              <w:t>）：</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PC端应用：</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1</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bidi="ar"/>
              </w:rPr>
              <w:t>可视化运维GIS地图及POI标点；</w:t>
            </w:r>
          </w:p>
          <w:p w14:paraId="570BEE63">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2.运维数据可视化分析；</w:t>
            </w:r>
          </w:p>
          <w:p w14:paraId="67093272">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3.运维管网绘制功能；</w:t>
            </w:r>
          </w:p>
          <w:p w14:paraId="331B6E70">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left"/>
              <w:textAlignment w:val="center"/>
              <w:rPr>
                <w:rFonts w:hint="default"/>
                <w:highlight w:val="none"/>
                <w:lang w:val="en-US" w:eastAsia="zh-CN"/>
              </w:rPr>
            </w:pPr>
            <w:r>
              <w:rPr>
                <w:rFonts w:hint="eastAsia" w:ascii="宋体" w:hAnsi="宋体" w:eastAsia="宋体" w:cs="宋体"/>
                <w:kern w:val="0"/>
                <w:sz w:val="24"/>
                <w:szCs w:val="24"/>
                <w:lang w:bidi="ar"/>
              </w:rPr>
              <w:t>4</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bidi="ar"/>
              </w:rPr>
              <w:t>工单管理功能；</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5</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lang w:bidi="ar"/>
              </w:rPr>
              <w:t>移动端应用。</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评分标准：满分10分，共5项演示内容，每不满足 1项扣2分，扣完为止。</w:t>
            </w:r>
            <w:r>
              <w:rPr>
                <w:rFonts w:hint="eastAsia" w:ascii="宋体" w:hAnsi="宋体" w:eastAsia="宋体" w:cs="宋体"/>
                <w:kern w:val="0"/>
                <w:sz w:val="24"/>
                <w:szCs w:val="24"/>
                <w:lang w:bidi="ar"/>
              </w:rPr>
              <w:br w:type="textWrapping"/>
            </w:r>
            <w:r>
              <w:rPr>
                <w:rFonts w:hint="eastAsia" w:ascii="宋体" w:hAnsi="宋体" w:eastAsia="宋体" w:cs="宋体"/>
                <w:b/>
                <w:bCs/>
                <w:kern w:val="0"/>
                <w:sz w:val="24"/>
                <w:szCs w:val="24"/>
                <w:lang w:bidi="ar"/>
              </w:rPr>
              <w:t>注：1、本项目设有现场系统演示环节，演示内容将在PC端展示，演示内容包括但不限于短视频、录屏等能充分体现评审因素的形式。各投标单位请将“系统演示内容”存于电子U盘内。</w:t>
            </w:r>
            <w:r>
              <w:rPr>
                <w:rFonts w:hint="eastAsia" w:ascii="宋体" w:hAnsi="宋体" w:eastAsia="宋体" w:cs="宋体"/>
                <w:b/>
                <w:bCs/>
                <w:kern w:val="0"/>
                <w:sz w:val="24"/>
                <w:szCs w:val="24"/>
                <w:lang w:bidi="ar"/>
              </w:rPr>
              <w:br w:type="textWrapping"/>
            </w:r>
            <w:r>
              <w:rPr>
                <w:rFonts w:hint="eastAsia" w:ascii="宋体" w:hAnsi="宋体" w:eastAsia="宋体" w:cs="宋体"/>
                <w:b/>
                <w:bCs/>
                <w:kern w:val="0"/>
                <w:sz w:val="24"/>
                <w:szCs w:val="24"/>
                <w:lang w:bidi="ar"/>
              </w:rPr>
              <w:t>2、演示文件在技术评审时由评标委员会进行播放，无需投标人员进入评标现场。评委会按照优质采云采购平台系统本项目“开标一览表”中投标人的“序号”为动画演示顺序进行播放。</w:t>
            </w:r>
            <w:r>
              <w:rPr>
                <w:rFonts w:hint="eastAsia" w:ascii="宋体" w:hAnsi="宋体" w:eastAsia="宋体" w:cs="宋体"/>
                <w:b/>
                <w:bCs/>
                <w:kern w:val="0"/>
                <w:sz w:val="24"/>
                <w:szCs w:val="24"/>
                <w:lang w:bidi="ar"/>
              </w:rPr>
              <w:br w:type="textWrapping"/>
            </w:r>
            <w:r>
              <w:rPr>
                <w:rFonts w:hint="eastAsia" w:ascii="宋体" w:hAnsi="宋体" w:eastAsia="宋体" w:cs="宋体"/>
                <w:b/>
                <w:bCs/>
                <w:kern w:val="0"/>
                <w:sz w:val="24"/>
                <w:szCs w:val="24"/>
                <w:lang w:bidi="ar"/>
              </w:rPr>
              <w:t>3、各投标人需确保电子U盘的密封性，电子U盘单独封装，要求贴封条，写明项目名称、项目编号、投标人名称。</w:t>
            </w:r>
            <w:r>
              <w:rPr>
                <w:rFonts w:hint="eastAsia" w:ascii="宋体" w:hAnsi="宋体" w:eastAsia="宋体" w:cs="宋体"/>
                <w:b/>
                <w:bCs/>
                <w:kern w:val="0"/>
                <w:sz w:val="24"/>
                <w:szCs w:val="24"/>
                <w:lang w:bidi="ar"/>
              </w:rPr>
              <w:br w:type="textWrapping"/>
            </w:r>
            <w:r>
              <w:rPr>
                <w:rFonts w:hint="eastAsia" w:ascii="宋体" w:hAnsi="宋体" w:eastAsia="宋体" w:cs="宋体"/>
                <w:b/>
                <w:bCs/>
                <w:kern w:val="0"/>
                <w:sz w:val="24"/>
                <w:szCs w:val="24"/>
                <w:lang w:bidi="ar"/>
              </w:rPr>
              <w:t>4、演示文件递交时间、递交地点详见投标人须知前附表。规定时间内未递交演示文件的，此项不得分。</w:t>
            </w:r>
            <w:r>
              <w:rPr>
                <w:rFonts w:hint="eastAsia" w:ascii="宋体" w:hAnsi="宋体" w:eastAsia="宋体" w:cs="宋体"/>
                <w:b/>
                <w:bCs/>
                <w:kern w:val="0"/>
                <w:sz w:val="24"/>
                <w:szCs w:val="24"/>
                <w:lang w:bidi="ar"/>
              </w:rPr>
              <w:br w:type="textWrapping"/>
            </w:r>
            <w:r>
              <w:rPr>
                <w:rFonts w:hint="eastAsia" w:ascii="宋体" w:hAnsi="宋体" w:eastAsia="宋体" w:cs="宋体"/>
                <w:b/>
                <w:bCs/>
                <w:kern w:val="0"/>
                <w:sz w:val="24"/>
                <w:szCs w:val="24"/>
                <w:lang w:bidi="ar"/>
              </w:rPr>
              <w:t>5、投标人提供演示内容需确保为常规格式能够正常打开播放演示，在评标委员会的见证下演示不能正常打开的责任由投标人自行承担。若电子U盘中的演示内容无法打开此项将不得分。</w:t>
            </w:r>
          </w:p>
        </w:tc>
        <w:tc>
          <w:tcPr>
            <w:tcW w:w="1202" w:type="dxa"/>
            <w:shd w:val="clear" w:color="auto" w:fill="auto"/>
            <w:noWrap w:val="0"/>
            <w:vAlign w:val="center"/>
          </w:tcPr>
          <w:p w14:paraId="466E29D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宋体" w:hAnsi="宋体" w:eastAsia="宋体" w:cs="宋体"/>
                <w:i w:val="0"/>
                <w:iCs w:val="0"/>
                <w:color w:val="000000"/>
                <w:kern w:val="2"/>
                <w:sz w:val="24"/>
                <w:szCs w:val="24"/>
                <w:u w:val="none"/>
                <w:lang w:val="en-US" w:eastAsia="zh-CN" w:bidi="ar-SA"/>
              </w:rPr>
            </w:pPr>
            <w:r>
              <w:rPr>
                <w:rStyle w:val="47"/>
                <w:lang w:val="en-US" w:eastAsia="zh-CN" w:bidi="ar"/>
              </w:rPr>
              <w:t>0-</w:t>
            </w:r>
            <w:r>
              <w:rPr>
                <w:rStyle w:val="47"/>
                <w:rFonts w:hint="eastAsia"/>
                <w:lang w:val="en-US" w:eastAsia="zh-CN" w:bidi="ar"/>
              </w:rPr>
              <w:t>10</w:t>
            </w:r>
            <w:r>
              <w:rPr>
                <w:rStyle w:val="47"/>
                <w:lang w:val="en-US" w:eastAsia="zh-CN" w:bidi="ar"/>
              </w:rPr>
              <w:t>分</w:t>
            </w:r>
          </w:p>
        </w:tc>
      </w:tr>
      <w:tr w14:paraId="36A6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38952E5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4A0F436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投标人资信、认证</w:t>
            </w:r>
          </w:p>
        </w:tc>
        <w:tc>
          <w:tcPr>
            <w:tcW w:w="4936" w:type="dxa"/>
            <w:shd w:val="clear" w:color="auto" w:fill="auto"/>
            <w:noWrap w:val="0"/>
            <w:vAlign w:val="center"/>
          </w:tcPr>
          <w:p w14:paraId="59FFC3BF">
            <w:pPr>
              <w:pStyle w:val="8"/>
              <w:keepNext w:val="0"/>
              <w:keepLines w:val="0"/>
              <w:pageBreakBefore w:val="0"/>
              <w:kinsoku/>
              <w:wordWrap/>
              <w:overflowPunct/>
              <w:topLinePunct w:val="0"/>
              <w:autoSpaceDE/>
              <w:autoSpaceDN/>
              <w:bidi w:val="0"/>
              <w:adjustRightInd/>
              <w:snapToGrid/>
              <w:spacing w:line="460" w:lineRule="exact"/>
              <w:ind w:firstLine="0" w:firstLineChars="0"/>
              <w:jc w:val="both"/>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sz w:val="24"/>
                <w:szCs w:val="24"/>
                <w:highlight w:val="none"/>
              </w:rPr>
              <w:t>投标人具有</w:t>
            </w:r>
            <w:r>
              <w:rPr>
                <w:rFonts w:hint="eastAsia" w:ascii="宋体" w:hAnsi="宋体" w:eastAsia="宋体" w:cs="宋体"/>
                <w:sz w:val="24"/>
                <w:szCs w:val="24"/>
                <w:highlight w:val="none"/>
                <w:lang w:val="en-US" w:eastAsia="zh-CN"/>
              </w:rPr>
              <w:t>中国电子工业标准化技术协会颁发的</w:t>
            </w:r>
            <w:r>
              <w:rPr>
                <w:rFonts w:hint="eastAsia" w:ascii="宋体" w:hAnsi="宋体" w:eastAsia="宋体" w:cs="宋体"/>
                <w:kern w:val="0"/>
                <w:sz w:val="24"/>
                <w:szCs w:val="24"/>
                <w:lang w:bidi="ar"/>
              </w:rPr>
              <w:t>ITSS信息技术服务标准符合性证书(运行维护服务)</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二级证书得1分；一级证书得</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分</w:t>
            </w:r>
            <w:r>
              <w:rPr>
                <w:rFonts w:hint="eastAsia" w:ascii="宋体" w:hAnsi="宋体" w:cs="宋体"/>
                <w:b/>
                <w:bCs/>
                <w:sz w:val="24"/>
                <w:szCs w:val="24"/>
                <w:highlight w:val="none"/>
                <w:lang w:val="en-US" w:eastAsia="zh-CN"/>
              </w:rPr>
              <w:t>。</w:t>
            </w:r>
          </w:p>
          <w:p w14:paraId="4940212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sz w:val="24"/>
                <w:szCs w:val="24"/>
                <w:highlight w:val="none"/>
              </w:rPr>
              <w:t>投标人具有</w:t>
            </w:r>
            <w:r>
              <w:rPr>
                <w:rFonts w:hint="eastAsia" w:ascii="宋体" w:hAnsi="宋体" w:cs="宋体"/>
                <w:sz w:val="24"/>
                <w:szCs w:val="24"/>
                <w:highlight w:val="none"/>
                <w:lang w:val="en-US" w:eastAsia="zh-CN"/>
              </w:rPr>
              <w:t>中国网络安全审查认证和市场监管大数据中心（原中国网络安全审查技术与认证中心）颁发的信息系统安全运维服务资质证书，</w:t>
            </w:r>
            <w:r>
              <w:rPr>
                <w:rFonts w:hint="eastAsia" w:ascii="宋体" w:hAnsi="宋体" w:cs="宋体"/>
                <w:b/>
                <w:bCs/>
                <w:sz w:val="24"/>
                <w:szCs w:val="24"/>
                <w:highlight w:val="none"/>
                <w:lang w:val="en-US" w:eastAsia="zh-CN"/>
              </w:rPr>
              <w:t>二级及以下证书得1分，一级证书的得2分。</w:t>
            </w:r>
          </w:p>
          <w:p w14:paraId="048A89D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sz w:val="24"/>
                <w:szCs w:val="24"/>
                <w:highlight w:val="none"/>
              </w:rPr>
              <w:t>投标人具有</w:t>
            </w:r>
            <w:r>
              <w:rPr>
                <w:rFonts w:hint="eastAsia" w:ascii="宋体" w:hAnsi="宋体" w:cs="宋体"/>
                <w:sz w:val="24"/>
                <w:szCs w:val="24"/>
                <w:highlight w:val="none"/>
                <w:lang w:val="en-US" w:eastAsia="zh-CN"/>
              </w:rPr>
              <w:t>中国网络安全审查认证和市场监管大数据中心（原中国网络安全审查技术与认证中心）颁发的信息安全应急处理服务资质，</w:t>
            </w:r>
            <w:r>
              <w:rPr>
                <w:rFonts w:hint="eastAsia" w:ascii="宋体" w:hAnsi="宋体" w:cs="宋体"/>
                <w:b/>
                <w:bCs/>
                <w:sz w:val="24"/>
                <w:szCs w:val="24"/>
                <w:highlight w:val="none"/>
                <w:lang w:val="en-US" w:eastAsia="zh-CN"/>
              </w:rPr>
              <w:t>二级及以下证书得1分，一级证书的得2分。</w:t>
            </w:r>
          </w:p>
          <w:p w14:paraId="704DEEF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ascii="宋体" w:hAnsi="宋体" w:eastAsia="宋体" w:cs="宋体"/>
                <w:i w:val="0"/>
                <w:iCs w:val="0"/>
                <w:color w:val="000000"/>
                <w:kern w:val="2"/>
                <w:sz w:val="24"/>
                <w:szCs w:val="24"/>
                <w:u w:val="none"/>
                <w:lang w:val="en-US" w:eastAsia="zh-CN" w:bidi="ar-SA"/>
              </w:rPr>
            </w:pPr>
            <w:r>
              <w:rPr>
                <w:rFonts w:hint="eastAsia" w:ascii="宋体" w:hAnsi="宋体" w:eastAsia="宋体" w:cs="宋体"/>
                <w:b/>
                <w:bCs/>
                <w:kern w:val="0"/>
                <w:sz w:val="24"/>
                <w:szCs w:val="24"/>
                <w:lang w:bidi="ar"/>
              </w:rPr>
              <w:t>注：以上须提供证书扫描件，不提供不得分</w:t>
            </w:r>
          </w:p>
        </w:tc>
        <w:tc>
          <w:tcPr>
            <w:tcW w:w="1202" w:type="dxa"/>
            <w:shd w:val="clear" w:color="auto" w:fill="auto"/>
            <w:noWrap w:val="0"/>
            <w:vAlign w:val="center"/>
          </w:tcPr>
          <w:p w14:paraId="438BCC8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宋体" w:hAnsi="宋体" w:eastAsia="宋体" w:cs="宋体"/>
                <w:i w:val="0"/>
                <w:iCs w:val="0"/>
                <w:color w:val="000000"/>
                <w:kern w:val="2"/>
                <w:sz w:val="24"/>
                <w:szCs w:val="24"/>
                <w:u w:val="none"/>
                <w:lang w:val="en-US" w:eastAsia="zh-CN" w:bidi="ar-SA"/>
              </w:rPr>
            </w:pPr>
            <w:r>
              <w:rPr>
                <w:rStyle w:val="47"/>
                <w:lang w:val="en-US" w:eastAsia="zh-CN" w:bidi="ar"/>
              </w:rPr>
              <w:t>0-</w:t>
            </w:r>
            <w:r>
              <w:rPr>
                <w:rStyle w:val="47"/>
                <w:rFonts w:hint="eastAsia"/>
                <w:lang w:val="en-US" w:eastAsia="zh-CN" w:bidi="ar"/>
              </w:rPr>
              <w:t>6</w:t>
            </w:r>
            <w:r>
              <w:rPr>
                <w:rStyle w:val="47"/>
                <w:lang w:val="en-US" w:eastAsia="zh-CN" w:bidi="ar"/>
              </w:rPr>
              <w:t>分</w:t>
            </w:r>
          </w:p>
        </w:tc>
      </w:tr>
      <w:tr w14:paraId="0997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012A693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2D964A1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拟委任人员资格</w:t>
            </w:r>
          </w:p>
        </w:tc>
        <w:tc>
          <w:tcPr>
            <w:tcW w:w="4936" w:type="dxa"/>
            <w:shd w:val="clear" w:color="auto" w:fill="auto"/>
            <w:noWrap w:val="0"/>
            <w:vAlign w:val="center"/>
          </w:tcPr>
          <w:p w14:paraId="00DBEF70">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1.</w:t>
            </w:r>
            <w:r>
              <w:rPr>
                <w:rFonts w:hint="eastAsia" w:ascii="宋体" w:hAnsi="宋体" w:eastAsia="宋体" w:cs="宋体"/>
                <w:b/>
                <w:bCs/>
                <w:i w:val="0"/>
                <w:iCs w:val="0"/>
                <w:color w:val="000000"/>
                <w:kern w:val="0"/>
                <w:sz w:val="24"/>
                <w:szCs w:val="24"/>
                <w:u w:val="none"/>
                <w:lang w:val="en-US" w:eastAsia="zh-CN" w:bidi="ar"/>
              </w:rPr>
              <w:t>投标人拟派项目经理（1人）具有：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（1）通过计算机技术与软件专业技术资格(水平)考试的信息系统项目管理师证书的得</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分；本小项满分2分。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2.投标人拟派技术负责人（1人）具有：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（1）通过计算机技术与软件专业技术资格(水平)考试的网络工程师证书的得2分；本小项满分2分。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3.除上述人员外，投标人拟</w:t>
            </w:r>
            <w:r>
              <w:rPr>
                <w:rFonts w:hint="eastAsia" w:ascii="宋体" w:hAnsi="宋体" w:cs="宋体"/>
                <w:b/>
                <w:bCs/>
                <w:i w:val="0"/>
                <w:iCs w:val="0"/>
                <w:color w:val="000000"/>
                <w:kern w:val="0"/>
                <w:sz w:val="24"/>
                <w:szCs w:val="24"/>
                <w:u w:val="none"/>
                <w:lang w:val="en-US" w:eastAsia="zh-CN" w:bidi="ar"/>
              </w:rPr>
              <w:t>派</w:t>
            </w:r>
            <w:r>
              <w:rPr>
                <w:rFonts w:hint="eastAsia" w:ascii="宋体" w:hAnsi="宋体" w:eastAsia="宋体" w:cs="宋体"/>
                <w:b/>
                <w:bCs/>
                <w:i w:val="0"/>
                <w:iCs w:val="0"/>
                <w:color w:val="000000"/>
                <w:kern w:val="0"/>
                <w:sz w:val="24"/>
                <w:szCs w:val="24"/>
                <w:u w:val="none"/>
                <w:lang w:val="en-US" w:eastAsia="zh-CN" w:bidi="ar"/>
              </w:rPr>
              <w:t>项目团队，具有以下证书的：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（1）具有通过计算机技术与软件专业技术资格(水平)考试的信息系统项目管理师证书的，得2分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本项满分2分。。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（2）具有通过计算机技术与软件专业技术资格(水平)考试的信息安全工程师证书的，得2分；本项满分2分。</w:t>
            </w:r>
          </w:p>
          <w:p w14:paraId="1AE9B6AA">
            <w:pPr>
              <w:keepNext w:val="0"/>
              <w:keepLines w:val="0"/>
              <w:pageBreakBefore w:val="0"/>
              <w:widowControl/>
              <w:numPr>
                <w:ilvl w:val="0"/>
                <w:numId w:val="0"/>
              </w:numPr>
              <w:suppressLineNumbers w:val="0"/>
              <w:kinsoku/>
              <w:wordWrap/>
              <w:overflowPunct/>
              <w:topLinePunct w:val="0"/>
              <w:autoSpaceDE/>
              <w:autoSpaceDN/>
              <w:bidi w:val="0"/>
              <w:adjustRightInd/>
              <w:snapToGrid/>
              <w:spacing w:line="460" w:lineRule="exact"/>
              <w:jc w:val="both"/>
              <w:textAlignment w:val="center"/>
              <w:rPr>
                <w:rFonts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本小项满分4分。</w:t>
            </w:r>
            <w:r>
              <w:rPr>
                <w:rFonts w:hint="eastAsia" w:ascii="黑体" w:hAnsi="黑体" w:eastAsia="黑体"/>
                <w:b/>
                <w:bCs/>
                <w:sz w:val="24"/>
                <w:szCs w:val="24"/>
              </w:rPr>
              <w:br w:type="textWrapping"/>
            </w: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1.项目经理、技术负责人不得为同1人；</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2.项目团队中，同一人具有多项证书的，不重复得分，仅按照一项得分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3.上述各类型证书，需提供在有效期内的证书扫描件并同时提供投标人为上述人员缴纳的近6个月内任意连续3个月的社保证明材料。</w:t>
            </w:r>
          </w:p>
        </w:tc>
        <w:tc>
          <w:tcPr>
            <w:tcW w:w="1202" w:type="dxa"/>
            <w:shd w:val="clear" w:color="auto" w:fill="auto"/>
            <w:noWrap w:val="0"/>
            <w:vAlign w:val="center"/>
          </w:tcPr>
          <w:p w14:paraId="3FFF9EA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宋体" w:hAnsi="宋体" w:eastAsia="宋体" w:cs="宋体"/>
                <w:i w:val="0"/>
                <w:iCs w:val="0"/>
                <w:color w:val="000000"/>
                <w:kern w:val="2"/>
                <w:sz w:val="24"/>
                <w:szCs w:val="24"/>
                <w:u w:val="none"/>
                <w:lang w:val="en-US" w:eastAsia="zh-CN" w:bidi="ar-SA"/>
              </w:rPr>
            </w:pPr>
            <w:r>
              <w:rPr>
                <w:rStyle w:val="47"/>
                <w:lang w:val="en-US" w:eastAsia="zh-CN" w:bidi="ar"/>
              </w:rPr>
              <w:t>0-</w:t>
            </w:r>
            <w:r>
              <w:rPr>
                <w:rStyle w:val="47"/>
                <w:rFonts w:hint="eastAsia"/>
                <w:lang w:val="en-US" w:eastAsia="zh-CN" w:bidi="ar"/>
              </w:rPr>
              <w:t>8</w:t>
            </w:r>
            <w:r>
              <w:rPr>
                <w:rStyle w:val="47"/>
                <w:lang w:val="en-US" w:eastAsia="zh-CN" w:bidi="ar"/>
              </w:rPr>
              <w:t>分</w:t>
            </w:r>
          </w:p>
        </w:tc>
      </w:tr>
      <w:tr w14:paraId="54D1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36379572">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0C8EF2D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服务承诺</w:t>
            </w:r>
          </w:p>
        </w:tc>
        <w:tc>
          <w:tcPr>
            <w:tcW w:w="4936" w:type="dxa"/>
            <w:shd w:val="clear" w:color="auto" w:fill="auto"/>
            <w:noWrap w:val="0"/>
            <w:vAlign w:val="center"/>
          </w:tcPr>
          <w:p w14:paraId="5E43A9A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1.</w:t>
            </w:r>
            <w:r>
              <w:rPr>
                <w:rFonts w:hint="eastAsia" w:ascii="宋体" w:hAnsi="宋体" w:eastAsia="宋体" w:cs="宋体"/>
                <w:b/>
                <w:bCs/>
                <w:i w:val="0"/>
                <w:iCs w:val="0"/>
                <w:color w:val="000000"/>
                <w:kern w:val="0"/>
                <w:sz w:val="24"/>
                <w:szCs w:val="24"/>
                <w:u w:val="none"/>
                <w:lang w:val="en-US" w:eastAsia="zh-CN" w:bidi="ar"/>
              </w:rPr>
              <w:t>投标人承诺：</w:t>
            </w:r>
            <w:r>
              <w:rPr>
                <w:rFonts w:hint="eastAsia" w:ascii="宋体" w:hAnsi="宋体" w:eastAsia="宋体" w:cs="宋体"/>
                <w:b w:val="0"/>
                <w:bCs w:val="0"/>
                <w:i w:val="0"/>
                <w:iCs w:val="0"/>
                <w:color w:val="000000"/>
                <w:kern w:val="0"/>
                <w:sz w:val="24"/>
                <w:szCs w:val="24"/>
                <w:u w:val="none"/>
                <w:lang w:val="en-US" w:eastAsia="zh-CN" w:bidi="ar"/>
              </w:rPr>
              <w:t>保证所有小区前端感知设备数据通过链路专线接入合肥市智慧平安小区警务应用平台及合肥市雪亮平台。承诺在中标后15个日历日内完成的得4分</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承诺在中标后30个日历日内完成的得2分</w:t>
            </w:r>
            <w:r>
              <w:rPr>
                <w:rFonts w:hint="eastAsia" w:ascii="宋体" w:hAnsi="宋体" w:cs="宋体"/>
                <w:b w:val="0"/>
                <w:bCs w:val="0"/>
                <w:i w:val="0"/>
                <w:iCs w:val="0"/>
                <w:color w:val="000000"/>
                <w:kern w:val="0"/>
                <w:sz w:val="24"/>
                <w:szCs w:val="24"/>
                <w:u w:val="none"/>
                <w:lang w:val="en-US" w:eastAsia="zh-CN" w:bidi="ar"/>
              </w:rPr>
              <w:t>。</w:t>
            </w:r>
          </w:p>
          <w:p w14:paraId="1786E49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2.</w:t>
            </w:r>
            <w:r>
              <w:rPr>
                <w:rFonts w:hint="eastAsia" w:ascii="宋体" w:hAnsi="宋体" w:eastAsia="宋体" w:cs="宋体"/>
                <w:b/>
                <w:bCs/>
                <w:i w:val="0"/>
                <w:iCs w:val="0"/>
                <w:color w:val="000000"/>
                <w:kern w:val="0"/>
                <w:sz w:val="24"/>
                <w:szCs w:val="24"/>
                <w:u w:val="none"/>
                <w:lang w:val="en-US" w:eastAsia="zh-CN" w:bidi="ar"/>
              </w:rPr>
              <w:t>投标人承诺：</w:t>
            </w:r>
            <w:r>
              <w:rPr>
                <w:rFonts w:hint="eastAsia" w:ascii="宋体" w:hAnsi="宋体" w:eastAsia="宋体" w:cs="宋体"/>
                <w:b w:val="0"/>
                <w:bCs w:val="0"/>
                <w:i w:val="0"/>
                <w:iCs w:val="0"/>
                <w:color w:val="000000"/>
                <w:kern w:val="0"/>
                <w:sz w:val="24"/>
                <w:szCs w:val="24"/>
                <w:u w:val="none"/>
                <w:lang w:val="en-US" w:eastAsia="zh-CN" w:bidi="ar"/>
              </w:rPr>
              <w:t>接入肥西县公安局现有“全要素平台”为小区物业侧提供“一标三实”信息采集入口，将物业填报的一标三实信息汇聚到合肥市公安局数据中心。承诺在中标后15个日历日内完成的得4分</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t>承诺在中标后30个日历日内完成的得2分</w:t>
            </w:r>
            <w:r>
              <w:rPr>
                <w:rFonts w:hint="eastAsia" w:ascii="宋体" w:hAnsi="宋体" w:cs="宋体"/>
                <w:b w:val="0"/>
                <w:bCs w:val="0"/>
                <w:i w:val="0"/>
                <w:iCs w:val="0"/>
                <w:color w:val="000000"/>
                <w:kern w:val="0"/>
                <w:sz w:val="24"/>
                <w:szCs w:val="24"/>
                <w:u w:val="none"/>
                <w:lang w:val="en-US" w:eastAsia="zh-CN" w:bidi="ar"/>
              </w:rPr>
              <w:t>。</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注：承诺格式自拟，若投标人中标后无法满足以上承诺，采购人有权解除合同。</w:t>
            </w:r>
          </w:p>
        </w:tc>
        <w:tc>
          <w:tcPr>
            <w:tcW w:w="1202" w:type="dxa"/>
            <w:shd w:val="clear" w:color="auto" w:fill="auto"/>
            <w:noWrap w:val="0"/>
            <w:vAlign w:val="center"/>
          </w:tcPr>
          <w:p w14:paraId="44E37F5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Style w:val="47"/>
                <w:lang w:val="en-US" w:eastAsia="zh-CN" w:bidi="ar"/>
              </w:rPr>
              <w:t>0-</w:t>
            </w:r>
            <w:r>
              <w:rPr>
                <w:rStyle w:val="47"/>
                <w:rFonts w:hint="eastAsia"/>
                <w:lang w:val="en-US" w:eastAsia="zh-CN" w:bidi="ar"/>
              </w:rPr>
              <w:t>8</w:t>
            </w:r>
            <w:r>
              <w:rPr>
                <w:rStyle w:val="47"/>
                <w:lang w:val="en-US" w:eastAsia="zh-CN" w:bidi="ar"/>
              </w:rPr>
              <w:t>分</w:t>
            </w:r>
          </w:p>
        </w:tc>
      </w:tr>
      <w:tr w14:paraId="1276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2B193361">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6BFA48C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sz w:val="24"/>
                <w:szCs w:val="24"/>
              </w:rPr>
              <w:t>投标人业绩</w:t>
            </w:r>
          </w:p>
        </w:tc>
        <w:tc>
          <w:tcPr>
            <w:tcW w:w="4936" w:type="dxa"/>
            <w:shd w:val="clear" w:color="auto" w:fill="auto"/>
            <w:noWrap w:val="0"/>
            <w:vAlign w:val="center"/>
          </w:tcPr>
          <w:p w14:paraId="2BF9A82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自2020年1月1日以来（以合同签订时间为准），投标人具有单个业绩合同总金额不低于</w:t>
            </w:r>
            <w:r>
              <w:rPr>
                <w:rFonts w:hint="eastAsia" w:ascii="宋体" w:hAnsi="宋体" w:eastAsia="宋体" w:cs="宋体"/>
                <w:kern w:val="0"/>
                <w:sz w:val="24"/>
                <w:szCs w:val="24"/>
                <w:lang w:val="en-US" w:eastAsia="zh-CN" w:bidi="ar"/>
              </w:rPr>
              <w:t>140万元</w:t>
            </w:r>
            <w:r>
              <w:rPr>
                <w:rFonts w:hint="eastAsia" w:ascii="宋体" w:hAnsi="宋体" w:eastAsia="宋体" w:cs="宋体"/>
                <w:kern w:val="0"/>
                <w:sz w:val="24"/>
                <w:szCs w:val="24"/>
                <w:lang w:bidi="ar"/>
              </w:rPr>
              <w:t>信息化运维服务（或信息化建设）项目业绩。每提供一个得3分，满分</w:t>
            </w:r>
            <w:r>
              <w:rPr>
                <w:rFonts w:hint="eastAsia" w:ascii="宋体" w:hAnsi="宋体" w:cs="宋体"/>
                <w:kern w:val="0"/>
                <w:sz w:val="24"/>
                <w:szCs w:val="24"/>
                <w:lang w:val="en-US" w:eastAsia="zh-CN" w:bidi="ar"/>
              </w:rPr>
              <w:t>12</w:t>
            </w:r>
            <w:r>
              <w:rPr>
                <w:rFonts w:hint="eastAsia" w:ascii="宋体" w:hAnsi="宋体" w:eastAsia="宋体" w:cs="宋体"/>
                <w:kern w:val="0"/>
                <w:sz w:val="24"/>
                <w:szCs w:val="24"/>
                <w:lang w:bidi="ar"/>
              </w:rPr>
              <w:t>分。</w:t>
            </w:r>
          </w:p>
          <w:p w14:paraId="00D2406F">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kern w:val="0"/>
                <w:sz w:val="24"/>
                <w:szCs w:val="24"/>
                <w:lang w:bidi="ar"/>
              </w:rPr>
              <w:t>提供合同复印件关键页并加盖投标人公章。</w:t>
            </w:r>
            <w:r>
              <w:rPr>
                <w:rFonts w:hint="eastAsia" w:ascii="宋体" w:hAnsi="宋体" w:eastAsia="宋体" w:cs="宋体"/>
                <w:kern w:val="0"/>
                <w:sz w:val="24"/>
                <w:szCs w:val="24"/>
                <w:lang w:bidi="ar"/>
              </w:rPr>
              <w:br w:type="textWrapping"/>
            </w:r>
            <w:r>
              <w:rPr>
                <w:rFonts w:hint="eastAsia" w:ascii="宋体" w:hAnsi="宋体" w:eastAsia="宋体" w:cs="宋体"/>
                <w:b/>
                <w:bCs/>
                <w:kern w:val="0"/>
                <w:sz w:val="24"/>
                <w:szCs w:val="24"/>
                <w:lang w:bidi="ar"/>
              </w:rPr>
              <w:t>注：1、以投标文件中提供的合同为评审依据，若上述材料中无法体现评审要素时，须同时提供合同甲方出具的相关证明材料。</w:t>
            </w:r>
            <w:r>
              <w:rPr>
                <w:rFonts w:hint="eastAsia" w:ascii="宋体" w:hAnsi="宋体" w:eastAsia="宋体" w:cs="宋体"/>
                <w:b/>
                <w:bCs/>
                <w:kern w:val="0"/>
                <w:sz w:val="24"/>
                <w:szCs w:val="24"/>
                <w:lang w:bidi="ar"/>
              </w:rPr>
              <w:br w:type="textWrapping"/>
            </w:r>
            <w:r>
              <w:rPr>
                <w:rFonts w:hint="eastAsia" w:ascii="宋体" w:hAnsi="宋体" w:eastAsia="宋体" w:cs="宋体"/>
                <w:b/>
                <w:bCs/>
                <w:kern w:val="0"/>
                <w:sz w:val="24"/>
                <w:szCs w:val="24"/>
                <w:lang w:bidi="ar"/>
              </w:rPr>
              <w:t>2、投标人业绩与人员业绩可重复</w:t>
            </w:r>
            <w:r>
              <w:rPr>
                <w:rFonts w:hint="eastAsia" w:ascii="宋体" w:hAnsi="宋体" w:cs="宋体"/>
                <w:b/>
                <w:bCs/>
                <w:kern w:val="0"/>
                <w:sz w:val="24"/>
                <w:szCs w:val="24"/>
                <w:lang w:eastAsia="zh-CN" w:bidi="ar"/>
              </w:rPr>
              <w:t>。</w:t>
            </w:r>
          </w:p>
        </w:tc>
        <w:tc>
          <w:tcPr>
            <w:tcW w:w="1202" w:type="dxa"/>
            <w:shd w:val="clear" w:color="auto" w:fill="auto"/>
            <w:noWrap w:val="0"/>
            <w:vAlign w:val="center"/>
          </w:tcPr>
          <w:p w14:paraId="744BCB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47"/>
                <w:lang w:val="en-US" w:eastAsia="zh-CN" w:bidi="ar"/>
              </w:rPr>
            </w:pPr>
            <w:r>
              <w:rPr>
                <w:rStyle w:val="47"/>
                <w:lang w:val="en-US" w:eastAsia="zh-CN" w:bidi="ar"/>
              </w:rPr>
              <w:t>0-</w:t>
            </w:r>
            <w:r>
              <w:rPr>
                <w:rStyle w:val="47"/>
                <w:rFonts w:hint="eastAsia"/>
                <w:lang w:val="en-US" w:eastAsia="zh-CN" w:bidi="ar"/>
              </w:rPr>
              <w:t>12</w:t>
            </w:r>
            <w:r>
              <w:rPr>
                <w:rStyle w:val="47"/>
                <w:lang w:val="en-US" w:eastAsia="zh-CN" w:bidi="ar"/>
              </w:rPr>
              <w:t>分</w:t>
            </w:r>
          </w:p>
        </w:tc>
      </w:tr>
      <w:tr w14:paraId="5C9F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2C43A467">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5E232E3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cs="宋体"/>
                <w:sz w:val="24"/>
                <w:szCs w:val="24"/>
              </w:rPr>
            </w:pPr>
            <w:r>
              <w:rPr>
                <w:rFonts w:hint="eastAsia" w:ascii="宋体" w:hAnsi="宋体" w:cs="宋体"/>
                <w:sz w:val="24"/>
                <w:szCs w:val="24"/>
                <w:lang w:val="en-US" w:eastAsia="zh-CN"/>
              </w:rPr>
              <w:t>人员业绩</w:t>
            </w:r>
          </w:p>
        </w:tc>
        <w:tc>
          <w:tcPr>
            <w:tcW w:w="4936" w:type="dxa"/>
            <w:shd w:val="clear" w:color="auto" w:fill="auto"/>
            <w:noWrap w:val="0"/>
            <w:vAlign w:val="center"/>
          </w:tcPr>
          <w:p w14:paraId="65F1E87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自2020年1月1日（以合同签订时间为准）以来，投标人拟派的项目经理</w:t>
            </w:r>
            <w:r>
              <w:rPr>
                <w:rFonts w:hint="eastAsia" w:ascii="宋体" w:hAnsi="宋体" w:cs="宋体"/>
                <w:kern w:val="0"/>
                <w:sz w:val="24"/>
                <w:szCs w:val="24"/>
                <w:lang w:val="en-US" w:eastAsia="zh-CN" w:bidi="ar"/>
              </w:rPr>
              <w:t>或技术负责人</w:t>
            </w:r>
            <w:r>
              <w:rPr>
                <w:rFonts w:hint="eastAsia" w:ascii="宋体" w:hAnsi="宋体" w:eastAsia="宋体" w:cs="宋体"/>
                <w:kern w:val="0"/>
                <w:sz w:val="24"/>
                <w:szCs w:val="24"/>
                <w:lang w:bidi="ar"/>
              </w:rPr>
              <w:t>具有单个合同总金额不少</w:t>
            </w:r>
            <w:r>
              <w:rPr>
                <w:rFonts w:hint="eastAsia" w:ascii="宋体" w:hAnsi="宋体" w:eastAsia="宋体" w:cs="宋体"/>
                <w:kern w:val="0"/>
                <w:sz w:val="24"/>
                <w:szCs w:val="24"/>
                <w:lang w:val="en-US" w:eastAsia="zh-CN" w:bidi="ar"/>
              </w:rPr>
              <w:t>于140万元的信</w:t>
            </w:r>
            <w:r>
              <w:rPr>
                <w:rFonts w:hint="eastAsia" w:ascii="宋体" w:hAnsi="宋体" w:eastAsia="宋体" w:cs="宋体"/>
                <w:kern w:val="0"/>
                <w:sz w:val="24"/>
                <w:szCs w:val="24"/>
                <w:lang w:bidi="ar"/>
              </w:rPr>
              <w:t>息化运维服务（或信息化建设）项目业绩的，每个得</w:t>
            </w: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bidi="ar"/>
              </w:rPr>
              <w:t>分，满分</w:t>
            </w:r>
            <w:r>
              <w:rPr>
                <w:rFonts w:hint="eastAsia" w:ascii="宋体" w:hAnsi="宋体" w:cs="宋体"/>
                <w:kern w:val="0"/>
                <w:sz w:val="24"/>
                <w:szCs w:val="24"/>
                <w:lang w:val="en-US" w:eastAsia="zh-CN" w:bidi="ar"/>
              </w:rPr>
              <w:t>4</w:t>
            </w:r>
            <w:r>
              <w:rPr>
                <w:rFonts w:hint="eastAsia" w:ascii="宋体" w:hAnsi="宋体" w:eastAsia="宋体" w:cs="宋体"/>
                <w:kern w:val="0"/>
                <w:sz w:val="24"/>
                <w:szCs w:val="24"/>
                <w:lang w:bidi="ar"/>
              </w:rPr>
              <w:t>分。</w:t>
            </w:r>
            <w:r>
              <w:rPr>
                <w:rFonts w:hint="eastAsia" w:ascii="宋体" w:hAnsi="宋体" w:eastAsia="宋体" w:cs="宋体"/>
                <w:kern w:val="0"/>
                <w:sz w:val="24"/>
                <w:szCs w:val="24"/>
                <w:lang w:bidi="ar"/>
              </w:rPr>
              <w:br w:type="textWrapping"/>
            </w:r>
            <w:r>
              <w:rPr>
                <w:rFonts w:hint="eastAsia" w:ascii="宋体" w:hAnsi="宋体" w:eastAsia="宋体" w:cs="宋体"/>
                <w:b/>
                <w:bCs/>
                <w:kern w:val="0"/>
                <w:sz w:val="24"/>
                <w:szCs w:val="24"/>
                <w:lang w:bidi="ar"/>
              </w:rPr>
              <w:t>注：以投标文件中提供的合同为评审依据，合同中需明确指出人员为项目经理或</w:t>
            </w:r>
            <w:r>
              <w:rPr>
                <w:rFonts w:hint="eastAsia" w:ascii="宋体" w:hAnsi="宋体" w:cs="宋体"/>
                <w:b/>
                <w:bCs/>
                <w:kern w:val="0"/>
                <w:sz w:val="24"/>
                <w:szCs w:val="24"/>
                <w:lang w:val="en-US" w:eastAsia="zh-CN" w:bidi="ar"/>
              </w:rPr>
              <w:t>技术</w:t>
            </w:r>
            <w:r>
              <w:rPr>
                <w:rFonts w:hint="eastAsia" w:ascii="宋体" w:hAnsi="宋体" w:eastAsia="宋体" w:cs="宋体"/>
                <w:b/>
                <w:bCs/>
                <w:kern w:val="0"/>
                <w:sz w:val="24"/>
                <w:szCs w:val="24"/>
                <w:lang w:bidi="ar"/>
              </w:rPr>
              <w:t>负责人，若上述材料中无法体现评审要素时，须同时提供合同甲方出具的相关证明材料。</w:t>
            </w:r>
          </w:p>
        </w:tc>
        <w:tc>
          <w:tcPr>
            <w:tcW w:w="1202" w:type="dxa"/>
            <w:shd w:val="clear" w:color="auto" w:fill="auto"/>
            <w:noWrap w:val="0"/>
            <w:vAlign w:val="center"/>
          </w:tcPr>
          <w:p w14:paraId="2170E7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47"/>
                <w:lang w:val="en-US" w:eastAsia="zh-CN" w:bidi="ar"/>
              </w:rPr>
            </w:pPr>
            <w:r>
              <w:rPr>
                <w:rFonts w:hint="eastAsia" w:ascii="宋体" w:hAnsi="宋体" w:cs="宋体"/>
                <w:color w:val="000000"/>
                <w:kern w:val="0"/>
                <w:sz w:val="24"/>
                <w:szCs w:val="24"/>
                <w:lang w:bidi="ar"/>
              </w:rPr>
              <w:t>0-</w:t>
            </w:r>
            <w:r>
              <w:rPr>
                <w:rFonts w:hint="eastAsia" w:ascii="宋体" w:hAnsi="宋体" w:cs="宋体"/>
                <w:color w:val="000000"/>
                <w:kern w:val="0"/>
                <w:sz w:val="24"/>
                <w:szCs w:val="24"/>
                <w:lang w:val="en-US" w:eastAsia="zh-CN" w:bidi="ar"/>
              </w:rPr>
              <w:t>4</w:t>
            </w:r>
            <w:r>
              <w:rPr>
                <w:rFonts w:hint="eastAsia" w:ascii="宋体" w:hAnsi="宋体" w:cs="宋体"/>
                <w:color w:val="000000"/>
                <w:kern w:val="0"/>
                <w:sz w:val="24"/>
                <w:szCs w:val="24"/>
                <w:lang w:bidi="ar"/>
              </w:rPr>
              <w:t>分</w:t>
            </w:r>
          </w:p>
        </w:tc>
      </w:tr>
      <w:tr w14:paraId="414A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vMerge w:val="continue"/>
            <w:noWrap w:val="0"/>
            <w:vAlign w:val="center"/>
          </w:tcPr>
          <w:p w14:paraId="00EEED70">
            <w:pPr>
              <w:keepNext w:val="0"/>
              <w:keepLines w:val="0"/>
              <w:pageBreakBefore w:val="0"/>
              <w:kinsoku/>
              <w:wordWrap/>
              <w:overflowPunct/>
              <w:topLinePunct w:val="0"/>
              <w:autoSpaceDE/>
              <w:autoSpaceDN/>
              <w:bidi w:val="0"/>
              <w:adjustRightInd/>
              <w:snapToGrid/>
              <w:spacing w:line="460" w:lineRule="exact"/>
              <w:jc w:val="center"/>
              <w:rPr>
                <w:rFonts w:hint="eastAsia" w:ascii="宋体" w:hAnsi="宋体" w:eastAsia="宋体" w:cs="宋体"/>
                <w:color w:val="000000" w:themeColor="text1"/>
                <w:sz w:val="24"/>
                <w14:textFill>
                  <w14:solidFill>
                    <w14:schemeClr w14:val="tx1"/>
                  </w14:solidFill>
                </w14:textFill>
              </w:rPr>
            </w:pPr>
          </w:p>
        </w:tc>
        <w:tc>
          <w:tcPr>
            <w:tcW w:w="1236" w:type="dxa"/>
            <w:shd w:val="clear" w:color="auto" w:fill="auto"/>
            <w:noWrap w:val="0"/>
            <w:vAlign w:val="center"/>
          </w:tcPr>
          <w:p w14:paraId="576C0D6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color w:val="000000"/>
                <w:kern w:val="0"/>
                <w:sz w:val="24"/>
                <w:szCs w:val="24"/>
              </w:rPr>
              <w:t>软件著作权</w:t>
            </w:r>
          </w:p>
        </w:tc>
        <w:tc>
          <w:tcPr>
            <w:tcW w:w="4936" w:type="dxa"/>
            <w:shd w:val="clear" w:color="auto" w:fill="auto"/>
            <w:noWrap w:val="0"/>
            <w:vAlign w:val="center"/>
          </w:tcPr>
          <w:p w14:paraId="474CC1DB">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kern w:val="0"/>
                <w:sz w:val="24"/>
                <w:szCs w:val="24"/>
                <w:lang w:bidi="ar"/>
              </w:rPr>
              <w:t>投标人具备</w:t>
            </w:r>
            <w:r>
              <w:rPr>
                <w:rFonts w:hint="eastAsia" w:ascii="宋体" w:hAnsi="宋体" w:cs="宋体"/>
                <w:kern w:val="0"/>
                <w:sz w:val="24"/>
                <w:szCs w:val="24"/>
                <w:lang w:eastAsia="zh-CN" w:bidi="ar"/>
              </w:rPr>
              <w:t>：</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val="en-US" w:eastAsia="zh-CN" w:bidi="ar"/>
              </w:rPr>
              <w:t>智慧平安小区</w:t>
            </w:r>
            <w:r>
              <w:rPr>
                <w:rFonts w:hint="eastAsia" w:ascii="宋体" w:hAnsi="宋体" w:eastAsia="宋体" w:cs="宋体"/>
                <w:kern w:val="0"/>
                <w:sz w:val="24"/>
                <w:szCs w:val="24"/>
                <w:highlight w:val="none"/>
                <w:lang w:bidi="ar"/>
              </w:rPr>
              <w:t>运维平台”、“维护管理系统”</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“数据整合</w:t>
            </w:r>
            <w:r>
              <w:rPr>
                <w:rFonts w:hint="eastAsia" w:ascii="宋体" w:hAnsi="宋体" w:cs="宋体"/>
                <w:kern w:val="0"/>
                <w:sz w:val="24"/>
                <w:szCs w:val="24"/>
                <w:highlight w:val="none"/>
                <w:lang w:val="en-US" w:eastAsia="zh-CN" w:bidi="ar"/>
              </w:rPr>
              <w:t>平台</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“数据脱敏</w:t>
            </w:r>
            <w:r>
              <w:rPr>
                <w:rFonts w:hint="eastAsia" w:ascii="宋体" w:hAnsi="宋体" w:cs="宋体"/>
                <w:kern w:val="0"/>
                <w:sz w:val="24"/>
                <w:szCs w:val="24"/>
                <w:highlight w:val="none"/>
                <w:lang w:eastAsia="zh-CN" w:bidi="ar"/>
              </w:rPr>
              <w:t>、</w:t>
            </w:r>
            <w:r>
              <w:rPr>
                <w:rFonts w:hint="eastAsia" w:ascii="宋体" w:hAnsi="宋体" w:cs="宋体"/>
                <w:kern w:val="0"/>
                <w:sz w:val="24"/>
                <w:szCs w:val="24"/>
                <w:highlight w:val="none"/>
                <w:lang w:val="en-US" w:eastAsia="zh-CN" w:bidi="ar"/>
              </w:rPr>
              <w:t>数据清洗或安全系统</w:t>
            </w:r>
            <w:r>
              <w:rPr>
                <w:rFonts w:hint="eastAsia" w:ascii="宋体" w:hAnsi="宋体" w:eastAsia="宋体" w:cs="宋体"/>
                <w:kern w:val="0"/>
                <w:sz w:val="24"/>
                <w:szCs w:val="24"/>
                <w:highlight w:val="none"/>
                <w:lang w:bidi="ar"/>
              </w:rPr>
              <w:t>”</w:t>
            </w:r>
            <w:r>
              <w:rPr>
                <w:rFonts w:hint="eastAsia" w:ascii="宋体" w:hAnsi="宋体" w:cs="宋体"/>
                <w:kern w:val="0"/>
                <w:sz w:val="24"/>
                <w:szCs w:val="24"/>
                <w:highlight w:val="none"/>
                <w:lang w:eastAsia="zh-CN" w:bidi="ar"/>
              </w:rPr>
              <w:t>、“</w:t>
            </w:r>
            <w:r>
              <w:rPr>
                <w:rFonts w:hint="eastAsia" w:ascii="宋体" w:hAnsi="宋体" w:cs="宋体"/>
                <w:kern w:val="0"/>
                <w:sz w:val="24"/>
                <w:szCs w:val="24"/>
                <w:highlight w:val="none"/>
                <w:lang w:val="en-US" w:eastAsia="zh-CN" w:bidi="ar"/>
              </w:rPr>
              <w:t>公共安全</w:t>
            </w:r>
            <w:r>
              <w:rPr>
                <w:rFonts w:hint="eastAsia" w:ascii="宋体" w:hAnsi="宋体" w:cs="宋体"/>
                <w:kern w:val="0"/>
                <w:sz w:val="24"/>
                <w:szCs w:val="24"/>
                <w:highlight w:val="none"/>
                <w:lang w:eastAsia="zh-CN" w:bidi="ar"/>
              </w:rPr>
              <w:t>”</w:t>
            </w:r>
            <w:r>
              <w:rPr>
                <w:rFonts w:hint="eastAsia" w:ascii="宋体" w:hAnsi="宋体" w:eastAsia="宋体" w:cs="宋体"/>
                <w:kern w:val="0"/>
                <w:sz w:val="24"/>
                <w:szCs w:val="24"/>
                <w:lang w:val="en-US" w:eastAsia="zh-CN" w:bidi="ar"/>
              </w:rPr>
              <w:t>等</w:t>
            </w:r>
            <w:r>
              <w:rPr>
                <w:rFonts w:hint="eastAsia" w:ascii="宋体" w:hAnsi="宋体" w:eastAsia="宋体" w:cs="宋体"/>
                <w:kern w:val="0"/>
                <w:sz w:val="24"/>
                <w:szCs w:val="24"/>
                <w:lang w:bidi="ar"/>
              </w:rPr>
              <w:t>软著</w:t>
            </w:r>
            <w:r>
              <w:rPr>
                <w:rFonts w:hint="eastAsia" w:ascii="宋体" w:hAnsi="宋体" w:eastAsia="宋体" w:cs="宋体"/>
                <w:kern w:val="0"/>
                <w:sz w:val="24"/>
                <w:szCs w:val="24"/>
                <w:lang w:val="en-US" w:eastAsia="zh-CN" w:bidi="ar"/>
              </w:rPr>
              <w:t>中任意三类的</w:t>
            </w:r>
            <w:r>
              <w:rPr>
                <w:rFonts w:hint="eastAsia" w:ascii="宋体" w:hAnsi="宋体" w:eastAsia="宋体" w:cs="宋体"/>
                <w:kern w:val="0"/>
                <w:sz w:val="24"/>
                <w:szCs w:val="24"/>
                <w:lang w:bidi="ar"/>
              </w:rPr>
              <w:t>得3分，具备其中任意两</w:t>
            </w:r>
            <w:r>
              <w:rPr>
                <w:rFonts w:hint="eastAsia" w:ascii="宋体" w:hAnsi="宋体" w:eastAsia="宋体" w:cs="宋体"/>
                <w:kern w:val="0"/>
                <w:sz w:val="24"/>
                <w:szCs w:val="24"/>
                <w:lang w:val="en-US" w:eastAsia="zh-CN" w:bidi="ar"/>
              </w:rPr>
              <w:t>类</w:t>
            </w:r>
            <w:r>
              <w:rPr>
                <w:rFonts w:hint="eastAsia" w:ascii="宋体" w:hAnsi="宋体" w:eastAsia="宋体" w:cs="宋体"/>
                <w:kern w:val="0"/>
                <w:sz w:val="24"/>
                <w:szCs w:val="24"/>
                <w:lang w:bidi="ar"/>
              </w:rPr>
              <w:t>的得2分，具备其中任意一</w:t>
            </w:r>
            <w:r>
              <w:rPr>
                <w:rFonts w:hint="eastAsia" w:ascii="宋体" w:hAnsi="宋体" w:eastAsia="宋体" w:cs="宋体"/>
                <w:kern w:val="0"/>
                <w:sz w:val="24"/>
                <w:szCs w:val="24"/>
                <w:lang w:val="en-US" w:eastAsia="zh-CN" w:bidi="ar"/>
              </w:rPr>
              <w:t>类</w:t>
            </w:r>
            <w:r>
              <w:rPr>
                <w:rFonts w:hint="eastAsia" w:ascii="宋体" w:hAnsi="宋体" w:eastAsia="宋体" w:cs="宋体"/>
                <w:kern w:val="0"/>
                <w:sz w:val="24"/>
                <w:szCs w:val="24"/>
                <w:highlight w:val="none"/>
                <w:lang w:bidi="ar"/>
              </w:rPr>
              <w:t>的得</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分，不具备</w:t>
            </w:r>
            <w:r>
              <w:rPr>
                <w:rFonts w:hint="eastAsia" w:ascii="宋体" w:hAnsi="宋体" w:cs="宋体"/>
                <w:kern w:val="0"/>
                <w:sz w:val="24"/>
                <w:szCs w:val="24"/>
                <w:highlight w:val="none"/>
                <w:lang w:val="en-US" w:eastAsia="zh-CN" w:bidi="ar"/>
              </w:rPr>
              <w:t>的</w:t>
            </w:r>
            <w:r>
              <w:rPr>
                <w:rFonts w:hint="eastAsia" w:ascii="宋体" w:hAnsi="宋体" w:eastAsia="宋体" w:cs="宋体"/>
                <w:kern w:val="0"/>
                <w:sz w:val="24"/>
                <w:szCs w:val="24"/>
                <w:highlight w:val="none"/>
                <w:lang w:bidi="ar"/>
              </w:rPr>
              <w:t>不得分，满分3分。</w:t>
            </w:r>
          </w:p>
        </w:tc>
        <w:tc>
          <w:tcPr>
            <w:tcW w:w="1202" w:type="dxa"/>
            <w:shd w:val="clear" w:color="auto" w:fill="auto"/>
            <w:noWrap w:val="0"/>
            <w:vAlign w:val="center"/>
          </w:tcPr>
          <w:p w14:paraId="4C574E4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47"/>
                <w:lang w:val="en-US" w:eastAsia="zh-CN" w:bidi="ar"/>
              </w:rPr>
            </w:pPr>
            <w:r>
              <w:rPr>
                <w:rStyle w:val="47"/>
                <w:lang w:val="en-US" w:eastAsia="zh-CN" w:bidi="ar"/>
              </w:rPr>
              <w:t>0-</w:t>
            </w:r>
            <w:r>
              <w:rPr>
                <w:rStyle w:val="47"/>
                <w:rFonts w:hint="eastAsia"/>
                <w:lang w:val="en-US" w:eastAsia="zh-CN" w:bidi="ar"/>
              </w:rPr>
              <w:t>3</w:t>
            </w:r>
            <w:r>
              <w:rPr>
                <w:rStyle w:val="47"/>
                <w:lang w:val="en-US" w:eastAsia="zh-CN" w:bidi="ar"/>
              </w:rPr>
              <w:t>分</w:t>
            </w:r>
          </w:p>
        </w:tc>
      </w:tr>
      <w:tr w14:paraId="443F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48" w:type="dxa"/>
            <w:noWrap w:val="0"/>
            <w:vAlign w:val="center"/>
          </w:tcPr>
          <w:p w14:paraId="40BBCF5F">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0438D804">
            <w:pPr>
              <w:keepNext w:val="0"/>
              <w:keepLines w:val="0"/>
              <w:pageBreakBefore w:val="0"/>
              <w:kinsoku/>
              <w:wordWrap/>
              <w:overflowPunct/>
              <w:topLinePunct w:val="0"/>
              <w:autoSpaceDE/>
              <w:autoSpaceDN/>
              <w:bidi w:val="0"/>
              <w:adjustRightInd/>
              <w:snapToGrid/>
              <w:spacing w:line="460" w:lineRule="exact"/>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0）</w:t>
            </w:r>
          </w:p>
        </w:tc>
        <w:tc>
          <w:tcPr>
            <w:tcW w:w="7374" w:type="dxa"/>
            <w:gridSpan w:val="3"/>
            <w:noWrap w:val="0"/>
            <w:vAlign w:val="center"/>
          </w:tcPr>
          <w:p w14:paraId="428D3CCA">
            <w:pPr>
              <w:keepNext w:val="0"/>
              <w:keepLines w:val="0"/>
              <w:pageBreakBefore w:val="0"/>
              <w:widowControl/>
              <w:suppressLineNumbers w:val="0"/>
              <w:kinsoku/>
              <w:wordWrap/>
              <w:overflowPunct/>
              <w:topLinePunct w:val="0"/>
              <w:autoSpaceDE/>
              <w:autoSpaceDN/>
              <w:bidi w:val="0"/>
              <w:adjustRightInd/>
              <w:snapToGrid/>
              <w:spacing w:line="460" w:lineRule="exact"/>
              <w:jc w:val="left"/>
            </w:pPr>
            <w:r>
              <w:rPr>
                <w:rFonts w:hint="eastAsia" w:ascii="宋体" w:hAnsi="宋体" w:eastAsia="宋体" w:cs="宋体"/>
                <w:color w:val="000000"/>
                <w:kern w:val="0"/>
                <w:sz w:val="24"/>
                <w:szCs w:val="24"/>
                <w:lang w:val="en-US" w:eastAsia="zh-CN" w:bidi="ar"/>
              </w:rPr>
              <w:t xml:space="preserve">价格分统一采用低价优先法，即满足招标文件要求且投标价格最低的 </w:t>
            </w:r>
          </w:p>
          <w:p w14:paraId="2F1E3F48">
            <w:pPr>
              <w:keepNext w:val="0"/>
              <w:keepLines w:val="0"/>
              <w:pageBreakBefore w:val="0"/>
              <w:widowControl/>
              <w:suppressLineNumbers w:val="0"/>
              <w:kinsoku/>
              <w:wordWrap/>
              <w:overflowPunct/>
              <w:topLinePunct w:val="0"/>
              <w:autoSpaceDE/>
              <w:autoSpaceDN/>
              <w:bidi w:val="0"/>
              <w:adjustRightInd/>
              <w:snapToGrid/>
              <w:spacing w:line="460" w:lineRule="exact"/>
              <w:jc w:val="left"/>
            </w:pPr>
            <w:r>
              <w:rPr>
                <w:rFonts w:hint="eastAsia" w:ascii="宋体" w:hAnsi="宋体" w:eastAsia="宋体" w:cs="宋体"/>
                <w:color w:val="000000"/>
                <w:kern w:val="0"/>
                <w:sz w:val="24"/>
                <w:szCs w:val="24"/>
                <w:lang w:val="en-US" w:eastAsia="zh-CN" w:bidi="ar"/>
              </w:rPr>
              <w:t>投标报价为评标基准价，其价格分为满分10分。其他投标人的价格分统一按照下列公式计算：</w:t>
            </w:r>
          </w:p>
          <w:p w14:paraId="0BCD701F">
            <w:pPr>
              <w:keepNext w:val="0"/>
              <w:keepLines w:val="0"/>
              <w:pageBreakBefore w:val="0"/>
              <w:widowControl/>
              <w:suppressLineNumbers w:val="0"/>
              <w:kinsoku/>
              <w:wordWrap/>
              <w:overflowPunct/>
              <w:topLinePunct w:val="0"/>
              <w:autoSpaceDE/>
              <w:autoSpaceDN/>
              <w:bidi w:val="0"/>
              <w:adjustRightInd/>
              <w:snapToGrid/>
              <w:spacing w:line="460" w:lineRule="exact"/>
              <w:jc w:val="left"/>
              <w:rPr>
                <w:rFonts w:hint="eastAsia" w:ascii="宋体" w:hAnsi="宋体" w:eastAsia="宋体" w:cs="宋体"/>
                <w:color w:val="auto"/>
                <w:sz w:val="24"/>
                <w:highlight w:val="none"/>
              </w:rPr>
            </w:pPr>
            <w:r>
              <w:rPr>
                <w:rFonts w:hint="eastAsia" w:ascii="宋体" w:hAnsi="宋体" w:eastAsia="宋体" w:cs="宋体"/>
                <w:color w:val="000000"/>
                <w:kern w:val="0"/>
                <w:sz w:val="24"/>
                <w:szCs w:val="24"/>
                <w:lang w:val="en-US" w:eastAsia="zh-CN" w:bidi="ar"/>
              </w:rPr>
              <w:t>投标报价得分＝（评标基准价/投标报价）×10%×100</w:t>
            </w:r>
          </w:p>
        </w:tc>
      </w:tr>
    </w:tbl>
    <w:p w14:paraId="5AB8C039">
      <w:pPr>
        <w:rPr>
          <w:color w:val="auto"/>
          <w:highlight w:val="none"/>
        </w:rPr>
      </w:pPr>
    </w:p>
    <w:p w14:paraId="4DC003DB">
      <w:pPr>
        <w:adjustRightInd w:val="0"/>
        <w:snapToGrid w:val="0"/>
        <w:spacing w:line="360" w:lineRule="auto"/>
        <w:ind w:right="-10" w:firstLine="480" w:firstLineChars="200"/>
        <w:rPr>
          <w:rFonts w:hint="eastAsia" w:ascii="宋体" w:hAnsi="宋体"/>
          <w:bCs/>
          <w:color w:val="auto"/>
          <w:szCs w:val="24"/>
          <w:highlight w:val="none"/>
        </w:rPr>
      </w:pPr>
      <w:r>
        <w:rPr>
          <w:rFonts w:hint="eastAsia" w:ascii="宋体" w:hAnsi="宋体"/>
          <w:bCs/>
          <w:color w:val="auto"/>
          <w:szCs w:val="24"/>
          <w:highlight w:val="none"/>
        </w:rPr>
        <w:t>8.7汇总排序</w:t>
      </w:r>
    </w:p>
    <w:p w14:paraId="44D10F4C">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每个有效投标人的技术部分得分即为该投标人的最终得分。投标人的各项得分均保留小数点后两位（小数点后第三位四舍五入）。</w:t>
      </w:r>
    </w:p>
    <w:p w14:paraId="788A65B6">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按照有效投标人最终得分由高到低排出中标候选人。最终得分相同的，则采取抽签方式确定其前后次序。</w:t>
      </w:r>
    </w:p>
    <w:p w14:paraId="5477CC49">
      <w:pPr>
        <w:adjustRightInd w:val="0"/>
        <w:snapToGrid w:val="0"/>
        <w:spacing w:line="360" w:lineRule="auto"/>
        <w:ind w:right="-10" w:firstLine="420" w:firstLineChars="175"/>
        <w:rPr>
          <w:rFonts w:hint="eastAsia" w:ascii="宋体" w:hAnsi="宋体"/>
          <w:bCs/>
          <w:color w:val="auto"/>
          <w:szCs w:val="24"/>
          <w:highlight w:val="none"/>
        </w:rPr>
      </w:pPr>
      <w:r>
        <w:rPr>
          <w:rFonts w:hint="eastAsia" w:ascii="宋体" w:hAnsi="宋体"/>
          <w:bCs/>
          <w:color w:val="auto"/>
          <w:szCs w:val="24"/>
          <w:highlight w:val="none"/>
        </w:rPr>
        <w:t>如有效投标人不少于规定数量，各投标人的最终总得分将随中标候选人公示同时公布，不公布其他评分明细。</w:t>
      </w:r>
      <w:r>
        <w:rPr>
          <w:rFonts w:hint="eastAsia" w:ascii="宋体" w:hAnsi="宋体"/>
          <w:bCs/>
          <w:color w:val="auto"/>
          <w:szCs w:val="24"/>
          <w:highlight w:val="none"/>
          <w:lang w:eastAsia="zh-CN"/>
        </w:rPr>
        <w:t>肥西县公共资源交易有限责任公司</w:t>
      </w:r>
      <w:r>
        <w:rPr>
          <w:rFonts w:hint="eastAsia" w:ascii="宋体" w:hAnsi="宋体"/>
          <w:bCs/>
          <w:color w:val="auto"/>
          <w:szCs w:val="24"/>
          <w:highlight w:val="none"/>
        </w:rPr>
        <w:t>不对投标人得分情况做任何解释。</w:t>
      </w:r>
    </w:p>
    <w:p w14:paraId="093D257C">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175"/>
        <w:textAlignment w:val="auto"/>
        <w:rPr>
          <w:rFonts w:hint="eastAsia" w:ascii="宋体" w:hAnsi="宋体"/>
          <w:bCs/>
          <w:color w:val="auto"/>
          <w:szCs w:val="24"/>
          <w:highlight w:val="none"/>
        </w:rPr>
      </w:pPr>
      <w:r>
        <w:rPr>
          <w:rFonts w:hint="eastAsia" w:ascii="宋体" w:hAnsi="宋体"/>
          <w:bCs/>
          <w:color w:val="auto"/>
          <w:szCs w:val="24"/>
          <w:highlight w:val="none"/>
        </w:rPr>
        <w:t>9.各投标人的得分一经得出，并核对无误后，任何人不得更改。</w:t>
      </w:r>
    </w:p>
    <w:p w14:paraId="7827E9FA">
      <w:pPr>
        <w:keepNext w:val="0"/>
        <w:keepLines w:val="0"/>
        <w:pageBreakBefore w:val="0"/>
        <w:widowControl w:val="0"/>
        <w:kinsoku/>
        <w:wordWrap/>
        <w:overflowPunct/>
        <w:topLinePunct w:val="0"/>
        <w:autoSpaceDE/>
        <w:autoSpaceDN/>
        <w:bidi w:val="0"/>
        <w:adjustRightInd w:val="0"/>
        <w:snapToGrid w:val="0"/>
        <w:spacing w:line="440" w:lineRule="exact"/>
        <w:ind w:right="0" w:firstLine="420" w:firstLineChars="175"/>
        <w:textAlignment w:val="auto"/>
        <w:rPr>
          <w:rFonts w:hint="eastAsia" w:ascii="宋体" w:hAnsi="宋体"/>
          <w:bCs/>
          <w:color w:val="auto"/>
          <w:szCs w:val="24"/>
          <w:highlight w:val="none"/>
        </w:rPr>
      </w:pPr>
      <w:r>
        <w:rPr>
          <w:rFonts w:hint="eastAsia" w:ascii="宋体" w:hAnsi="宋体"/>
          <w:bCs/>
          <w:color w:val="auto"/>
          <w:szCs w:val="24"/>
          <w:highlight w:val="none"/>
        </w:rPr>
        <w:t>10.评标委员会在评标过程中发现的问题，应当及时作出处理或者向招标人提出处理建议，并作书面记录。</w:t>
      </w:r>
    </w:p>
    <w:p w14:paraId="3FA236C9">
      <w:pPr>
        <w:adjustRightInd w:val="0"/>
        <w:snapToGrid w:val="0"/>
        <w:spacing w:line="440" w:lineRule="exact"/>
        <w:ind w:right="-11" w:firstLine="420" w:firstLineChars="175"/>
        <w:rPr>
          <w:rFonts w:hint="eastAsia" w:ascii="宋体" w:hAnsi="宋体"/>
          <w:bCs/>
          <w:color w:val="auto"/>
          <w:szCs w:val="24"/>
          <w:highlight w:val="none"/>
        </w:rPr>
      </w:pPr>
      <w:r>
        <w:rPr>
          <w:rFonts w:hint="eastAsia" w:ascii="宋体" w:hAnsi="宋体"/>
          <w:bCs/>
          <w:color w:val="auto"/>
          <w:szCs w:val="24"/>
          <w:highlight w:val="none"/>
        </w:rPr>
        <w:t>11.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544C1CC0">
      <w:pPr>
        <w:adjustRightInd w:val="0"/>
        <w:snapToGrid w:val="0"/>
        <w:spacing w:line="440" w:lineRule="exact"/>
        <w:ind w:right="-11" w:firstLine="420" w:firstLineChars="175"/>
        <w:rPr>
          <w:rFonts w:hint="eastAsia" w:ascii="宋体" w:hAnsi="宋体"/>
          <w:bCs/>
          <w:color w:val="auto"/>
          <w:szCs w:val="24"/>
          <w:highlight w:val="none"/>
        </w:rPr>
      </w:pPr>
      <w:r>
        <w:rPr>
          <w:rFonts w:hint="eastAsia" w:ascii="宋体" w:hAnsi="宋体"/>
          <w:bCs/>
          <w:color w:val="auto"/>
          <w:szCs w:val="24"/>
          <w:highlight w:val="none"/>
        </w:rPr>
        <w:t>12.评标委员会和评标工作人员应严格遵守国家的法律、法规和规章制度；严格按照本次招标文件进行评标；公正廉洁、不徇私情，不得损害国家利益；保护招、投标人的合法权益。</w:t>
      </w:r>
    </w:p>
    <w:p w14:paraId="4CE6935A">
      <w:pPr>
        <w:adjustRightInd w:val="0"/>
        <w:snapToGrid w:val="0"/>
        <w:spacing w:line="440" w:lineRule="exact"/>
        <w:ind w:right="-11" w:firstLine="420" w:firstLineChars="175"/>
        <w:rPr>
          <w:rFonts w:hint="eastAsia" w:ascii="宋体" w:hAnsi="宋体"/>
          <w:color w:val="auto"/>
          <w:highlight w:val="none"/>
        </w:rPr>
      </w:pPr>
      <w:r>
        <w:rPr>
          <w:rFonts w:hint="eastAsia" w:ascii="宋体" w:hAnsi="宋体"/>
          <w:bCs/>
          <w:color w:val="auto"/>
          <w:szCs w:val="24"/>
          <w:highlight w:val="none"/>
        </w:rPr>
        <w:t>13.在评标过程中，评委及其他评标工作人员必须对评标情况严格保密，任何人不得将评标情况透露给与投标人有关的单位和个人。如有违反评标纪律的情况发生，将依据有关法律法规的规定，追究有关当事人的责任。</w:t>
      </w:r>
      <w:bookmarkStart w:id="62" w:name="_Toc477794142"/>
      <w:bookmarkStart w:id="63" w:name="_Hlt509738509"/>
      <w:bookmarkStart w:id="64" w:name="_Hlt509738521"/>
      <w:bookmarkStart w:id="65" w:name="_Hlt519045391"/>
    </w:p>
    <w:p w14:paraId="160B26F4">
      <w:pPr>
        <w:pStyle w:val="4"/>
        <w:spacing w:line="500" w:lineRule="exact"/>
        <w:ind w:firstLine="0"/>
        <w:jc w:val="both"/>
        <w:outlineLvl w:val="9"/>
        <w:rPr>
          <w:rFonts w:hint="eastAsia" w:ascii="宋体" w:hAnsi="宋体" w:eastAsia="宋体"/>
          <w:color w:val="auto"/>
          <w:highlight w:val="none"/>
        </w:rPr>
        <w:sectPr>
          <w:footerReference r:id="rId10" w:type="default"/>
          <w:pgSz w:w="11906" w:h="16838"/>
          <w:pgMar w:top="1440" w:right="1247" w:bottom="1440" w:left="1247" w:header="851" w:footer="992" w:gutter="0"/>
          <w:pgNumType w:fmt="decimal" w:start="1"/>
          <w:cols w:space="720" w:num="1"/>
          <w:docGrid w:linePitch="303" w:charSpace="0"/>
        </w:sectPr>
      </w:pPr>
    </w:p>
    <w:p w14:paraId="0576F8FA">
      <w:pPr>
        <w:pStyle w:val="4"/>
        <w:numPr>
          <w:ilvl w:val="0"/>
          <w:numId w:val="3"/>
        </w:numPr>
        <w:spacing w:before="0" w:after="0" w:line="240" w:lineRule="auto"/>
        <w:ind w:firstLine="0"/>
        <w:outlineLvl w:val="0"/>
        <w:rPr>
          <w:rFonts w:hint="eastAsia" w:ascii="宋体" w:hAnsi="宋体"/>
          <w:color w:val="auto"/>
          <w:highlight w:val="none"/>
        </w:rPr>
      </w:pPr>
      <w:r>
        <w:rPr>
          <w:rFonts w:hint="eastAsia" w:ascii="宋体" w:hAnsi="宋体" w:eastAsia="宋体" w:cs="Times New Roman"/>
          <w:color w:val="auto"/>
          <w:highlight w:val="none"/>
        </w:rPr>
        <w:t xml:space="preserve"> </w:t>
      </w:r>
      <w:bookmarkStart w:id="66" w:name="_Toc845"/>
      <w:r>
        <w:rPr>
          <w:rFonts w:hint="eastAsia" w:ascii="宋体" w:hAnsi="宋体" w:eastAsia="宋体" w:cs="Times New Roman"/>
          <w:color w:val="auto"/>
          <w:highlight w:val="none"/>
        </w:rPr>
        <w:t>合同</w:t>
      </w:r>
      <w:bookmarkStart w:id="67" w:name="_Toc12755"/>
      <w:r>
        <w:rPr>
          <w:rFonts w:hint="eastAsia" w:ascii="宋体" w:hAnsi="宋体" w:eastAsia="宋体" w:cs="Times New Roman"/>
          <w:color w:val="auto"/>
          <w:highlight w:val="none"/>
          <w:lang w:val="en-US" w:eastAsia="zh-CN"/>
        </w:rPr>
        <w:t>条款及格式</w:t>
      </w:r>
      <w:bookmarkEnd w:id="66"/>
      <w:bookmarkStart w:id="68" w:name="_Hlk11711914"/>
    </w:p>
    <w:p w14:paraId="1C8CEF52">
      <w:pPr>
        <w:rPr>
          <w:rFonts w:hint="eastAsia" w:ascii="宋体" w:hAnsi="宋体"/>
          <w:b/>
          <w:bCs/>
          <w:color w:val="auto"/>
          <w:highlight w:val="none"/>
        </w:rPr>
      </w:pPr>
    </w:p>
    <w:p w14:paraId="64923734">
      <w:pPr>
        <w:pStyle w:val="5"/>
        <w:jc w:val="center"/>
        <w:rPr>
          <w:rFonts w:hint="eastAsia"/>
          <w:color w:val="auto"/>
          <w:highlight w:val="none"/>
        </w:rPr>
      </w:pPr>
      <w:r>
        <w:rPr>
          <w:color w:val="auto"/>
          <w:highlight w:val="none"/>
        </w:rPr>
        <w:t>合同</w:t>
      </w:r>
      <w:r>
        <w:rPr>
          <w:rFonts w:hint="eastAsia"/>
          <w:color w:val="auto"/>
          <w:highlight w:val="none"/>
        </w:rPr>
        <w:t>参考范本</w:t>
      </w:r>
    </w:p>
    <w:p w14:paraId="2060408C">
      <w:pPr>
        <w:pStyle w:val="5"/>
        <w:jc w:val="center"/>
        <w:rPr>
          <w:rFonts w:hint="eastAsia"/>
          <w:color w:val="auto"/>
          <w:highlight w:val="none"/>
        </w:rPr>
      </w:pPr>
      <w:r>
        <w:rPr>
          <w:rFonts w:hint="eastAsia"/>
          <w:color w:val="auto"/>
          <w:highlight w:val="none"/>
        </w:rPr>
        <w:t>（服务类）</w:t>
      </w:r>
    </w:p>
    <w:p w14:paraId="6CD067E0">
      <w:pPr>
        <w:rPr>
          <w:rFonts w:hint="eastAsia" w:ascii="宋体" w:hAnsi="宋体"/>
          <w:color w:val="auto"/>
          <w:highlight w:val="none"/>
        </w:rPr>
      </w:pPr>
    </w:p>
    <w:p w14:paraId="166E4652">
      <w:pPr>
        <w:rPr>
          <w:rFonts w:hint="eastAsia" w:ascii="宋体" w:hAnsi="宋体"/>
          <w:color w:val="auto"/>
          <w:highlight w:val="none"/>
        </w:rPr>
      </w:pPr>
    </w:p>
    <w:p w14:paraId="76CB8E65">
      <w:pPr>
        <w:rPr>
          <w:rFonts w:hint="eastAsia" w:ascii="宋体" w:hAnsi="宋体"/>
          <w:color w:val="auto"/>
          <w:highlight w:val="none"/>
        </w:rPr>
      </w:pPr>
    </w:p>
    <w:p w14:paraId="0C35568A">
      <w:pPr>
        <w:pStyle w:val="5"/>
        <w:jc w:val="center"/>
        <w:rPr>
          <w:rFonts w:hint="eastAsia"/>
          <w:color w:val="auto"/>
          <w:highlight w:val="none"/>
        </w:rPr>
      </w:pPr>
      <w:r>
        <w:rPr>
          <w:rFonts w:hint="eastAsia"/>
          <w:color w:val="auto"/>
          <w:highlight w:val="none"/>
        </w:rPr>
        <w:t>第一部分 合同书</w:t>
      </w:r>
    </w:p>
    <w:p w14:paraId="7BD7F5F6">
      <w:pPr>
        <w:rPr>
          <w:rFonts w:hint="eastAsia" w:ascii="宋体" w:hAnsi="宋体"/>
          <w:color w:val="auto"/>
          <w:highlight w:val="none"/>
        </w:rPr>
      </w:pPr>
    </w:p>
    <w:p w14:paraId="4FA700B1">
      <w:pPr>
        <w:rPr>
          <w:rFonts w:hint="eastAsia" w:ascii="宋体" w:hAnsi="宋体"/>
          <w:color w:val="auto"/>
          <w:highlight w:val="none"/>
        </w:rPr>
      </w:pPr>
    </w:p>
    <w:p w14:paraId="44A8F533">
      <w:pPr>
        <w:rPr>
          <w:rFonts w:hint="eastAsia" w:ascii="宋体" w:hAnsi="宋体"/>
          <w:color w:val="auto"/>
          <w:highlight w:val="none"/>
        </w:rPr>
      </w:pPr>
    </w:p>
    <w:p w14:paraId="35B48290">
      <w:pPr>
        <w:spacing w:line="480" w:lineRule="auto"/>
        <w:rPr>
          <w:rFonts w:hint="eastAsia" w:ascii="宋体" w:hAnsi="宋体"/>
          <w:color w:val="auto"/>
          <w:highlight w:val="none"/>
        </w:rPr>
      </w:pPr>
      <w:r>
        <w:rPr>
          <w:rFonts w:hint="eastAsia" w:ascii="宋体" w:hAnsi="宋体"/>
          <w:color w:val="auto"/>
          <w:highlight w:val="none"/>
        </w:rPr>
        <w:t>项目名称：</w:t>
      </w:r>
    </w:p>
    <w:p w14:paraId="4635526D">
      <w:pPr>
        <w:spacing w:line="480" w:lineRule="auto"/>
        <w:rPr>
          <w:rFonts w:hint="eastAsia" w:ascii="宋体" w:hAnsi="宋体" w:eastAsia="宋体"/>
          <w:color w:val="auto"/>
          <w:highlight w:val="none"/>
          <w:lang w:eastAsia="zh-CN"/>
        </w:rPr>
      </w:pPr>
      <w:r>
        <w:rPr>
          <w:rFonts w:hint="eastAsia" w:ascii="宋体" w:hAnsi="宋体"/>
          <w:color w:val="auto"/>
          <w:highlight w:val="none"/>
        </w:rPr>
        <w:t>项目编号：</w:t>
      </w:r>
    </w:p>
    <w:p w14:paraId="498F2B2B">
      <w:pPr>
        <w:spacing w:line="480" w:lineRule="auto"/>
        <w:rPr>
          <w:rFonts w:hint="eastAsia" w:ascii="宋体" w:hAnsi="宋体"/>
          <w:color w:val="auto"/>
          <w:highlight w:val="none"/>
        </w:rPr>
      </w:pPr>
      <w:r>
        <w:rPr>
          <w:rFonts w:hint="eastAsia" w:ascii="宋体" w:hAnsi="宋体"/>
          <w:color w:val="auto"/>
          <w:highlight w:val="none"/>
        </w:rPr>
        <w:t>甲方（招标人）：</w:t>
      </w:r>
    </w:p>
    <w:p w14:paraId="6EF967DB">
      <w:pPr>
        <w:spacing w:line="480" w:lineRule="auto"/>
        <w:rPr>
          <w:rFonts w:hint="eastAsia" w:ascii="宋体" w:hAnsi="宋体"/>
          <w:color w:val="auto"/>
          <w:highlight w:val="none"/>
        </w:rPr>
      </w:pPr>
      <w:r>
        <w:rPr>
          <w:rFonts w:hint="eastAsia" w:ascii="宋体" w:hAnsi="宋体"/>
          <w:color w:val="auto"/>
          <w:highlight w:val="none"/>
        </w:rPr>
        <w:t>乙方（中标单位）：</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p>
    <w:p w14:paraId="10FDB126">
      <w:pPr>
        <w:spacing w:line="480" w:lineRule="auto"/>
        <w:rPr>
          <w:rFonts w:hint="eastAsia" w:ascii="宋体" w:hAnsi="宋体"/>
          <w:color w:val="auto"/>
          <w:highlight w:val="none"/>
        </w:rPr>
      </w:pPr>
      <w:r>
        <w:rPr>
          <w:rFonts w:hint="eastAsia" w:ascii="宋体" w:hAnsi="宋体"/>
          <w:color w:val="auto"/>
          <w:highlight w:val="none"/>
        </w:rPr>
        <w:t xml:space="preserve">签订地：                                     </w:t>
      </w:r>
    </w:p>
    <w:p w14:paraId="0FFAEAFA">
      <w:pPr>
        <w:spacing w:line="480" w:lineRule="auto"/>
        <w:rPr>
          <w:rFonts w:hint="eastAsia" w:ascii="宋体" w:hAnsi="宋体"/>
          <w:color w:val="auto"/>
          <w:highlight w:val="none"/>
        </w:rPr>
      </w:pPr>
      <w:r>
        <w:rPr>
          <w:rFonts w:hint="eastAsia" w:ascii="宋体" w:hAnsi="宋体"/>
          <w:color w:val="auto"/>
          <w:highlight w:val="none"/>
        </w:rPr>
        <w:t>签订日期：               年       月       日</w:t>
      </w:r>
    </w:p>
    <w:p w14:paraId="420D4031">
      <w:pPr>
        <w:rPr>
          <w:rFonts w:hint="eastAsia" w:ascii="宋体" w:hAnsi="宋体"/>
          <w:color w:val="auto"/>
          <w:highlight w:val="none"/>
        </w:rPr>
      </w:pPr>
      <w:r>
        <w:rPr>
          <w:rFonts w:ascii="宋体" w:hAnsi="宋体"/>
          <w:color w:val="auto"/>
          <w:highlight w:val="none"/>
        </w:rPr>
        <w:br w:type="page"/>
      </w:r>
    </w:p>
    <w:p w14:paraId="6B2F5A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u w:val="single"/>
        </w:rPr>
        <w:t>某单位</w:t>
      </w:r>
      <w:r>
        <w:rPr>
          <w:rFonts w:hint="eastAsia" w:ascii="宋体" w:hAnsi="宋体"/>
          <w:color w:val="auto"/>
          <w:highlight w:val="none"/>
        </w:rPr>
        <w:t>（</w:t>
      </w:r>
      <w:r>
        <w:rPr>
          <w:rFonts w:hint="eastAsia" w:ascii="宋体" w:hAnsi="宋体" w:cs="Times New Roman"/>
          <w:color w:val="auto"/>
          <w:highlight w:val="none"/>
          <w:lang w:val="zh-CN"/>
        </w:rPr>
        <w:t>以下简称：甲方</w:t>
      </w:r>
      <w:r>
        <w:rPr>
          <w:rFonts w:hint="eastAsia" w:ascii="宋体" w:hAnsi="宋体"/>
          <w:color w:val="auto"/>
          <w:highlight w:val="none"/>
        </w:rPr>
        <w:t>）通过</w:t>
      </w:r>
      <w:r>
        <w:rPr>
          <w:rFonts w:hint="eastAsia" w:ascii="宋体" w:hAnsi="宋体"/>
          <w:color w:val="auto"/>
          <w:highlight w:val="none"/>
          <w:u w:val="single"/>
        </w:rPr>
        <w:t>公开招标</w:t>
      </w:r>
      <w:r>
        <w:rPr>
          <w:rFonts w:hint="eastAsia" w:ascii="宋体" w:hAnsi="宋体"/>
          <w:color w:val="auto"/>
          <w:highlight w:val="none"/>
        </w:rPr>
        <w:t>方式采购活动，经</w:t>
      </w:r>
      <w:r>
        <w:rPr>
          <w:rFonts w:hint="eastAsia" w:ascii="宋体" w:hAnsi="宋体"/>
          <w:color w:val="auto"/>
          <w:highlight w:val="none"/>
          <w:u w:val="single"/>
        </w:rPr>
        <w:t>评标委员会</w:t>
      </w:r>
      <w:r>
        <w:rPr>
          <w:rFonts w:hint="eastAsia" w:ascii="宋体" w:hAnsi="宋体"/>
          <w:color w:val="auto"/>
          <w:highlight w:val="none"/>
        </w:rPr>
        <w:t>评定，</w:t>
      </w:r>
      <w:r>
        <w:rPr>
          <w:rFonts w:hint="eastAsia" w:ascii="宋体" w:hAnsi="宋体" w:cs="Times New Roman"/>
          <w:i/>
          <w:iCs/>
          <w:color w:val="auto"/>
          <w:highlight w:val="none"/>
          <w:u w:val="single"/>
        </w:rPr>
        <w:t>（中标单位名称）</w:t>
      </w:r>
      <w:r>
        <w:rPr>
          <w:rFonts w:hint="eastAsia" w:ascii="宋体" w:hAnsi="宋体"/>
          <w:color w:val="auto"/>
          <w:highlight w:val="none"/>
        </w:rPr>
        <w:t>（</w:t>
      </w:r>
      <w:r>
        <w:rPr>
          <w:rFonts w:hint="eastAsia" w:ascii="宋体" w:hAnsi="宋体" w:cs="Times New Roman"/>
          <w:color w:val="auto"/>
          <w:highlight w:val="none"/>
          <w:lang w:val="zh-CN"/>
        </w:rPr>
        <w:t>以下简称：乙方</w:t>
      </w:r>
      <w:r>
        <w:rPr>
          <w:rFonts w:hint="eastAsia" w:ascii="宋体" w:hAnsi="宋体"/>
          <w:color w:val="auto"/>
          <w:highlight w:val="none"/>
        </w:rPr>
        <w:t>）为本项目中标单位，现</w:t>
      </w:r>
      <w:r>
        <w:rPr>
          <w:rFonts w:hint="eastAsia" w:ascii="宋体" w:hAnsi="宋体" w:cs="Times New Roman"/>
          <w:color w:val="auto"/>
          <w:highlight w:val="none"/>
        </w:rPr>
        <w:t>按照招标文件确定的事项签订本合同。</w:t>
      </w:r>
    </w:p>
    <w:p w14:paraId="1B4CC2D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color w:val="auto"/>
          <w:highlight w:val="none"/>
          <w:lang w:val="zh-CN"/>
        </w:rPr>
      </w:pPr>
      <w:r>
        <w:rPr>
          <w:rFonts w:hint="eastAsia" w:ascii="宋体" w:hAnsi="宋体"/>
          <w:color w:val="auto"/>
          <w:highlight w:val="none"/>
        </w:rPr>
        <w:t>根据《中华人民共和国民法典》等相关法律法规之规定，按照平等、自愿、公平和诚实信用的原则，经甲方和乙方协商一致，约定以下合同条款，以兹共同遵守、全面履行。</w:t>
      </w:r>
    </w:p>
    <w:p w14:paraId="1719147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69" w:name="_Toc24059"/>
      <w:bookmarkStart w:id="70" w:name="_Toc2232"/>
      <w:bookmarkStart w:id="71" w:name="_Toc3029"/>
      <w:r>
        <w:rPr>
          <w:rFonts w:hint="eastAsia" w:ascii="宋体" w:hAnsi="宋体"/>
          <w:color w:val="auto"/>
          <w:highlight w:val="none"/>
          <w:lang w:val="zh-CN"/>
        </w:rPr>
        <w:t>1.1</w:t>
      </w:r>
      <w:r>
        <w:rPr>
          <w:rFonts w:ascii="宋体" w:hAnsi="宋体"/>
          <w:color w:val="auto"/>
          <w:highlight w:val="none"/>
          <w:lang w:val="zh-CN"/>
        </w:rPr>
        <w:t xml:space="preserve"> </w:t>
      </w:r>
      <w:r>
        <w:rPr>
          <w:rFonts w:hint="eastAsia" w:ascii="宋体" w:hAnsi="宋体"/>
          <w:color w:val="auto"/>
          <w:highlight w:val="none"/>
          <w:lang w:val="zh-CN"/>
        </w:rPr>
        <w:t>合同组成部分</w:t>
      </w:r>
      <w:bookmarkEnd w:id="69"/>
      <w:bookmarkEnd w:id="70"/>
      <w:bookmarkEnd w:id="71"/>
    </w:p>
    <w:p w14:paraId="3ECC790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14:paraId="14E30EE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1.1.1本合同及其补充合同、变更协议；</w:t>
      </w:r>
    </w:p>
    <w:p w14:paraId="26BEF69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1.1.2中标通知书；</w:t>
      </w:r>
    </w:p>
    <w:p w14:paraId="561D3E4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1.1.3投标文件（含澄清或者说明文件）；</w:t>
      </w:r>
    </w:p>
    <w:p w14:paraId="55FB4C1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1.1.4招标文件（含澄清或者修改文件）；</w:t>
      </w:r>
    </w:p>
    <w:p w14:paraId="7552AAA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1.1.5其他相关招标文件。</w:t>
      </w:r>
    </w:p>
    <w:p w14:paraId="303B276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72" w:name="_Toc22185"/>
      <w:bookmarkStart w:id="73" w:name="_Toc6311"/>
      <w:bookmarkStart w:id="74" w:name="_Toc6773"/>
      <w:bookmarkStart w:id="75" w:name="_Toc18585"/>
      <w:bookmarkStart w:id="76" w:name="_Toc2918"/>
      <w:r>
        <w:rPr>
          <w:rFonts w:hint="eastAsia" w:ascii="宋体" w:hAnsi="宋体"/>
          <w:color w:val="auto"/>
          <w:highlight w:val="none"/>
          <w:lang w:val="zh-CN"/>
        </w:rPr>
        <w:t xml:space="preserve">1.2 </w:t>
      </w:r>
      <w:bookmarkEnd w:id="72"/>
      <w:bookmarkEnd w:id="73"/>
      <w:bookmarkEnd w:id="74"/>
      <w:bookmarkEnd w:id="75"/>
      <w:bookmarkEnd w:id="76"/>
      <w:r>
        <w:rPr>
          <w:rFonts w:hint="eastAsia" w:ascii="宋体" w:hAnsi="宋体"/>
          <w:color w:val="auto"/>
          <w:highlight w:val="none"/>
          <w:lang w:val="zh-CN"/>
        </w:rPr>
        <w:t>服务</w:t>
      </w:r>
    </w:p>
    <w:p w14:paraId="72A0DCF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highlight w:val="none"/>
          <w:lang w:eastAsia="zh-CN"/>
        </w:rPr>
      </w:pPr>
      <w:r>
        <w:rPr>
          <w:rFonts w:hint="eastAsia" w:ascii="宋体" w:hAnsi="宋体"/>
          <w:color w:val="auto"/>
          <w:highlight w:val="none"/>
        </w:rPr>
        <w:t>1.2.1服务</w:t>
      </w:r>
      <w:r>
        <w:rPr>
          <w:rFonts w:ascii="宋体" w:hAnsi="宋体"/>
          <w:color w:val="auto"/>
          <w:highlight w:val="none"/>
        </w:rPr>
        <w:t>名称：</w:t>
      </w:r>
      <w:r>
        <w:rPr>
          <w:rFonts w:hint="eastAsia" w:ascii="宋体" w:hAnsi="宋体"/>
          <w:color w:val="auto"/>
          <w:highlight w:val="none"/>
          <w:lang w:val="en-US" w:eastAsia="zh-CN"/>
        </w:rPr>
        <w:t xml:space="preserve"> </w:t>
      </w:r>
    </w:p>
    <w:p w14:paraId="7E7B9BD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1.2.2服务内容</w:t>
      </w:r>
      <w:r>
        <w:rPr>
          <w:rFonts w:ascii="宋体" w:hAnsi="宋体"/>
          <w:color w:val="auto"/>
          <w:highlight w:val="none"/>
        </w:rPr>
        <w:t>：</w:t>
      </w:r>
    </w:p>
    <w:p w14:paraId="6042886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1.2.3服务质量：</w:t>
      </w:r>
      <w:r>
        <w:rPr>
          <w:rFonts w:hint="eastAsia" w:ascii="宋体" w:hAnsi="宋体"/>
          <w:color w:val="auto"/>
          <w:highlight w:val="none"/>
          <w:lang w:val="en-US" w:eastAsia="zh-CN"/>
        </w:rPr>
        <w:t>合格</w:t>
      </w:r>
      <w:r>
        <w:rPr>
          <w:rFonts w:hint="eastAsia" w:ascii="宋体" w:hAnsi="宋体"/>
          <w:color w:val="auto"/>
          <w:highlight w:val="none"/>
        </w:rPr>
        <w:t>。</w:t>
      </w:r>
    </w:p>
    <w:p w14:paraId="6A43640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77" w:name="_Toc23292"/>
      <w:bookmarkStart w:id="78" w:name="_Toc21631"/>
      <w:bookmarkStart w:id="79" w:name="_Toc21551"/>
      <w:r>
        <w:rPr>
          <w:rFonts w:hint="eastAsia" w:ascii="宋体" w:hAnsi="宋体"/>
          <w:color w:val="auto"/>
          <w:highlight w:val="none"/>
          <w:lang w:val="zh-CN"/>
        </w:rPr>
        <w:t>1.</w:t>
      </w:r>
      <w:r>
        <w:rPr>
          <w:rFonts w:ascii="宋体" w:hAnsi="宋体"/>
          <w:color w:val="auto"/>
          <w:highlight w:val="none"/>
          <w:lang w:val="zh-CN"/>
        </w:rPr>
        <w:t xml:space="preserve">3 </w:t>
      </w:r>
      <w:r>
        <w:rPr>
          <w:rFonts w:hint="eastAsia" w:ascii="宋体" w:hAnsi="宋体"/>
          <w:color w:val="auto"/>
          <w:highlight w:val="none"/>
          <w:lang w:val="zh-CN"/>
        </w:rPr>
        <w:t>价款</w:t>
      </w:r>
      <w:bookmarkEnd w:id="77"/>
      <w:bookmarkEnd w:id="78"/>
      <w:bookmarkEnd w:id="79"/>
    </w:p>
    <w:p w14:paraId="5283A37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本合同</w:t>
      </w:r>
      <w:r>
        <w:rPr>
          <w:rFonts w:hint="eastAsia" w:ascii="宋体" w:hAnsi="宋体"/>
          <w:color w:val="auto"/>
          <w:highlight w:val="none"/>
          <w:lang w:eastAsia="zh-CN"/>
        </w:rPr>
        <w:t>中标</w:t>
      </w:r>
      <w:r>
        <w:rPr>
          <w:rFonts w:hint="eastAsia" w:ascii="宋体" w:hAnsi="宋体"/>
          <w:color w:val="auto"/>
          <w:highlight w:val="none"/>
        </w:rPr>
        <w:t>价</w:t>
      </w:r>
      <w:r>
        <w:rPr>
          <w:rFonts w:ascii="宋体" w:hAnsi="宋体"/>
          <w:color w:val="auto"/>
          <w:highlight w:val="none"/>
        </w:rPr>
        <w:t>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（大写：</w:t>
      </w:r>
      <w:r>
        <w:rPr>
          <w:rFonts w:hint="eastAsia" w:ascii="宋体" w:hAnsi="宋体"/>
          <w:color w:val="auto"/>
          <w:highlight w:val="none"/>
          <w:u w:val="single"/>
        </w:rPr>
        <w:t xml:space="preserve">         </w:t>
      </w:r>
      <w:r>
        <w:rPr>
          <w:rFonts w:hint="eastAsia" w:ascii="宋体" w:hAnsi="宋体"/>
          <w:color w:val="auto"/>
          <w:highlight w:val="none"/>
        </w:rPr>
        <w:t>）</w:t>
      </w:r>
      <w:r>
        <w:rPr>
          <w:rFonts w:ascii="宋体" w:hAnsi="宋体"/>
          <w:color w:val="auto"/>
          <w:highlight w:val="none"/>
        </w:rPr>
        <w:t>。</w:t>
      </w:r>
    </w:p>
    <w:p w14:paraId="2F8F6FE7">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highlight w:val="none"/>
          <w:u w:val="single"/>
          <w:lang w:val="en-US" w:eastAsia="zh-CN"/>
        </w:rPr>
      </w:pPr>
      <w:r>
        <w:rPr>
          <w:rFonts w:ascii="宋体" w:hAnsi="宋体"/>
          <w:color w:val="auto"/>
          <w:highlight w:val="none"/>
        </w:rPr>
        <w:t>分项价格：</w:t>
      </w:r>
      <w:r>
        <w:rPr>
          <w:rFonts w:hint="eastAsia" w:ascii="宋体" w:hAnsi="宋体"/>
          <w:color w:val="auto"/>
          <w:highlight w:val="none"/>
          <w:lang w:eastAsia="zh-CN"/>
        </w:rPr>
        <w:t>（</w:t>
      </w:r>
      <w:r>
        <w:rPr>
          <w:rFonts w:hint="eastAsia" w:ascii="宋体" w:hAnsi="宋体"/>
          <w:color w:val="auto"/>
          <w:highlight w:val="none"/>
          <w:lang w:val="en-US" w:eastAsia="zh-CN"/>
        </w:rPr>
        <w:t>不涉及）</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4876"/>
        <w:gridCol w:w="13"/>
        <w:gridCol w:w="3644"/>
        <w:gridCol w:w="14"/>
      </w:tblGrid>
      <w:tr w14:paraId="6237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4336702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ascii="宋体" w:hAnsi="宋体"/>
                <w:color w:val="auto"/>
                <w:highlight w:val="none"/>
                <w:lang w:val="zh-CN"/>
              </w:rPr>
              <w:t>序号</w:t>
            </w:r>
          </w:p>
        </w:tc>
        <w:tc>
          <w:tcPr>
            <w:tcW w:w="2532" w:type="pct"/>
            <w:vAlign w:val="center"/>
          </w:tcPr>
          <w:p w14:paraId="26D7A54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分项名称</w:t>
            </w:r>
          </w:p>
        </w:tc>
        <w:tc>
          <w:tcPr>
            <w:tcW w:w="1899" w:type="pct"/>
            <w:gridSpan w:val="2"/>
            <w:vAlign w:val="center"/>
          </w:tcPr>
          <w:p w14:paraId="193F96A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分项价格</w:t>
            </w:r>
          </w:p>
        </w:tc>
      </w:tr>
      <w:tr w14:paraId="2344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9926FC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1</w:t>
            </w:r>
          </w:p>
        </w:tc>
        <w:tc>
          <w:tcPr>
            <w:tcW w:w="2532" w:type="pct"/>
            <w:vAlign w:val="center"/>
          </w:tcPr>
          <w:p w14:paraId="4861986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p>
        </w:tc>
        <w:tc>
          <w:tcPr>
            <w:tcW w:w="1899" w:type="pct"/>
            <w:gridSpan w:val="2"/>
            <w:vAlign w:val="center"/>
          </w:tcPr>
          <w:p w14:paraId="56B0357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p>
        </w:tc>
      </w:tr>
      <w:tr w14:paraId="7C12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984903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2</w:t>
            </w:r>
          </w:p>
        </w:tc>
        <w:tc>
          <w:tcPr>
            <w:tcW w:w="2532" w:type="pct"/>
            <w:vAlign w:val="center"/>
          </w:tcPr>
          <w:p w14:paraId="5FCC23A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p>
        </w:tc>
        <w:tc>
          <w:tcPr>
            <w:tcW w:w="1899" w:type="pct"/>
            <w:gridSpan w:val="2"/>
            <w:vAlign w:val="center"/>
          </w:tcPr>
          <w:p w14:paraId="29C4687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p>
        </w:tc>
      </w:tr>
      <w:tr w14:paraId="3492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49D3A5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ascii="宋体" w:hAnsi="宋体"/>
                <w:color w:val="auto"/>
                <w:highlight w:val="none"/>
                <w:lang w:val="zh-CN"/>
              </w:rPr>
              <w:t>3</w:t>
            </w:r>
          </w:p>
        </w:tc>
        <w:tc>
          <w:tcPr>
            <w:tcW w:w="2532" w:type="pct"/>
            <w:vAlign w:val="center"/>
          </w:tcPr>
          <w:p w14:paraId="776F7B6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p>
        </w:tc>
        <w:tc>
          <w:tcPr>
            <w:tcW w:w="1899" w:type="pct"/>
            <w:gridSpan w:val="2"/>
            <w:vAlign w:val="center"/>
          </w:tcPr>
          <w:p w14:paraId="6CAE837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p>
        </w:tc>
      </w:tr>
      <w:tr w14:paraId="400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9DE43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w:t>
            </w:r>
          </w:p>
        </w:tc>
        <w:tc>
          <w:tcPr>
            <w:tcW w:w="2532" w:type="pct"/>
            <w:vAlign w:val="center"/>
          </w:tcPr>
          <w:p w14:paraId="64ADB68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p>
        </w:tc>
        <w:tc>
          <w:tcPr>
            <w:tcW w:w="1899" w:type="pct"/>
            <w:gridSpan w:val="2"/>
            <w:vAlign w:val="center"/>
          </w:tcPr>
          <w:p w14:paraId="26A58A4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p>
        </w:tc>
      </w:tr>
      <w:tr w14:paraId="4F6C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3C3B5D0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总价</w:t>
            </w:r>
          </w:p>
        </w:tc>
        <w:tc>
          <w:tcPr>
            <w:tcW w:w="1899" w:type="pct"/>
            <w:gridSpan w:val="2"/>
            <w:vAlign w:val="center"/>
          </w:tcPr>
          <w:p w14:paraId="0077974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p>
        </w:tc>
      </w:tr>
    </w:tbl>
    <w:p w14:paraId="7A0B20D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80" w:name="_Toc1814"/>
      <w:bookmarkStart w:id="81" w:name="_Toc22618"/>
      <w:bookmarkStart w:id="82" w:name="_Toc10340"/>
      <w:r>
        <w:rPr>
          <w:rFonts w:hint="eastAsia" w:ascii="宋体" w:hAnsi="宋体"/>
          <w:color w:val="auto"/>
          <w:highlight w:val="none"/>
          <w:lang w:val="zh-CN"/>
        </w:rPr>
        <w:t>1.</w:t>
      </w:r>
      <w:r>
        <w:rPr>
          <w:rFonts w:ascii="宋体" w:hAnsi="宋体"/>
          <w:color w:val="auto"/>
          <w:highlight w:val="none"/>
          <w:lang w:val="zh-CN"/>
        </w:rPr>
        <w:t>4 付款方式和发票开具方式</w:t>
      </w:r>
      <w:bookmarkEnd w:id="80"/>
      <w:bookmarkEnd w:id="81"/>
      <w:bookmarkEnd w:id="82"/>
    </w:p>
    <w:p w14:paraId="28F63CE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1.4.1</w:t>
      </w:r>
      <w:r>
        <w:rPr>
          <w:rFonts w:ascii="宋体" w:hAnsi="宋体"/>
          <w:color w:val="auto"/>
          <w:highlight w:val="none"/>
        </w:rPr>
        <w:t>付款方式：</w:t>
      </w:r>
      <w:r>
        <w:rPr>
          <w:rFonts w:hint="eastAsia" w:ascii="宋体" w:hAnsi="宋体"/>
          <w:color w:val="auto"/>
          <w:highlight w:val="none"/>
        </w:rPr>
        <w:t xml:space="preserve">                                                ；</w:t>
      </w:r>
    </w:p>
    <w:p w14:paraId="16C6282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1.4.2发票开具方式：                                            。</w:t>
      </w:r>
    </w:p>
    <w:p w14:paraId="48A9B8B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83" w:name="_Toc32071"/>
      <w:bookmarkStart w:id="84" w:name="_Toc19304"/>
      <w:bookmarkStart w:id="85" w:name="_Toc2846"/>
      <w:r>
        <w:rPr>
          <w:rFonts w:hint="eastAsia" w:ascii="宋体" w:hAnsi="宋体"/>
          <w:color w:val="auto"/>
          <w:highlight w:val="none"/>
          <w:lang w:val="zh-CN"/>
        </w:rPr>
        <w:t>1.</w:t>
      </w:r>
      <w:r>
        <w:rPr>
          <w:rFonts w:ascii="宋体" w:hAnsi="宋体"/>
          <w:color w:val="auto"/>
          <w:highlight w:val="none"/>
          <w:lang w:val="zh-CN"/>
        </w:rPr>
        <w:t xml:space="preserve">5 </w:t>
      </w:r>
      <w:r>
        <w:rPr>
          <w:rFonts w:hint="eastAsia" w:ascii="宋体" w:hAnsi="宋体"/>
          <w:color w:val="auto"/>
          <w:highlight w:val="none"/>
          <w:lang w:val="zh-CN"/>
        </w:rPr>
        <w:t>服务</w:t>
      </w:r>
      <w:r>
        <w:rPr>
          <w:rFonts w:ascii="宋体" w:hAnsi="宋体"/>
          <w:color w:val="auto"/>
          <w:highlight w:val="none"/>
          <w:lang w:val="zh-CN"/>
        </w:rPr>
        <w:t>期限</w:t>
      </w:r>
      <w:r>
        <w:rPr>
          <w:rFonts w:hint="eastAsia" w:ascii="宋体" w:hAnsi="宋体"/>
          <w:color w:val="auto"/>
          <w:highlight w:val="none"/>
          <w:lang w:val="zh-CN"/>
        </w:rPr>
        <w:t>、地点和方式</w:t>
      </w:r>
      <w:bookmarkEnd w:id="83"/>
      <w:bookmarkEnd w:id="84"/>
      <w:bookmarkEnd w:id="85"/>
    </w:p>
    <w:p w14:paraId="786B682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1.5.1服务期限</w:t>
      </w:r>
      <w:r>
        <w:rPr>
          <w:rFonts w:ascii="宋体" w:hAnsi="宋体"/>
          <w:color w:val="auto"/>
          <w:highlight w:val="none"/>
        </w:rPr>
        <w:t>：</w:t>
      </w:r>
      <w:r>
        <w:rPr>
          <w:rFonts w:hint="eastAsia" w:ascii="宋体" w:hAnsi="宋体"/>
          <w:color w:val="auto"/>
          <w:highlight w:val="none"/>
        </w:rPr>
        <w:t xml:space="preserve">                                                ；</w:t>
      </w:r>
    </w:p>
    <w:p w14:paraId="16A770E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1.5.2服务地点</w:t>
      </w:r>
      <w:r>
        <w:rPr>
          <w:rFonts w:ascii="宋体" w:hAnsi="宋体"/>
          <w:color w:val="auto"/>
          <w:highlight w:val="none"/>
        </w:rPr>
        <w:t>：</w:t>
      </w:r>
      <w:r>
        <w:rPr>
          <w:rFonts w:hint="eastAsia" w:ascii="宋体" w:hAnsi="宋体"/>
          <w:color w:val="auto"/>
          <w:highlight w:val="none"/>
        </w:rPr>
        <w:t xml:space="preserve">                                                ；</w:t>
      </w:r>
    </w:p>
    <w:p w14:paraId="7128383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1.5.3服务方式：                                                。</w:t>
      </w:r>
    </w:p>
    <w:p w14:paraId="66866EE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86" w:name="_Toc27250"/>
      <w:bookmarkStart w:id="87" w:name="_Toc21423"/>
      <w:bookmarkStart w:id="88" w:name="_Toc19554"/>
      <w:r>
        <w:rPr>
          <w:rFonts w:hint="eastAsia" w:ascii="宋体" w:hAnsi="宋体"/>
          <w:color w:val="auto"/>
          <w:highlight w:val="none"/>
          <w:lang w:val="zh-CN"/>
        </w:rPr>
        <w:t>1.6 违约责任</w:t>
      </w:r>
      <w:bookmarkEnd w:id="86"/>
      <w:bookmarkEnd w:id="87"/>
      <w:bookmarkEnd w:id="88"/>
    </w:p>
    <w:p w14:paraId="1A57442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1.6.1</w:t>
      </w:r>
      <w:r>
        <w:rPr>
          <w:rFonts w:ascii="宋体" w:hAnsi="宋体"/>
          <w:color w:val="auto"/>
          <w:highlight w:val="none"/>
        </w:rPr>
        <w:t>除不可抗力外，如果乙方没有按照本合同约定的期限</w:t>
      </w:r>
      <w:r>
        <w:rPr>
          <w:rFonts w:hint="eastAsia" w:ascii="宋体" w:hAnsi="宋体"/>
          <w:color w:val="auto"/>
          <w:highlight w:val="none"/>
        </w:rPr>
        <w:t>、</w:t>
      </w:r>
      <w:r>
        <w:rPr>
          <w:rFonts w:ascii="宋体" w:hAnsi="宋体"/>
          <w:color w:val="auto"/>
          <w:highlight w:val="none"/>
        </w:rPr>
        <w:t>地点和方式</w:t>
      </w:r>
      <w:r>
        <w:rPr>
          <w:rFonts w:hint="eastAsia" w:ascii="宋体" w:hAnsi="宋体"/>
          <w:color w:val="auto"/>
          <w:highlight w:val="none"/>
        </w:rPr>
        <w:t>履行</w:t>
      </w:r>
      <w:r>
        <w:rPr>
          <w:rFonts w:ascii="宋体" w:hAnsi="宋体"/>
          <w:color w:val="auto"/>
          <w:highlight w:val="none"/>
        </w:rPr>
        <w:t>，那么甲方可要求乙方支付违约金</w:t>
      </w:r>
      <w:r>
        <w:rPr>
          <w:rFonts w:hint="eastAsia" w:ascii="宋体" w:hAnsi="宋体"/>
          <w:color w:val="auto"/>
          <w:highlight w:val="none"/>
        </w:rPr>
        <w:t>，</w:t>
      </w:r>
      <w:r>
        <w:rPr>
          <w:rFonts w:ascii="宋体" w:hAnsi="宋体"/>
          <w:color w:val="auto"/>
          <w:highlight w:val="none"/>
        </w:rPr>
        <w:t>违约金按每迟延</w:t>
      </w:r>
      <w:r>
        <w:rPr>
          <w:rFonts w:hint="eastAsia" w:ascii="宋体" w:hAnsi="宋体"/>
          <w:color w:val="auto"/>
          <w:highlight w:val="none"/>
        </w:rPr>
        <w:t>履行</w:t>
      </w:r>
      <w:r>
        <w:rPr>
          <w:rFonts w:ascii="宋体" w:hAnsi="宋体"/>
          <w:color w:val="auto"/>
          <w:highlight w:val="none"/>
        </w:rPr>
        <w:t>一日的应提供而未</w:t>
      </w:r>
      <w:r>
        <w:rPr>
          <w:rFonts w:hint="eastAsia" w:ascii="宋体" w:hAnsi="宋体"/>
          <w:color w:val="auto"/>
          <w:highlight w:val="none"/>
        </w:rPr>
        <w:t>提供</w:t>
      </w:r>
      <w:r>
        <w:rPr>
          <w:rFonts w:ascii="宋体" w:hAnsi="宋体"/>
          <w:color w:val="auto"/>
          <w:highlight w:val="none"/>
        </w:rPr>
        <w:t>服务价格的</w:t>
      </w:r>
      <w:r>
        <w:rPr>
          <w:rFonts w:hint="eastAsia" w:ascii="宋体" w:hAnsi="宋体"/>
          <w:color w:val="auto"/>
          <w:highlight w:val="none"/>
          <w:u w:val="single"/>
        </w:rPr>
        <w:t xml:space="preserve">    </w:t>
      </w:r>
      <w:r>
        <w:rPr>
          <w:rFonts w:ascii="宋体" w:hAnsi="宋体"/>
          <w:color w:val="auto"/>
          <w:highlight w:val="none"/>
        </w:rPr>
        <w:t>%计算</w:t>
      </w:r>
      <w:r>
        <w:rPr>
          <w:rFonts w:hint="eastAsia" w:ascii="宋体" w:hAnsi="宋体"/>
          <w:color w:val="auto"/>
          <w:highlight w:val="none"/>
        </w:rPr>
        <w:t>，</w:t>
      </w:r>
      <w:r>
        <w:rPr>
          <w:rFonts w:ascii="宋体" w:hAnsi="宋体"/>
          <w:color w:val="auto"/>
          <w:highlight w:val="none"/>
        </w:rPr>
        <w:t>最高限额为</w:t>
      </w:r>
      <w:r>
        <w:rPr>
          <w:rFonts w:hint="eastAsia" w:ascii="宋体" w:hAnsi="宋体"/>
          <w:color w:val="auto"/>
          <w:highlight w:val="none"/>
        </w:rPr>
        <w:t>本</w:t>
      </w:r>
      <w:r>
        <w:rPr>
          <w:rFonts w:ascii="宋体" w:hAnsi="宋体"/>
          <w:color w:val="auto"/>
          <w:highlight w:val="none"/>
        </w:rPr>
        <w:t>合同总价的</w:t>
      </w:r>
      <w:r>
        <w:rPr>
          <w:rFonts w:hint="eastAsia"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迟延</w:t>
      </w:r>
      <w:r>
        <w:rPr>
          <w:rFonts w:hint="eastAsia" w:ascii="宋体" w:hAnsi="宋体"/>
          <w:color w:val="auto"/>
          <w:highlight w:val="none"/>
        </w:rPr>
        <w:t>履行</w:t>
      </w:r>
      <w:r>
        <w:rPr>
          <w:rFonts w:ascii="宋体" w:hAnsi="宋体"/>
          <w:color w:val="auto"/>
          <w:highlight w:val="none"/>
        </w:rPr>
        <w:t>的违约金计算数额达到前述最高限额之日起</w:t>
      </w:r>
      <w:r>
        <w:rPr>
          <w:rFonts w:hint="eastAsia" w:ascii="宋体" w:hAnsi="宋体"/>
          <w:color w:val="auto"/>
          <w:highlight w:val="none"/>
        </w:rPr>
        <w:t>，</w:t>
      </w:r>
      <w:r>
        <w:rPr>
          <w:rFonts w:ascii="宋体" w:hAnsi="宋体"/>
          <w:color w:val="auto"/>
          <w:highlight w:val="none"/>
        </w:rPr>
        <w:t>甲方有权在要求乙方支付违约金的同时</w:t>
      </w:r>
      <w:r>
        <w:rPr>
          <w:rFonts w:hint="eastAsia" w:ascii="宋体" w:hAnsi="宋体"/>
          <w:color w:val="auto"/>
          <w:highlight w:val="none"/>
        </w:rPr>
        <w:t>，书面通知乙方</w:t>
      </w:r>
      <w:r>
        <w:rPr>
          <w:rFonts w:ascii="宋体" w:hAnsi="宋体"/>
          <w:color w:val="auto"/>
          <w:highlight w:val="none"/>
        </w:rPr>
        <w:t>解除本合同</w:t>
      </w:r>
      <w:r>
        <w:rPr>
          <w:rFonts w:hint="eastAsia" w:ascii="宋体" w:hAnsi="宋体"/>
          <w:color w:val="auto"/>
          <w:highlight w:val="none"/>
        </w:rPr>
        <w:t>；</w:t>
      </w:r>
    </w:p>
    <w:p w14:paraId="6DFE15B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1.6.2</w:t>
      </w:r>
      <w:r>
        <w:rPr>
          <w:rFonts w:ascii="宋体" w:hAnsi="宋体"/>
          <w:color w:val="auto"/>
          <w:highlight w:val="none"/>
        </w:rPr>
        <w:t>除不可抗力外，如果甲方没有按照本合同约定的付款方式付款，那么乙方可要求甲方支付违约金</w:t>
      </w:r>
      <w:r>
        <w:rPr>
          <w:rFonts w:hint="eastAsia" w:ascii="宋体" w:hAnsi="宋体"/>
          <w:color w:val="auto"/>
          <w:highlight w:val="none"/>
        </w:rPr>
        <w:t>，</w:t>
      </w:r>
      <w:r>
        <w:rPr>
          <w:rFonts w:ascii="宋体" w:hAnsi="宋体"/>
          <w:color w:val="auto"/>
          <w:highlight w:val="none"/>
        </w:rPr>
        <w:t>违约金按每迟延</w:t>
      </w:r>
      <w:r>
        <w:rPr>
          <w:rFonts w:hint="eastAsia" w:ascii="宋体" w:hAnsi="宋体"/>
          <w:color w:val="auto"/>
          <w:highlight w:val="none"/>
        </w:rPr>
        <w:t>付款</w:t>
      </w:r>
      <w:r>
        <w:rPr>
          <w:rFonts w:ascii="宋体" w:hAnsi="宋体"/>
          <w:color w:val="auto"/>
          <w:highlight w:val="none"/>
        </w:rPr>
        <w:t>一日的应付而未付款的</w:t>
      </w:r>
      <w:r>
        <w:rPr>
          <w:rFonts w:hint="eastAsia" w:ascii="宋体" w:hAnsi="宋体"/>
          <w:color w:val="auto"/>
          <w:highlight w:val="none"/>
          <w:u w:val="single"/>
        </w:rPr>
        <w:t xml:space="preserve">    </w:t>
      </w:r>
      <w:r>
        <w:rPr>
          <w:rFonts w:ascii="宋体" w:hAnsi="宋体"/>
          <w:color w:val="auto"/>
          <w:highlight w:val="none"/>
        </w:rPr>
        <w:t>%计算</w:t>
      </w:r>
      <w:r>
        <w:rPr>
          <w:rFonts w:hint="eastAsia" w:ascii="宋体" w:hAnsi="宋体"/>
          <w:color w:val="auto"/>
          <w:highlight w:val="none"/>
        </w:rPr>
        <w:t>，</w:t>
      </w:r>
      <w:r>
        <w:rPr>
          <w:rFonts w:ascii="宋体" w:hAnsi="宋体"/>
          <w:color w:val="auto"/>
          <w:highlight w:val="none"/>
        </w:rPr>
        <w:t>最高限额为</w:t>
      </w:r>
      <w:r>
        <w:rPr>
          <w:rFonts w:hint="eastAsia" w:ascii="宋体" w:hAnsi="宋体"/>
          <w:color w:val="auto"/>
          <w:highlight w:val="none"/>
        </w:rPr>
        <w:t>本</w:t>
      </w:r>
      <w:r>
        <w:rPr>
          <w:rFonts w:ascii="宋体" w:hAnsi="宋体"/>
          <w:color w:val="auto"/>
          <w:highlight w:val="none"/>
        </w:rPr>
        <w:t>合同总价的</w:t>
      </w:r>
      <w:r>
        <w:rPr>
          <w:rFonts w:hint="eastAsia"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w:t>
      </w:r>
      <w:r>
        <w:rPr>
          <w:rFonts w:ascii="宋体" w:hAnsi="宋体"/>
          <w:color w:val="auto"/>
          <w:highlight w:val="none"/>
        </w:rPr>
        <w:t>迟延</w:t>
      </w:r>
      <w:r>
        <w:rPr>
          <w:rFonts w:hint="eastAsia" w:ascii="宋体" w:hAnsi="宋体"/>
          <w:color w:val="auto"/>
          <w:highlight w:val="none"/>
        </w:rPr>
        <w:t>付款</w:t>
      </w:r>
      <w:r>
        <w:rPr>
          <w:rFonts w:ascii="宋体" w:hAnsi="宋体"/>
          <w:color w:val="auto"/>
          <w:highlight w:val="none"/>
        </w:rPr>
        <w:t>的违约金计算数额达到前述最高限额之日起</w:t>
      </w:r>
      <w:r>
        <w:rPr>
          <w:rFonts w:hint="eastAsia" w:ascii="宋体" w:hAnsi="宋体"/>
          <w:color w:val="auto"/>
          <w:highlight w:val="none"/>
        </w:rPr>
        <w:t>，乙</w:t>
      </w:r>
      <w:r>
        <w:rPr>
          <w:rFonts w:ascii="宋体" w:hAnsi="宋体"/>
          <w:color w:val="auto"/>
          <w:highlight w:val="none"/>
        </w:rPr>
        <w:t>方有权在要求甲方支付违约金的同时</w:t>
      </w:r>
      <w:r>
        <w:rPr>
          <w:rFonts w:hint="eastAsia" w:ascii="宋体" w:hAnsi="宋体"/>
          <w:color w:val="auto"/>
          <w:highlight w:val="none"/>
        </w:rPr>
        <w:t>，书面通知甲方</w:t>
      </w:r>
      <w:r>
        <w:rPr>
          <w:rFonts w:ascii="宋体" w:hAnsi="宋体"/>
          <w:color w:val="auto"/>
          <w:highlight w:val="none"/>
        </w:rPr>
        <w:t>解除本合同</w:t>
      </w:r>
      <w:r>
        <w:rPr>
          <w:rFonts w:hint="eastAsia" w:ascii="宋体" w:hAnsi="宋体"/>
          <w:color w:val="auto"/>
          <w:highlight w:val="none"/>
        </w:rPr>
        <w:t>；</w:t>
      </w:r>
    </w:p>
    <w:p w14:paraId="58697FC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68A3E7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CD0F52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31747D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1.6.6如果出现监督管理部门在处理投诉事项期间，书面通知甲方暂停采购活动的情形，或者询问或质疑事项可能影响中标结果的，导致甲方中止履行合同的情形，均不视为甲方违约。</w:t>
      </w:r>
    </w:p>
    <w:p w14:paraId="1F69B05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s="Times New Roman"/>
          <w:color w:val="auto"/>
          <w:highlight w:val="none"/>
        </w:rPr>
      </w:pPr>
      <w:r>
        <w:rPr>
          <w:rFonts w:hint="eastAsia" w:ascii="宋体" w:hAnsi="宋体"/>
          <w:snapToGrid w:val="0"/>
          <w:color w:val="auto"/>
          <w:highlight w:val="none"/>
        </w:rPr>
        <w:t>1.6.7因甲方未按合同约定支付价款、未按合同约定受领标的物、擅自解除合同导致乙方遭受的直接损失，乙方可向甲方申请赔偿，赔偿金额由双方协商一致； 针对因政策变化等原因不能签订合同或解除合同时，造成乙方合法利益受损的情形，可以给予乙方合理补偿，补偿金额不得超过乙方的直接损失。</w:t>
      </w:r>
    </w:p>
    <w:p w14:paraId="5E8E498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89" w:name="_Toc28375"/>
      <w:bookmarkStart w:id="90" w:name="_Toc16021"/>
      <w:bookmarkStart w:id="91" w:name="_Toc15583"/>
      <w:r>
        <w:rPr>
          <w:rFonts w:hint="eastAsia" w:ascii="宋体" w:hAnsi="宋体"/>
          <w:color w:val="auto"/>
          <w:highlight w:val="none"/>
          <w:lang w:val="zh-CN"/>
        </w:rPr>
        <w:t>1.7</w:t>
      </w:r>
      <w:r>
        <w:rPr>
          <w:rFonts w:ascii="宋体" w:hAnsi="宋体"/>
          <w:color w:val="auto"/>
          <w:highlight w:val="none"/>
          <w:lang w:val="zh-CN"/>
        </w:rPr>
        <w:t xml:space="preserve"> </w:t>
      </w:r>
      <w:r>
        <w:rPr>
          <w:rFonts w:hint="eastAsia" w:ascii="宋体" w:hAnsi="宋体"/>
          <w:color w:val="auto"/>
          <w:highlight w:val="none"/>
          <w:lang w:val="zh-CN"/>
        </w:rPr>
        <w:t>合同</w:t>
      </w:r>
      <w:r>
        <w:rPr>
          <w:rFonts w:ascii="宋体" w:hAnsi="宋体"/>
          <w:color w:val="auto"/>
          <w:highlight w:val="none"/>
          <w:lang w:val="zh-CN"/>
        </w:rPr>
        <w:t>争议的解决</w:t>
      </w:r>
      <w:bookmarkEnd w:id="89"/>
      <w:bookmarkEnd w:id="90"/>
      <w:bookmarkEnd w:id="91"/>
    </w:p>
    <w:p w14:paraId="1D67646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本合</w:t>
      </w:r>
      <w:r>
        <w:rPr>
          <w:rFonts w:ascii="宋体" w:hAnsi="宋体"/>
          <w:color w:val="auto"/>
          <w:highlight w:val="none"/>
        </w:rPr>
        <w:t>同履行过程中发生的任何争议，双方当事人均可</w:t>
      </w:r>
      <w:r>
        <w:rPr>
          <w:rFonts w:hint="eastAsia" w:ascii="宋体" w:hAnsi="宋体"/>
          <w:color w:val="auto"/>
          <w:highlight w:val="none"/>
        </w:rPr>
        <w:t>通过和解或者调解解决；不愿和解、调解或者和解、调解不成的，可以选择下列第</w:t>
      </w:r>
      <w:r>
        <w:rPr>
          <w:rFonts w:hint="eastAsia" w:ascii="宋体" w:hAnsi="宋体"/>
          <w:color w:val="auto"/>
          <w:highlight w:val="none"/>
          <w:u w:val="single"/>
        </w:rPr>
        <w:t xml:space="preserve">    </w:t>
      </w:r>
      <w:r>
        <w:rPr>
          <w:rFonts w:hint="eastAsia" w:ascii="宋体" w:hAnsi="宋体"/>
          <w:color w:val="auto"/>
          <w:highlight w:val="none"/>
        </w:rPr>
        <w:t>种方式解决：</w:t>
      </w:r>
    </w:p>
    <w:p w14:paraId="0BC87AA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1.7.1将争议提交</w:t>
      </w:r>
      <w:r>
        <w:rPr>
          <w:rFonts w:hint="eastAsia" w:ascii="宋体" w:hAnsi="宋体"/>
          <w:color w:val="auto"/>
          <w:highlight w:val="none"/>
          <w:u w:val="single"/>
        </w:rPr>
        <w:t xml:space="preserve">              </w:t>
      </w:r>
      <w:r>
        <w:rPr>
          <w:rFonts w:hint="eastAsia" w:ascii="宋体" w:hAnsi="宋体"/>
          <w:color w:val="auto"/>
          <w:highlight w:val="none"/>
        </w:rPr>
        <w:t>仲裁委员会依申请仲裁时其现行有效的仲裁规则裁决；</w:t>
      </w:r>
    </w:p>
    <w:p w14:paraId="75BBE65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 xml:space="preserve">1.7.2向      </w:t>
      </w:r>
      <w:r>
        <w:rPr>
          <w:rFonts w:ascii="宋体" w:hAnsi="宋体"/>
          <w:color w:val="auto"/>
          <w:highlight w:val="none"/>
        </w:rPr>
        <w:t xml:space="preserve">                 </w:t>
      </w:r>
      <w:r>
        <w:rPr>
          <w:rFonts w:hint="eastAsia" w:ascii="宋体" w:hAnsi="宋体"/>
          <w:color w:val="auto"/>
          <w:highlight w:val="none"/>
        </w:rPr>
        <w:t xml:space="preserve"> 人民法院起诉。</w:t>
      </w:r>
    </w:p>
    <w:p w14:paraId="551BFD8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92" w:name="_Toc11173"/>
      <w:bookmarkStart w:id="93" w:name="_Toc7245"/>
      <w:bookmarkStart w:id="94" w:name="_Toc15322"/>
      <w:r>
        <w:rPr>
          <w:rFonts w:hint="eastAsia" w:ascii="宋体" w:hAnsi="宋体"/>
          <w:color w:val="auto"/>
          <w:highlight w:val="none"/>
          <w:lang w:val="zh-CN"/>
        </w:rPr>
        <w:t>1.8</w:t>
      </w:r>
      <w:r>
        <w:rPr>
          <w:rFonts w:ascii="宋体" w:hAnsi="宋体"/>
          <w:color w:val="auto"/>
          <w:highlight w:val="none"/>
          <w:lang w:val="zh-CN"/>
        </w:rPr>
        <w:t xml:space="preserve"> 合同生效</w:t>
      </w:r>
      <w:bookmarkEnd w:id="92"/>
      <w:bookmarkEnd w:id="93"/>
      <w:bookmarkEnd w:id="94"/>
    </w:p>
    <w:p w14:paraId="3C404DE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本合同自</w:t>
      </w:r>
      <w:r>
        <w:rPr>
          <w:rFonts w:hint="eastAsia" w:ascii="宋体" w:hAnsi="宋体"/>
          <w:color w:val="auto"/>
          <w:highlight w:val="none"/>
        </w:rPr>
        <w:t>双方当事人盖章时</w:t>
      </w:r>
      <w:r>
        <w:rPr>
          <w:rFonts w:ascii="宋体" w:hAnsi="宋体"/>
          <w:color w:val="auto"/>
          <w:highlight w:val="none"/>
        </w:rPr>
        <w:t>生效。</w:t>
      </w:r>
    </w:p>
    <w:p w14:paraId="20960AA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p>
    <w:p w14:paraId="6326659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 xml:space="preserve">甲 </w:t>
      </w:r>
      <w:r>
        <w:rPr>
          <w:rFonts w:ascii="宋体" w:hAnsi="宋体"/>
          <w:color w:val="auto"/>
          <w:highlight w:val="none"/>
          <w:lang w:val="zh-CN"/>
        </w:rPr>
        <w:t xml:space="preserve">   </w:t>
      </w:r>
      <w:r>
        <w:rPr>
          <w:rFonts w:hint="eastAsia" w:ascii="宋体" w:hAnsi="宋体"/>
          <w:color w:val="auto"/>
          <w:highlight w:val="none"/>
          <w:lang w:val="zh-CN"/>
        </w:rPr>
        <w:t xml:space="preserve">方：    （单位盖章）               乙方：    （单位盖章）     </w:t>
      </w:r>
    </w:p>
    <w:p w14:paraId="7E9571D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 xml:space="preserve">法定代表人                             </w:t>
      </w:r>
      <w:r>
        <w:rPr>
          <w:rFonts w:ascii="宋体" w:hAnsi="宋体"/>
          <w:color w:val="auto"/>
          <w:highlight w:val="none"/>
          <w:lang w:val="zh-CN"/>
        </w:rPr>
        <w:t xml:space="preserve">  </w:t>
      </w:r>
      <w:r>
        <w:rPr>
          <w:rFonts w:hint="eastAsia" w:ascii="宋体" w:hAnsi="宋体"/>
          <w:color w:val="auto"/>
          <w:highlight w:val="none"/>
          <w:lang w:val="zh-CN"/>
        </w:rPr>
        <w:t>法定代表人</w:t>
      </w:r>
    </w:p>
    <w:p w14:paraId="3A603CA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r>
        <w:rPr>
          <w:rFonts w:hint="eastAsia" w:ascii="宋体" w:hAnsi="宋体"/>
          <w:color w:val="auto"/>
          <w:highlight w:val="none"/>
          <w:lang w:val="zh-CN"/>
        </w:rPr>
        <w:t>或授权代表（签字）：                      或授权代表（签字）：</w:t>
      </w:r>
    </w:p>
    <w:p w14:paraId="361F79D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bookmarkStart w:id="95" w:name="_Toc331685783"/>
      <w:r>
        <w:rPr>
          <w:rFonts w:hint="eastAsia" w:ascii="宋体" w:hAnsi="宋体"/>
          <w:color w:val="auto"/>
          <w:highlight w:val="none"/>
        </w:rPr>
        <w:t>时间：</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日               时间：</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日</w:t>
      </w:r>
    </w:p>
    <w:p w14:paraId="3A857514">
      <w:pPr>
        <w:pageBreakBefore w:val="0"/>
        <w:widowControl w:val="0"/>
        <w:kinsoku/>
        <w:wordWrap/>
        <w:overflowPunct/>
        <w:topLinePunct w:val="0"/>
        <w:autoSpaceDE/>
        <w:autoSpaceDN/>
        <w:bidi w:val="0"/>
        <w:adjustRightInd/>
        <w:snapToGrid/>
        <w:spacing w:line="360" w:lineRule="auto"/>
        <w:ind w:right="960" w:firstLine="4800" w:firstLineChars="2000"/>
        <w:textAlignment w:val="auto"/>
        <w:rPr>
          <w:rFonts w:hint="eastAsia"/>
          <w:color w:val="auto"/>
          <w:highlight w:val="none"/>
        </w:rPr>
      </w:pPr>
      <w:r>
        <w:rPr>
          <w:rFonts w:hint="eastAsia"/>
          <w:color w:val="auto"/>
          <w:highlight w:val="none"/>
        </w:rPr>
        <w:t>乙方账户信息</w:t>
      </w:r>
    </w:p>
    <w:p w14:paraId="4BE321A9">
      <w:pPr>
        <w:pageBreakBefore w:val="0"/>
        <w:widowControl w:val="0"/>
        <w:kinsoku/>
        <w:wordWrap/>
        <w:overflowPunct/>
        <w:topLinePunct w:val="0"/>
        <w:autoSpaceDE/>
        <w:autoSpaceDN/>
        <w:bidi w:val="0"/>
        <w:adjustRightInd/>
        <w:snapToGrid/>
        <w:spacing w:line="360" w:lineRule="auto"/>
        <w:textAlignment w:val="auto"/>
        <w:rPr>
          <w:rFonts w:hint="eastAsia"/>
          <w:b/>
          <w:snapToGrid w:val="0"/>
          <w:color w:val="auto"/>
          <w:highlight w:val="none"/>
        </w:rPr>
      </w:pPr>
      <w:r>
        <w:rPr>
          <w:rFonts w:hint="eastAsia"/>
          <w:color w:val="auto"/>
          <w:highlight w:val="none"/>
        </w:rPr>
        <w:t xml:space="preserve">                                        </w:t>
      </w:r>
      <w:r>
        <w:rPr>
          <w:rFonts w:hint="eastAsia"/>
          <w:snapToGrid w:val="0"/>
          <w:color w:val="auto"/>
          <w:highlight w:val="none"/>
        </w:rPr>
        <w:t xml:space="preserve">户名：                </w:t>
      </w:r>
    </w:p>
    <w:p w14:paraId="141D05EA">
      <w:pPr>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rPr>
        <w:t xml:space="preserve">                                        账号：                </w:t>
      </w:r>
    </w:p>
    <w:p w14:paraId="40EDC914">
      <w:pPr>
        <w:pageBreakBefore w:val="0"/>
        <w:widowControl w:val="0"/>
        <w:kinsoku/>
        <w:wordWrap/>
        <w:overflowPunct/>
        <w:topLinePunct w:val="0"/>
        <w:autoSpaceDE/>
        <w:autoSpaceDN/>
        <w:bidi w:val="0"/>
        <w:adjustRightInd/>
        <w:snapToGrid/>
        <w:spacing w:line="360" w:lineRule="auto"/>
        <w:textAlignment w:val="auto"/>
        <w:rPr>
          <w:rFonts w:hint="eastAsia"/>
          <w:bCs/>
          <w:color w:val="auto"/>
          <w:highlight w:val="none"/>
        </w:rPr>
      </w:pPr>
      <w:r>
        <w:rPr>
          <w:rFonts w:hint="eastAsia"/>
          <w:color w:val="auto"/>
          <w:highlight w:val="none"/>
        </w:rPr>
        <w:t xml:space="preserve">                                        开户银行：            </w:t>
      </w:r>
    </w:p>
    <w:p w14:paraId="48E9E56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br w:type="page"/>
      </w:r>
    </w:p>
    <w:p w14:paraId="12EB2CBD">
      <w:pPr>
        <w:pStyle w:val="5"/>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rPr>
      </w:pPr>
      <w:r>
        <w:rPr>
          <w:rFonts w:hint="eastAsia"/>
          <w:color w:val="auto"/>
          <w:highlight w:val="none"/>
        </w:rPr>
        <w:t>第二部分</w:t>
      </w:r>
      <w:r>
        <w:rPr>
          <w:color w:val="auto"/>
          <w:highlight w:val="none"/>
        </w:rPr>
        <w:t xml:space="preserve"> </w:t>
      </w:r>
      <w:r>
        <w:rPr>
          <w:rFonts w:hint="eastAsia"/>
          <w:color w:val="auto"/>
          <w:highlight w:val="none"/>
        </w:rPr>
        <w:t>合同一般条款</w:t>
      </w:r>
      <w:bookmarkEnd w:id="95"/>
    </w:p>
    <w:p w14:paraId="1D285D7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96" w:name="_Ref467379225"/>
      <w:bookmarkStart w:id="97" w:name="_Ref467378499"/>
      <w:bookmarkStart w:id="98" w:name="_Ref467379195"/>
      <w:bookmarkStart w:id="99" w:name="_Toc16917"/>
      <w:bookmarkStart w:id="100" w:name="_Toc259093669"/>
      <w:bookmarkStart w:id="101" w:name="_Toc19614"/>
      <w:bookmarkStart w:id="102" w:name="_Toc28763"/>
      <w:bookmarkStart w:id="103" w:name="_Ref467379101"/>
      <w:bookmarkStart w:id="104" w:name="_Toc279701240"/>
      <w:bookmarkStart w:id="105" w:name="_Ref467379205"/>
      <w:bookmarkStart w:id="106" w:name="_Ref467378404"/>
      <w:bookmarkStart w:id="107" w:name="_Ref467379094"/>
      <w:bookmarkStart w:id="108" w:name="_Ref467378463"/>
      <w:bookmarkStart w:id="109" w:name="_Ref467379214"/>
      <w:bookmarkStart w:id="110" w:name="_Ref467379109"/>
      <w:bookmarkStart w:id="111" w:name="_Toc487900349"/>
      <w:r>
        <w:rPr>
          <w:rFonts w:hint="eastAsia" w:ascii="宋体" w:hAnsi="宋体"/>
          <w:color w:val="auto"/>
          <w:highlight w:val="none"/>
          <w:lang w:val="zh-CN"/>
        </w:rPr>
        <w:t>2.1</w:t>
      </w:r>
      <w:r>
        <w:rPr>
          <w:rFonts w:ascii="宋体" w:hAnsi="宋体"/>
          <w:color w:val="auto"/>
          <w:highlight w:val="none"/>
          <w:lang w:val="zh-CN"/>
        </w:rPr>
        <w:t xml:space="preserve"> 定义</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1CCA4E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本合同中的下列</w:t>
      </w:r>
      <w:r>
        <w:rPr>
          <w:rFonts w:hint="eastAsia" w:ascii="宋体" w:hAnsi="宋体"/>
          <w:color w:val="auto"/>
          <w:highlight w:val="none"/>
        </w:rPr>
        <w:t>词</w:t>
      </w:r>
      <w:r>
        <w:rPr>
          <w:rFonts w:ascii="宋体" w:hAnsi="宋体"/>
          <w:color w:val="auto"/>
          <w:highlight w:val="none"/>
        </w:rPr>
        <w:t>语应</w:t>
      </w:r>
      <w:r>
        <w:rPr>
          <w:rFonts w:hint="eastAsia" w:ascii="宋体" w:hAnsi="宋体"/>
          <w:color w:val="auto"/>
          <w:highlight w:val="none"/>
        </w:rPr>
        <w:t>按以下内容进行</w:t>
      </w:r>
      <w:r>
        <w:rPr>
          <w:rFonts w:ascii="宋体" w:hAnsi="宋体"/>
          <w:color w:val="auto"/>
          <w:highlight w:val="none"/>
        </w:rPr>
        <w:t>解释：</w:t>
      </w:r>
    </w:p>
    <w:p w14:paraId="2EC588B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.1</w:t>
      </w:r>
      <w:r>
        <w:rPr>
          <w:rFonts w:hint="eastAsia" w:ascii="宋体" w:hAnsi="宋体"/>
          <w:color w:val="auto"/>
          <w:highlight w:val="none"/>
        </w:rPr>
        <w:t>.1</w:t>
      </w:r>
      <w:r>
        <w:rPr>
          <w:rFonts w:ascii="宋体" w:hAnsi="宋体"/>
          <w:color w:val="auto"/>
          <w:highlight w:val="none"/>
        </w:rPr>
        <w:t>“合同”系指</w:t>
      </w:r>
      <w:r>
        <w:rPr>
          <w:rFonts w:hint="eastAsia" w:ascii="宋体" w:hAnsi="宋体"/>
          <w:color w:val="auto"/>
          <w:highlight w:val="none"/>
        </w:rPr>
        <w:t>招标人</w:t>
      </w:r>
      <w:r>
        <w:rPr>
          <w:rFonts w:ascii="宋体" w:hAnsi="宋体"/>
          <w:color w:val="auto"/>
          <w:highlight w:val="none"/>
        </w:rPr>
        <w:t>和</w:t>
      </w:r>
      <w:r>
        <w:rPr>
          <w:rFonts w:hint="eastAsia" w:ascii="宋体" w:hAnsi="宋体"/>
          <w:color w:val="auto"/>
          <w:highlight w:val="none"/>
        </w:rPr>
        <w:t>中标单位</w:t>
      </w:r>
      <w:r>
        <w:rPr>
          <w:rFonts w:ascii="宋体" w:hAnsi="宋体"/>
          <w:color w:val="auto"/>
          <w:highlight w:val="none"/>
        </w:rPr>
        <w:t>签订的载明双方当事人所达成的协议，并包括所有的附件、附录和构成合同的其他文件。</w:t>
      </w:r>
    </w:p>
    <w:p w14:paraId="7D6D2DC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1.2“合同价”系指根据合同约定，</w:t>
      </w:r>
      <w:r>
        <w:rPr>
          <w:rFonts w:hint="eastAsia" w:ascii="宋体" w:hAnsi="宋体"/>
          <w:color w:val="auto"/>
          <w:highlight w:val="none"/>
        </w:rPr>
        <w:t>中标单位</w:t>
      </w:r>
      <w:r>
        <w:rPr>
          <w:rFonts w:ascii="宋体" w:hAnsi="宋体"/>
          <w:color w:val="auto"/>
          <w:highlight w:val="none"/>
        </w:rPr>
        <w:t>在完全履行合同义务后</w:t>
      </w:r>
      <w:r>
        <w:rPr>
          <w:rFonts w:hint="eastAsia" w:ascii="宋体" w:hAnsi="宋体"/>
          <w:color w:val="auto"/>
          <w:highlight w:val="none"/>
        </w:rPr>
        <w:t>，招标人</w:t>
      </w:r>
      <w:r>
        <w:rPr>
          <w:rFonts w:ascii="宋体" w:hAnsi="宋体"/>
          <w:color w:val="auto"/>
          <w:highlight w:val="none"/>
        </w:rPr>
        <w:t>应支付给</w:t>
      </w:r>
      <w:r>
        <w:rPr>
          <w:rFonts w:hint="eastAsia" w:ascii="宋体" w:hAnsi="宋体"/>
          <w:color w:val="auto"/>
          <w:highlight w:val="none"/>
        </w:rPr>
        <w:t>中标单位</w:t>
      </w:r>
      <w:r>
        <w:rPr>
          <w:rFonts w:ascii="宋体" w:hAnsi="宋体"/>
          <w:color w:val="auto"/>
          <w:highlight w:val="none"/>
        </w:rPr>
        <w:t>的价格。</w:t>
      </w:r>
    </w:p>
    <w:p w14:paraId="4F7823A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1.3“</w:t>
      </w:r>
      <w:r>
        <w:rPr>
          <w:rFonts w:hint="eastAsia" w:ascii="宋体" w:hAnsi="宋体"/>
          <w:color w:val="auto"/>
          <w:highlight w:val="none"/>
        </w:rPr>
        <w:t>服务</w:t>
      </w:r>
      <w:r>
        <w:rPr>
          <w:rFonts w:ascii="宋体" w:hAnsi="宋体"/>
          <w:color w:val="auto"/>
          <w:highlight w:val="none"/>
        </w:rPr>
        <w:t>”系指</w:t>
      </w:r>
      <w:r>
        <w:rPr>
          <w:rFonts w:hint="eastAsia" w:ascii="宋体" w:hAnsi="宋体"/>
          <w:color w:val="auto"/>
          <w:highlight w:val="none"/>
        </w:rPr>
        <w:t>中标单位</w:t>
      </w:r>
      <w:r>
        <w:rPr>
          <w:rFonts w:ascii="宋体" w:hAnsi="宋体"/>
          <w:color w:val="auto"/>
          <w:highlight w:val="none"/>
        </w:rPr>
        <w:t>根据合同约定应向</w:t>
      </w:r>
      <w:r>
        <w:rPr>
          <w:rFonts w:hint="eastAsia" w:ascii="宋体" w:hAnsi="宋体"/>
          <w:color w:val="auto"/>
          <w:highlight w:val="none"/>
        </w:rPr>
        <w:t>招标人履行</w:t>
      </w:r>
      <w:r>
        <w:rPr>
          <w:rFonts w:ascii="宋体" w:hAnsi="宋体"/>
          <w:color w:val="auto"/>
          <w:highlight w:val="none"/>
        </w:rPr>
        <w:t>的</w:t>
      </w:r>
      <w:r>
        <w:rPr>
          <w:rFonts w:hint="eastAsia" w:ascii="宋体" w:hAnsi="宋体"/>
          <w:color w:val="auto"/>
          <w:highlight w:val="none"/>
        </w:rPr>
        <w:t>除货物和工程以外的其他采购对象，包括招标人自身需要的服务和向社会公众提供的公共服务。</w:t>
      </w:r>
    </w:p>
    <w:p w14:paraId="1C1719E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bookmarkStart w:id="112" w:name="_Ref467378840"/>
      <w:r>
        <w:rPr>
          <w:rFonts w:hint="eastAsia" w:ascii="宋体" w:hAnsi="宋体"/>
          <w:color w:val="auto"/>
          <w:highlight w:val="none"/>
        </w:rPr>
        <w:t>2.</w:t>
      </w:r>
      <w:r>
        <w:rPr>
          <w:rFonts w:ascii="宋体" w:hAnsi="宋体"/>
          <w:color w:val="auto"/>
          <w:highlight w:val="none"/>
        </w:rPr>
        <w:t>1.</w:t>
      </w: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甲方</w:t>
      </w:r>
      <w:r>
        <w:rPr>
          <w:rFonts w:ascii="宋体" w:hAnsi="宋体"/>
          <w:color w:val="auto"/>
          <w:highlight w:val="none"/>
        </w:rPr>
        <w:t>”系指与</w:t>
      </w:r>
      <w:r>
        <w:rPr>
          <w:rFonts w:hint="eastAsia" w:ascii="宋体" w:hAnsi="宋体"/>
          <w:color w:val="auto"/>
          <w:highlight w:val="none"/>
        </w:rPr>
        <w:t>中标单位</w:t>
      </w:r>
      <w:r>
        <w:rPr>
          <w:rFonts w:ascii="宋体" w:hAnsi="宋体"/>
          <w:color w:val="auto"/>
          <w:highlight w:val="none"/>
        </w:rPr>
        <w:t>签署合同的</w:t>
      </w:r>
      <w:bookmarkEnd w:id="112"/>
      <w:r>
        <w:rPr>
          <w:rFonts w:hint="eastAsia" w:ascii="宋体" w:hAnsi="宋体"/>
          <w:color w:val="auto"/>
          <w:highlight w:val="none"/>
        </w:rPr>
        <w:t>招标人；招标人委托招标代理机构代表其与乙方签订合同的，招标人的授权委托书作为合同附件。</w:t>
      </w:r>
    </w:p>
    <w:p w14:paraId="0E76C73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bookmarkStart w:id="113" w:name="_Ref467379400"/>
      <w:r>
        <w:rPr>
          <w:rFonts w:hint="eastAsia" w:ascii="宋体" w:hAnsi="宋体"/>
          <w:color w:val="auto"/>
          <w:highlight w:val="none"/>
        </w:rPr>
        <w:t>2.</w:t>
      </w:r>
      <w:r>
        <w:rPr>
          <w:rFonts w:ascii="宋体" w:hAnsi="宋体"/>
          <w:color w:val="auto"/>
          <w:highlight w:val="none"/>
        </w:rPr>
        <w:t>1.</w:t>
      </w:r>
      <w:r>
        <w:rPr>
          <w:rFonts w:hint="eastAsia" w:ascii="宋体" w:hAnsi="宋体"/>
          <w:color w:val="auto"/>
          <w:highlight w:val="none"/>
        </w:rPr>
        <w:t>5</w:t>
      </w:r>
      <w:r>
        <w:rPr>
          <w:rFonts w:ascii="宋体" w:hAnsi="宋体"/>
          <w:color w:val="auto"/>
          <w:highlight w:val="none"/>
        </w:rPr>
        <w:t>“乙方”系指根据合同约定</w:t>
      </w:r>
      <w:r>
        <w:rPr>
          <w:rFonts w:hint="eastAsia" w:ascii="宋体" w:hAnsi="宋体"/>
          <w:color w:val="auto"/>
          <w:highlight w:val="none"/>
        </w:rPr>
        <w:t>提供服务</w:t>
      </w:r>
      <w:r>
        <w:rPr>
          <w:rFonts w:ascii="宋体" w:hAnsi="宋体"/>
          <w:color w:val="auto"/>
          <w:highlight w:val="none"/>
        </w:rPr>
        <w:t>的</w:t>
      </w:r>
      <w:bookmarkEnd w:id="113"/>
      <w:r>
        <w:rPr>
          <w:rFonts w:hint="eastAsia" w:ascii="宋体" w:hAnsi="宋体"/>
          <w:color w:val="auto"/>
          <w:highlight w:val="none"/>
        </w:rPr>
        <w:t>中标单位；两个以上的自然人、法人或者其他组织组成一个联合体，以一个</w:t>
      </w:r>
      <w:r>
        <w:rPr>
          <w:rFonts w:hint="eastAsia" w:ascii="宋体" w:hAnsi="宋体"/>
          <w:color w:val="auto"/>
          <w:highlight w:val="none"/>
          <w:lang w:eastAsia="zh-CN"/>
        </w:rPr>
        <w:t>投标人</w:t>
      </w:r>
      <w:r>
        <w:rPr>
          <w:rFonts w:hint="eastAsia" w:ascii="宋体" w:hAnsi="宋体"/>
          <w:color w:val="auto"/>
          <w:highlight w:val="none"/>
        </w:rPr>
        <w:t>的身份共同参加采购的，联合体各方均应为乙方或者与乙方相同地位的合同当事人，并就合同约定的事项对甲方承担连带责任。</w:t>
      </w:r>
    </w:p>
    <w:p w14:paraId="4710D51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bookmarkStart w:id="114" w:name="_Ref467379436"/>
      <w:r>
        <w:rPr>
          <w:rFonts w:hint="eastAsia" w:ascii="宋体" w:hAnsi="宋体"/>
          <w:color w:val="auto"/>
          <w:highlight w:val="none"/>
        </w:rPr>
        <w:t>2.</w:t>
      </w:r>
      <w:r>
        <w:rPr>
          <w:rFonts w:ascii="宋体" w:hAnsi="宋体"/>
          <w:color w:val="auto"/>
          <w:highlight w:val="none"/>
        </w:rPr>
        <w:t>1.</w:t>
      </w:r>
      <w:r>
        <w:rPr>
          <w:rFonts w:hint="eastAsia" w:ascii="宋体" w:hAnsi="宋体"/>
          <w:color w:val="auto"/>
          <w:highlight w:val="none"/>
        </w:rPr>
        <w:t>6</w:t>
      </w:r>
      <w:r>
        <w:rPr>
          <w:rFonts w:ascii="宋体" w:hAnsi="宋体"/>
          <w:color w:val="auto"/>
          <w:highlight w:val="none"/>
        </w:rPr>
        <w:t>“现场”系指合同约定</w:t>
      </w:r>
      <w:r>
        <w:rPr>
          <w:rFonts w:hint="eastAsia" w:ascii="宋体" w:hAnsi="宋体"/>
          <w:color w:val="auto"/>
          <w:highlight w:val="none"/>
        </w:rPr>
        <w:t>提供服务</w:t>
      </w:r>
      <w:r>
        <w:rPr>
          <w:rFonts w:ascii="宋体" w:hAnsi="宋体"/>
          <w:color w:val="auto"/>
          <w:highlight w:val="none"/>
        </w:rPr>
        <w:t>的地点。</w:t>
      </w:r>
      <w:bookmarkEnd w:id="114"/>
    </w:p>
    <w:p w14:paraId="3F40C22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15" w:name="_Toc13336"/>
      <w:bookmarkStart w:id="116" w:name="_Toc27635"/>
      <w:bookmarkStart w:id="117" w:name="_Toc32504"/>
      <w:bookmarkStart w:id="118" w:name="_Toc259093670"/>
      <w:bookmarkStart w:id="119" w:name="_Toc279701241"/>
      <w:bookmarkStart w:id="120" w:name="_Toc487900350"/>
      <w:r>
        <w:rPr>
          <w:rFonts w:hint="eastAsia" w:ascii="宋体" w:hAnsi="宋体"/>
          <w:color w:val="auto"/>
          <w:highlight w:val="none"/>
          <w:lang w:val="zh-CN"/>
        </w:rPr>
        <w:t>2.</w:t>
      </w:r>
      <w:r>
        <w:rPr>
          <w:rFonts w:ascii="宋体" w:hAnsi="宋体"/>
          <w:color w:val="auto"/>
          <w:highlight w:val="none"/>
          <w:lang w:val="zh-CN"/>
        </w:rPr>
        <w:t>2 技术规范</w:t>
      </w:r>
      <w:bookmarkEnd w:id="115"/>
      <w:bookmarkEnd w:id="116"/>
      <w:bookmarkEnd w:id="117"/>
      <w:bookmarkEnd w:id="118"/>
      <w:bookmarkEnd w:id="119"/>
      <w:bookmarkEnd w:id="120"/>
    </w:p>
    <w:p w14:paraId="17E4973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货物所应遵守的技术规范应与</w:t>
      </w:r>
      <w:r>
        <w:rPr>
          <w:rFonts w:hint="eastAsia" w:ascii="宋体" w:hAnsi="宋体"/>
          <w:color w:val="auto"/>
          <w:highlight w:val="none"/>
        </w:rPr>
        <w:t>招标文件</w:t>
      </w:r>
      <w:r>
        <w:rPr>
          <w:rFonts w:ascii="宋体" w:hAnsi="宋体"/>
          <w:color w:val="auto"/>
          <w:highlight w:val="none"/>
        </w:rPr>
        <w:t>规定的技术规范和技术规范附件(如果有的话)及其技术规范偏差表(如果被甲方接受的话)相一致</w:t>
      </w:r>
      <w:r>
        <w:rPr>
          <w:rFonts w:hint="eastAsia" w:ascii="宋体" w:hAnsi="宋体"/>
          <w:color w:val="auto"/>
          <w:highlight w:val="none"/>
        </w:rPr>
        <w:t>；</w:t>
      </w:r>
      <w:r>
        <w:rPr>
          <w:rFonts w:ascii="宋体" w:hAnsi="宋体"/>
          <w:color w:val="auto"/>
          <w:highlight w:val="none"/>
        </w:rPr>
        <w:t>如果</w:t>
      </w:r>
      <w:r>
        <w:rPr>
          <w:rFonts w:hint="eastAsia" w:ascii="宋体" w:hAnsi="宋体"/>
          <w:color w:val="auto"/>
          <w:highlight w:val="none"/>
        </w:rPr>
        <w:t>招标文件</w:t>
      </w:r>
      <w:r>
        <w:rPr>
          <w:rFonts w:ascii="宋体" w:hAnsi="宋体"/>
          <w:color w:val="auto"/>
          <w:highlight w:val="none"/>
        </w:rPr>
        <w:t>中没有技术规范的相应说明，那么应以国家有关部门最新颁布的相应标准</w:t>
      </w:r>
      <w:r>
        <w:rPr>
          <w:rFonts w:hint="eastAsia" w:ascii="宋体" w:hAnsi="宋体"/>
          <w:color w:val="auto"/>
          <w:highlight w:val="none"/>
        </w:rPr>
        <w:t>和</w:t>
      </w:r>
      <w:r>
        <w:rPr>
          <w:rFonts w:ascii="宋体" w:hAnsi="宋体"/>
          <w:color w:val="auto"/>
          <w:highlight w:val="none"/>
        </w:rPr>
        <w:t>规范为准。</w:t>
      </w:r>
    </w:p>
    <w:p w14:paraId="1C4D082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21" w:name="_Toc9829"/>
      <w:bookmarkStart w:id="122" w:name="_Toc279701242"/>
      <w:bookmarkStart w:id="123" w:name="_Toc487900351"/>
      <w:bookmarkStart w:id="124" w:name="_Toc31634"/>
      <w:bookmarkStart w:id="125" w:name="_Toc27853"/>
      <w:bookmarkStart w:id="126" w:name="_Toc259093671"/>
      <w:r>
        <w:rPr>
          <w:rFonts w:hint="eastAsia" w:ascii="宋体" w:hAnsi="宋体"/>
          <w:color w:val="auto"/>
          <w:highlight w:val="none"/>
          <w:lang w:val="zh-CN"/>
        </w:rPr>
        <w:t>2.</w:t>
      </w:r>
      <w:r>
        <w:rPr>
          <w:rFonts w:ascii="宋体" w:hAnsi="宋体"/>
          <w:color w:val="auto"/>
          <w:highlight w:val="none"/>
          <w:lang w:val="zh-CN"/>
        </w:rPr>
        <w:t>3 知识产权</w:t>
      </w:r>
      <w:bookmarkEnd w:id="121"/>
      <w:bookmarkEnd w:id="122"/>
      <w:bookmarkEnd w:id="123"/>
      <w:bookmarkEnd w:id="124"/>
      <w:bookmarkEnd w:id="125"/>
      <w:bookmarkEnd w:id="126"/>
    </w:p>
    <w:p w14:paraId="4D88C55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2.3.1乙</w:t>
      </w:r>
      <w:r>
        <w:rPr>
          <w:rFonts w:ascii="宋体" w:hAnsi="宋体"/>
          <w:color w:val="auto"/>
          <w:highlight w:val="none"/>
        </w:rPr>
        <w:t>方应保证</w:t>
      </w:r>
      <w:r>
        <w:rPr>
          <w:rFonts w:hint="eastAsia" w:ascii="宋体" w:hAnsi="宋体"/>
          <w:color w:val="auto"/>
          <w:highlight w:val="none"/>
        </w:rPr>
        <w:t>其提供的服务</w:t>
      </w:r>
      <w:r>
        <w:rPr>
          <w:rFonts w:ascii="宋体" w:hAnsi="宋体"/>
          <w:color w:val="auto"/>
          <w:highlight w:val="none"/>
        </w:rPr>
        <w:t>不受任何第三方提出的侵犯其著作权、商标权、专利权等知识产权方面的起诉</w:t>
      </w:r>
      <w:r>
        <w:rPr>
          <w:rFonts w:hint="eastAsia" w:ascii="宋体" w:hAnsi="宋体"/>
          <w:color w:val="auto"/>
          <w:highlight w:val="none"/>
        </w:rPr>
        <w:t>；</w:t>
      </w:r>
      <w:r>
        <w:rPr>
          <w:rFonts w:ascii="宋体" w:hAnsi="宋体"/>
          <w:color w:val="auto"/>
          <w:highlight w:val="none"/>
        </w:rPr>
        <w:t>如果任何第三方提出侵权</w:t>
      </w:r>
      <w:r>
        <w:rPr>
          <w:rFonts w:hint="eastAsia" w:ascii="宋体" w:hAnsi="宋体"/>
          <w:color w:val="auto"/>
          <w:highlight w:val="none"/>
        </w:rPr>
        <w:t>指控</w:t>
      </w:r>
      <w:r>
        <w:rPr>
          <w:rFonts w:ascii="宋体" w:hAnsi="宋体"/>
          <w:color w:val="auto"/>
          <w:highlight w:val="none"/>
        </w:rPr>
        <w:t>，那么乙方须与该第三方交涉并承担由此发生的一切责任、费用和赔偿</w:t>
      </w:r>
      <w:r>
        <w:rPr>
          <w:rFonts w:hint="eastAsia" w:ascii="宋体" w:hAnsi="宋体"/>
          <w:color w:val="auto"/>
          <w:highlight w:val="none"/>
        </w:rPr>
        <w:t>；</w:t>
      </w:r>
    </w:p>
    <w:p w14:paraId="0958AA4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2.3.2具有知识产权的计算机软件等货物的知识产权归属，</w:t>
      </w:r>
      <w:r>
        <w:rPr>
          <w:rFonts w:ascii="宋体" w:hAnsi="宋体"/>
          <w:color w:val="auto"/>
          <w:highlight w:val="none"/>
        </w:rPr>
        <w:t>详见</w:t>
      </w:r>
      <w:r>
        <w:rPr>
          <w:rFonts w:ascii="宋体" w:hAnsi="宋体"/>
          <w:b/>
          <w:i/>
          <w:color w:val="auto"/>
          <w:highlight w:val="none"/>
          <w:u w:val="single"/>
        </w:rPr>
        <w:t>合同专用条款</w:t>
      </w:r>
      <w:r>
        <w:rPr>
          <w:rFonts w:ascii="宋体" w:hAnsi="宋体"/>
          <w:color w:val="auto"/>
          <w:highlight w:val="none"/>
        </w:rPr>
        <w:t>。</w:t>
      </w:r>
    </w:p>
    <w:p w14:paraId="0D3489A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27" w:name="_Ref467378591"/>
      <w:bookmarkStart w:id="128" w:name="_Ref467379536"/>
      <w:bookmarkStart w:id="129" w:name="_Toc487900354"/>
      <w:bookmarkStart w:id="130" w:name="_Ref467379542"/>
      <w:bookmarkStart w:id="131" w:name="_Ref467378541"/>
      <w:bookmarkStart w:id="132" w:name="_Toc259093674"/>
      <w:bookmarkStart w:id="133" w:name="_Toc279701245"/>
      <w:bookmarkStart w:id="134" w:name="_Ref467379527"/>
      <w:bookmarkStart w:id="135" w:name="_Toc30272"/>
      <w:bookmarkStart w:id="136" w:name="_Toc19074"/>
      <w:bookmarkStart w:id="137" w:name="_Toc26182"/>
      <w:r>
        <w:rPr>
          <w:rFonts w:hint="eastAsia" w:ascii="宋体" w:hAnsi="宋体"/>
          <w:color w:val="auto"/>
          <w:highlight w:val="none"/>
          <w:lang w:val="zh-CN"/>
        </w:rPr>
        <w:t>2.</w:t>
      </w:r>
      <w:bookmarkEnd w:id="127"/>
      <w:bookmarkEnd w:id="128"/>
      <w:bookmarkEnd w:id="129"/>
      <w:bookmarkEnd w:id="130"/>
      <w:bookmarkEnd w:id="131"/>
      <w:bookmarkEnd w:id="132"/>
      <w:bookmarkEnd w:id="133"/>
      <w:bookmarkEnd w:id="134"/>
      <w:r>
        <w:rPr>
          <w:rFonts w:ascii="宋体" w:hAnsi="宋体"/>
          <w:color w:val="auto"/>
          <w:highlight w:val="none"/>
          <w:lang w:val="zh-CN"/>
        </w:rPr>
        <w:t xml:space="preserve">4 </w:t>
      </w:r>
      <w:r>
        <w:rPr>
          <w:rFonts w:hint="eastAsia" w:ascii="宋体" w:hAnsi="宋体"/>
          <w:color w:val="auto"/>
          <w:highlight w:val="none"/>
          <w:lang w:val="zh-CN"/>
        </w:rPr>
        <w:t>履约检查和问题反馈</w:t>
      </w:r>
      <w:bookmarkEnd w:id="135"/>
      <w:bookmarkEnd w:id="136"/>
      <w:bookmarkEnd w:id="137"/>
    </w:p>
    <w:p w14:paraId="4A9F3D2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bookmarkStart w:id="138" w:name="_Toc186431854"/>
      <w:bookmarkStart w:id="139" w:name="_Toc487900357"/>
      <w:bookmarkStart w:id="140" w:name="_Toc259093676"/>
      <w:bookmarkStart w:id="141" w:name="_Toc279701247"/>
      <w:bookmarkStart w:id="142" w:name="_Ref467379807"/>
      <w:bookmarkStart w:id="143" w:name="_Ref467379793"/>
      <w:r>
        <w:rPr>
          <w:rFonts w:hint="eastAsia" w:ascii="宋体" w:hAnsi="宋体"/>
          <w:color w:val="auto"/>
          <w:highlight w:val="none"/>
        </w:rPr>
        <w:t>2.4</w:t>
      </w:r>
      <w:r>
        <w:rPr>
          <w:rFonts w:ascii="宋体" w:hAnsi="宋体"/>
          <w:color w:val="auto"/>
          <w:highlight w:val="none"/>
        </w:rPr>
        <w:t>.1甲方</w:t>
      </w:r>
      <w:r>
        <w:rPr>
          <w:rFonts w:hint="eastAsia" w:ascii="宋体" w:hAnsi="宋体"/>
          <w:color w:val="auto"/>
          <w:highlight w:val="none"/>
        </w:rPr>
        <w:t>有权</w:t>
      </w:r>
      <w:r>
        <w:rPr>
          <w:rFonts w:ascii="宋体" w:hAnsi="宋体"/>
          <w:color w:val="auto"/>
          <w:highlight w:val="none"/>
        </w:rPr>
        <w:t>在其认为必要时</w:t>
      </w:r>
      <w:r>
        <w:rPr>
          <w:rFonts w:hint="eastAsia" w:ascii="宋体" w:hAnsi="宋体"/>
          <w:color w:val="auto"/>
          <w:highlight w:val="none"/>
        </w:rPr>
        <w:t>，对乙方是否能够按照合同约定提供服务进行履约检查，以确保乙方所提供的服务能够依约满足甲方项目需求，但不得因履约检查妨碍乙方的正常工作，乙方应予积极配合；</w:t>
      </w:r>
    </w:p>
    <w:p w14:paraId="4A948E3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4</w:t>
      </w:r>
      <w:r>
        <w:rPr>
          <w:rFonts w:hint="eastAsia" w:ascii="宋体" w:hAnsi="宋体"/>
          <w:color w:val="auto"/>
          <w:highlight w:val="none"/>
        </w:rPr>
        <w:t>.2合同履行期间，甲方有权将履行过程中出现的问题反馈给乙方，双方当事人应以书面形式约定需要完善和改进的内容</w:t>
      </w:r>
      <w:bookmarkEnd w:id="138"/>
      <w:bookmarkStart w:id="144" w:name="_Toc186431855"/>
      <w:r>
        <w:rPr>
          <w:rFonts w:hint="eastAsia" w:ascii="宋体" w:hAnsi="宋体"/>
          <w:color w:val="auto"/>
          <w:highlight w:val="none"/>
        </w:rPr>
        <w:t>。</w:t>
      </w:r>
    </w:p>
    <w:bookmarkEnd w:id="144"/>
    <w:p w14:paraId="6BAAAD0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45" w:name="_Toc28451"/>
      <w:bookmarkStart w:id="146" w:name="_Toc19219"/>
      <w:bookmarkStart w:id="147" w:name="_Toc7836"/>
      <w:r>
        <w:rPr>
          <w:rFonts w:hint="eastAsia" w:ascii="宋体" w:hAnsi="宋体"/>
          <w:color w:val="auto"/>
          <w:highlight w:val="none"/>
          <w:lang w:val="zh-CN"/>
        </w:rPr>
        <w:t>2.</w:t>
      </w:r>
      <w:r>
        <w:rPr>
          <w:rFonts w:ascii="宋体" w:hAnsi="宋体"/>
          <w:color w:val="auto"/>
          <w:highlight w:val="none"/>
          <w:lang w:val="zh-CN"/>
        </w:rPr>
        <w:t>5</w:t>
      </w:r>
      <w:r>
        <w:rPr>
          <w:rFonts w:hint="eastAsia" w:ascii="宋体" w:hAnsi="宋体"/>
          <w:color w:val="auto"/>
          <w:highlight w:val="none"/>
          <w:lang w:val="zh-CN"/>
        </w:rPr>
        <w:t xml:space="preserve"> </w:t>
      </w:r>
      <w:r>
        <w:rPr>
          <w:rFonts w:ascii="宋体" w:hAnsi="宋体"/>
          <w:color w:val="auto"/>
          <w:highlight w:val="none"/>
          <w:lang w:val="zh-CN"/>
        </w:rPr>
        <w:t>结算方式和付款条件</w:t>
      </w:r>
      <w:bookmarkEnd w:id="139"/>
      <w:bookmarkEnd w:id="140"/>
      <w:bookmarkEnd w:id="141"/>
      <w:bookmarkEnd w:id="142"/>
      <w:bookmarkEnd w:id="143"/>
      <w:bookmarkEnd w:id="145"/>
      <w:bookmarkEnd w:id="146"/>
      <w:bookmarkEnd w:id="147"/>
    </w:p>
    <w:p w14:paraId="0B2F7C6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详见合同专用条款。</w:t>
      </w:r>
    </w:p>
    <w:p w14:paraId="1047AD8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48" w:name="_Ref467379863"/>
      <w:bookmarkStart w:id="149" w:name="_Toc279701248"/>
      <w:bookmarkStart w:id="150" w:name="_Ref467379852"/>
      <w:bookmarkStart w:id="151" w:name="_Ref467379923"/>
      <w:bookmarkStart w:id="152" w:name="_Toc259093677"/>
      <w:bookmarkStart w:id="153" w:name="_Toc487900358"/>
      <w:bookmarkStart w:id="154" w:name="_Toc774"/>
      <w:bookmarkStart w:id="155" w:name="_Toc3225"/>
      <w:bookmarkStart w:id="156" w:name="_Toc16110"/>
      <w:r>
        <w:rPr>
          <w:rFonts w:hint="eastAsia" w:ascii="宋体" w:hAnsi="宋体"/>
          <w:color w:val="auto"/>
          <w:highlight w:val="none"/>
          <w:lang w:val="zh-CN"/>
        </w:rPr>
        <w:t>2.</w:t>
      </w:r>
      <w:r>
        <w:rPr>
          <w:rFonts w:ascii="宋体" w:hAnsi="宋体"/>
          <w:color w:val="auto"/>
          <w:highlight w:val="none"/>
          <w:lang w:val="zh-CN"/>
        </w:rPr>
        <w:t>6</w:t>
      </w:r>
      <w:r>
        <w:rPr>
          <w:rFonts w:hint="eastAsia" w:ascii="宋体" w:hAnsi="宋体"/>
          <w:color w:val="auto"/>
          <w:highlight w:val="none"/>
          <w:lang w:val="zh-CN"/>
        </w:rPr>
        <w:t xml:space="preserve"> </w:t>
      </w:r>
      <w:r>
        <w:rPr>
          <w:rFonts w:ascii="宋体" w:hAnsi="宋体"/>
          <w:color w:val="auto"/>
          <w:highlight w:val="none"/>
          <w:lang w:val="zh-CN"/>
        </w:rPr>
        <w:t>技术资料</w:t>
      </w:r>
      <w:bookmarkEnd w:id="148"/>
      <w:bookmarkEnd w:id="149"/>
      <w:bookmarkEnd w:id="150"/>
      <w:bookmarkEnd w:id="151"/>
      <w:bookmarkEnd w:id="152"/>
      <w:bookmarkEnd w:id="153"/>
      <w:r>
        <w:rPr>
          <w:rFonts w:ascii="宋体" w:hAnsi="宋体"/>
          <w:color w:val="auto"/>
          <w:highlight w:val="none"/>
          <w:lang w:val="zh-CN"/>
        </w:rPr>
        <w:t>和保密义务</w:t>
      </w:r>
      <w:bookmarkEnd w:id="154"/>
      <w:bookmarkEnd w:id="155"/>
      <w:bookmarkEnd w:id="156"/>
    </w:p>
    <w:p w14:paraId="0C2B134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6.1</w:t>
      </w:r>
      <w:r>
        <w:rPr>
          <w:rFonts w:hint="eastAsia" w:ascii="宋体" w:hAnsi="宋体"/>
          <w:color w:val="auto"/>
          <w:highlight w:val="none"/>
        </w:rPr>
        <w:t>乙方有权依据合同约定和项目需要，向甲方了解有关情况，调阅有关资料等，甲方应予积极配合；</w:t>
      </w:r>
    </w:p>
    <w:p w14:paraId="2701656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.2乙方有义务妥善保管和保护由甲方提供的前款信息和资料等；</w:t>
      </w:r>
    </w:p>
    <w:p w14:paraId="5C82382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highlight w:val="none"/>
        </w:rPr>
        <w:t>技术情报</w:t>
      </w:r>
      <w:r>
        <w:rPr>
          <w:rFonts w:hint="eastAsia" w:ascii="宋体" w:hAnsi="宋体"/>
          <w:color w:val="auto"/>
          <w:highlight w:val="none"/>
        </w:rPr>
        <w:t>、</w:t>
      </w:r>
      <w:r>
        <w:rPr>
          <w:rFonts w:ascii="宋体" w:hAnsi="宋体"/>
          <w:color w:val="auto"/>
          <w:highlight w:val="none"/>
        </w:rPr>
        <w:t>技术资料</w:t>
      </w:r>
      <w:r>
        <w:rPr>
          <w:rFonts w:hint="eastAsia" w:ascii="宋体" w:hAnsi="宋体"/>
          <w:color w:val="auto"/>
          <w:highlight w:val="none"/>
        </w:rPr>
        <w:t>、商业秘密和商业信息等，并采取一切合理和必要措施和方式防止任何第三方接触到对方当事人的上述保密信息和资料。</w:t>
      </w:r>
    </w:p>
    <w:p w14:paraId="383214C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57" w:name="_Toc7860"/>
      <w:r>
        <w:rPr>
          <w:rFonts w:ascii="宋体" w:hAnsi="宋体"/>
          <w:color w:val="auto"/>
          <w:highlight w:val="none"/>
          <w:lang w:val="zh-CN"/>
        </w:rPr>
        <w:t>2.7 质量保证</w:t>
      </w:r>
      <w:bookmarkEnd w:id="157"/>
    </w:p>
    <w:p w14:paraId="50530AA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7</w:t>
      </w:r>
      <w:r>
        <w:rPr>
          <w:rFonts w:hint="eastAsia" w:ascii="宋体" w:hAnsi="宋体"/>
          <w:color w:val="auto"/>
          <w:highlight w:val="none"/>
        </w:rPr>
        <w:t>.1乙方应建立和完善履行合同的内部质量保证体系，并提供相关内部规章制度给甲方，以便甲方进行监督检查；</w:t>
      </w:r>
    </w:p>
    <w:p w14:paraId="54AD0FF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7</w:t>
      </w:r>
      <w:r>
        <w:rPr>
          <w:rFonts w:hint="eastAsia" w:ascii="宋体" w:hAnsi="宋体"/>
          <w:color w:val="auto"/>
          <w:highlight w:val="none"/>
        </w:rPr>
        <w:t>.2乙方应保证履行合同的人员数量和素质、软件和硬件设备的配置、场地、环境和设施等满足全面履行合同的要求，并应接受甲方的监督检查。</w:t>
      </w:r>
    </w:p>
    <w:p w14:paraId="16AEF23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bookmarkStart w:id="158" w:name="_Toc22267"/>
      <w:r>
        <w:rPr>
          <w:rFonts w:hint="eastAsia" w:ascii="宋体" w:hAnsi="宋体"/>
          <w:color w:val="auto"/>
          <w:highlight w:val="none"/>
        </w:rPr>
        <w:t>2.8 延迟履行</w:t>
      </w:r>
      <w:bookmarkEnd w:id="158"/>
    </w:p>
    <w:p w14:paraId="0FAA7BB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在合同履行过程中，如果乙方遇到不能按时</w:t>
      </w:r>
      <w:r>
        <w:rPr>
          <w:rFonts w:hint="eastAsia" w:ascii="宋体" w:hAnsi="宋体"/>
          <w:color w:val="auto"/>
          <w:highlight w:val="none"/>
        </w:rPr>
        <w:t>提供服务</w:t>
      </w:r>
      <w:r>
        <w:rPr>
          <w:rFonts w:ascii="宋体" w:hAnsi="宋体"/>
          <w:color w:val="auto"/>
          <w:highlight w:val="none"/>
        </w:rPr>
        <w:t>的情况，应及时以书面形式将不能按时</w:t>
      </w:r>
      <w:r>
        <w:rPr>
          <w:rFonts w:hint="eastAsia" w:ascii="宋体" w:hAnsi="宋体"/>
          <w:color w:val="auto"/>
          <w:highlight w:val="none"/>
        </w:rPr>
        <w:t>提供服务</w:t>
      </w:r>
      <w:r>
        <w:rPr>
          <w:rFonts w:ascii="宋体" w:hAnsi="宋体"/>
          <w:color w:val="auto"/>
          <w:highlight w:val="none"/>
        </w:rPr>
        <w:t>的理由、预期延误时间通知甲方</w:t>
      </w:r>
      <w:r>
        <w:rPr>
          <w:rFonts w:hint="eastAsia" w:ascii="宋体" w:hAnsi="宋体"/>
          <w:color w:val="auto"/>
          <w:highlight w:val="none"/>
        </w:rPr>
        <w:t>；甲</w:t>
      </w:r>
      <w:r>
        <w:rPr>
          <w:rFonts w:ascii="宋体" w:hAnsi="宋体"/>
          <w:color w:val="auto"/>
          <w:highlight w:val="none"/>
        </w:rPr>
        <w:t>方收到乙方通知后，认为其理由正当的，可以书面形式酌情同意乙方可以延长</w:t>
      </w:r>
      <w:r>
        <w:rPr>
          <w:rFonts w:hint="eastAsia" w:ascii="宋体" w:hAnsi="宋体"/>
          <w:color w:val="auto"/>
          <w:highlight w:val="none"/>
        </w:rPr>
        <w:t>履行</w:t>
      </w:r>
      <w:r>
        <w:rPr>
          <w:rFonts w:ascii="宋体" w:hAnsi="宋体"/>
          <w:color w:val="auto"/>
          <w:highlight w:val="none"/>
        </w:rPr>
        <w:t>的具体时间。</w:t>
      </w:r>
    </w:p>
    <w:p w14:paraId="4610476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59" w:name="_Toc7502"/>
      <w:bookmarkStart w:id="160" w:name="_Ref467378121"/>
      <w:bookmarkStart w:id="161" w:name="_Toc279701254"/>
      <w:bookmarkStart w:id="162" w:name="_Toc259093683"/>
      <w:bookmarkStart w:id="163" w:name="_Toc487900364"/>
      <w:r>
        <w:rPr>
          <w:rFonts w:ascii="宋体" w:hAnsi="宋体"/>
          <w:color w:val="auto"/>
          <w:highlight w:val="none"/>
          <w:lang w:val="zh-CN"/>
        </w:rPr>
        <w:t>2.9 合同变更</w:t>
      </w:r>
      <w:bookmarkEnd w:id="159"/>
    </w:p>
    <w:p w14:paraId="7BA518E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9</w:t>
      </w:r>
      <w:r>
        <w:rPr>
          <w:rFonts w:hint="eastAsia" w:ascii="宋体" w:hAnsi="宋体"/>
          <w:color w:val="auto"/>
          <w:highlight w:val="none"/>
        </w:rPr>
        <w:t>.1双方当事人协商一致，可以签订书面补充合同的形式变更合同，但不得违背招标文件确定的事项；</w:t>
      </w:r>
    </w:p>
    <w:p w14:paraId="690B6C0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9</w:t>
      </w:r>
      <w:r>
        <w:rPr>
          <w:rFonts w:hint="eastAsia" w:ascii="宋体" w:hAnsi="宋体"/>
          <w:color w:val="auto"/>
          <w:highlight w:val="none"/>
        </w:rPr>
        <w:t>.2合同继续履行将损害国家利益和社会公共利益的，双方当事人应当以书面形式变更合同。有过错的一方应当承担赔偿责任，双方当事人都有过错的，各自承担相应的责任。</w:t>
      </w:r>
      <w:bookmarkStart w:id="164" w:name="_Toc259093688"/>
      <w:bookmarkStart w:id="165" w:name="_Toc487900369"/>
      <w:bookmarkStart w:id="166" w:name="_Toc279701259"/>
    </w:p>
    <w:p w14:paraId="768E96C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67" w:name="_Toc22955"/>
      <w:bookmarkStart w:id="168" w:name="_Toc15237"/>
      <w:bookmarkStart w:id="169" w:name="_Toc10366"/>
      <w:r>
        <w:rPr>
          <w:rFonts w:hint="eastAsia" w:ascii="宋体" w:hAnsi="宋体"/>
          <w:color w:val="auto"/>
          <w:highlight w:val="none"/>
          <w:lang w:val="zh-CN"/>
        </w:rPr>
        <w:t>2.1</w:t>
      </w:r>
      <w:r>
        <w:rPr>
          <w:rFonts w:ascii="宋体" w:hAnsi="宋体"/>
          <w:color w:val="auto"/>
          <w:highlight w:val="none"/>
          <w:lang w:val="zh-CN"/>
        </w:rPr>
        <w:t>0</w:t>
      </w:r>
      <w:r>
        <w:rPr>
          <w:rFonts w:hint="eastAsia" w:ascii="宋体" w:hAnsi="宋体"/>
          <w:color w:val="auto"/>
          <w:highlight w:val="none"/>
          <w:lang w:val="zh-CN"/>
        </w:rPr>
        <w:t xml:space="preserve"> </w:t>
      </w:r>
      <w:r>
        <w:rPr>
          <w:rFonts w:ascii="宋体" w:hAnsi="宋体"/>
          <w:color w:val="auto"/>
          <w:highlight w:val="none"/>
          <w:lang w:val="zh-CN"/>
        </w:rPr>
        <w:t>合同转让</w:t>
      </w:r>
      <w:bookmarkEnd w:id="164"/>
      <w:bookmarkEnd w:id="165"/>
      <w:bookmarkEnd w:id="166"/>
      <w:r>
        <w:rPr>
          <w:rFonts w:ascii="宋体" w:hAnsi="宋体"/>
          <w:color w:val="auto"/>
          <w:highlight w:val="none"/>
          <w:lang w:val="zh-CN"/>
        </w:rPr>
        <w:t>和分包</w:t>
      </w:r>
      <w:bookmarkEnd w:id="167"/>
      <w:bookmarkEnd w:id="168"/>
      <w:bookmarkEnd w:id="169"/>
    </w:p>
    <w:p w14:paraId="3E330B9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合同的权利义务依法不</w:t>
      </w:r>
      <w:r>
        <w:rPr>
          <w:rFonts w:hint="eastAsia" w:ascii="宋体" w:hAnsi="宋体"/>
          <w:color w:val="auto"/>
          <w:highlight w:val="none"/>
        </w:rPr>
        <w:t>得</w:t>
      </w:r>
      <w:r>
        <w:rPr>
          <w:rFonts w:ascii="宋体" w:hAnsi="宋体"/>
          <w:color w:val="auto"/>
          <w:highlight w:val="none"/>
        </w:rPr>
        <w:t>转让</w:t>
      </w:r>
      <w:r>
        <w:rPr>
          <w:rFonts w:hint="eastAsia" w:ascii="宋体" w:hAnsi="宋体"/>
          <w:color w:val="auto"/>
          <w:highlight w:val="none"/>
        </w:rPr>
        <w:t>，</w:t>
      </w:r>
      <w:r>
        <w:rPr>
          <w:rFonts w:ascii="宋体" w:hAnsi="宋体"/>
          <w:color w:val="auto"/>
          <w:highlight w:val="none"/>
        </w:rPr>
        <w:t>但经甲方</w:t>
      </w:r>
      <w:r>
        <w:rPr>
          <w:rFonts w:hint="eastAsia" w:ascii="宋体" w:hAnsi="宋体"/>
          <w:color w:val="auto"/>
          <w:highlight w:val="none"/>
        </w:rPr>
        <w:t>同意，乙方可以依法采取分包方式履行合同，即：依法可以</w:t>
      </w:r>
      <w:r>
        <w:rPr>
          <w:rFonts w:ascii="宋体" w:hAnsi="宋体"/>
          <w:color w:val="auto"/>
          <w:highlight w:val="none"/>
        </w:rPr>
        <w:t>将合同项下的部分非主体、非关键性工作分包给他人完成</w:t>
      </w:r>
      <w:r>
        <w:rPr>
          <w:rFonts w:hint="eastAsia" w:ascii="宋体" w:hAnsi="宋体"/>
          <w:color w:val="auto"/>
          <w:highlight w:val="none"/>
        </w:rPr>
        <w:t>，</w:t>
      </w:r>
      <w:r>
        <w:rPr>
          <w:rFonts w:ascii="宋体" w:hAnsi="宋体"/>
          <w:color w:val="auto"/>
          <w:highlight w:val="none"/>
        </w:rPr>
        <w:t>接受分包的人应当具备相应的资格条件，并不得再次分包</w:t>
      </w:r>
      <w:r>
        <w:rPr>
          <w:rFonts w:hint="eastAsia" w:ascii="宋体" w:hAnsi="宋体"/>
          <w:color w:val="auto"/>
          <w:highlight w:val="none"/>
        </w:rPr>
        <w:t>，</w:t>
      </w:r>
      <w:r>
        <w:rPr>
          <w:rFonts w:ascii="宋体" w:hAnsi="宋体"/>
          <w:color w:val="auto"/>
          <w:highlight w:val="none"/>
        </w:rPr>
        <w:t>且乙方应就分包项目向甲方负责</w:t>
      </w:r>
      <w:r>
        <w:rPr>
          <w:rFonts w:hint="eastAsia" w:ascii="宋体" w:hAnsi="宋体"/>
          <w:color w:val="auto"/>
          <w:highlight w:val="none"/>
        </w:rPr>
        <w:t>，</w:t>
      </w:r>
      <w:r>
        <w:rPr>
          <w:rFonts w:ascii="宋体" w:hAnsi="宋体"/>
          <w:color w:val="auto"/>
          <w:highlight w:val="none"/>
        </w:rPr>
        <w:t>并</w:t>
      </w:r>
      <w:r>
        <w:rPr>
          <w:rFonts w:hint="eastAsia" w:ascii="宋体" w:hAnsi="宋体"/>
          <w:color w:val="auto"/>
          <w:highlight w:val="none"/>
        </w:rPr>
        <w:t>与分包</w:t>
      </w:r>
      <w:r>
        <w:rPr>
          <w:rFonts w:hint="eastAsia" w:ascii="宋体" w:hAnsi="宋体"/>
          <w:color w:val="auto"/>
          <w:highlight w:val="none"/>
          <w:lang w:eastAsia="zh-CN"/>
        </w:rPr>
        <w:t>投标人</w:t>
      </w:r>
      <w:r>
        <w:rPr>
          <w:rFonts w:hint="eastAsia" w:ascii="宋体" w:hAnsi="宋体"/>
          <w:color w:val="auto"/>
          <w:highlight w:val="none"/>
        </w:rPr>
        <w:t>就分包项目向甲方承担连带责任。</w:t>
      </w:r>
    </w:p>
    <w:p w14:paraId="158B16D7">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70" w:name="_Toc13566"/>
      <w:bookmarkStart w:id="171" w:name="_Toc16508"/>
      <w:bookmarkStart w:id="172" w:name="_Toc14066"/>
      <w:r>
        <w:rPr>
          <w:rFonts w:hint="eastAsia" w:ascii="宋体" w:hAnsi="宋体"/>
          <w:color w:val="auto"/>
          <w:highlight w:val="none"/>
          <w:lang w:val="zh-CN"/>
        </w:rPr>
        <w:t>2.1</w:t>
      </w:r>
      <w:r>
        <w:rPr>
          <w:rFonts w:ascii="宋体" w:hAnsi="宋体"/>
          <w:color w:val="auto"/>
          <w:highlight w:val="none"/>
          <w:lang w:val="zh-CN"/>
        </w:rPr>
        <w:t>1 不可抗力</w:t>
      </w:r>
      <w:bookmarkEnd w:id="170"/>
      <w:bookmarkEnd w:id="171"/>
      <w:bookmarkEnd w:id="172"/>
    </w:p>
    <w:p w14:paraId="604DD8F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2.1</w:t>
      </w:r>
      <w:r>
        <w:rPr>
          <w:rFonts w:ascii="宋体" w:hAnsi="宋体"/>
          <w:color w:val="auto"/>
          <w:highlight w:val="none"/>
        </w:rPr>
        <w:t>1.1如果任何一方遭遇法律规定的不可抗力，致使合同履行受阻时，履行合同的期限应予延长，延长的期限应相当于不可抗力所影响的时间</w:t>
      </w:r>
      <w:r>
        <w:rPr>
          <w:rFonts w:hint="eastAsia" w:ascii="宋体" w:hAnsi="宋体"/>
          <w:color w:val="auto"/>
          <w:highlight w:val="none"/>
        </w:rPr>
        <w:t>；</w:t>
      </w:r>
    </w:p>
    <w:p w14:paraId="1442C97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2.1</w:t>
      </w:r>
      <w:r>
        <w:rPr>
          <w:rFonts w:ascii="宋体" w:hAnsi="宋体"/>
          <w:color w:val="auto"/>
          <w:highlight w:val="none"/>
        </w:rPr>
        <w:t>1</w:t>
      </w:r>
      <w:r>
        <w:rPr>
          <w:rFonts w:hint="eastAsia" w:ascii="宋体" w:hAnsi="宋体"/>
          <w:color w:val="auto"/>
          <w:highlight w:val="none"/>
        </w:rPr>
        <w:t>.2因不可抗力致使不能实现合同目的的，当事人可以解除合同；</w:t>
      </w:r>
    </w:p>
    <w:p w14:paraId="32916A6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2.1</w:t>
      </w:r>
      <w:r>
        <w:rPr>
          <w:rFonts w:ascii="宋体" w:hAnsi="宋体"/>
          <w:color w:val="auto"/>
          <w:highlight w:val="none"/>
        </w:rPr>
        <w:t>1</w:t>
      </w:r>
      <w:r>
        <w:rPr>
          <w:rFonts w:hint="eastAsia" w:ascii="宋体" w:hAnsi="宋体"/>
          <w:color w:val="auto"/>
          <w:highlight w:val="none"/>
        </w:rPr>
        <w:t>.3因</w:t>
      </w:r>
      <w:r>
        <w:rPr>
          <w:rFonts w:ascii="宋体" w:hAnsi="宋体"/>
          <w:color w:val="auto"/>
          <w:highlight w:val="none"/>
        </w:rPr>
        <w:t>不可抗力致使合同有变更必要的，双方当事人应在</w:t>
      </w:r>
      <w:r>
        <w:rPr>
          <w:rFonts w:ascii="宋体" w:hAnsi="宋体"/>
          <w:b/>
          <w:i/>
          <w:color w:val="auto"/>
          <w:highlight w:val="none"/>
          <w:u w:val="single"/>
        </w:rPr>
        <w:t>合同专用条款</w:t>
      </w:r>
      <w:r>
        <w:rPr>
          <w:rFonts w:ascii="宋体" w:hAnsi="宋体"/>
          <w:color w:val="auto"/>
          <w:highlight w:val="none"/>
        </w:rPr>
        <w:t>约定时间内以书面形式变更合同</w:t>
      </w:r>
      <w:r>
        <w:rPr>
          <w:rFonts w:hint="eastAsia" w:ascii="宋体" w:hAnsi="宋体"/>
          <w:color w:val="auto"/>
          <w:highlight w:val="none"/>
        </w:rPr>
        <w:t>；</w:t>
      </w:r>
    </w:p>
    <w:p w14:paraId="0819136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2.1</w:t>
      </w:r>
      <w:r>
        <w:rPr>
          <w:rFonts w:ascii="宋体" w:hAnsi="宋体"/>
          <w:color w:val="auto"/>
          <w:highlight w:val="none"/>
        </w:rPr>
        <w:t>1.</w:t>
      </w:r>
      <w:r>
        <w:rPr>
          <w:rFonts w:hint="eastAsia" w:ascii="宋体" w:hAnsi="宋体"/>
          <w:color w:val="auto"/>
          <w:highlight w:val="none"/>
        </w:rPr>
        <w:t>4</w:t>
      </w:r>
      <w:r>
        <w:rPr>
          <w:rFonts w:ascii="宋体" w:hAnsi="宋体"/>
          <w:color w:val="auto"/>
          <w:highlight w:val="none"/>
        </w:rPr>
        <w:t>受</w:t>
      </w:r>
      <w:r>
        <w:rPr>
          <w:rFonts w:hint="eastAsia" w:ascii="宋体" w:hAnsi="宋体"/>
          <w:color w:val="auto"/>
          <w:highlight w:val="none"/>
        </w:rPr>
        <w:t>不可抗力</w:t>
      </w:r>
      <w:r>
        <w:rPr>
          <w:rFonts w:ascii="宋体" w:hAnsi="宋体"/>
          <w:color w:val="auto"/>
          <w:highlight w:val="none"/>
        </w:rPr>
        <w:t>影响的一方在不可抗力发生后</w:t>
      </w:r>
      <w:r>
        <w:rPr>
          <w:rFonts w:hint="eastAsia" w:ascii="宋体" w:hAnsi="宋体"/>
          <w:color w:val="auto"/>
          <w:highlight w:val="none"/>
        </w:rPr>
        <w:t>，</w:t>
      </w:r>
      <w:r>
        <w:rPr>
          <w:rFonts w:ascii="宋体" w:hAnsi="宋体"/>
          <w:color w:val="auto"/>
          <w:highlight w:val="none"/>
        </w:rPr>
        <w:t>应在</w:t>
      </w:r>
      <w:r>
        <w:rPr>
          <w:rFonts w:ascii="宋体" w:hAnsi="宋体"/>
          <w:b/>
          <w:i/>
          <w:color w:val="auto"/>
          <w:highlight w:val="none"/>
          <w:u w:val="single"/>
        </w:rPr>
        <w:t>合同专用条款</w:t>
      </w:r>
      <w:r>
        <w:rPr>
          <w:rFonts w:ascii="宋体" w:hAnsi="宋体"/>
          <w:color w:val="auto"/>
          <w:highlight w:val="none"/>
        </w:rPr>
        <w:t>约定时间内以书面形式通知</w:t>
      </w:r>
      <w:r>
        <w:rPr>
          <w:rFonts w:hint="eastAsia" w:ascii="宋体" w:hAnsi="宋体"/>
          <w:color w:val="auto"/>
          <w:highlight w:val="none"/>
        </w:rPr>
        <w:t>对</w:t>
      </w:r>
      <w:r>
        <w:rPr>
          <w:rFonts w:ascii="宋体" w:hAnsi="宋体"/>
          <w:color w:val="auto"/>
          <w:highlight w:val="none"/>
        </w:rPr>
        <w:t>方当事人，并在</w:t>
      </w:r>
      <w:r>
        <w:rPr>
          <w:rFonts w:ascii="宋体" w:hAnsi="宋体"/>
          <w:b/>
          <w:i/>
          <w:color w:val="auto"/>
          <w:highlight w:val="none"/>
          <w:u w:val="single"/>
        </w:rPr>
        <w:t>合同专用条款</w:t>
      </w:r>
      <w:r>
        <w:rPr>
          <w:rFonts w:ascii="宋体" w:hAnsi="宋体"/>
          <w:color w:val="auto"/>
          <w:highlight w:val="none"/>
        </w:rPr>
        <w:t>约定时间内，将有关部门出具的证明文件送达</w:t>
      </w:r>
      <w:r>
        <w:rPr>
          <w:rFonts w:hint="eastAsia" w:ascii="宋体" w:hAnsi="宋体"/>
          <w:color w:val="auto"/>
          <w:highlight w:val="none"/>
        </w:rPr>
        <w:t>对方当事人</w:t>
      </w:r>
      <w:r>
        <w:rPr>
          <w:rFonts w:ascii="宋体" w:hAnsi="宋体"/>
          <w:color w:val="auto"/>
          <w:highlight w:val="none"/>
        </w:rPr>
        <w:t>。</w:t>
      </w:r>
    </w:p>
    <w:p w14:paraId="50ED92E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73" w:name="_Toc279701255"/>
      <w:bookmarkStart w:id="174" w:name="_Toc259093684"/>
      <w:bookmarkStart w:id="175" w:name="_Toc487900365"/>
      <w:bookmarkStart w:id="176" w:name="_Toc6969"/>
      <w:bookmarkStart w:id="177" w:name="_Toc30676"/>
      <w:bookmarkStart w:id="178" w:name="_Toc689"/>
      <w:r>
        <w:rPr>
          <w:rFonts w:hint="eastAsia" w:ascii="宋体" w:hAnsi="宋体"/>
          <w:color w:val="auto"/>
          <w:highlight w:val="none"/>
          <w:lang w:val="zh-CN"/>
        </w:rPr>
        <w:t>2.</w:t>
      </w:r>
      <w:r>
        <w:rPr>
          <w:rFonts w:ascii="宋体" w:hAnsi="宋体"/>
          <w:color w:val="auto"/>
          <w:highlight w:val="none"/>
          <w:lang w:val="zh-CN"/>
        </w:rPr>
        <w:t>12</w:t>
      </w:r>
      <w:r>
        <w:rPr>
          <w:rFonts w:hint="eastAsia" w:ascii="宋体" w:hAnsi="宋体"/>
          <w:color w:val="auto"/>
          <w:highlight w:val="none"/>
          <w:lang w:val="zh-CN"/>
        </w:rPr>
        <w:t xml:space="preserve"> </w:t>
      </w:r>
      <w:r>
        <w:rPr>
          <w:rFonts w:ascii="宋体" w:hAnsi="宋体"/>
          <w:color w:val="auto"/>
          <w:highlight w:val="none"/>
          <w:lang w:val="zh-CN"/>
        </w:rPr>
        <w:t>税费</w:t>
      </w:r>
      <w:bookmarkEnd w:id="173"/>
      <w:bookmarkEnd w:id="174"/>
      <w:bookmarkEnd w:id="175"/>
      <w:bookmarkEnd w:id="176"/>
      <w:bookmarkEnd w:id="177"/>
      <w:bookmarkEnd w:id="178"/>
    </w:p>
    <w:p w14:paraId="0DCABD0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与合同有关的一切税费</w:t>
      </w:r>
      <w:r>
        <w:rPr>
          <w:rFonts w:hint="eastAsia" w:ascii="宋体" w:hAnsi="宋体"/>
          <w:color w:val="auto"/>
          <w:highlight w:val="none"/>
        </w:rPr>
        <w:t>，</w:t>
      </w:r>
      <w:r>
        <w:rPr>
          <w:rFonts w:ascii="宋体" w:hAnsi="宋体"/>
          <w:color w:val="auto"/>
          <w:highlight w:val="none"/>
        </w:rPr>
        <w:t>均按照中华人民共和国法律的相关规定</w:t>
      </w:r>
      <w:r>
        <w:rPr>
          <w:rFonts w:hint="eastAsia" w:ascii="宋体" w:hAnsi="宋体"/>
          <w:color w:val="auto"/>
          <w:highlight w:val="none"/>
        </w:rPr>
        <w:t>缴纳</w:t>
      </w:r>
      <w:r>
        <w:rPr>
          <w:rFonts w:ascii="宋体" w:hAnsi="宋体"/>
          <w:color w:val="auto"/>
          <w:highlight w:val="none"/>
        </w:rPr>
        <w:t>。</w:t>
      </w:r>
    </w:p>
    <w:p w14:paraId="5BA0211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79" w:name="_Toc487900368"/>
      <w:bookmarkStart w:id="180" w:name="_Toc259093687"/>
      <w:bookmarkStart w:id="181" w:name="_Toc8298"/>
      <w:bookmarkStart w:id="182" w:name="_Toc279701258"/>
      <w:bookmarkStart w:id="183" w:name="_Toc7102"/>
      <w:bookmarkStart w:id="184" w:name="_Toc16959"/>
      <w:r>
        <w:rPr>
          <w:rFonts w:hint="eastAsia" w:ascii="宋体" w:hAnsi="宋体"/>
          <w:color w:val="auto"/>
          <w:highlight w:val="none"/>
          <w:lang w:val="zh-CN"/>
        </w:rPr>
        <w:t>2.</w:t>
      </w:r>
      <w:r>
        <w:rPr>
          <w:rFonts w:ascii="宋体" w:hAnsi="宋体"/>
          <w:color w:val="auto"/>
          <w:highlight w:val="none"/>
          <w:lang w:val="zh-CN"/>
        </w:rPr>
        <w:t>13</w:t>
      </w:r>
      <w:r>
        <w:rPr>
          <w:rFonts w:hint="eastAsia" w:ascii="宋体" w:hAnsi="宋体"/>
          <w:color w:val="auto"/>
          <w:highlight w:val="none"/>
          <w:lang w:val="zh-CN"/>
        </w:rPr>
        <w:t xml:space="preserve"> </w:t>
      </w:r>
      <w:r>
        <w:rPr>
          <w:rFonts w:ascii="宋体" w:hAnsi="宋体"/>
          <w:color w:val="auto"/>
          <w:highlight w:val="none"/>
          <w:lang w:val="zh-CN"/>
        </w:rPr>
        <w:t>乙方破产</w:t>
      </w:r>
      <w:bookmarkEnd w:id="179"/>
      <w:bookmarkEnd w:id="180"/>
      <w:bookmarkEnd w:id="181"/>
      <w:bookmarkEnd w:id="182"/>
      <w:bookmarkEnd w:id="183"/>
      <w:bookmarkEnd w:id="184"/>
    </w:p>
    <w:p w14:paraId="372EA0A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如果乙方破产导致合同无法履行时，甲方可以书面形式通知乙方终止合同且不给予乙方任何补偿和赔偿</w:t>
      </w:r>
      <w:r>
        <w:rPr>
          <w:rFonts w:hint="eastAsia" w:ascii="宋体" w:hAnsi="宋体"/>
          <w:color w:val="auto"/>
          <w:highlight w:val="none"/>
        </w:rPr>
        <w:t>，但合同的</w:t>
      </w:r>
      <w:r>
        <w:rPr>
          <w:rFonts w:ascii="宋体" w:hAnsi="宋体"/>
          <w:color w:val="auto"/>
          <w:highlight w:val="none"/>
        </w:rPr>
        <w:t>终止不损害或不影响甲方已经采取或将要采取的任何要求乙方支付违约金</w:t>
      </w:r>
      <w:r>
        <w:rPr>
          <w:rFonts w:hint="eastAsia" w:ascii="宋体" w:hAnsi="宋体"/>
          <w:color w:val="auto"/>
          <w:highlight w:val="none"/>
        </w:rPr>
        <w:t>、</w:t>
      </w:r>
      <w:r>
        <w:rPr>
          <w:rFonts w:ascii="宋体" w:hAnsi="宋体"/>
          <w:color w:val="auto"/>
          <w:highlight w:val="none"/>
        </w:rPr>
        <w:t>赔偿损失等的行动或补救措施的权利</w:t>
      </w:r>
      <w:r>
        <w:rPr>
          <w:rFonts w:hint="eastAsia" w:ascii="宋体" w:hAnsi="宋体"/>
          <w:color w:val="auto"/>
          <w:highlight w:val="none"/>
        </w:rPr>
        <w:t>。</w:t>
      </w:r>
    </w:p>
    <w:p w14:paraId="2D0DB2E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bookmarkStart w:id="185" w:name="_Toc15387"/>
      <w:bookmarkStart w:id="186" w:name="_Toc6134"/>
      <w:bookmarkStart w:id="187" w:name="_Toc29333"/>
      <w:r>
        <w:rPr>
          <w:rFonts w:hint="eastAsia" w:ascii="宋体" w:hAnsi="宋体"/>
          <w:color w:val="auto"/>
          <w:highlight w:val="none"/>
          <w:lang w:val="zh-CN"/>
        </w:rPr>
        <w:t>2.1</w:t>
      </w:r>
      <w:r>
        <w:rPr>
          <w:rFonts w:ascii="宋体" w:hAnsi="宋体"/>
          <w:color w:val="auto"/>
          <w:highlight w:val="none"/>
          <w:lang w:val="zh-CN"/>
        </w:rPr>
        <w:t>4</w:t>
      </w:r>
      <w:r>
        <w:rPr>
          <w:rFonts w:hint="eastAsia" w:ascii="宋体" w:hAnsi="宋体"/>
          <w:color w:val="auto"/>
          <w:highlight w:val="none"/>
          <w:lang w:val="zh-CN"/>
        </w:rPr>
        <w:t xml:space="preserve"> 合同中止、终止</w:t>
      </w:r>
      <w:bookmarkEnd w:id="185"/>
      <w:bookmarkEnd w:id="186"/>
      <w:bookmarkEnd w:id="187"/>
    </w:p>
    <w:p w14:paraId="01588D3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2.1</w:t>
      </w:r>
      <w:r>
        <w:rPr>
          <w:rFonts w:ascii="宋体" w:hAnsi="宋体"/>
          <w:color w:val="auto"/>
          <w:highlight w:val="none"/>
        </w:rPr>
        <w:t>4</w:t>
      </w:r>
      <w:r>
        <w:rPr>
          <w:rFonts w:hint="eastAsia" w:ascii="宋体" w:hAnsi="宋体"/>
          <w:color w:val="auto"/>
          <w:highlight w:val="none"/>
        </w:rPr>
        <w:t>.1双方当事人不得擅自中止或者终止合同；</w:t>
      </w:r>
    </w:p>
    <w:p w14:paraId="022AFBB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2.1</w:t>
      </w:r>
      <w:r>
        <w:rPr>
          <w:rFonts w:ascii="宋体" w:hAnsi="宋体"/>
          <w:color w:val="auto"/>
          <w:highlight w:val="none"/>
        </w:rPr>
        <w:t>4</w:t>
      </w:r>
      <w:r>
        <w:rPr>
          <w:rFonts w:hint="eastAsia" w:ascii="宋体" w:hAnsi="宋体"/>
          <w:color w:val="auto"/>
          <w:highlight w:val="none"/>
        </w:rPr>
        <w:t>.2合同继续履行将损害国家利益和社会公共利益的，双方当事人应当中止或者终止合同。有过错的一方应当承担赔偿责任，双方当事人都有过错的，各自承担相应的责任。</w:t>
      </w:r>
    </w:p>
    <w:p w14:paraId="6F68885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lang w:val="zh-CN"/>
        </w:rPr>
      </w:pPr>
      <w:bookmarkStart w:id="188" w:name="_Toc6596"/>
      <w:bookmarkStart w:id="189" w:name="_Toc1125"/>
      <w:bookmarkStart w:id="190" w:name="_Toc14563"/>
      <w:r>
        <w:rPr>
          <w:rFonts w:hint="eastAsia" w:ascii="宋体" w:hAnsi="宋体"/>
          <w:color w:val="auto"/>
          <w:highlight w:val="none"/>
          <w:lang w:val="zh-CN"/>
        </w:rPr>
        <w:t>2.1</w:t>
      </w:r>
      <w:r>
        <w:rPr>
          <w:rFonts w:ascii="宋体" w:hAnsi="宋体"/>
          <w:color w:val="auto"/>
          <w:highlight w:val="none"/>
          <w:lang w:val="zh-CN"/>
        </w:rPr>
        <w:t>5</w:t>
      </w:r>
      <w:r>
        <w:rPr>
          <w:rFonts w:hint="eastAsia" w:ascii="宋体" w:hAnsi="宋体"/>
          <w:color w:val="auto"/>
          <w:highlight w:val="none"/>
          <w:lang w:val="zh-CN"/>
        </w:rPr>
        <w:t xml:space="preserve"> 检验和验收</w:t>
      </w:r>
      <w:bookmarkEnd w:id="188"/>
      <w:bookmarkEnd w:id="189"/>
      <w:bookmarkEnd w:id="190"/>
    </w:p>
    <w:p w14:paraId="03FD193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1</w:t>
      </w:r>
      <w:r>
        <w:rPr>
          <w:rFonts w:hint="eastAsia" w:ascii="宋体" w:hAnsi="宋体"/>
          <w:color w:val="auto"/>
          <w:highlight w:val="none"/>
        </w:rPr>
        <w:t>5</w:t>
      </w:r>
      <w:r>
        <w:rPr>
          <w:rFonts w:ascii="宋体" w:hAnsi="宋体"/>
          <w:color w:val="auto"/>
          <w:highlight w:val="none"/>
        </w:rPr>
        <w:t>.</w:t>
      </w:r>
      <w:r>
        <w:rPr>
          <w:rFonts w:hint="eastAsia" w:ascii="宋体" w:hAnsi="宋体"/>
          <w:color w:val="auto"/>
          <w:highlight w:val="none"/>
        </w:rPr>
        <w:t>1乙方按照</w:t>
      </w:r>
      <w:r>
        <w:rPr>
          <w:rFonts w:ascii="宋体" w:hAnsi="宋体"/>
          <w:b/>
          <w:i/>
          <w:color w:val="auto"/>
          <w:highlight w:val="none"/>
          <w:u w:val="single"/>
        </w:rPr>
        <w:t>合同专用条款</w:t>
      </w:r>
      <w:r>
        <w:rPr>
          <w:rFonts w:ascii="宋体" w:hAnsi="宋体"/>
          <w:color w:val="auto"/>
          <w:highlight w:val="none"/>
        </w:rPr>
        <w:t>的约定</w:t>
      </w:r>
      <w:r>
        <w:rPr>
          <w:rFonts w:hint="eastAsia" w:ascii="宋体" w:hAnsi="宋体"/>
          <w:color w:val="auto"/>
          <w:highlight w:val="none"/>
        </w:rPr>
        <w:t>，</w:t>
      </w:r>
      <w:r>
        <w:rPr>
          <w:rFonts w:ascii="宋体" w:hAnsi="宋体"/>
          <w:color w:val="auto"/>
          <w:highlight w:val="none"/>
        </w:rPr>
        <w:t>定期提交服务报告</w:t>
      </w:r>
      <w:r>
        <w:rPr>
          <w:rFonts w:hint="eastAsia" w:ascii="宋体" w:hAnsi="宋体"/>
          <w:color w:val="auto"/>
          <w:highlight w:val="none"/>
        </w:rPr>
        <w:t>，甲方按照</w:t>
      </w:r>
      <w:r>
        <w:rPr>
          <w:rFonts w:ascii="宋体" w:hAnsi="宋体"/>
          <w:b/>
          <w:i/>
          <w:color w:val="auto"/>
          <w:highlight w:val="none"/>
          <w:u w:val="single"/>
        </w:rPr>
        <w:t>合同专用条款</w:t>
      </w:r>
      <w:r>
        <w:rPr>
          <w:rFonts w:ascii="宋体" w:hAnsi="宋体"/>
          <w:color w:val="auto"/>
          <w:highlight w:val="none"/>
        </w:rPr>
        <w:t>的约定进行定期验收</w:t>
      </w:r>
      <w:r>
        <w:rPr>
          <w:rFonts w:hint="eastAsia" w:ascii="宋体" w:hAnsi="宋体"/>
          <w:color w:val="auto"/>
          <w:highlight w:val="none"/>
        </w:rPr>
        <w:t>；</w:t>
      </w:r>
    </w:p>
    <w:p w14:paraId="0D7796F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8B7CA6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2.15.3检验和验收标准、程序等具体内容以及前述验收书的效力详见</w:t>
      </w:r>
      <w:r>
        <w:rPr>
          <w:rFonts w:ascii="宋体" w:hAnsi="宋体"/>
          <w:b/>
          <w:i/>
          <w:color w:val="auto"/>
          <w:highlight w:val="none"/>
          <w:u w:val="single"/>
        </w:rPr>
        <w:t>合同专用条款</w:t>
      </w:r>
      <w:r>
        <w:rPr>
          <w:rFonts w:hint="eastAsia" w:ascii="宋体" w:hAnsi="宋体"/>
          <w:i/>
          <w:color w:val="auto"/>
          <w:highlight w:val="none"/>
        </w:rPr>
        <w:t>。</w:t>
      </w:r>
    </w:p>
    <w:bookmarkEnd w:id="160"/>
    <w:bookmarkEnd w:id="161"/>
    <w:bookmarkEnd w:id="162"/>
    <w:bookmarkEnd w:id="163"/>
    <w:p w14:paraId="40CEE50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bookmarkStart w:id="191" w:name="_Toc18567"/>
      <w:bookmarkStart w:id="192" w:name="_Toc487900373"/>
      <w:bookmarkStart w:id="193" w:name="_Toc279701263"/>
      <w:bookmarkStart w:id="194" w:name="_Toc12773"/>
      <w:bookmarkStart w:id="195" w:name="_Toc259093692"/>
      <w:bookmarkStart w:id="196" w:name="_Toc10330"/>
      <w:r>
        <w:rPr>
          <w:rFonts w:hint="eastAsia" w:ascii="宋体" w:hAnsi="宋体"/>
          <w:color w:val="auto"/>
          <w:highlight w:val="none"/>
        </w:rPr>
        <w:t>2.</w:t>
      </w:r>
      <w:r>
        <w:rPr>
          <w:rFonts w:ascii="宋体" w:hAnsi="宋体"/>
          <w:color w:val="auto"/>
          <w:highlight w:val="none"/>
        </w:rPr>
        <w:t>16</w:t>
      </w:r>
      <w:r>
        <w:rPr>
          <w:rFonts w:hint="eastAsia" w:ascii="宋体" w:hAnsi="宋体"/>
          <w:color w:val="auto"/>
          <w:highlight w:val="none"/>
        </w:rPr>
        <w:t xml:space="preserve"> </w:t>
      </w:r>
      <w:r>
        <w:rPr>
          <w:rFonts w:hint="eastAsia" w:ascii="宋体" w:hAnsi="宋体"/>
          <w:color w:val="auto"/>
          <w:highlight w:val="none"/>
          <w:lang w:val="zh-CN"/>
        </w:rPr>
        <w:t>合同使用的文字和</w:t>
      </w:r>
      <w:r>
        <w:rPr>
          <w:rFonts w:ascii="宋体" w:hAnsi="宋体"/>
          <w:color w:val="auto"/>
          <w:highlight w:val="none"/>
          <w:lang w:val="zh-CN"/>
        </w:rPr>
        <w:t>适用的法律</w:t>
      </w:r>
      <w:bookmarkEnd w:id="191"/>
      <w:bookmarkEnd w:id="192"/>
      <w:bookmarkEnd w:id="193"/>
      <w:bookmarkEnd w:id="194"/>
      <w:bookmarkEnd w:id="195"/>
      <w:bookmarkEnd w:id="196"/>
    </w:p>
    <w:p w14:paraId="026AC32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16.1合同使用汉语书就</w:t>
      </w:r>
      <w:r>
        <w:rPr>
          <w:rFonts w:hint="eastAsia" w:ascii="宋体" w:hAnsi="宋体"/>
          <w:color w:val="auto"/>
          <w:highlight w:val="none"/>
        </w:rPr>
        <w:t>、</w:t>
      </w:r>
      <w:r>
        <w:rPr>
          <w:rFonts w:ascii="宋体" w:hAnsi="宋体"/>
          <w:color w:val="auto"/>
          <w:highlight w:val="none"/>
        </w:rPr>
        <w:t>变更和解释</w:t>
      </w:r>
      <w:r>
        <w:rPr>
          <w:rFonts w:hint="eastAsia" w:ascii="宋体" w:hAnsi="宋体"/>
          <w:color w:val="auto"/>
          <w:highlight w:val="none"/>
        </w:rPr>
        <w:t>；</w:t>
      </w:r>
    </w:p>
    <w:p w14:paraId="0850EDF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16</w:t>
      </w:r>
      <w:r>
        <w:rPr>
          <w:rFonts w:hint="eastAsia" w:ascii="宋体" w:hAnsi="宋体"/>
          <w:color w:val="auto"/>
          <w:highlight w:val="none"/>
        </w:rPr>
        <w:t>.2合同适用</w:t>
      </w:r>
      <w:r>
        <w:rPr>
          <w:rFonts w:ascii="宋体" w:hAnsi="宋体"/>
          <w:color w:val="auto"/>
          <w:highlight w:val="none"/>
        </w:rPr>
        <w:t>中华人民共和国法律。</w:t>
      </w:r>
    </w:p>
    <w:p w14:paraId="4A109FD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bookmarkStart w:id="197" w:name="_Toc279701264"/>
      <w:bookmarkStart w:id="198" w:name="_Toc16673"/>
      <w:bookmarkStart w:id="199" w:name="_Toc259093693"/>
      <w:bookmarkStart w:id="200" w:name="_Toc12004"/>
      <w:bookmarkStart w:id="201" w:name="_Toc3148"/>
      <w:bookmarkStart w:id="202" w:name="_Toc487900374"/>
      <w:r>
        <w:rPr>
          <w:rFonts w:hint="eastAsia" w:ascii="宋体" w:hAnsi="宋体"/>
          <w:color w:val="auto"/>
          <w:highlight w:val="none"/>
          <w:lang w:val="zh-CN"/>
        </w:rPr>
        <w:t>2.</w:t>
      </w:r>
      <w:r>
        <w:rPr>
          <w:rFonts w:ascii="宋体" w:hAnsi="宋体"/>
          <w:color w:val="auto"/>
          <w:highlight w:val="none"/>
          <w:lang w:val="zh-CN"/>
        </w:rPr>
        <w:t>17</w:t>
      </w:r>
      <w:r>
        <w:rPr>
          <w:rFonts w:hint="eastAsia" w:ascii="宋体" w:hAnsi="宋体"/>
          <w:color w:val="auto"/>
          <w:highlight w:val="none"/>
          <w:lang w:val="zh-CN"/>
        </w:rPr>
        <w:t xml:space="preserve"> </w:t>
      </w:r>
      <w:r>
        <w:rPr>
          <w:rFonts w:ascii="宋体" w:hAnsi="宋体"/>
          <w:color w:val="auto"/>
          <w:highlight w:val="none"/>
          <w:lang w:val="zh-CN"/>
        </w:rPr>
        <w:t>履约保证金</w:t>
      </w:r>
      <w:bookmarkEnd w:id="197"/>
      <w:bookmarkEnd w:id="198"/>
      <w:bookmarkEnd w:id="199"/>
      <w:bookmarkEnd w:id="200"/>
      <w:bookmarkEnd w:id="201"/>
    </w:p>
    <w:p w14:paraId="056BB5D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17</w:t>
      </w:r>
      <w:r>
        <w:rPr>
          <w:rFonts w:hint="eastAsia" w:ascii="宋体" w:hAnsi="宋体"/>
          <w:color w:val="auto"/>
          <w:highlight w:val="none"/>
        </w:rPr>
        <w:t>.1招标文件要求乙方提交履约保证金的，乙方</w:t>
      </w:r>
      <w:r>
        <w:rPr>
          <w:rFonts w:ascii="宋体" w:hAnsi="宋体"/>
          <w:color w:val="auto"/>
          <w:highlight w:val="none"/>
        </w:rPr>
        <w:t>应按</w:t>
      </w:r>
      <w:r>
        <w:rPr>
          <w:rFonts w:ascii="宋体" w:hAnsi="宋体"/>
          <w:b/>
          <w:i/>
          <w:color w:val="auto"/>
          <w:highlight w:val="none"/>
          <w:u w:val="single"/>
        </w:rPr>
        <w:t>合同专用条款</w:t>
      </w:r>
      <w:r>
        <w:rPr>
          <w:rFonts w:ascii="宋体" w:hAnsi="宋体"/>
          <w:color w:val="auto"/>
          <w:highlight w:val="none"/>
        </w:rPr>
        <w:t>约定的方式</w:t>
      </w:r>
      <w:r>
        <w:rPr>
          <w:rFonts w:hint="eastAsia" w:ascii="宋体" w:hAnsi="宋体"/>
          <w:color w:val="auto"/>
          <w:highlight w:val="none"/>
        </w:rPr>
        <w:t>，以支票、汇票、本票或者金融机构、担保机构出具的保函等非现金形式，提交不超过合同价10%的履约保证金；</w:t>
      </w:r>
    </w:p>
    <w:p w14:paraId="2697390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17.2履约保证金在</w:t>
      </w:r>
      <w:r>
        <w:rPr>
          <w:rFonts w:ascii="宋体" w:hAnsi="宋体"/>
          <w:b/>
          <w:i/>
          <w:color w:val="auto"/>
          <w:highlight w:val="none"/>
          <w:u w:val="single"/>
        </w:rPr>
        <w:t>合同专用条款</w:t>
      </w:r>
      <w:r>
        <w:rPr>
          <w:rFonts w:ascii="宋体" w:hAnsi="宋体"/>
          <w:color w:val="auto"/>
          <w:highlight w:val="none"/>
        </w:rPr>
        <w:t>约定期间内不予退还或者应完全有效</w:t>
      </w:r>
      <w:r>
        <w:rPr>
          <w:rFonts w:hint="eastAsia" w:ascii="宋体" w:hAnsi="宋体"/>
          <w:color w:val="auto"/>
          <w:highlight w:val="none"/>
        </w:rPr>
        <w:t>，前述约定期间届满</w:t>
      </w:r>
      <w:r>
        <w:rPr>
          <w:rFonts w:ascii="宋体" w:hAnsi="宋体"/>
          <w:color w:val="auto"/>
          <w:highlight w:val="none"/>
        </w:rPr>
        <w:t>之日起</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个</w:t>
      </w:r>
      <w:r>
        <w:rPr>
          <w:rFonts w:ascii="宋体" w:hAnsi="宋体"/>
          <w:color w:val="auto"/>
          <w:highlight w:val="none"/>
        </w:rPr>
        <w:t>工作日内，甲方应将履约保证金退还乙方</w:t>
      </w:r>
      <w:r>
        <w:rPr>
          <w:rFonts w:hint="eastAsia" w:ascii="宋体" w:hAnsi="宋体"/>
          <w:color w:val="auto"/>
          <w:highlight w:val="none"/>
        </w:rPr>
        <w:t>；</w:t>
      </w:r>
    </w:p>
    <w:p w14:paraId="7C82EC9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2.</w:t>
      </w:r>
      <w:r>
        <w:rPr>
          <w:rFonts w:ascii="宋体" w:hAnsi="宋体"/>
          <w:color w:val="auto"/>
          <w:highlight w:val="none"/>
        </w:rPr>
        <w:t>17</w:t>
      </w:r>
      <w:r>
        <w:rPr>
          <w:rFonts w:hint="eastAsia" w:ascii="宋体" w:hAnsi="宋体"/>
          <w:color w:val="auto"/>
          <w:highlight w:val="none"/>
        </w:rPr>
        <w:t>.3</w:t>
      </w:r>
      <w:r>
        <w:rPr>
          <w:rFonts w:ascii="宋体" w:hAnsi="宋体"/>
          <w:color w:val="auto"/>
          <w:highlight w:val="none"/>
        </w:rPr>
        <w:t>如果乙方不履行合同</w:t>
      </w:r>
      <w:r>
        <w:rPr>
          <w:rFonts w:hint="eastAsia" w:ascii="宋体" w:hAnsi="宋体"/>
          <w:color w:val="auto"/>
          <w:highlight w:val="none"/>
        </w:rPr>
        <w:t>，履约保证金不予退还；如果乙方</w:t>
      </w:r>
      <w:r>
        <w:rPr>
          <w:rFonts w:ascii="宋体" w:hAnsi="宋体"/>
          <w:color w:val="auto"/>
          <w:highlight w:val="none"/>
        </w:rPr>
        <w:t>未能按合同</w:t>
      </w:r>
      <w:r>
        <w:rPr>
          <w:rFonts w:hint="eastAsia" w:ascii="宋体" w:hAnsi="宋体"/>
          <w:color w:val="auto"/>
          <w:highlight w:val="none"/>
        </w:rPr>
        <w:t>约</w:t>
      </w:r>
      <w:r>
        <w:rPr>
          <w:rFonts w:ascii="宋体" w:hAnsi="宋体"/>
          <w:color w:val="auto"/>
          <w:highlight w:val="none"/>
        </w:rPr>
        <w:t>定全面履行义务，那么甲方有权从履约保证金中取得补偿或赔偿</w:t>
      </w:r>
      <w:r>
        <w:rPr>
          <w:rFonts w:hint="eastAsia" w:ascii="宋体" w:hAnsi="宋体"/>
          <w:color w:val="auto"/>
          <w:highlight w:val="none"/>
        </w:rPr>
        <w:t>，同时不影响甲方要求乙方承担合同约定的超过履约保证金的违约责任的权利。</w:t>
      </w:r>
    </w:p>
    <w:bookmarkEnd w:id="202"/>
    <w:p w14:paraId="052CEEA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bookmarkStart w:id="203" w:name="_Toc14001"/>
      <w:bookmarkStart w:id="204" w:name="_Toc6885"/>
      <w:bookmarkStart w:id="205" w:name="_Toc19890"/>
      <w:r>
        <w:rPr>
          <w:rFonts w:hint="eastAsia" w:ascii="宋体" w:hAnsi="宋体"/>
          <w:color w:val="auto"/>
          <w:highlight w:val="none"/>
          <w:lang w:val="zh-CN"/>
        </w:rPr>
        <w:t>2.</w:t>
      </w:r>
      <w:r>
        <w:rPr>
          <w:rFonts w:ascii="宋体" w:hAnsi="宋体"/>
          <w:color w:val="auto"/>
          <w:highlight w:val="none"/>
          <w:lang w:val="zh-CN"/>
        </w:rPr>
        <w:t>18</w:t>
      </w:r>
      <w:r>
        <w:rPr>
          <w:rFonts w:hint="eastAsia" w:ascii="宋体" w:hAnsi="宋体"/>
          <w:color w:val="auto"/>
          <w:highlight w:val="none"/>
          <w:lang w:val="zh-CN"/>
        </w:rPr>
        <w:t xml:space="preserve"> 合同份数</w:t>
      </w:r>
      <w:bookmarkEnd w:id="203"/>
      <w:bookmarkEnd w:id="204"/>
      <w:bookmarkEnd w:id="205"/>
    </w:p>
    <w:p w14:paraId="60125AC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ascii="宋体" w:hAnsi="宋体"/>
          <w:color w:val="auto"/>
          <w:highlight w:val="none"/>
        </w:rPr>
        <w:t>合同份数按</w:t>
      </w:r>
      <w:r>
        <w:rPr>
          <w:rFonts w:ascii="宋体" w:hAnsi="宋体"/>
          <w:b/>
          <w:i/>
          <w:color w:val="auto"/>
          <w:highlight w:val="none"/>
          <w:u w:val="single"/>
        </w:rPr>
        <w:t>合同专用条款</w:t>
      </w:r>
      <w:r>
        <w:rPr>
          <w:rFonts w:ascii="宋体" w:hAnsi="宋体"/>
          <w:color w:val="auto"/>
          <w:highlight w:val="none"/>
        </w:rPr>
        <w:t>规定</w:t>
      </w:r>
      <w:r>
        <w:rPr>
          <w:rFonts w:hint="eastAsia" w:ascii="宋体" w:hAnsi="宋体"/>
          <w:color w:val="auto"/>
          <w:highlight w:val="none"/>
        </w:rPr>
        <w:t>，</w:t>
      </w:r>
      <w:r>
        <w:rPr>
          <w:rFonts w:ascii="宋体" w:hAnsi="宋体"/>
          <w:color w:val="auto"/>
          <w:highlight w:val="none"/>
        </w:rPr>
        <w:t>每份均具有同等法律效力</w:t>
      </w:r>
      <w:r>
        <w:rPr>
          <w:rFonts w:hint="eastAsia" w:ascii="宋体" w:hAnsi="宋体"/>
          <w:color w:val="auto"/>
          <w:highlight w:val="none"/>
        </w:rPr>
        <w:t>。</w:t>
      </w:r>
    </w:p>
    <w:p w14:paraId="20347BDF">
      <w:pPr>
        <w:pStyle w:val="5"/>
        <w:jc w:val="center"/>
        <w:rPr>
          <w:rFonts w:hint="eastAsia"/>
          <w:color w:val="auto"/>
          <w:highlight w:val="none"/>
        </w:rPr>
      </w:pPr>
      <w:r>
        <w:rPr>
          <w:rFonts w:cs="Times New Roman"/>
          <w:color w:val="auto"/>
          <w:highlight w:val="none"/>
        </w:rPr>
        <w:br w:type="page"/>
      </w:r>
      <w:bookmarkStart w:id="206" w:name="_Toc331685784"/>
      <w:r>
        <w:rPr>
          <w:rFonts w:hint="eastAsia"/>
          <w:color w:val="auto"/>
          <w:highlight w:val="none"/>
        </w:rPr>
        <w:t>第三部分</w:t>
      </w:r>
      <w:r>
        <w:rPr>
          <w:color w:val="auto"/>
          <w:highlight w:val="none"/>
        </w:rPr>
        <w:t xml:space="preserve"> </w:t>
      </w:r>
      <w:r>
        <w:rPr>
          <w:rFonts w:hint="eastAsia"/>
          <w:color w:val="auto"/>
          <w:highlight w:val="none"/>
        </w:rPr>
        <w:t>合同专用条款</w:t>
      </w:r>
      <w:bookmarkEnd w:id="206"/>
    </w:p>
    <w:p w14:paraId="50A710AB">
      <w:pPr>
        <w:ind w:firstLine="480" w:firstLineChars="200"/>
        <w:rPr>
          <w:rFonts w:hint="eastAsia" w:ascii="宋体" w:hAnsi="宋体"/>
          <w:color w:val="auto"/>
          <w:highlight w:val="none"/>
        </w:rPr>
      </w:pPr>
      <w:r>
        <w:rPr>
          <w:rFonts w:hint="eastAsia" w:ascii="宋体" w:hAnsi="宋体"/>
          <w:color w:val="auto"/>
          <w:highlight w:val="none"/>
        </w:rPr>
        <w:t>本部分</w:t>
      </w:r>
      <w:r>
        <w:rPr>
          <w:rFonts w:ascii="宋体" w:hAnsi="宋体"/>
          <w:color w:val="auto"/>
          <w:highlight w:val="none"/>
        </w:rPr>
        <w:t>是对</w:t>
      </w:r>
      <w:r>
        <w:rPr>
          <w:rFonts w:hint="eastAsia" w:ascii="宋体" w:hAnsi="宋体"/>
          <w:color w:val="auto"/>
          <w:highlight w:val="none"/>
        </w:rPr>
        <w:t>前两</w:t>
      </w:r>
      <w:r>
        <w:rPr>
          <w:rFonts w:ascii="宋体" w:hAnsi="宋体"/>
          <w:color w:val="auto"/>
          <w:highlight w:val="none"/>
        </w:rPr>
        <w:t>部分的补充和修改</w:t>
      </w:r>
      <w:r>
        <w:rPr>
          <w:rFonts w:hint="eastAsia" w:ascii="宋体" w:hAnsi="宋体"/>
          <w:color w:val="auto"/>
          <w:highlight w:val="none"/>
        </w:rPr>
        <w:t>，</w:t>
      </w:r>
      <w:r>
        <w:rPr>
          <w:rFonts w:ascii="宋体" w:hAnsi="宋体"/>
          <w:color w:val="auto"/>
          <w:highlight w:val="none"/>
        </w:rPr>
        <w:t>如果</w:t>
      </w:r>
      <w:r>
        <w:rPr>
          <w:rFonts w:hint="eastAsia" w:ascii="宋体" w:hAnsi="宋体"/>
          <w:color w:val="auto"/>
          <w:highlight w:val="none"/>
        </w:rPr>
        <w:t>前两</w:t>
      </w:r>
      <w:r>
        <w:rPr>
          <w:rFonts w:ascii="宋体" w:hAnsi="宋体"/>
          <w:color w:val="auto"/>
          <w:highlight w:val="none"/>
        </w:rPr>
        <w:t>部分和本部分的约定不一致</w:t>
      </w:r>
      <w:r>
        <w:rPr>
          <w:rFonts w:hint="eastAsia" w:ascii="宋体" w:hAnsi="宋体"/>
          <w:color w:val="auto"/>
          <w:highlight w:val="none"/>
        </w:rPr>
        <w:t>，</w:t>
      </w:r>
      <w:r>
        <w:rPr>
          <w:rFonts w:ascii="宋体" w:hAnsi="宋体"/>
          <w:color w:val="auto"/>
          <w:highlight w:val="none"/>
        </w:rPr>
        <w:t>应以本部分的约定为准</w:t>
      </w:r>
      <w:r>
        <w:rPr>
          <w:rFonts w:hint="eastAsia" w:ascii="宋体" w:hAnsi="宋体"/>
          <w:color w:val="auto"/>
          <w:highlight w:val="none"/>
        </w:rPr>
        <w:t>。</w:t>
      </w:r>
      <w:r>
        <w:rPr>
          <w:rFonts w:ascii="宋体" w:hAnsi="宋体"/>
          <w:color w:val="auto"/>
          <w:highlight w:val="none"/>
        </w:rPr>
        <w:t>本部分的条款号应与</w:t>
      </w:r>
      <w:r>
        <w:rPr>
          <w:rFonts w:hint="eastAsia" w:ascii="宋体" w:hAnsi="宋体"/>
          <w:color w:val="auto"/>
          <w:highlight w:val="none"/>
        </w:rPr>
        <w:t>前两部分</w:t>
      </w:r>
      <w:r>
        <w:rPr>
          <w:rFonts w:ascii="宋体" w:hAnsi="宋体"/>
          <w:color w:val="auto"/>
          <w:highlight w:val="none"/>
        </w:rPr>
        <w:t>的条款号保持对应</w:t>
      </w:r>
      <w:r>
        <w:rPr>
          <w:rFonts w:hint="eastAsia" w:ascii="宋体" w:hAnsi="宋体"/>
          <w:color w:val="auto"/>
          <w:highlight w:val="none"/>
        </w:rPr>
        <w:t>；与前两部分</w:t>
      </w:r>
      <w:r>
        <w:rPr>
          <w:rFonts w:ascii="宋体" w:hAnsi="宋体"/>
          <w:color w:val="auto"/>
          <w:highlight w:val="none"/>
        </w:rPr>
        <w:t>无对应关系的内容可另行编制条款号</w:t>
      </w:r>
      <w:r>
        <w:rPr>
          <w:rFonts w:hint="eastAsia" w:ascii="宋体" w:hAnsi="宋体"/>
          <w:color w:val="auto"/>
          <w:highlight w:val="none"/>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00"/>
        <w:gridCol w:w="8569"/>
      </w:tblGrid>
      <w:tr w14:paraId="5100B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44B428BA">
            <w:pPr>
              <w:rPr>
                <w:rFonts w:hint="eastAsia" w:ascii="宋体" w:hAnsi="宋体"/>
                <w:color w:val="auto"/>
                <w:highlight w:val="none"/>
              </w:rPr>
            </w:pPr>
            <w:r>
              <w:rPr>
                <w:rFonts w:ascii="宋体" w:hAnsi="宋体"/>
                <w:color w:val="auto"/>
                <w:highlight w:val="none"/>
              </w:rPr>
              <w:t>条款号</w:t>
            </w:r>
          </w:p>
        </w:tc>
        <w:tc>
          <w:tcPr>
            <w:tcW w:w="4525" w:type="pct"/>
            <w:vAlign w:val="center"/>
          </w:tcPr>
          <w:p w14:paraId="171D696A">
            <w:pPr>
              <w:rPr>
                <w:rFonts w:hint="eastAsia" w:ascii="宋体" w:hAnsi="宋体"/>
                <w:color w:val="auto"/>
                <w:highlight w:val="none"/>
              </w:rPr>
            </w:pPr>
            <w:r>
              <w:rPr>
                <w:rFonts w:ascii="宋体" w:hAnsi="宋体"/>
                <w:color w:val="auto"/>
                <w:highlight w:val="none"/>
              </w:rPr>
              <w:t>约定内容</w:t>
            </w:r>
          </w:p>
        </w:tc>
      </w:tr>
      <w:tr w14:paraId="04385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78E671CD">
            <w:pPr>
              <w:rPr>
                <w:rFonts w:hint="eastAsia" w:ascii="宋体" w:hAnsi="宋体"/>
                <w:color w:val="auto"/>
                <w:highlight w:val="none"/>
              </w:rPr>
            </w:pPr>
          </w:p>
        </w:tc>
        <w:tc>
          <w:tcPr>
            <w:tcW w:w="4525" w:type="pct"/>
            <w:vAlign w:val="center"/>
          </w:tcPr>
          <w:p w14:paraId="315FBEFD">
            <w:pPr>
              <w:rPr>
                <w:rFonts w:hint="eastAsia" w:ascii="宋体" w:hAnsi="宋体"/>
                <w:color w:val="auto"/>
                <w:highlight w:val="none"/>
              </w:rPr>
            </w:pPr>
          </w:p>
        </w:tc>
      </w:tr>
      <w:tr w14:paraId="7A436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497F7A2">
            <w:pPr>
              <w:rPr>
                <w:rFonts w:hint="eastAsia" w:ascii="宋体" w:hAnsi="宋体"/>
                <w:color w:val="auto"/>
                <w:highlight w:val="none"/>
              </w:rPr>
            </w:pPr>
          </w:p>
        </w:tc>
        <w:tc>
          <w:tcPr>
            <w:tcW w:w="4525" w:type="pct"/>
            <w:vAlign w:val="center"/>
          </w:tcPr>
          <w:p w14:paraId="69654A34">
            <w:pPr>
              <w:rPr>
                <w:rFonts w:hint="eastAsia" w:ascii="宋体" w:hAnsi="宋体"/>
                <w:color w:val="auto"/>
                <w:highlight w:val="none"/>
              </w:rPr>
            </w:pPr>
          </w:p>
        </w:tc>
      </w:tr>
      <w:tr w14:paraId="5EB58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5DE5ABC">
            <w:pPr>
              <w:rPr>
                <w:rFonts w:hint="eastAsia" w:ascii="宋体" w:hAnsi="宋体"/>
                <w:color w:val="auto"/>
                <w:highlight w:val="none"/>
              </w:rPr>
            </w:pPr>
          </w:p>
        </w:tc>
        <w:tc>
          <w:tcPr>
            <w:tcW w:w="4525" w:type="pct"/>
            <w:vAlign w:val="center"/>
          </w:tcPr>
          <w:p w14:paraId="5EF24625">
            <w:pPr>
              <w:rPr>
                <w:rFonts w:hint="eastAsia" w:ascii="宋体" w:hAnsi="宋体"/>
                <w:color w:val="auto"/>
                <w:highlight w:val="none"/>
              </w:rPr>
            </w:pPr>
          </w:p>
        </w:tc>
      </w:tr>
      <w:tr w14:paraId="628CB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DED3BC3">
            <w:pPr>
              <w:rPr>
                <w:rFonts w:hint="eastAsia" w:ascii="宋体" w:hAnsi="宋体"/>
                <w:color w:val="auto"/>
                <w:highlight w:val="none"/>
              </w:rPr>
            </w:pPr>
          </w:p>
        </w:tc>
        <w:tc>
          <w:tcPr>
            <w:tcW w:w="4525" w:type="pct"/>
            <w:vAlign w:val="center"/>
          </w:tcPr>
          <w:p w14:paraId="176920B2">
            <w:pPr>
              <w:rPr>
                <w:rFonts w:hint="eastAsia" w:ascii="宋体" w:hAnsi="宋体"/>
                <w:color w:val="auto"/>
                <w:highlight w:val="none"/>
              </w:rPr>
            </w:pPr>
          </w:p>
        </w:tc>
      </w:tr>
      <w:tr w14:paraId="1EE85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0E36108">
            <w:pPr>
              <w:rPr>
                <w:rFonts w:hint="eastAsia" w:ascii="宋体" w:hAnsi="宋体"/>
                <w:color w:val="auto"/>
                <w:highlight w:val="none"/>
              </w:rPr>
            </w:pPr>
          </w:p>
        </w:tc>
        <w:tc>
          <w:tcPr>
            <w:tcW w:w="4525" w:type="pct"/>
            <w:vAlign w:val="center"/>
          </w:tcPr>
          <w:p w14:paraId="74A06DC1">
            <w:pPr>
              <w:rPr>
                <w:rFonts w:hint="eastAsia" w:ascii="宋体" w:hAnsi="宋体"/>
                <w:color w:val="auto"/>
                <w:highlight w:val="none"/>
              </w:rPr>
            </w:pPr>
          </w:p>
        </w:tc>
      </w:tr>
      <w:tr w14:paraId="65B1D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516988A">
            <w:pPr>
              <w:rPr>
                <w:rFonts w:hint="eastAsia" w:ascii="宋体" w:hAnsi="宋体"/>
                <w:color w:val="auto"/>
                <w:highlight w:val="none"/>
              </w:rPr>
            </w:pPr>
          </w:p>
        </w:tc>
        <w:tc>
          <w:tcPr>
            <w:tcW w:w="4525" w:type="pct"/>
            <w:vAlign w:val="center"/>
          </w:tcPr>
          <w:p w14:paraId="151532AF">
            <w:pPr>
              <w:rPr>
                <w:rFonts w:hint="eastAsia" w:ascii="宋体" w:hAnsi="宋体"/>
                <w:color w:val="auto"/>
                <w:highlight w:val="none"/>
              </w:rPr>
            </w:pPr>
          </w:p>
        </w:tc>
      </w:tr>
      <w:tr w14:paraId="68B27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0274A5C">
            <w:pPr>
              <w:rPr>
                <w:rFonts w:hint="eastAsia" w:ascii="宋体" w:hAnsi="宋体"/>
                <w:color w:val="auto"/>
                <w:highlight w:val="none"/>
              </w:rPr>
            </w:pPr>
          </w:p>
        </w:tc>
        <w:tc>
          <w:tcPr>
            <w:tcW w:w="4525" w:type="pct"/>
            <w:vAlign w:val="center"/>
          </w:tcPr>
          <w:p w14:paraId="6DE2A077">
            <w:pPr>
              <w:rPr>
                <w:rFonts w:hint="eastAsia" w:ascii="宋体" w:hAnsi="宋体"/>
                <w:color w:val="auto"/>
                <w:highlight w:val="none"/>
              </w:rPr>
            </w:pPr>
          </w:p>
        </w:tc>
      </w:tr>
      <w:tr w14:paraId="0DD0E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B322343">
            <w:pPr>
              <w:rPr>
                <w:rFonts w:hint="eastAsia" w:ascii="宋体" w:hAnsi="宋体"/>
                <w:color w:val="auto"/>
                <w:highlight w:val="none"/>
              </w:rPr>
            </w:pPr>
          </w:p>
        </w:tc>
        <w:tc>
          <w:tcPr>
            <w:tcW w:w="4525" w:type="pct"/>
            <w:vAlign w:val="center"/>
          </w:tcPr>
          <w:p w14:paraId="6BCF5D3A">
            <w:pPr>
              <w:rPr>
                <w:rFonts w:hint="eastAsia" w:ascii="宋体" w:hAnsi="宋体"/>
                <w:color w:val="auto"/>
                <w:highlight w:val="none"/>
              </w:rPr>
            </w:pPr>
          </w:p>
        </w:tc>
      </w:tr>
      <w:tr w14:paraId="454A7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FE0F704">
            <w:pPr>
              <w:rPr>
                <w:rFonts w:hint="eastAsia" w:ascii="宋体" w:hAnsi="宋体"/>
                <w:color w:val="auto"/>
                <w:highlight w:val="none"/>
              </w:rPr>
            </w:pPr>
          </w:p>
        </w:tc>
        <w:tc>
          <w:tcPr>
            <w:tcW w:w="4525" w:type="pct"/>
            <w:vAlign w:val="center"/>
          </w:tcPr>
          <w:p w14:paraId="25CF090E">
            <w:pPr>
              <w:rPr>
                <w:rFonts w:hint="eastAsia" w:ascii="宋体" w:hAnsi="宋体"/>
                <w:color w:val="auto"/>
                <w:highlight w:val="none"/>
              </w:rPr>
            </w:pPr>
          </w:p>
        </w:tc>
      </w:tr>
      <w:tr w14:paraId="77EB6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2465A7E">
            <w:pPr>
              <w:rPr>
                <w:rFonts w:hint="eastAsia" w:ascii="宋体" w:hAnsi="宋体"/>
                <w:color w:val="auto"/>
                <w:highlight w:val="none"/>
              </w:rPr>
            </w:pPr>
          </w:p>
        </w:tc>
        <w:tc>
          <w:tcPr>
            <w:tcW w:w="4525" w:type="pct"/>
            <w:vAlign w:val="center"/>
          </w:tcPr>
          <w:p w14:paraId="57028387">
            <w:pPr>
              <w:rPr>
                <w:rFonts w:hint="eastAsia" w:ascii="宋体" w:hAnsi="宋体"/>
                <w:color w:val="auto"/>
                <w:highlight w:val="none"/>
              </w:rPr>
            </w:pPr>
          </w:p>
        </w:tc>
      </w:tr>
      <w:tr w14:paraId="2FE7A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0DDD356">
            <w:pPr>
              <w:rPr>
                <w:rFonts w:hint="eastAsia" w:ascii="宋体" w:hAnsi="宋体"/>
                <w:color w:val="auto"/>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53B62C84">
            <w:pPr>
              <w:rPr>
                <w:rFonts w:hint="eastAsia" w:ascii="宋体" w:hAnsi="宋体"/>
                <w:color w:val="auto"/>
                <w:highlight w:val="none"/>
              </w:rPr>
            </w:pPr>
          </w:p>
        </w:tc>
      </w:tr>
      <w:tr w14:paraId="09B18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389A870">
            <w:pPr>
              <w:rPr>
                <w:rFonts w:hint="eastAsia" w:ascii="宋体" w:hAnsi="宋体"/>
                <w:color w:val="auto"/>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7F4EE343">
            <w:pPr>
              <w:rPr>
                <w:rFonts w:hint="eastAsia" w:ascii="宋体" w:hAnsi="宋体"/>
                <w:color w:val="auto"/>
                <w:highlight w:val="none"/>
              </w:rPr>
            </w:pPr>
          </w:p>
        </w:tc>
      </w:tr>
    </w:tbl>
    <w:p w14:paraId="2349E651">
      <w:pPr>
        <w:rPr>
          <w:rFonts w:hint="eastAsia" w:ascii="宋体" w:hAnsi="宋体"/>
          <w:color w:val="auto"/>
          <w:highlight w:val="none"/>
        </w:rPr>
      </w:pPr>
    </w:p>
    <w:bookmarkEnd w:id="68"/>
    <w:p w14:paraId="04EEF70E">
      <w:pPr>
        <w:rPr>
          <w:rFonts w:hint="eastAsia" w:ascii="宋体" w:hAnsi="宋体"/>
          <w:color w:val="auto"/>
          <w:highlight w:val="none"/>
        </w:rPr>
      </w:pPr>
      <w:r>
        <w:rPr>
          <w:rFonts w:ascii="宋体" w:hAnsi="宋体"/>
          <w:color w:val="auto"/>
          <w:highlight w:val="none"/>
        </w:rPr>
        <w:br w:type="page"/>
      </w:r>
    </w:p>
    <w:p w14:paraId="52772618">
      <w:pPr>
        <w:pStyle w:val="4"/>
        <w:spacing w:before="0" w:after="0" w:line="240" w:lineRule="auto"/>
        <w:ind w:firstLine="0"/>
        <w:outlineLvl w:val="0"/>
        <w:rPr>
          <w:color w:val="auto"/>
          <w:sz w:val="28"/>
          <w:szCs w:val="28"/>
          <w:highlight w:val="none"/>
        </w:rPr>
      </w:pPr>
      <w:bookmarkStart w:id="207" w:name="_Toc19442"/>
      <w:r>
        <w:rPr>
          <w:rFonts w:hint="eastAsia" w:ascii="宋体" w:hAnsi="宋体" w:eastAsia="宋体"/>
          <w:color w:val="auto"/>
          <w:highlight w:val="none"/>
        </w:rPr>
        <w:t>第七章 投标文件格式</w:t>
      </w:r>
      <w:bookmarkEnd w:id="62"/>
      <w:bookmarkEnd w:id="67"/>
      <w:bookmarkEnd w:id="207"/>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25CE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7314303C">
            <w:pPr>
              <w:spacing w:line="400" w:lineRule="exact"/>
              <w:jc w:val="center"/>
              <w:rPr>
                <w:rFonts w:hint="eastAsia" w:ascii="宋体" w:hAnsi="宋体"/>
                <w:b/>
                <w:color w:val="auto"/>
                <w:szCs w:val="24"/>
                <w:highlight w:val="none"/>
              </w:rPr>
            </w:pPr>
            <w:r>
              <w:rPr>
                <w:rFonts w:hint="eastAsia" w:ascii="宋体" w:hAnsi="宋体"/>
                <w:b/>
                <w:color w:val="auto"/>
                <w:szCs w:val="24"/>
                <w:highlight w:val="none"/>
              </w:rPr>
              <w:t>序号</w:t>
            </w:r>
          </w:p>
        </w:tc>
        <w:tc>
          <w:tcPr>
            <w:tcW w:w="5493" w:type="dxa"/>
            <w:vAlign w:val="center"/>
          </w:tcPr>
          <w:p w14:paraId="21390FC6">
            <w:pPr>
              <w:spacing w:line="400" w:lineRule="exact"/>
              <w:jc w:val="center"/>
              <w:rPr>
                <w:rFonts w:hint="eastAsia" w:ascii="宋体" w:hAnsi="宋体"/>
                <w:b/>
                <w:color w:val="auto"/>
                <w:szCs w:val="24"/>
                <w:highlight w:val="none"/>
              </w:rPr>
            </w:pPr>
            <w:r>
              <w:rPr>
                <w:rFonts w:hint="eastAsia" w:ascii="宋体" w:hAnsi="宋体"/>
                <w:b/>
                <w:color w:val="auto"/>
                <w:szCs w:val="24"/>
                <w:highlight w:val="none"/>
              </w:rPr>
              <w:t>资料名称</w:t>
            </w:r>
          </w:p>
        </w:tc>
        <w:tc>
          <w:tcPr>
            <w:tcW w:w="2641" w:type="dxa"/>
            <w:vAlign w:val="center"/>
          </w:tcPr>
          <w:p w14:paraId="3A9BC056">
            <w:pPr>
              <w:spacing w:line="400" w:lineRule="exact"/>
              <w:jc w:val="center"/>
              <w:rPr>
                <w:rFonts w:hint="eastAsia" w:ascii="宋体" w:hAnsi="宋体"/>
                <w:b/>
                <w:color w:val="auto"/>
                <w:szCs w:val="24"/>
                <w:highlight w:val="none"/>
              </w:rPr>
            </w:pPr>
            <w:r>
              <w:rPr>
                <w:rFonts w:hint="eastAsia" w:ascii="宋体" w:hAnsi="宋体"/>
                <w:b/>
                <w:color w:val="auto"/>
                <w:szCs w:val="24"/>
                <w:highlight w:val="none"/>
              </w:rPr>
              <w:t>备注</w:t>
            </w:r>
          </w:p>
        </w:tc>
      </w:tr>
      <w:tr w14:paraId="406C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8AB0F57">
            <w:pPr>
              <w:jc w:val="center"/>
              <w:rPr>
                <w:rFonts w:hint="eastAsia" w:ascii="宋体" w:hAnsi="宋体"/>
                <w:color w:val="auto"/>
                <w:szCs w:val="24"/>
                <w:highlight w:val="none"/>
              </w:rPr>
            </w:pPr>
            <w:r>
              <w:rPr>
                <w:rFonts w:hint="eastAsia" w:ascii="宋体" w:hAnsi="宋体"/>
                <w:color w:val="auto"/>
                <w:szCs w:val="24"/>
                <w:highlight w:val="none"/>
              </w:rPr>
              <w:t>一</w:t>
            </w:r>
          </w:p>
        </w:tc>
        <w:tc>
          <w:tcPr>
            <w:tcW w:w="5493" w:type="dxa"/>
            <w:vAlign w:val="center"/>
          </w:tcPr>
          <w:p w14:paraId="244FC3C6">
            <w:pPr>
              <w:rPr>
                <w:rFonts w:hint="eastAsia" w:ascii="宋体" w:hAnsi="宋体"/>
                <w:color w:val="auto"/>
                <w:szCs w:val="24"/>
                <w:highlight w:val="none"/>
              </w:rPr>
            </w:pPr>
            <w:r>
              <w:rPr>
                <w:rFonts w:hint="eastAsia" w:ascii="宋体" w:hAnsi="宋体"/>
                <w:color w:val="auto"/>
                <w:szCs w:val="24"/>
                <w:highlight w:val="none"/>
              </w:rPr>
              <w:t>开标一览表</w:t>
            </w:r>
          </w:p>
        </w:tc>
        <w:tc>
          <w:tcPr>
            <w:tcW w:w="2641" w:type="dxa"/>
            <w:vAlign w:val="center"/>
          </w:tcPr>
          <w:p w14:paraId="01E39F89">
            <w:pPr>
              <w:spacing w:line="360" w:lineRule="auto"/>
              <w:jc w:val="center"/>
              <w:rPr>
                <w:rFonts w:hint="eastAsia" w:ascii="宋体" w:hAnsi="宋体"/>
                <w:b/>
                <w:color w:val="auto"/>
                <w:szCs w:val="24"/>
                <w:highlight w:val="none"/>
              </w:rPr>
            </w:pPr>
          </w:p>
        </w:tc>
      </w:tr>
      <w:tr w14:paraId="4566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0D7D5D03">
            <w:pPr>
              <w:jc w:val="center"/>
              <w:rPr>
                <w:rFonts w:hint="eastAsia" w:ascii="宋体" w:hAnsi="宋体"/>
                <w:bCs/>
                <w:color w:val="auto"/>
                <w:szCs w:val="24"/>
                <w:highlight w:val="none"/>
              </w:rPr>
            </w:pPr>
            <w:r>
              <w:rPr>
                <w:rFonts w:hint="eastAsia" w:ascii="宋体" w:hAnsi="宋体"/>
                <w:bCs/>
                <w:color w:val="auto"/>
                <w:szCs w:val="24"/>
                <w:highlight w:val="none"/>
              </w:rPr>
              <w:t>二</w:t>
            </w:r>
          </w:p>
        </w:tc>
        <w:tc>
          <w:tcPr>
            <w:tcW w:w="5493" w:type="dxa"/>
            <w:vAlign w:val="center"/>
          </w:tcPr>
          <w:p w14:paraId="19467A61">
            <w:pPr>
              <w:rPr>
                <w:rFonts w:hint="eastAsia" w:ascii="宋体" w:hAnsi="宋体"/>
                <w:color w:val="auto"/>
                <w:szCs w:val="24"/>
                <w:highlight w:val="none"/>
                <w:u w:val="single"/>
              </w:rPr>
            </w:pPr>
            <w:r>
              <w:rPr>
                <w:rFonts w:hint="eastAsia" w:ascii="宋体" w:hAnsi="宋体"/>
                <w:color w:val="auto"/>
                <w:szCs w:val="24"/>
                <w:highlight w:val="none"/>
              </w:rPr>
              <w:t>投标人情况综合简介</w:t>
            </w:r>
          </w:p>
        </w:tc>
        <w:tc>
          <w:tcPr>
            <w:tcW w:w="2641" w:type="dxa"/>
            <w:vAlign w:val="center"/>
          </w:tcPr>
          <w:p w14:paraId="31F505D8">
            <w:pPr>
              <w:spacing w:line="360" w:lineRule="auto"/>
              <w:jc w:val="center"/>
              <w:rPr>
                <w:rFonts w:hint="eastAsia" w:ascii="宋体" w:hAnsi="宋体"/>
                <w:b/>
                <w:color w:val="auto"/>
                <w:szCs w:val="24"/>
                <w:highlight w:val="none"/>
              </w:rPr>
            </w:pPr>
          </w:p>
        </w:tc>
      </w:tr>
      <w:tr w14:paraId="15F1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6E3F7F3C">
            <w:pPr>
              <w:jc w:val="center"/>
              <w:rPr>
                <w:rFonts w:hint="eastAsia" w:ascii="宋体" w:hAnsi="宋体"/>
                <w:color w:val="auto"/>
                <w:szCs w:val="24"/>
                <w:highlight w:val="none"/>
              </w:rPr>
            </w:pPr>
            <w:r>
              <w:rPr>
                <w:rFonts w:hint="eastAsia" w:ascii="宋体" w:hAnsi="宋体"/>
                <w:color w:val="auto"/>
                <w:szCs w:val="24"/>
                <w:highlight w:val="none"/>
              </w:rPr>
              <w:t>三</w:t>
            </w:r>
          </w:p>
        </w:tc>
        <w:tc>
          <w:tcPr>
            <w:tcW w:w="5493" w:type="dxa"/>
            <w:vAlign w:val="center"/>
          </w:tcPr>
          <w:p w14:paraId="0BBCB4ED">
            <w:pPr>
              <w:rPr>
                <w:rFonts w:hint="eastAsia" w:ascii="宋体" w:hAnsi="宋体"/>
                <w:bCs/>
                <w:color w:val="auto"/>
                <w:szCs w:val="24"/>
                <w:highlight w:val="none"/>
              </w:rPr>
            </w:pPr>
            <w:r>
              <w:rPr>
                <w:rFonts w:hint="eastAsia" w:ascii="宋体" w:hAnsi="宋体"/>
                <w:bCs/>
                <w:color w:val="auto"/>
                <w:szCs w:val="24"/>
                <w:highlight w:val="none"/>
              </w:rPr>
              <w:t>投标函</w:t>
            </w:r>
          </w:p>
        </w:tc>
        <w:tc>
          <w:tcPr>
            <w:tcW w:w="2641" w:type="dxa"/>
            <w:vAlign w:val="center"/>
          </w:tcPr>
          <w:p w14:paraId="6001FC69">
            <w:pPr>
              <w:spacing w:line="360" w:lineRule="auto"/>
              <w:jc w:val="center"/>
              <w:rPr>
                <w:rFonts w:hint="eastAsia" w:ascii="宋体" w:hAnsi="宋体"/>
                <w:b/>
                <w:color w:val="auto"/>
                <w:szCs w:val="24"/>
                <w:highlight w:val="none"/>
              </w:rPr>
            </w:pPr>
          </w:p>
        </w:tc>
      </w:tr>
      <w:tr w14:paraId="2A4F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407360EB">
            <w:pPr>
              <w:jc w:val="center"/>
              <w:rPr>
                <w:rFonts w:hint="eastAsia" w:ascii="宋体" w:hAnsi="宋体"/>
                <w:color w:val="auto"/>
                <w:szCs w:val="24"/>
                <w:highlight w:val="none"/>
              </w:rPr>
            </w:pPr>
            <w:r>
              <w:rPr>
                <w:rFonts w:hint="eastAsia" w:ascii="宋体" w:hAnsi="宋体"/>
                <w:color w:val="auto"/>
                <w:szCs w:val="24"/>
                <w:highlight w:val="none"/>
              </w:rPr>
              <w:t>四</w:t>
            </w:r>
          </w:p>
        </w:tc>
        <w:tc>
          <w:tcPr>
            <w:tcW w:w="5493" w:type="dxa"/>
            <w:vAlign w:val="center"/>
          </w:tcPr>
          <w:p w14:paraId="09494418">
            <w:pPr>
              <w:rPr>
                <w:rFonts w:hint="eastAsia" w:ascii="宋体" w:hAnsi="宋体"/>
                <w:bCs/>
                <w:color w:val="auto"/>
                <w:szCs w:val="24"/>
                <w:highlight w:val="none"/>
              </w:rPr>
            </w:pPr>
            <w:r>
              <w:rPr>
                <w:rFonts w:hint="eastAsia" w:ascii="宋体" w:hAnsi="宋体"/>
                <w:bCs/>
                <w:color w:val="auto"/>
                <w:szCs w:val="24"/>
                <w:highlight w:val="none"/>
              </w:rPr>
              <w:t>投标人信用承诺</w:t>
            </w:r>
          </w:p>
        </w:tc>
        <w:tc>
          <w:tcPr>
            <w:tcW w:w="2641" w:type="dxa"/>
            <w:vAlign w:val="center"/>
          </w:tcPr>
          <w:p w14:paraId="066037A2">
            <w:pPr>
              <w:spacing w:line="360" w:lineRule="auto"/>
              <w:jc w:val="center"/>
              <w:rPr>
                <w:rFonts w:hint="eastAsia" w:ascii="宋体" w:hAnsi="宋体"/>
                <w:b/>
                <w:color w:val="auto"/>
                <w:szCs w:val="24"/>
                <w:highlight w:val="none"/>
              </w:rPr>
            </w:pPr>
          </w:p>
        </w:tc>
      </w:tr>
      <w:tr w14:paraId="1B65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0A11FBD7">
            <w:pPr>
              <w:jc w:val="center"/>
              <w:rPr>
                <w:rFonts w:hint="eastAsia" w:ascii="宋体" w:hAnsi="宋体"/>
                <w:color w:val="auto"/>
                <w:szCs w:val="24"/>
                <w:highlight w:val="none"/>
              </w:rPr>
            </w:pPr>
            <w:r>
              <w:rPr>
                <w:rFonts w:hint="eastAsia" w:ascii="宋体" w:hAnsi="宋体"/>
                <w:color w:val="auto"/>
                <w:szCs w:val="24"/>
                <w:highlight w:val="none"/>
              </w:rPr>
              <w:t>五</w:t>
            </w:r>
          </w:p>
        </w:tc>
        <w:tc>
          <w:tcPr>
            <w:tcW w:w="5493" w:type="dxa"/>
            <w:vAlign w:val="center"/>
          </w:tcPr>
          <w:p w14:paraId="4F607E73">
            <w:pPr>
              <w:rPr>
                <w:rFonts w:hint="eastAsia" w:ascii="宋体" w:hAnsi="宋体"/>
                <w:bCs/>
                <w:color w:val="auto"/>
                <w:szCs w:val="24"/>
                <w:highlight w:val="none"/>
              </w:rPr>
            </w:pPr>
            <w:r>
              <w:rPr>
                <w:rFonts w:hint="eastAsia" w:ascii="宋体" w:hAnsi="宋体"/>
                <w:bCs/>
                <w:color w:val="auto"/>
                <w:szCs w:val="24"/>
                <w:highlight w:val="none"/>
              </w:rPr>
              <w:t>投标业绩</w:t>
            </w:r>
          </w:p>
        </w:tc>
        <w:tc>
          <w:tcPr>
            <w:tcW w:w="2641" w:type="dxa"/>
            <w:vAlign w:val="center"/>
          </w:tcPr>
          <w:p w14:paraId="4AFA2E1D">
            <w:pPr>
              <w:spacing w:line="360" w:lineRule="auto"/>
              <w:jc w:val="center"/>
              <w:rPr>
                <w:rFonts w:hint="eastAsia" w:ascii="宋体" w:hAnsi="宋体"/>
                <w:b/>
                <w:color w:val="auto"/>
                <w:szCs w:val="24"/>
                <w:highlight w:val="none"/>
              </w:rPr>
            </w:pPr>
          </w:p>
        </w:tc>
      </w:tr>
      <w:tr w14:paraId="4511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vAlign w:val="center"/>
          </w:tcPr>
          <w:p w14:paraId="6D36F84E">
            <w:pPr>
              <w:jc w:val="center"/>
              <w:rPr>
                <w:rFonts w:hint="eastAsia" w:ascii="宋体" w:hAnsi="宋体"/>
                <w:color w:val="auto"/>
                <w:szCs w:val="24"/>
                <w:highlight w:val="none"/>
              </w:rPr>
            </w:pPr>
            <w:r>
              <w:rPr>
                <w:rFonts w:hint="eastAsia" w:ascii="宋体" w:hAnsi="宋体"/>
                <w:color w:val="auto"/>
                <w:szCs w:val="24"/>
                <w:highlight w:val="none"/>
              </w:rPr>
              <w:t>六</w:t>
            </w:r>
          </w:p>
        </w:tc>
        <w:tc>
          <w:tcPr>
            <w:tcW w:w="5493" w:type="dxa"/>
            <w:vAlign w:val="center"/>
          </w:tcPr>
          <w:p w14:paraId="5D60722A">
            <w:pPr>
              <w:rPr>
                <w:rFonts w:hint="eastAsia" w:ascii="宋体" w:hAnsi="宋体"/>
                <w:bCs/>
                <w:color w:val="auto"/>
                <w:szCs w:val="24"/>
                <w:highlight w:val="none"/>
              </w:rPr>
            </w:pPr>
            <w:r>
              <w:rPr>
                <w:rFonts w:hint="eastAsia" w:ascii="宋体" w:hAnsi="宋体"/>
                <w:bCs/>
                <w:color w:val="auto"/>
                <w:szCs w:val="24"/>
                <w:highlight w:val="none"/>
              </w:rPr>
              <w:t>拟投入本项目的人员情况</w:t>
            </w:r>
          </w:p>
        </w:tc>
        <w:tc>
          <w:tcPr>
            <w:tcW w:w="2641" w:type="dxa"/>
            <w:vAlign w:val="center"/>
          </w:tcPr>
          <w:p w14:paraId="3010C206">
            <w:pPr>
              <w:spacing w:line="360" w:lineRule="auto"/>
              <w:rPr>
                <w:rFonts w:hint="eastAsia" w:ascii="宋体" w:hAnsi="宋体"/>
                <w:b/>
                <w:color w:val="auto"/>
                <w:szCs w:val="24"/>
                <w:highlight w:val="none"/>
              </w:rPr>
            </w:pPr>
          </w:p>
        </w:tc>
      </w:tr>
      <w:tr w14:paraId="3168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65" w:type="dxa"/>
            <w:vAlign w:val="center"/>
          </w:tcPr>
          <w:p w14:paraId="58CE4B5E">
            <w:pPr>
              <w:jc w:val="center"/>
              <w:rPr>
                <w:rFonts w:hint="eastAsia" w:ascii="宋体" w:hAnsi="宋体"/>
                <w:color w:val="auto"/>
                <w:szCs w:val="24"/>
                <w:highlight w:val="none"/>
              </w:rPr>
            </w:pPr>
            <w:r>
              <w:rPr>
                <w:rFonts w:hint="eastAsia" w:ascii="宋体" w:hAnsi="宋体"/>
                <w:color w:val="auto"/>
                <w:szCs w:val="24"/>
                <w:highlight w:val="none"/>
              </w:rPr>
              <w:t>七</w:t>
            </w:r>
          </w:p>
        </w:tc>
        <w:tc>
          <w:tcPr>
            <w:tcW w:w="5493" w:type="dxa"/>
            <w:vAlign w:val="center"/>
          </w:tcPr>
          <w:p w14:paraId="0ABA6442">
            <w:pPr>
              <w:rPr>
                <w:rFonts w:hint="eastAsia" w:ascii="宋体" w:hAnsi="宋体"/>
                <w:bCs/>
                <w:color w:val="auto"/>
                <w:szCs w:val="24"/>
                <w:highlight w:val="none"/>
              </w:rPr>
            </w:pPr>
            <w:r>
              <w:rPr>
                <w:rFonts w:hint="eastAsia" w:ascii="宋体" w:hAnsi="宋体"/>
                <w:bCs/>
                <w:color w:val="auto"/>
                <w:szCs w:val="24"/>
                <w:highlight w:val="none"/>
              </w:rPr>
              <w:t>服务方案</w:t>
            </w:r>
          </w:p>
        </w:tc>
        <w:tc>
          <w:tcPr>
            <w:tcW w:w="2641" w:type="dxa"/>
            <w:vAlign w:val="center"/>
          </w:tcPr>
          <w:p w14:paraId="498F30CD">
            <w:pPr>
              <w:spacing w:line="360" w:lineRule="auto"/>
              <w:rPr>
                <w:rFonts w:hint="eastAsia" w:ascii="宋体" w:hAnsi="宋体"/>
                <w:b/>
                <w:color w:val="auto"/>
                <w:szCs w:val="24"/>
                <w:highlight w:val="none"/>
              </w:rPr>
            </w:pPr>
          </w:p>
        </w:tc>
      </w:tr>
      <w:tr w14:paraId="3C12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vAlign w:val="center"/>
          </w:tcPr>
          <w:p w14:paraId="5ADA12FA">
            <w:pPr>
              <w:jc w:val="center"/>
              <w:rPr>
                <w:rFonts w:hint="eastAsia" w:ascii="宋体" w:hAnsi="宋体"/>
                <w:color w:val="auto"/>
                <w:szCs w:val="24"/>
                <w:highlight w:val="none"/>
              </w:rPr>
            </w:pPr>
            <w:r>
              <w:rPr>
                <w:rFonts w:hint="eastAsia" w:ascii="宋体" w:hAnsi="宋体"/>
                <w:color w:val="auto"/>
                <w:szCs w:val="24"/>
                <w:highlight w:val="none"/>
              </w:rPr>
              <w:t>八</w:t>
            </w:r>
          </w:p>
        </w:tc>
        <w:tc>
          <w:tcPr>
            <w:tcW w:w="5493" w:type="dxa"/>
            <w:vAlign w:val="center"/>
          </w:tcPr>
          <w:p w14:paraId="247A40F8">
            <w:pPr>
              <w:rPr>
                <w:rFonts w:hint="eastAsia" w:ascii="宋体" w:hAnsi="宋体"/>
                <w:bCs/>
                <w:color w:val="auto"/>
                <w:szCs w:val="24"/>
                <w:highlight w:val="none"/>
              </w:rPr>
            </w:pPr>
            <w:r>
              <w:rPr>
                <w:rFonts w:hint="eastAsia" w:ascii="宋体" w:hAnsi="宋体"/>
                <w:color w:val="auto"/>
                <w:szCs w:val="24"/>
                <w:highlight w:val="none"/>
              </w:rPr>
              <w:t>有关证明文件</w:t>
            </w:r>
          </w:p>
        </w:tc>
        <w:tc>
          <w:tcPr>
            <w:tcW w:w="2641" w:type="dxa"/>
            <w:vAlign w:val="center"/>
          </w:tcPr>
          <w:p w14:paraId="4970FDBC">
            <w:pPr>
              <w:spacing w:line="360" w:lineRule="auto"/>
              <w:rPr>
                <w:rFonts w:hint="eastAsia" w:ascii="宋体" w:hAnsi="宋体"/>
                <w:b/>
                <w:color w:val="auto"/>
                <w:szCs w:val="24"/>
                <w:highlight w:val="none"/>
              </w:rPr>
            </w:pPr>
          </w:p>
        </w:tc>
      </w:tr>
      <w:tr w14:paraId="2B43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vAlign w:val="center"/>
          </w:tcPr>
          <w:p w14:paraId="0ED35313">
            <w:pPr>
              <w:jc w:val="center"/>
              <w:rPr>
                <w:rFonts w:hint="eastAsia" w:ascii="宋体" w:hAnsi="宋体"/>
                <w:color w:val="auto"/>
                <w:szCs w:val="24"/>
                <w:highlight w:val="none"/>
              </w:rPr>
            </w:pPr>
            <w:r>
              <w:rPr>
                <w:rFonts w:hint="eastAsia" w:ascii="宋体" w:hAnsi="宋体"/>
                <w:color w:val="auto"/>
                <w:szCs w:val="24"/>
                <w:highlight w:val="none"/>
              </w:rPr>
              <w:t>九</w:t>
            </w:r>
          </w:p>
        </w:tc>
        <w:tc>
          <w:tcPr>
            <w:tcW w:w="5493" w:type="dxa"/>
            <w:vAlign w:val="center"/>
          </w:tcPr>
          <w:p w14:paraId="4331536F">
            <w:pPr>
              <w:rPr>
                <w:rFonts w:hint="eastAsia" w:ascii="宋体" w:hAnsi="宋体"/>
                <w:color w:val="auto"/>
                <w:szCs w:val="24"/>
                <w:highlight w:val="none"/>
              </w:rPr>
            </w:pPr>
            <w:r>
              <w:rPr>
                <w:rFonts w:hint="eastAsia" w:ascii="宋体" w:hAnsi="宋体"/>
                <w:color w:val="auto"/>
                <w:szCs w:val="24"/>
                <w:highlight w:val="none"/>
              </w:rPr>
              <w:t>投标授权书</w:t>
            </w:r>
          </w:p>
        </w:tc>
        <w:tc>
          <w:tcPr>
            <w:tcW w:w="2641" w:type="dxa"/>
            <w:vAlign w:val="center"/>
          </w:tcPr>
          <w:p w14:paraId="17144761">
            <w:pPr>
              <w:spacing w:line="360" w:lineRule="auto"/>
              <w:rPr>
                <w:rFonts w:hint="eastAsia" w:ascii="宋体" w:hAnsi="宋体"/>
                <w:b/>
                <w:color w:val="auto"/>
                <w:szCs w:val="24"/>
                <w:highlight w:val="none"/>
              </w:rPr>
            </w:pPr>
          </w:p>
        </w:tc>
      </w:tr>
      <w:tr w14:paraId="38DC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65" w:type="dxa"/>
            <w:vAlign w:val="center"/>
          </w:tcPr>
          <w:p w14:paraId="040C794B">
            <w:pPr>
              <w:jc w:val="center"/>
              <w:rPr>
                <w:rFonts w:hint="eastAsia" w:ascii="宋体" w:hAnsi="宋体"/>
                <w:color w:val="auto"/>
                <w:szCs w:val="24"/>
                <w:highlight w:val="none"/>
              </w:rPr>
            </w:pPr>
            <w:r>
              <w:rPr>
                <w:rFonts w:hint="eastAsia" w:ascii="宋体" w:hAnsi="宋体"/>
                <w:color w:val="auto"/>
                <w:szCs w:val="24"/>
                <w:highlight w:val="none"/>
              </w:rPr>
              <w:t>十</w:t>
            </w:r>
          </w:p>
        </w:tc>
        <w:tc>
          <w:tcPr>
            <w:tcW w:w="5493" w:type="dxa"/>
            <w:vAlign w:val="center"/>
          </w:tcPr>
          <w:p w14:paraId="01CBE6B5">
            <w:pPr>
              <w:rPr>
                <w:rFonts w:hint="eastAsia" w:ascii="宋体" w:hAnsi="宋体"/>
                <w:color w:val="auto"/>
                <w:szCs w:val="24"/>
                <w:highlight w:val="none"/>
              </w:rPr>
            </w:pPr>
            <w:r>
              <w:rPr>
                <w:rFonts w:hint="eastAsia" w:ascii="宋体" w:hAnsi="宋体"/>
                <w:color w:val="auto"/>
                <w:szCs w:val="24"/>
                <w:highlight w:val="none"/>
              </w:rPr>
              <w:t>投标人认为需提供的其他资料</w:t>
            </w:r>
          </w:p>
        </w:tc>
        <w:tc>
          <w:tcPr>
            <w:tcW w:w="2641" w:type="dxa"/>
            <w:vAlign w:val="center"/>
          </w:tcPr>
          <w:p w14:paraId="5533B96E">
            <w:pPr>
              <w:spacing w:line="360" w:lineRule="auto"/>
              <w:rPr>
                <w:rFonts w:hint="eastAsia" w:ascii="宋体" w:hAnsi="宋体"/>
                <w:b/>
                <w:color w:val="auto"/>
                <w:szCs w:val="24"/>
                <w:highlight w:val="none"/>
              </w:rPr>
            </w:pPr>
          </w:p>
        </w:tc>
      </w:tr>
      <w:tr w14:paraId="77D3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vAlign w:val="center"/>
          </w:tcPr>
          <w:p w14:paraId="70EB046F">
            <w:pPr>
              <w:jc w:val="center"/>
              <w:rPr>
                <w:rFonts w:hint="eastAsia" w:ascii="宋体" w:hAnsi="宋体"/>
                <w:color w:val="auto"/>
                <w:szCs w:val="24"/>
                <w:highlight w:val="none"/>
              </w:rPr>
            </w:pPr>
          </w:p>
        </w:tc>
        <w:tc>
          <w:tcPr>
            <w:tcW w:w="5493" w:type="dxa"/>
            <w:vAlign w:val="center"/>
          </w:tcPr>
          <w:p w14:paraId="513C1A38">
            <w:pPr>
              <w:rPr>
                <w:rFonts w:hint="eastAsia" w:ascii="宋体" w:hAnsi="宋体"/>
                <w:color w:val="auto"/>
                <w:szCs w:val="24"/>
                <w:highlight w:val="none"/>
              </w:rPr>
            </w:pPr>
          </w:p>
        </w:tc>
        <w:tc>
          <w:tcPr>
            <w:tcW w:w="2641" w:type="dxa"/>
            <w:vAlign w:val="center"/>
          </w:tcPr>
          <w:p w14:paraId="6BE4A5C5">
            <w:pPr>
              <w:spacing w:line="360" w:lineRule="auto"/>
              <w:rPr>
                <w:rFonts w:hint="eastAsia" w:ascii="宋体" w:hAnsi="宋体"/>
                <w:b/>
                <w:color w:val="auto"/>
                <w:szCs w:val="24"/>
                <w:highlight w:val="none"/>
              </w:rPr>
            </w:pPr>
          </w:p>
        </w:tc>
      </w:tr>
      <w:tr w14:paraId="074E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65" w:type="dxa"/>
            <w:vAlign w:val="center"/>
          </w:tcPr>
          <w:p w14:paraId="455BD1EE">
            <w:pPr>
              <w:jc w:val="center"/>
              <w:rPr>
                <w:rFonts w:hint="eastAsia" w:ascii="宋体" w:hAnsi="宋体"/>
                <w:color w:val="auto"/>
                <w:szCs w:val="24"/>
                <w:highlight w:val="none"/>
              </w:rPr>
            </w:pPr>
          </w:p>
        </w:tc>
        <w:tc>
          <w:tcPr>
            <w:tcW w:w="5493" w:type="dxa"/>
            <w:vAlign w:val="center"/>
          </w:tcPr>
          <w:p w14:paraId="10EB1AB0">
            <w:pPr>
              <w:rPr>
                <w:rFonts w:hint="eastAsia" w:ascii="宋体" w:hAnsi="宋体"/>
                <w:color w:val="auto"/>
                <w:szCs w:val="24"/>
                <w:highlight w:val="none"/>
              </w:rPr>
            </w:pPr>
          </w:p>
        </w:tc>
        <w:tc>
          <w:tcPr>
            <w:tcW w:w="2641" w:type="dxa"/>
            <w:vAlign w:val="center"/>
          </w:tcPr>
          <w:p w14:paraId="33203DC1">
            <w:pPr>
              <w:spacing w:line="360" w:lineRule="auto"/>
              <w:rPr>
                <w:rFonts w:hint="eastAsia" w:ascii="宋体" w:hAnsi="宋体"/>
                <w:b/>
                <w:color w:val="auto"/>
                <w:szCs w:val="24"/>
                <w:highlight w:val="none"/>
              </w:rPr>
            </w:pPr>
          </w:p>
        </w:tc>
      </w:tr>
      <w:tr w14:paraId="5FBD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65" w:type="dxa"/>
            <w:vAlign w:val="center"/>
          </w:tcPr>
          <w:p w14:paraId="00341CC5">
            <w:pPr>
              <w:jc w:val="center"/>
              <w:rPr>
                <w:rFonts w:hint="eastAsia" w:ascii="宋体" w:hAnsi="宋体"/>
                <w:color w:val="auto"/>
                <w:szCs w:val="24"/>
                <w:highlight w:val="none"/>
              </w:rPr>
            </w:pPr>
          </w:p>
        </w:tc>
        <w:tc>
          <w:tcPr>
            <w:tcW w:w="5493" w:type="dxa"/>
            <w:vAlign w:val="center"/>
          </w:tcPr>
          <w:p w14:paraId="3ED62C43">
            <w:pPr>
              <w:rPr>
                <w:rFonts w:hint="eastAsia" w:ascii="宋体" w:hAnsi="宋体"/>
                <w:color w:val="auto"/>
                <w:szCs w:val="24"/>
                <w:highlight w:val="none"/>
              </w:rPr>
            </w:pPr>
          </w:p>
        </w:tc>
        <w:tc>
          <w:tcPr>
            <w:tcW w:w="2641" w:type="dxa"/>
            <w:vAlign w:val="center"/>
          </w:tcPr>
          <w:p w14:paraId="3A90ADB5">
            <w:pPr>
              <w:spacing w:line="360" w:lineRule="auto"/>
              <w:rPr>
                <w:rFonts w:hint="eastAsia" w:ascii="宋体" w:hAnsi="宋体"/>
                <w:b/>
                <w:color w:val="auto"/>
                <w:szCs w:val="24"/>
                <w:highlight w:val="none"/>
              </w:rPr>
            </w:pPr>
          </w:p>
        </w:tc>
      </w:tr>
      <w:tr w14:paraId="1A83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65" w:type="dxa"/>
            <w:vAlign w:val="center"/>
          </w:tcPr>
          <w:p w14:paraId="5F87385D">
            <w:pPr>
              <w:jc w:val="center"/>
              <w:rPr>
                <w:rFonts w:hint="eastAsia" w:ascii="宋体" w:hAnsi="宋体"/>
                <w:color w:val="auto"/>
                <w:szCs w:val="24"/>
                <w:highlight w:val="none"/>
              </w:rPr>
            </w:pPr>
          </w:p>
        </w:tc>
        <w:tc>
          <w:tcPr>
            <w:tcW w:w="5493" w:type="dxa"/>
            <w:vAlign w:val="center"/>
          </w:tcPr>
          <w:p w14:paraId="291028D2">
            <w:pPr>
              <w:rPr>
                <w:rFonts w:hint="eastAsia" w:ascii="宋体" w:hAnsi="宋体"/>
                <w:color w:val="auto"/>
                <w:szCs w:val="24"/>
                <w:highlight w:val="none"/>
              </w:rPr>
            </w:pPr>
          </w:p>
        </w:tc>
        <w:tc>
          <w:tcPr>
            <w:tcW w:w="2641" w:type="dxa"/>
            <w:vAlign w:val="center"/>
          </w:tcPr>
          <w:p w14:paraId="0769245D">
            <w:pPr>
              <w:spacing w:line="360" w:lineRule="auto"/>
              <w:rPr>
                <w:rFonts w:hint="eastAsia" w:ascii="宋体" w:hAnsi="宋体"/>
                <w:b/>
                <w:color w:val="auto"/>
                <w:szCs w:val="24"/>
                <w:highlight w:val="none"/>
              </w:rPr>
            </w:pPr>
          </w:p>
        </w:tc>
      </w:tr>
      <w:tr w14:paraId="536B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65" w:type="dxa"/>
            <w:vAlign w:val="center"/>
          </w:tcPr>
          <w:p w14:paraId="6CB73B9F">
            <w:pPr>
              <w:jc w:val="center"/>
              <w:rPr>
                <w:rFonts w:hint="eastAsia" w:ascii="宋体" w:hAnsi="宋体"/>
                <w:color w:val="auto"/>
                <w:szCs w:val="24"/>
                <w:highlight w:val="none"/>
              </w:rPr>
            </w:pPr>
          </w:p>
        </w:tc>
        <w:tc>
          <w:tcPr>
            <w:tcW w:w="5493" w:type="dxa"/>
            <w:vAlign w:val="center"/>
          </w:tcPr>
          <w:p w14:paraId="3913E704">
            <w:pPr>
              <w:rPr>
                <w:rFonts w:hint="eastAsia" w:ascii="宋体" w:hAnsi="宋体"/>
                <w:color w:val="auto"/>
                <w:szCs w:val="24"/>
                <w:highlight w:val="none"/>
              </w:rPr>
            </w:pPr>
          </w:p>
        </w:tc>
        <w:tc>
          <w:tcPr>
            <w:tcW w:w="2641" w:type="dxa"/>
            <w:vAlign w:val="center"/>
          </w:tcPr>
          <w:p w14:paraId="738A92E3">
            <w:pPr>
              <w:spacing w:line="360" w:lineRule="auto"/>
              <w:rPr>
                <w:rFonts w:hint="eastAsia" w:ascii="宋体" w:hAnsi="宋体"/>
                <w:b/>
                <w:color w:val="auto"/>
                <w:szCs w:val="24"/>
                <w:highlight w:val="none"/>
              </w:rPr>
            </w:pPr>
          </w:p>
        </w:tc>
      </w:tr>
    </w:tbl>
    <w:p w14:paraId="2F8DFCA1">
      <w:pPr>
        <w:pStyle w:val="23"/>
        <w:ind w:left="480"/>
        <w:rPr>
          <w:color w:val="auto"/>
          <w:highlight w:val="none"/>
        </w:rPr>
      </w:pPr>
      <w:bookmarkStart w:id="208" w:name="_Toc197934561"/>
      <w:bookmarkStart w:id="209" w:name="_Toc197934563"/>
    </w:p>
    <w:p w14:paraId="654371C2">
      <w:pPr>
        <w:widowControl/>
        <w:jc w:val="left"/>
        <w:rPr>
          <w:rFonts w:hint="eastAsia" w:ascii="宋体" w:hAnsi="宋体"/>
          <w:b/>
          <w:bCs/>
          <w:color w:val="auto"/>
          <w:sz w:val="28"/>
          <w:szCs w:val="32"/>
          <w:highlight w:val="none"/>
        </w:rPr>
      </w:pPr>
      <w:bookmarkStart w:id="210" w:name="_Toc17349"/>
      <w:r>
        <w:rPr>
          <w:rFonts w:hint="eastAsia" w:hAnsi="宋体"/>
          <w:color w:val="auto"/>
          <w:sz w:val="28"/>
          <w:highlight w:val="none"/>
        </w:rPr>
        <w:br w:type="page"/>
      </w:r>
    </w:p>
    <w:p w14:paraId="2F688891">
      <w:pPr>
        <w:pStyle w:val="5"/>
        <w:spacing w:before="120" w:after="120" w:line="360" w:lineRule="auto"/>
        <w:rPr>
          <w:rFonts w:hint="eastAsia" w:hAnsi="宋体"/>
          <w:color w:val="auto"/>
          <w:sz w:val="28"/>
          <w:highlight w:val="none"/>
        </w:rPr>
      </w:pPr>
      <w:r>
        <w:rPr>
          <w:rFonts w:hint="eastAsia" w:hAnsi="宋体"/>
          <w:color w:val="auto"/>
          <w:sz w:val="28"/>
          <w:highlight w:val="none"/>
        </w:rPr>
        <w:t>一．开标一览表</w:t>
      </w:r>
      <w:bookmarkEnd w:id="208"/>
      <w:bookmarkEnd w:id="21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4CC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07A5A1C0">
            <w:pPr>
              <w:widowControl/>
              <w:spacing w:line="360" w:lineRule="exact"/>
              <w:jc w:val="center"/>
              <w:rPr>
                <w:rFonts w:hint="eastAsia" w:ascii="宋体" w:hAnsi="宋体"/>
                <w:b/>
                <w:color w:val="auto"/>
                <w:szCs w:val="24"/>
                <w:highlight w:val="none"/>
              </w:rPr>
            </w:pPr>
            <w:r>
              <w:rPr>
                <w:rFonts w:hint="eastAsia" w:ascii="宋体" w:hAnsi="宋体"/>
                <w:b/>
                <w:color w:val="auto"/>
                <w:szCs w:val="24"/>
                <w:highlight w:val="none"/>
              </w:rPr>
              <w:t>项 目 名 称</w:t>
            </w:r>
          </w:p>
        </w:tc>
        <w:tc>
          <w:tcPr>
            <w:tcW w:w="6667" w:type="dxa"/>
            <w:tcBorders>
              <w:top w:val="single" w:color="auto" w:sz="4" w:space="0"/>
              <w:bottom w:val="single" w:color="auto" w:sz="4" w:space="0"/>
              <w:right w:val="single" w:color="auto" w:sz="4" w:space="0"/>
            </w:tcBorders>
            <w:vAlign w:val="center"/>
          </w:tcPr>
          <w:p w14:paraId="5E73157F">
            <w:pPr>
              <w:spacing w:line="360" w:lineRule="exact"/>
              <w:jc w:val="center"/>
              <w:rPr>
                <w:rFonts w:hint="eastAsia" w:ascii="宋体" w:hAnsi="宋体" w:eastAsia="宋体"/>
                <w:bCs/>
                <w:color w:val="auto"/>
                <w:szCs w:val="24"/>
                <w:highlight w:val="none"/>
                <w:u w:val="single"/>
                <w:lang w:eastAsia="zh-CN"/>
              </w:rPr>
            </w:pPr>
            <w:r>
              <w:rPr>
                <w:rFonts w:hint="eastAsia" w:ascii="宋体" w:hAnsi="宋体" w:eastAsia="宋体"/>
                <w:b/>
                <w:bCs w:val="0"/>
                <w:color w:val="auto"/>
                <w:szCs w:val="24"/>
                <w:highlight w:val="none"/>
                <w:u w:val="none"/>
                <w:lang w:eastAsia="zh-CN"/>
              </w:rPr>
              <w:t>肥西县智慧平安小区统一运维项目</w:t>
            </w:r>
          </w:p>
        </w:tc>
      </w:tr>
      <w:tr w14:paraId="0F8C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0FA0406D">
            <w:pPr>
              <w:spacing w:line="360" w:lineRule="exact"/>
              <w:jc w:val="center"/>
              <w:rPr>
                <w:rFonts w:hint="eastAsia" w:ascii="宋体" w:hAnsi="宋体"/>
                <w:b/>
                <w:color w:val="auto"/>
                <w:szCs w:val="24"/>
                <w:highlight w:val="none"/>
              </w:rPr>
            </w:pPr>
            <w:r>
              <w:rPr>
                <w:rFonts w:hint="eastAsia" w:ascii="宋体" w:hAnsi="宋体"/>
                <w:b/>
                <w:color w:val="auto"/>
                <w:szCs w:val="24"/>
                <w:highlight w:val="none"/>
              </w:rPr>
              <w:t>投标人全称</w:t>
            </w:r>
          </w:p>
        </w:tc>
        <w:tc>
          <w:tcPr>
            <w:tcW w:w="6667" w:type="dxa"/>
            <w:tcBorders>
              <w:top w:val="nil"/>
            </w:tcBorders>
            <w:vAlign w:val="center"/>
          </w:tcPr>
          <w:p w14:paraId="0CEEEA3B">
            <w:pPr>
              <w:spacing w:line="360" w:lineRule="auto"/>
              <w:rPr>
                <w:rFonts w:hint="eastAsia" w:ascii="宋体" w:hAnsi="宋体"/>
                <w:color w:val="auto"/>
                <w:szCs w:val="24"/>
                <w:highlight w:val="none"/>
              </w:rPr>
            </w:pPr>
          </w:p>
        </w:tc>
      </w:tr>
      <w:tr w14:paraId="3A73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EDDEBA2">
            <w:pPr>
              <w:spacing w:line="360" w:lineRule="exact"/>
              <w:jc w:val="center"/>
              <w:rPr>
                <w:rFonts w:hint="eastAsia" w:ascii="宋体" w:hAnsi="宋体"/>
                <w:b/>
                <w:color w:val="auto"/>
                <w:szCs w:val="24"/>
                <w:highlight w:val="none"/>
              </w:rPr>
            </w:pPr>
            <w:r>
              <w:rPr>
                <w:rFonts w:hint="eastAsia" w:ascii="宋体" w:hAnsi="宋体"/>
                <w:b/>
                <w:color w:val="auto"/>
                <w:szCs w:val="24"/>
                <w:highlight w:val="none"/>
              </w:rPr>
              <w:t>投标范围</w:t>
            </w:r>
          </w:p>
        </w:tc>
        <w:tc>
          <w:tcPr>
            <w:tcW w:w="6667" w:type="dxa"/>
            <w:tcBorders>
              <w:top w:val="nil"/>
            </w:tcBorders>
            <w:vAlign w:val="center"/>
          </w:tcPr>
          <w:p w14:paraId="7E287D46">
            <w:pPr>
              <w:widowControl/>
              <w:spacing w:line="360" w:lineRule="exact"/>
              <w:jc w:val="center"/>
              <w:rPr>
                <w:rFonts w:hint="eastAsia" w:ascii="宋体" w:hAnsi="宋体"/>
                <w:b/>
                <w:color w:val="auto"/>
                <w:szCs w:val="24"/>
                <w:highlight w:val="none"/>
              </w:rPr>
            </w:pPr>
            <w:r>
              <w:rPr>
                <w:rFonts w:hint="eastAsia" w:ascii="宋体" w:hAnsi="宋体"/>
                <w:color w:val="auto"/>
                <w:szCs w:val="24"/>
                <w:highlight w:val="none"/>
              </w:rPr>
              <w:t>全部</w:t>
            </w:r>
          </w:p>
        </w:tc>
      </w:tr>
      <w:tr w14:paraId="34F0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A403647">
            <w:pPr>
              <w:spacing w:line="360" w:lineRule="exact"/>
              <w:jc w:val="center"/>
              <w:rPr>
                <w:rFonts w:hint="default" w:ascii="宋体" w:hAnsi="宋体" w:eastAsia="宋体"/>
                <w:b/>
                <w:color w:val="auto"/>
                <w:szCs w:val="24"/>
                <w:highlight w:val="none"/>
                <w:lang w:val="en-US" w:eastAsia="zh-CN"/>
              </w:rPr>
            </w:pPr>
            <w:r>
              <w:rPr>
                <w:rFonts w:hint="eastAsia" w:ascii="宋体" w:hAnsi="宋体"/>
                <w:b/>
                <w:color w:val="auto"/>
                <w:szCs w:val="24"/>
                <w:highlight w:val="none"/>
                <w:lang w:val="en-US" w:eastAsia="zh-CN"/>
              </w:rPr>
              <w:t>投标报价</w:t>
            </w:r>
          </w:p>
        </w:tc>
        <w:tc>
          <w:tcPr>
            <w:tcW w:w="6667" w:type="dxa"/>
            <w:tcBorders>
              <w:top w:val="nil"/>
            </w:tcBorders>
            <w:vAlign w:val="center"/>
          </w:tcPr>
          <w:p w14:paraId="013B9E2A">
            <w:pPr>
              <w:widowControl/>
              <w:spacing w:line="360" w:lineRule="exact"/>
              <w:jc w:val="both"/>
              <w:rPr>
                <w:rFonts w:hint="eastAsia" w:ascii="宋体" w:hAnsi="宋体"/>
                <w:color w:val="auto"/>
                <w:szCs w:val="24"/>
                <w:highlight w:val="none"/>
                <w:u w:val="single"/>
                <w:lang w:val="en-US" w:eastAsia="zh-CN"/>
              </w:rPr>
            </w:pPr>
            <w:r>
              <w:rPr>
                <w:rFonts w:hint="eastAsia" w:ascii="宋体" w:hAnsi="宋体"/>
                <w:color w:val="auto"/>
                <w:szCs w:val="24"/>
                <w:highlight w:val="none"/>
                <w:u w:val="none"/>
                <w:lang w:val="en-US" w:eastAsia="zh-CN"/>
              </w:rPr>
              <w:t>大写：</w:t>
            </w:r>
            <w:r>
              <w:rPr>
                <w:rFonts w:hint="eastAsia" w:ascii="宋体" w:hAnsi="宋体"/>
                <w:color w:val="auto"/>
                <w:szCs w:val="24"/>
                <w:highlight w:val="none"/>
                <w:u w:val="single"/>
                <w:lang w:val="en-US" w:eastAsia="zh-CN"/>
              </w:rPr>
              <w:t xml:space="preserve">        </w:t>
            </w:r>
          </w:p>
          <w:p w14:paraId="509B6926">
            <w:pPr>
              <w:widowControl/>
              <w:spacing w:line="360" w:lineRule="exact"/>
              <w:jc w:val="both"/>
              <w:rPr>
                <w:rFonts w:hint="default" w:ascii="宋体" w:hAnsi="宋体"/>
                <w:color w:val="auto"/>
                <w:szCs w:val="24"/>
                <w:highlight w:val="none"/>
                <w:u w:val="single"/>
                <w:lang w:val="en-US" w:eastAsia="zh-CN"/>
              </w:rPr>
            </w:pPr>
            <w:r>
              <w:rPr>
                <w:rFonts w:hint="eastAsia" w:ascii="宋体" w:hAnsi="宋体"/>
                <w:color w:val="auto"/>
                <w:szCs w:val="24"/>
                <w:highlight w:val="none"/>
                <w:u w:val="none"/>
                <w:lang w:val="en-US" w:eastAsia="zh-CN"/>
              </w:rPr>
              <w:t>小写：</w:t>
            </w:r>
            <w:r>
              <w:rPr>
                <w:rFonts w:hint="eastAsia" w:ascii="宋体" w:hAnsi="宋体"/>
                <w:color w:val="auto"/>
                <w:szCs w:val="24"/>
                <w:highlight w:val="none"/>
                <w:u w:val="single"/>
                <w:lang w:val="en-US" w:eastAsia="zh-CN"/>
              </w:rPr>
              <w:t xml:space="preserve">        </w:t>
            </w:r>
          </w:p>
        </w:tc>
      </w:tr>
      <w:tr w14:paraId="6B9F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16B07E5">
            <w:pPr>
              <w:spacing w:before="100" w:beforeAutospacing="1" w:after="100" w:afterAutospacing="1" w:line="360" w:lineRule="auto"/>
              <w:rPr>
                <w:rFonts w:hint="eastAsia" w:ascii="宋体" w:hAnsi="宋体"/>
                <w:b/>
                <w:color w:val="auto"/>
                <w:highlight w:val="none"/>
              </w:rPr>
            </w:pPr>
            <w:r>
              <w:rPr>
                <w:rFonts w:hint="eastAsia" w:ascii="宋体" w:hAnsi="宋体"/>
                <w:b/>
                <w:color w:val="auto"/>
                <w:highlight w:val="none"/>
              </w:rPr>
              <w:t>是否响应招标文件要求</w:t>
            </w:r>
          </w:p>
        </w:tc>
        <w:tc>
          <w:tcPr>
            <w:tcW w:w="6667" w:type="dxa"/>
            <w:tcBorders>
              <w:top w:val="nil"/>
            </w:tcBorders>
            <w:vAlign w:val="center"/>
          </w:tcPr>
          <w:p w14:paraId="03A8F404">
            <w:pPr>
              <w:spacing w:before="100" w:beforeAutospacing="1" w:after="100" w:afterAutospacing="1" w:line="360" w:lineRule="auto"/>
              <w:rPr>
                <w:rFonts w:hint="eastAsia" w:ascii="宋体" w:hAnsi="宋体"/>
                <w:b/>
                <w:color w:val="auto"/>
                <w:highlight w:val="none"/>
              </w:rPr>
            </w:pPr>
          </w:p>
          <w:p w14:paraId="2BB97FB0">
            <w:pPr>
              <w:spacing w:before="100" w:beforeAutospacing="1" w:after="100" w:afterAutospacing="1" w:line="360" w:lineRule="auto"/>
              <w:jc w:val="center"/>
              <w:rPr>
                <w:rFonts w:hint="eastAsia" w:ascii="宋体" w:hAnsi="宋体"/>
                <w:color w:val="auto"/>
                <w:highlight w:val="none"/>
              </w:rPr>
            </w:pPr>
            <w:r>
              <w:rPr>
                <w:rFonts w:hint="eastAsia" w:ascii="宋体" w:hAnsi="宋体"/>
                <w:color w:val="auto"/>
                <w:highlight w:val="none"/>
              </w:rPr>
              <w:t>响应</w:t>
            </w:r>
          </w:p>
          <w:p w14:paraId="74CEBF64">
            <w:pPr>
              <w:spacing w:before="100" w:beforeAutospacing="1" w:after="100" w:afterAutospacing="1" w:line="360" w:lineRule="auto"/>
              <w:rPr>
                <w:rFonts w:hint="eastAsia" w:ascii="宋体" w:hAnsi="宋体"/>
                <w:b/>
                <w:color w:val="auto"/>
                <w:highlight w:val="none"/>
              </w:rPr>
            </w:pPr>
          </w:p>
        </w:tc>
      </w:tr>
      <w:tr w14:paraId="3096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4B2CEDE1">
            <w:pPr>
              <w:spacing w:line="360" w:lineRule="auto"/>
              <w:jc w:val="center"/>
              <w:rPr>
                <w:rFonts w:hint="eastAsia" w:ascii="宋体" w:hAnsi="宋体"/>
                <w:b/>
                <w:color w:val="auto"/>
                <w:szCs w:val="24"/>
                <w:highlight w:val="none"/>
              </w:rPr>
            </w:pPr>
            <w:r>
              <w:rPr>
                <w:rFonts w:hint="eastAsia" w:ascii="宋体" w:hAnsi="宋体"/>
                <w:b/>
                <w:color w:val="auto"/>
                <w:szCs w:val="24"/>
                <w:highlight w:val="none"/>
              </w:rPr>
              <w:t>备注</w:t>
            </w:r>
          </w:p>
        </w:tc>
        <w:tc>
          <w:tcPr>
            <w:tcW w:w="6667" w:type="dxa"/>
            <w:tcBorders>
              <w:top w:val="nil"/>
            </w:tcBorders>
            <w:vAlign w:val="center"/>
          </w:tcPr>
          <w:p w14:paraId="35F35F60">
            <w:pPr>
              <w:spacing w:line="360" w:lineRule="auto"/>
              <w:jc w:val="left"/>
              <w:rPr>
                <w:rFonts w:hint="eastAsia" w:ascii="宋体" w:hAnsi="宋体" w:eastAsia="宋体"/>
                <w:color w:val="auto"/>
                <w:szCs w:val="24"/>
                <w:highlight w:val="none"/>
                <w:lang w:val="en-US" w:eastAsia="zh-CN"/>
              </w:rPr>
            </w:pPr>
          </w:p>
        </w:tc>
      </w:tr>
    </w:tbl>
    <w:p w14:paraId="7B0586C1">
      <w:pPr>
        <w:spacing w:before="100" w:beforeAutospacing="1" w:after="100" w:afterAutospacing="1" w:line="360" w:lineRule="auto"/>
        <w:rPr>
          <w:rFonts w:hint="eastAsia" w:ascii="宋体" w:hAnsi="宋体"/>
          <w:b/>
          <w:color w:val="auto"/>
          <w:highlight w:val="none"/>
        </w:rPr>
      </w:pPr>
      <w:r>
        <w:rPr>
          <w:rFonts w:hint="eastAsia" w:ascii="宋体" w:hAnsi="宋体"/>
          <w:b/>
          <w:color w:val="auto"/>
          <w:highlight w:val="none"/>
        </w:rPr>
        <w:t xml:space="preserve">投标人公章：                                           </w:t>
      </w:r>
    </w:p>
    <w:p w14:paraId="66CA4BA4">
      <w:pPr>
        <w:jc w:val="center"/>
        <w:rPr>
          <w:rFonts w:hint="eastAsia" w:ascii="宋体" w:hAnsi="宋体"/>
          <w:color w:val="auto"/>
          <w:szCs w:val="24"/>
          <w:highlight w:val="none"/>
        </w:rPr>
      </w:pPr>
    </w:p>
    <w:p w14:paraId="4A985592">
      <w:pPr>
        <w:rPr>
          <w:rFonts w:hint="eastAsia"/>
          <w:b/>
          <w:bCs/>
          <w:sz w:val="28"/>
          <w:szCs w:val="24"/>
          <w:lang w:val="en-US" w:eastAsia="zh-CN"/>
        </w:rPr>
      </w:pPr>
      <w:r>
        <w:rPr>
          <w:rFonts w:hint="eastAsia"/>
          <w:b/>
          <w:bCs/>
          <w:sz w:val="28"/>
          <w:szCs w:val="24"/>
          <w:lang w:val="en-US" w:eastAsia="zh-CN"/>
        </w:rPr>
        <w:br w:type="page"/>
      </w:r>
    </w:p>
    <w:p w14:paraId="5C74AB08">
      <w:pPr>
        <w:keepNext w:val="0"/>
        <w:keepLines w:val="0"/>
        <w:pageBreakBefore w:val="0"/>
        <w:kinsoku/>
        <w:wordWrap/>
        <w:overflowPunct/>
        <w:topLinePunct w:val="0"/>
        <w:autoSpaceDE/>
        <w:autoSpaceDN/>
        <w:bidi w:val="0"/>
        <w:adjustRightInd/>
        <w:snapToGrid/>
        <w:spacing w:line="360" w:lineRule="auto"/>
        <w:jc w:val="center"/>
        <w:rPr>
          <w:rFonts w:hint="default" w:eastAsia="宋体"/>
          <w:b/>
          <w:bCs/>
          <w:sz w:val="28"/>
          <w:szCs w:val="24"/>
          <w:lang w:val="en-US" w:eastAsia="zh-CN"/>
        </w:rPr>
      </w:pPr>
      <w:r>
        <w:rPr>
          <w:rFonts w:hint="eastAsia"/>
          <w:b/>
          <w:bCs/>
          <w:sz w:val="28"/>
          <w:szCs w:val="24"/>
          <w:lang w:val="en-US" w:eastAsia="zh-CN"/>
        </w:rPr>
        <w:t>分项报价明细表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263"/>
        <w:gridCol w:w="780"/>
        <w:gridCol w:w="1046"/>
        <w:gridCol w:w="1611"/>
        <w:gridCol w:w="1577"/>
      </w:tblGrid>
      <w:tr w14:paraId="7741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Align w:val="center"/>
          </w:tcPr>
          <w:p w14:paraId="7CE1CD79">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分项名称</w:t>
            </w:r>
          </w:p>
        </w:tc>
        <w:tc>
          <w:tcPr>
            <w:tcW w:w="2263" w:type="dxa"/>
            <w:vAlign w:val="center"/>
          </w:tcPr>
          <w:p w14:paraId="2BE6290E">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分项</w:t>
            </w:r>
            <w:r>
              <w:rPr>
                <w:rFonts w:hint="eastAsia" w:ascii="宋体" w:hAnsi="宋体" w:cs="宋体"/>
                <w:sz w:val="21"/>
                <w:szCs w:val="21"/>
                <w:vertAlign w:val="baseline"/>
                <w:lang w:val="en-US" w:eastAsia="zh-CN"/>
              </w:rPr>
              <w:t>报价</w:t>
            </w:r>
            <w:r>
              <w:rPr>
                <w:rFonts w:hint="eastAsia" w:ascii="宋体" w:hAnsi="宋体" w:eastAsia="宋体" w:cs="宋体"/>
                <w:sz w:val="21"/>
                <w:szCs w:val="21"/>
                <w:vertAlign w:val="baseline"/>
                <w:lang w:val="en-US" w:eastAsia="zh-CN"/>
              </w:rPr>
              <w:t>（元）</w:t>
            </w:r>
          </w:p>
        </w:tc>
        <w:tc>
          <w:tcPr>
            <w:tcW w:w="780" w:type="dxa"/>
            <w:vAlign w:val="center"/>
          </w:tcPr>
          <w:p w14:paraId="0723D09F">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年数</w:t>
            </w:r>
          </w:p>
        </w:tc>
        <w:tc>
          <w:tcPr>
            <w:tcW w:w="1046" w:type="dxa"/>
            <w:vAlign w:val="center"/>
          </w:tcPr>
          <w:p w14:paraId="6D528C55">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1611" w:type="dxa"/>
            <w:vAlign w:val="center"/>
          </w:tcPr>
          <w:p w14:paraId="7A5F728C">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数量（暂定）</w:t>
            </w:r>
          </w:p>
        </w:tc>
        <w:tc>
          <w:tcPr>
            <w:tcW w:w="1577" w:type="dxa"/>
            <w:vAlign w:val="center"/>
          </w:tcPr>
          <w:p w14:paraId="36FCF157">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小计（元）</w:t>
            </w:r>
          </w:p>
        </w:tc>
      </w:tr>
      <w:tr w14:paraId="18E9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3" w:type="dxa"/>
            <w:vAlign w:val="center"/>
          </w:tcPr>
          <w:p w14:paraId="3076FA5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rPr>
            </w:pPr>
            <w:r>
              <w:rPr>
                <w:rFonts w:hint="eastAsia" w:ascii="宋体" w:hAnsi="宋体" w:eastAsia="宋体" w:cs="宋体"/>
                <w:color w:val="000000"/>
                <w:kern w:val="0"/>
                <w:sz w:val="21"/>
                <w:szCs w:val="21"/>
                <w:lang w:val="en-US" w:eastAsia="zh-CN" w:bidi="ar"/>
              </w:rPr>
              <w:t>链路费</w:t>
            </w:r>
          </w:p>
        </w:tc>
        <w:tc>
          <w:tcPr>
            <w:tcW w:w="2263" w:type="dxa"/>
            <w:vAlign w:val="center"/>
          </w:tcPr>
          <w:p w14:paraId="6D64DB6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sz w:val="21"/>
                <w:szCs w:val="21"/>
                <w:vertAlign w:val="baseline"/>
                <w:lang w:val="en-US" w:eastAsia="zh-CN"/>
              </w:rPr>
            </w:pPr>
          </w:p>
        </w:tc>
        <w:tc>
          <w:tcPr>
            <w:tcW w:w="780" w:type="dxa"/>
            <w:vAlign w:val="center"/>
          </w:tcPr>
          <w:p w14:paraId="781399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46" w:type="dxa"/>
            <w:vAlign w:val="center"/>
          </w:tcPr>
          <w:p w14:paraId="0656F82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1611" w:type="dxa"/>
            <w:vAlign w:val="center"/>
          </w:tcPr>
          <w:p w14:paraId="558037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198</w:t>
            </w:r>
          </w:p>
        </w:tc>
        <w:tc>
          <w:tcPr>
            <w:tcW w:w="1577" w:type="dxa"/>
            <w:vAlign w:val="center"/>
          </w:tcPr>
          <w:p w14:paraId="19B934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p>
        </w:tc>
      </w:tr>
      <w:tr w14:paraId="14AE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43" w:type="dxa"/>
            <w:shd w:val="clear" w:color="auto" w:fill="auto"/>
            <w:vAlign w:val="center"/>
          </w:tcPr>
          <w:p w14:paraId="74AE2C3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0"/>
                <w:sz w:val="21"/>
                <w:szCs w:val="21"/>
                <w:lang w:val="en-US" w:eastAsia="zh-CN" w:bidi="ar"/>
              </w:rPr>
              <w:t>服务费</w:t>
            </w:r>
          </w:p>
        </w:tc>
        <w:tc>
          <w:tcPr>
            <w:tcW w:w="2263" w:type="dxa"/>
            <w:shd w:val="clear" w:color="auto" w:fill="auto"/>
            <w:vAlign w:val="center"/>
          </w:tcPr>
          <w:p w14:paraId="6F8D6F7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kern w:val="2"/>
                <w:sz w:val="21"/>
                <w:szCs w:val="21"/>
                <w:vertAlign w:val="baseline"/>
                <w:lang w:val="en-US" w:eastAsia="zh-CN" w:bidi="ar-SA"/>
              </w:rPr>
            </w:pPr>
          </w:p>
        </w:tc>
        <w:tc>
          <w:tcPr>
            <w:tcW w:w="780" w:type="dxa"/>
            <w:shd w:val="clear" w:color="auto" w:fill="auto"/>
            <w:vAlign w:val="center"/>
          </w:tcPr>
          <w:p w14:paraId="1DA17E6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46" w:type="dxa"/>
            <w:shd w:val="clear" w:color="auto" w:fill="auto"/>
            <w:vAlign w:val="center"/>
          </w:tcPr>
          <w:p w14:paraId="2ABBF6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1611" w:type="dxa"/>
            <w:shd w:val="clear" w:color="auto" w:fill="auto"/>
            <w:vAlign w:val="center"/>
          </w:tcPr>
          <w:p w14:paraId="5123121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115</w:t>
            </w:r>
          </w:p>
        </w:tc>
        <w:tc>
          <w:tcPr>
            <w:tcW w:w="1577" w:type="dxa"/>
            <w:shd w:val="clear" w:color="auto" w:fill="auto"/>
            <w:vAlign w:val="center"/>
          </w:tcPr>
          <w:p w14:paraId="56D82F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kern w:val="2"/>
                <w:sz w:val="21"/>
                <w:szCs w:val="21"/>
                <w:vertAlign w:val="baseline"/>
                <w:lang w:val="en-US" w:eastAsia="zh-CN" w:bidi="ar-SA"/>
              </w:rPr>
            </w:pPr>
          </w:p>
        </w:tc>
      </w:tr>
      <w:tr w14:paraId="79A4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Align w:val="center"/>
          </w:tcPr>
          <w:p w14:paraId="6FD522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视频监控服务费</w:t>
            </w:r>
          </w:p>
        </w:tc>
        <w:tc>
          <w:tcPr>
            <w:tcW w:w="2263" w:type="dxa"/>
            <w:vAlign w:val="center"/>
          </w:tcPr>
          <w:p w14:paraId="7B366F3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sz w:val="21"/>
                <w:szCs w:val="21"/>
                <w:vertAlign w:val="baseline"/>
                <w:lang w:val="en-US" w:eastAsia="zh-CN"/>
              </w:rPr>
            </w:pPr>
          </w:p>
        </w:tc>
        <w:tc>
          <w:tcPr>
            <w:tcW w:w="780" w:type="dxa"/>
            <w:vAlign w:val="center"/>
          </w:tcPr>
          <w:p w14:paraId="6099B3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046" w:type="dxa"/>
            <w:vAlign w:val="center"/>
          </w:tcPr>
          <w:p w14:paraId="66280CB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路</w:t>
            </w:r>
          </w:p>
        </w:tc>
        <w:tc>
          <w:tcPr>
            <w:tcW w:w="1611" w:type="dxa"/>
            <w:vAlign w:val="center"/>
          </w:tcPr>
          <w:p w14:paraId="6DC1516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695</w:t>
            </w:r>
          </w:p>
        </w:tc>
        <w:tc>
          <w:tcPr>
            <w:tcW w:w="1577" w:type="dxa"/>
            <w:vAlign w:val="center"/>
          </w:tcPr>
          <w:p w14:paraId="59DB1F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sz w:val="21"/>
                <w:szCs w:val="21"/>
                <w:vertAlign w:val="baseline"/>
                <w:lang w:val="en-US" w:eastAsia="zh-CN"/>
              </w:rPr>
            </w:pPr>
          </w:p>
        </w:tc>
      </w:tr>
      <w:tr w14:paraId="1E7F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3" w:type="dxa"/>
            <w:gridSpan w:val="5"/>
            <w:vAlign w:val="center"/>
          </w:tcPr>
          <w:p w14:paraId="1963978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577" w:type="dxa"/>
            <w:vAlign w:val="center"/>
          </w:tcPr>
          <w:p w14:paraId="37144001">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sz w:val="21"/>
                <w:szCs w:val="21"/>
                <w:vertAlign w:val="baseline"/>
                <w:lang w:val="en-US" w:eastAsia="zh-CN"/>
              </w:rPr>
            </w:pPr>
          </w:p>
        </w:tc>
      </w:tr>
    </w:tbl>
    <w:p w14:paraId="064F7A93">
      <w:pPr>
        <w:jc w:val="center"/>
        <w:rPr>
          <w:rFonts w:hint="eastAsia" w:ascii="宋体" w:hAnsi="宋体"/>
          <w:color w:val="auto"/>
          <w:szCs w:val="24"/>
          <w:highlight w:val="none"/>
        </w:rPr>
      </w:pPr>
    </w:p>
    <w:p w14:paraId="08039AA8">
      <w:pPr>
        <w:tabs>
          <w:tab w:val="left" w:pos="4620"/>
        </w:tabs>
        <w:spacing w:line="360" w:lineRule="auto"/>
        <w:ind w:firstLine="4961" w:firstLineChars="1772"/>
        <w:rPr>
          <w:rFonts w:hint="eastAsia" w:ascii="宋体" w:hAnsi="宋体"/>
          <w:color w:val="auto"/>
          <w:szCs w:val="24"/>
          <w:highlight w:val="none"/>
        </w:rPr>
      </w:pPr>
      <w:bookmarkStart w:id="211" w:name="_Toc463250311"/>
      <w:bookmarkStart w:id="212" w:name="_Toc451019075"/>
      <w:bookmarkStart w:id="213" w:name="_Toc300210382"/>
      <w:r>
        <w:rPr>
          <w:rFonts w:hAnsi="宋体"/>
          <w:color w:val="auto"/>
          <w:sz w:val="28"/>
          <w:highlight w:val="none"/>
        </w:rPr>
        <w:br w:type="page"/>
      </w:r>
      <w:bookmarkEnd w:id="211"/>
      <w:bookmarkEnd w:id="212"/>
      <w:bookmarkEnd w:id="213"/>
    </w:p>
    <w:p w14:paraId="704B8654">
      <w:pPr>
        <w:pStyle w:val="5"/>
        <w:spacing w:before="120" w:after="120" w:line="360" w:lineRule="auto"/>
        <w:rPr>
          <w:rFonts w:hint="eastAsia" w:hAnsi="宋体"/>
          <w:color w:val="auto"/>
          <w:sz w:val="28"/>
          <w:highlight w:val="none"/>
        </w:rPr>
      </w:pPr>
      <w:bookmarkStart w:id="214" w:name="_Hlt533408916"/>
      <w:bookmarkEnd w:id="214"/>
      <w:bookmarkStart w:id="215" w:name="_Hlt533409360"/>
      <w:bookmarkEnd w:id="215"/>
      <w:bookmarkStart w:id="216" w:name="_Hlt533408409"/>
      <w:bookmarkEnd w:id="216"/>
      <w:bookmarkStart w:id="217" w:name="_Hlt509716873"/>
      <w:bookmarkEnd w:id="217"/>
      <w:bookmarkStart w:id="218" w:name="_Hlt519045798"/>
      <w:bookmarkEnd w:id="218"/>
      <w:bookmarkStart w:id="219" w:name="_Toc516969097"/>
      <w:bookmarkStart w:id="220" w:name="_Toc30570"/>
      <w:r>
        <w:rPr>
          <w:rFonts w:hint="eastAsia" w:hAnsi="宋体"/>
          <w:color w:val="auto"/>
          <w:sz w:val="28"/>
          <w:highlight w:val="none"/>
        </w:rPr>
        <w:t>二．投标人情况综合简介</w:t>
      </w:r>
      <w:bookmarkEnd w:id="219"/>
      <w:bookmarkEnd w:id="220"/>
    </w:p>
    <w:p w14:paraId="14C6FBA0">
      <w:pPr>
        <w:spacing w:line="500" w:lineRule="exact"/>
        <w:jc w:val="center"/>
        <w:rPr>
          <w:rFonts w:hint="eastAsia" w:ascii="宋体" w:hAnsi="宋体"/>
          <w:color w:val="auto"/>
          <w:szCs w:val="24"/>
          <w:highlight w:val="none"/>
        </w:rPr>
      </w:pPr>
      <w:r>
        <w:rPr>
          <w:rFonts w:hint="eastAsia" w:ascii="宋体" w:hAnsi="宋体"/>
          <w:b/>
          <w:bCs/>
          <w:color w:val="auto"/>
          <w:szCs w:val="24"/>
          <w:highlight w:val="none"/>
        </w:rPr>
        <w:t>（</w:t>
      </w:r>
      <w:r>
        <w:rPr>
          <w:rFonts w:hint="eastAsia" w:ascii="宋体" w:hAnsi="宋体"/>
          <w:bCs/>
          <w:color w:val="auto"/>
          <w:szCs w:val="24"/>
          <w:highlight w:val="none"/>
        </w:rPr>
        <w:t>投标人可自行制作格式</w:t>
      </w:r>
      <w:r>
        <w:rPr>
          <w:rFonts w:hint="eastAsia" w:ascii="宋体" w:hAnsi="宋体"/>
          <w:b/>
          <w:bCs/>
          <w:color w:val="auto"/>
          <w:szCs w:val="24"/>
          <w:highlight w:val="none"/>
        </w:rPr>
        <w:t>）</w:t>
      </w:r>
    </w:p>
    <w:p w14:paraId="7C068A3B">
      <w:pPr>
        <w:spacing w:line="500" w:lineRule="exact"/>
        <w:jc w:val="center"/>
        <w:rPr>
          <w:rFonts w:hint="eastAsia" w:ascii="宋体" w:hAnsi="宋体"/>
          <w:color w:val="auto"/>
          <w:szCs w:val="24"/>
          <w:highlight w:val="none"/>
        </w:rPr>
      </w:pPr>
    </w:p>
    <w:p w14:paraId="160C71E0">
      <w:pPr>
        <w:spacing w:line="500" w:lineRule="exact"/>
        <w:jc w:val="center"/>
        <w:rPr>
          <w:rFonts w:hint="eastAsia" w:ascii="宋体" w:hAnsi="宋体"/>
          <w:color w:val="auto"/>
          <w:szCs w:val="24"/>
          <w:highlight w:val="none"/>
        </w:rPr>
      </w:pPr>
    </w:p>
    <w:p w14:paraId="492C8AAC">
      <w:pPr>
        <w:spacing w:line="500" w:lineRule="exact"/>
        <w:jc w:val="center"/>
        <w:rPr>
          <w:rFonts w:hint="eastAsia" w:ascii="宋体" w:hAnsi="宋体"/>
          <w:color w:val="auto"/>
          <w:szCs w:val="24"/>
          <w:highlight w:val="none"/>
        </w:rPr>
      </w:pPr>
    </w:p>
    <w:p w14:paraId="08543312">
      <w:pPr>
        <w:spacing w:line="500" w:lineRule="exact"/>
        <w:jc w:val="center"/>
        <w:rPr>
          <w:rFonts w:hint="eastAsia" w:ascii="宋体" w:hAnsi="宋体"/>
          <w:color w:val="auto"/>
          <w:szCs w:val="24"/>
          <w:highlight w:val="none"/>
        </w:rPr>
      </w:pPr>
    </w:p>
    <w:p w14:paraId="22260760">
      <w:pPr>
        <w:pStyle w:val="5"/>
        <w:spacing w:before="120" w:after="120" w:line="360" w:lineRule="auto"/>
        <w:outlineLvl w:val="9"/>
        <w:rPr>
          <w:rFonts w:hint="eastAsia" w:hAnsi="宋体"/>
          <w:color w:val="auto"/>
          <w:sz w:val="28"/>
          <w:highlight w:val="none"/>
        </w:rPr>
        <w:sectPr>
          <w:headerReference r:id="rId11" w:type="default"/>
          <w:footerReference r:id="rId12" w:type="default"/>
          <w:pgSz w:w="11907" w:h="16840"/>
          <w:pgMar w:top="1440" w:right="1247" w:bottom="1440" w:left="1247" w:header="851" w:footer="992" w:gutter="0"/>
          <w:pgNumType w:fmt="decimal"/>
          <w:cols w:space="720" w:num="1"/>
          <w:docGrid w:linePitch="303" w:charSpace="0"/>
        </w:sectPr>
      </w:pPr>
      <w:bookmarkStart w:id="221" w:name="_Toc516969098"/>
      <w:bookmarkStart w:id="222" w:name="_Toc13870"/>
    </w:p>
    <w:p w14:paraId="2AE0F371">
      <w:pPr>
        <w:pStyle w:val="5"/>
        <w:spacing w:before="120" w:after="120" w:line="360" w:lineRule="auto"/>
        <w:rPr>
          <w:rFonts w:hint="eastAsia" w:hAnsi="宋体"/>
          <w:color w:val="auto"/>
          <w:sz w:val="24"/>
          <w:szCs w:val="24"/>
          <w:highlight w:val="none"/>
        </w:rPr>
      </w:pPr>
      <w:r>
        <w:rPr>
          <w:rFonts w:hint="eastAsia" w:hAnsi="宋体"/>
          <w:color w:val="auto"/>
          <w:sz w:val="28"/>
          <w:highlight w:val="none"/>
        </w:rPr>
        <w:t>三．投标函</w:t>
      </w:r>
      <w:bookmarkEnd w:id="221"/>
      <w:bookmarkEnd w:id="222"/>
    </w:p>
    <w:p w14:paraId="0230D929">
      <w:pPr>
        <w:pStyle w:val="10"/>
        <w:spacing w:line="46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lang w:eastAsia="zh-CN"/>
        </w:rPr>
        <w:t>肥西县公共资源交易有限责任公司</w:t>
      </w:r>
    </w:p>
    <w:p w14:paraId="637F4A3F">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根据贵方“肥西县智慧平安小区统一运维项目”的招标公告，</w:t>
      </w:r>
      <w:r>
        <w:rPr>
          <w:rFonts w:hint="eastAsia" w:ascii="宋体" w:hAnsi="宋体"/>
          <w:color w:val="auto"/>
          <w:highlight w:val="none"/>
        </w:rPr>
        <w:t>我方</w:t>
      </w:r>
      <w:r>
        <w:rPr>
          <w:rFonts w:hint="eastAsia" w:ascii="宋体" w:hAnsi="宋体"/>
          <w:color w:val="auto"/>
          <w:szCs w:val="24"/>
          <w:highlight w:val="none"/>
        </w:rPr>
        <w:t>提交规定形式的投标文件。</w:t>
      </w:r>
    </w:p>
    <w:p w14:paraId="0C79056D">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据此函，签字人兹宣布同意如下：</w:t>
      </w:r>
    </w:p>
    <w:p w14:paraId="02CAFBF3">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（1）我方按招标文件规定提供服务的最终投标报价详见开标一览表，我方完全响应招标文件规定的服务期限及付款方式。如我公司中标，我公司承诺愿意按招标文件规定交纳履约保证金和招标代理服务费。</w:t>
      </w:r>
    </w:p>
    <w:p w14:paraId="2699329D">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（2）我方根据招标文件的规定，严格履行合同的责任和义务</w:t>
      </w:r>
      <w:r>
        <w:rPr>
          <w:rFonts w:ascii="宋体" w:hAnsi="宋体"/>
          <w:color w:val="auto"/>
          <w:szCs w:val="24"/>
          <w:highlight w:val="none"/>
        </w:rPr>
        <w:t>,</w:t>
      </w:r>
      <w:r>
        <w:rPr>
          <w:rFonts w:hint="eastAsia" w:ascii="宋体" w:hAnsi="宋体"/>
          <w:color w:val="auto"/>
          <w:szCs w:val="24"/>
          <w:highlight w:val="none"/>
        </w:rPr>
        <w:t>并保证于招标人要求的日期内完成服务，并通过招标人验收。</w:t>
      </w:r>
    </w:p>
    <w:p w14:paraId="5A0E4D97">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3）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14:paraId="1ECA0D7C">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（4）我方同意从招标文件规定的开标日期起遵循本投标文件，并在招标文件规定的投标有效期之前均具有约束力。</w:t>
      </w:r>
    </w:p>
    <w:p w14:paraId="07C03A2F">
      <w:pPr>
        <w:spacing w:line="460" w:lineRule="exact"/>
        <w:ind w:firstLine="480" w:firstLineChars="200"/>
        <w:rPr>
          <w:rFonts w:hint="eastAsia" w:ascii="宋体" w:hAnsi="宋体"/>
          <w:color w:val="auto"/>
          <w:szCs w:val="24"/>
          <w:highlight w:val="none"/>
        </w:rPr>
      </w:pPr>
      <w:r>
        <w:rPr>
          <w:rFonts w:hint="eastAsia" w:ascii="宋体" w:hAnsi="宋体"/>
          <w:color w:val="auto"/>
          <w:szCs w:val="24"/>
          <w:highlight w:val="none"/>
        </w:rPr>
        <w:t>（5）我方承诺除非招标文件另有约定，我方派驻本标段的</w:t>
      </w:r>
      <w:r>
        <w:rPr>
          <w:rFonts w:hint="eastAsia" w:ascii="宋体" w:hAnsi="宋体"/>
          <w:color w:val="auto"/>
          <w:szCs w:val="24"/>
          <w:highlight w:val="none"/>
          <w:lang w:eastAsia="zh-CN"/>
        </w:rPr>
        <w:t>总监理工程师</w:t>
      </w:r>
      <w:r>
        <w:rPr>
          <w:rFonts w:hint="eastAsia" w:ascii="宋体" w:hAnsi="宋体"/>
          <w:color w:val="auto"/>
          <w:szCs w:val="24"/>
          <w:highlight w:val="none"/>
        </w:rPr>
        <w:t>及项目管理机构主要人员均为我单位在职人员。如我方拟派驻的人员和设备不满足合同附件要求，你方有权取消我方中标资格。</w:t>
      </w:r>
    </w:p>
    <w:p w14:paraId="2CAD792C">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（6）我方声明投标文件所提供的一切资料均真实无误、及时、有效。企业运营正常（</w:t>
      </w:r>
      <w:r>
        <w:rPr>
          <w:rFonts w:ascii="宋体" w:hAnsi="宋体"/>
          <w:color w:val="auto"/>
          <w:szCs w:val="24"/>
          <w:highlight w:val="none"/>
        </w:rPr>
        <w:t>注册登记信息、年报信息</w:t>
      </w:r>
      <w:r>
        <w:rPr>
          <w:rFonts w:hint="eastAsia" w:ascii="宋体" w:hAnsi="宋体"/>
          <w:color w:val="auto"/>
          <w:szCs w:val="24"/>
          <w:highlight w:val="none"/>
        </w:rPr>
        <w:t>可查）。由于我方提供资料不实而造成的责任和后果由我方承担。我方同意按照贵方提出的要求，提供与投标有关的任何证据、数据或资料。</w:t>
      </w:r>
    </w:p>
    <w:p w14:paraId="732AA5CB">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（7）我方完全理解贵方不一定接受最高报价的投标。</w:t>
      </w:r>
    </w:p>
    <w:p w14:paraId="782B0FF7">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w:t>
      </w:r>
      <w:r>
        <w:rPr>
          <w:rFonts w:hint="eastAsia" w:ascii="宋体" w:hAnsi="宋体"/>
          <w:color w:val="auto"/>
          <w:szCs w:val="24"/>
          <w:highlight w:val="none"/>
          <w:lang w:val="en-US" w:eastAsia="zh-CN"/>
        </w:rPr>
        <w:t>8</w:t>
      </w:r>
      <w:r>
        <w:rPr>
          <w:rFonts w:hint="eastAsia" w:ascii="宋体" w:hAnsi="宋体"/>
          <w:color w:val="auto"/>
          <w:szCs w:val="24"/>
          <w:highlight w:val="none"/>
        </w:rPr>
        <w:t>）我方同意招标文件规定的付款方式。</w:t>
      </w:r>
    </w:p>
    <w:p w14:paraId="541BC98D">
      <w:pPr>
        <w:spacing w:line="460" w:lineRule="exact"/>
        <w:ind w:firstLine="630"/>
        <w:rPr>
          <w:rFonts w:hint="eastAsia" w:ascii="宋体" w:hAnsi="宋体"/>
          <w:color w:val="auto"/>
          <w:szCs w:val="24"/>
          <w:highlight w:val="none"/>
          <w:u w:val="single"/>
        </w:rPr>
      </w:pPr>
      <w:r>
        <w:rPr>
          <w:rFonts w:hint="eastAsia" w:ascii="宋体" w:hAnsi="宋体"/>
          <w:color w:val="auto"/>
          <w:szCs w:val="24"/>
          <w:highlight w:val="none"/>
        </w:rPr>
        <w:t>（</w:t>
      </w:r>
      <w:r>
        <w:rPr>
          <w:rFonts w:hint="eastAsia" w:ascii="宋体" w:hAnsi="宋体"/>
          <w:color w:val="auto"/>
          <w:szCs w:val="24"/>
          <w:highlight w:val="none"/>
          <w:lang w:val="en-US" w:eastAsia="zh-CN"/>
        </w:rPr>
        <w:t>9</w:t>
      </w:r>
      <w:r>
        <w:rPr>
          <w:rFonts w:hint="eastAsia" w:ascii="宋体" w:hAnsi="宋体"/>
          <w:color w:val="auto"/>
          <w:szCs w:val="24"/>
          <w:highlight w:val="none"/>
        </w:rPr>
        <w:t>）与本投标有关的通讯地址：</w:t>
      </w:r>
      <w:r>
        <w:rPr>
          <w:rFonts w:hint="eastAsia" w:ascii="宋体" w:hAnsi="宋体"/>
          <w:color w:val="auto"/>
          <w:szCs w:val="24"/>
          <w:highlight w:val="none"/>
          <w:u w:val="single"/>
        </w:rPr>
        <w:t xml:space="preserve">                                  </w:t>
      </w:r>
    </w:p>
    <w:p w14:paraId="5F783408">
      <w:pPr>
        <w:spacing w:line="460" w:lineRule="exact"/>
        <w:ind w:firstLine="630"/>
        <w:rPr>
          <w:rFonts w:hint="eastAsia" w:ascii="宋体" w:hAnsi="宋体"/>
          <w:color w:val="auto"/>
          <w:szCs w:val="24"/>
          <w:highlight w:val="none"/>
          <w:u w:val="single"/>
        </w:rPr>
      </w:pPr>
      <w:r>
        <w:rPr>
          <w:rFonts w:hint="eastAsia" w:ascii="宋体" w:hAnsi="宋体"/>
          <w:color w:val="auto"/>
          <w:szCs w:val="24"/>
          <w:highlight w:val="none"/>
        </w:rPr>
        <w:t>电    话：</w:t>
      </w:r>
      <w:r>
        <w:rPr>
          <w:rFonts w:hint="eastAsia" w:ascii="宋体" w:hAnsi="宋体"/>
          <w:color w:val="auto"/>
          <w:szCs w:val="24"/>
          <w:highlight w:val="none"/>
          <w:u w:val="single"/>
        </w:rPr>
        <w:t xml:space="preserve">                      </w:t>
      </w:r>
      <w:r>
        <w:rPr>
          <w:rFonts w:hint="eastAsia" w:ascii="宋体" w:hAnsi="宋体"/>
          <w:color w:val="auto"/>
          <w:szCs w:val="24"/>
          <w:highlight w:val="none"/>
        </w:rPr>
        <w:t>传    真：</w:t>
      </w:r>
      <w:r>
        <w:rPr>
          <w:rFonts w:hint="eastAsia" w:ascii="宋体" w:hAnsi="宋体"/>
          <w:color w:val="auto"/>
          <w:szCs w:val="24"/>
          <w:highlight w:val="none"/>
          <w:u w:val="single"/>
        </w:rPr>
        <w:t xml:space="preserve">                 </w:t>
      </w:r>
    </w:p>
    <w:p w14:paraId="4FF171F1">
      <w:pPr>
        <w:spacing w:line="460" w:lineRule="exact"/>
        <w:ind w:firstLine="630"/>
        <w:rPr>
          <w:rFonts w:hint="eastAsia" w:ascii="宋体" w:hAnsi="宋体"/>
          <w:color w:val="auto"/>
          <w:szCs w:val="24"/>
          <w:highlight w:val="none"/>
        </w:rPr>
        <w:sectPr>
          <w:footerReference r:id="rId13" w:type="default"/>
          <w:pgSz w:w="11907" w:h="16840"/>
          <w:pgMar w:top="1440" w:right="1247" w:bottom="1440" w:left="1247" w:header="851" w:footer="992" w:gutter="0"/>
          <w:pgNumType w:fmt="decimal"/>
          <w:cols w:space="720" w:num="1"/>
          <w:docGrid w:linePitch="303" w:charSpace="0"/>
        </w:sectPr>
      </w:pPr>
    </w:p>
    <w:p w14:paraId="33CB6B65">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投标人基本账户开户名：</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账号：</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开户行：</w:t>
      </w:r>
      <w:r>
        <w:rPr>
          <w:rFonts w:hint="eastAsia" w:ascii="宋体" w:hAnsi="宋体"/>
          <w:color w:val="auto"/>
          <w:szCs w:val="24"/>
          <w:highlight w:val="none"/>
          <w:u w:val="single"/>
        </w:rPr>
        <w:t xml:space="preserve">            </w:t>
      </w:r>
    </w:p>
    <w:p w14:paraId="63553FCC">
      <w:pPr>
        <w:spacing w:line="460" w:lineRule="exact"/>
        <w:ind w:firstLine="630"/>
        <w:rPr>
          <w:rFonts w:hint="eastAsia" w:ascii="宋体" w:hAnsi="宋体"/>
          <w:color w:val="auto"/>
          <w:szCs w:val="24"/>
          <w:highlight w:val="none"/>
        </w:rPr>
      </w:pPr>
      <w:r>
        <w:rPr>
          <w:rFonts w:hint="eastAsia" w:ascii="宋体" w:hAnsi="宋体"/>
          <w:color w:val="auto"/>
          <w:szCs w:val="24"/>
          <w:highlight w:val="none"/>
        </w:rPr>
        <w:t>投标人公章：</w:t>
      </w:r>
      <w:r>
        <w:rPr>
          <w:rFonts w:hint="eastAsia" w:ascii="宋体" w:hAnsi="宋体"/>
          <w:color w:val="auto"/>
          <w:szCs w:val="24"/>
          <w:highlight w:val="none"/>
          <w:u w:val="single"/>
        </w:rPr>
        <w:t xml:space="preserve">                     </w:t>
      </w:r>
      <w:r>
        <w:rPr>
          <w:rFonts w:hint="eastAsia" w:ascii="宋体" w:hAnsi="宋体"/>
          <w:color w:val="auto"/>
          <w:szCs w:val="24"/>
          <w:highlight w:val="none"/>
        </w:rPr>
        <w:t>日    期：</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w:t>
      </w:r>
    </w:p>
    <w:p w14:paraId="3DAB9CE3">
      <w:pPr>
        <w:pStyle w:val="23"/>
        <w:ind w:left="480"/>
        <w:rPr>
          <w:color w:val="auto"/>
          <w:highlight w:val="none"/>
        </w:rPr>
      </w:pPr>
    </w:p>
    <w:p w14:paraId="4CE8B185">
      <w:pPr>
        <w:pStyle w:val="22"/>
        <w:ind w:firstLine="540"/>
        <w:rPr>
          <w:color w:val="auto"/>
          <w:highlight w:val="none"/>
        </w:rPr>
      </w:pPr>
    </w:p>
    <w:p w14:paraId="17B5CD26">
      <w:pPr>
        <w:rPr>
          <w:color w:val="auto"/>
          <w:highlight w:val="none"/>
        </w:rPr>
      </w:pPr>
    </w:p>
    <w:p w14:paraId="51CBD6D2">
      <w:pPr>
        <w:pStyle w:val="23"/>
        <w:ind w:left="480"/>
        <w:rPr>
          <w:color w:val="auto"/>
          <w:highlight w:val="none"/>
        </w:rPr>
      </w:pPr>
    </w:p>
    <w:p w14:paraId="30C6F7C3">
      <w:pPr>
        <w:pStyle w:val="22"/>
        <w:ind w:firstLine="540"/>
        <w:rPr>
          <w:color w:val="auto"/>
          <w:highlight w:val="none"/>
        </w:rPr>
      </w:pPr>
    </w:p>
    <w:p w14:paraId="34538914">
      <w:pPr>
        <w:rPr>
          <w:color w:val="auto"/>
          <w:highlight w:val="none"/>
        </w:rPr>
      </w:pPr>
    </w:p>
    <w:p w14:paraId="103CD0BA">
      <w:pPr>
        <w:pStyle w:val="23"/>
        <w:ind w:left="480"/>
        <w:rPr>
          <w:color w:val="auto"/>
          <w:highlight w:val="none"/>
        </w:rPr>
      </w:pPr>
    </w:p>
    <w:p w14:paraId="65770843">
      <w:pPr>
        <w:pStyle w:val="22"/>
        <w:ind w:firstLine="540"/>
        <w:rPr>
          <w:color w:val="auto"/>
          <w:highlight w:val="none"/>
        </w:rPr>
      </w:pPr>
    </w:p>
    <w:p w14:paraId="06FFB323">
      <w:pPr>
        <w:rPr>
          <w:color w:val="auto"/>
          <w:highlight w:val="none"/>
        </w:rPr>
      </w:pPr>
    </w:p>
    <w:p w14:paraId="5AC3FDA2">
      <w:pPr>
        <w:pStyle w:val="23"/>
        <w:ind w:left="480"/>
        <w:rPr>
          <w:color w:val="auto"/>
          <w:highlight w:val="none"/>
        </w:rPr>
      </w:pPr>
    </w:p>
    <w:p w14:paraId="7F9387DF">
      <w:pPr>
        <w:pStyle w:val="22"/>
        <w:ind w:firstLine="540"/>
        <w:rPr>
          <w:color w:val="auto"/>
          <w:highlight w:val="none"/>
        </w:rPr>
      </w:pPr>
    </w:p>
    <w:p w14:paraId="7FF984CD">
      <w:pPr>
        <w:rPr>
          <w:color w:val="auto"/>
          <w:highlight w:val="none"/>
        </w:rPr>
      </w:pPr>
    </w:p>
    <w:p w14:paraId="6D97BFCF">
      <w:pPr>
        <w:pStyle w:val="23"/>
        <w:ind w:left="480"/>
        <w:rPr>
          <w:color w:val="auto"/>
          <w:highlight w:val="none"/>
        </w:rPr>
      </w:pPr>
    </w:p>
    <w:p w14:paraId="6712DD68">
      <w:pPr>
        <w:pStyle w:val="22"/>
        <w:ind w:firstLine="540"/>
        <w:rPr>
          <w:color w:val="auto"/>
          <w:highlight w:val="none"/>
        </w:rPr>
      </w:pPr>
    </w:p>
    <w:p w14:paraId="67795D04">
      <w:pPr>
        <w:rPr>
          <w:color w:val="auto"/>
          <w:highlight w:val="none"/>
        </w:rPr>
      </w:pPr>
    </w:p>
    <w:p w14:paraId="4225FC0D">
      <w:pPr>
        <w:pStyle w:val="23"/>
        <w:ind w:left="480"/>
        <w:rPr>
          <w:color w:val="auto"/>
          <w:highlight w:val="none"/>
        </w:rPr>
      </w:pPr>
    </w:p>
    <w:p w14:paraId="0BB2754B">
      <w:pPr>
        <w:pStyle w:val="22"/>
        <w:ind w:firstLine="540"/>
        <w:rPr>
          <w:color w:val="auto"/>
          <w:highlight w:val="none"/>
        </w:rPr>
      </w:pPr>
    </w:p>
    <w:p w14:paraId="45D570C4">
      <w:pPr>
        <w:rPr>
          <w:color w:val="auto"/>
          <w:highlight w:val="none"/>
        </w:rPr>
      </w:pPr>
    </w:p>
    <w:p w14:paraId="62C03F05">
      <w:pPr>
        <w:pStyle w:val="23"/>
        <w:ind w:left="480"/>
        <w:rPr>
          <w:color w:val="auto"/>
          <w:highlight w:val="none"/>
        </w:rPr>
      </w:pPr>
    </w:p>
    <w:p w14:paraId="28C5E992">
      <w:pPr>
        <w:pStyle w:val="22"/>
        <w:ind w:firstLine="540"/>
        <w:rPr>
          <w:color w:val="auto"/>
          <w:highlight w:val="none"/>
        </w:rPr>
      </w:pPr>
    </w:p>
    <w:p w14:paraId="2E737430">
      <w:pPr>
        <w:rPr>
          <w:color w:val="auto"/>
          <w:highlight w:val="none"/>
        </w:rPr>
      </w:pPr>
    </w:p>
    <w:p w14:paraId="7F2547BB">
      <w:pPr>
        <w:pStyle w:val="23"/>
        <w:ind w:left="480"/>
        <w:rPr>
          <w:color w:val="auto"/>
          <w:highlight w:val="none"/>
        </w:rPr>
      </w:pPr>
    </w:p>
    <w:p w14:paraId="569356B8">
      <w:pPr>
        <w:pStyle w:val="22"/>
        <w:ind w:firstLine="540"/>
        <w:rPr>
          <w:color w:val="auto"/>
          <w:highlight w:val="none"/>
        </w:rPr>
      </w:pPr>
    </w:p>
    <w:p w14:paraId="11430F1D">
      <w:pPr>
        <w:rPr>
          <w:color w:val="auto"/>
          <w:highlight w:val="none"/>
        </w:rPr>
      </w:pPr>
    </w:p>
    <w:p w14:paraId="23ADD541">
      <w:pPr>
        <w:pStyle w:val="23"/>
        <w:ind w:left="480"/>
        <w:rPr>
          <w:color w:val="auto"/>
          <w:highlight w:val="none"/>
        </w:rPr>
      </w:pPr>
    </w:p>
    <w:p w14:paraId="1A0DFFFF">
      <w:pPr>
        <w:pStyle w:val="22"/>
        <w:ind w:firstLine="540"/>
        <w:rPr>
          <w:color w:val="auto"/>
          <w:highlight w:val="none"/>
        </w:rPr>
      </w:pPr>
    </w:p>
    <w:p w14:paraId="7152AE55">
      <w:pPr>
        <w:rPr>
          <w:color w:val="auto"/>
          <w:highlight w:val="none"/>
        </w:rPr>
      </w:pPr>
    </w:p>
    <w:p w14:paraId="4D0D749C">
      <w:pPr>
        <w:pStyle w:val="23"/>
        <w:ind w:left="480"/>
        <w:rPr>
          <w:color w:val="auto"/>
          <w:highlight w:val="none"/>
        </w:rPr>
      </w:pPr>
    </w:p>
    <w:p w14:paraId="22D04860">
      <w:pPr>
        <w:pStyle w:val="22"/>
        <w:ind w:firstLine="540"/>
        <w:rPr>
          <w:color w:val="auto"/>
          <w:highlight w:val="none"/>
        </w:rPr>
      </w:pPr>
    </w:p>
    <w:p w14:paraId="5B8C62D4">
      <w:pPr>
        <w:rPr>
          <w:color w:val="auto"/>
          <w:highlight w:val="none"/>
        </w:rPr>
      </w:pPr>
    </w:p>
    <w:p w14:paraId="5EA4805D">
      <w:pPr>
        <w:pStyle w:val="23"/>
        <w:ind w:left="480"/>
        <w:rPr>
          <w:color w:val="auto"/>
          <w:highlight w:val="none"/>
        </w:rPr>
      </w:pPr>
    </w:p>
    <w:p w14:paraId="0B57843C">
      <w:pPr>
        <w:pStyle w:val="22"/>
        <w:ind w:firstLine="540"/>
        <w:rPr>
          <w:color w:val="auto"/>
          <w:highlight w:val="none"/>
        </w:rPr>
      </w:pPr>
    </w:p>
    <w:p w14:paraId="3E2B5384">
      <w:pPr>
        <w:rPr>
          <w:color w:val="auto"/>
          <w:highlight w:val="none"/>
        </w:rPr>
      </w:pPr>
    </w:p>
    <w:p w14:paraId="3F49E88C">
      <w:pPr>
        <w:pStyle w:val="23"/>
        <w:ind w:left="480"/>
        <w:rPr>
          <w:color w:val="auto"/>
          <w:highlight w:val="none"/>
        </w:rPr>
      </w:pPr>
    </w:p>
    <w:p w14:paraId="33FD294E">
      <w:pPr>
        <w:pStyle w:val="22"/>
        <w:ind w:firstLine="540"/>
        <w:rPr>
          <w:color w:val="auto"/>
          <w:highlight w:val="none"/>
        </w:rPr>
      </w:pPr>
    </w:p>
    <w:bookmarkEnd w:id="63"/>
    <w:bookmarkEnd w:id="64"/>
    <w:bookmarkEnd w:id="65"/>
    <w:bookmarkEnd w:id="209"/>
    <w:p w14:paraId="267350A8">
      <w:pPr>
        <w:pStyle w:val="5"/>
        <w:spacing w:before="120" w:after="120" w:line="360" w:lineRule="auto"/>
        <w:rPr>
          <w:rFonts w:hint="eastAsia" w:hAnsi="宋体"/>
          <w:b w:val="0"/>
          <w:bCs w:val="0"/>
          <w:color w:val="auto"/>
          <w:sz w:val="28"/>
          <w:highlight w:val="none"/>
        </w:rPr>
      </w:pPr>
      <w:bookmarkStart w:id="223" w:name="_Hlt514495724"/>
      <w:bookmarkEnd w:id="223"/>
      <w:bookmarkStart w:id="224" w:name="_Hlt533408944"/>
      <w:bookmarkEnd w:id="224"/>
      <w:bookmarkStart w:id="225" w:name="_Toc20205"/>
      <w:r>
        <w:rPr>
          <w:rFonts w:hint="eastAsia" w:hAnsi="宋体"/>
          <w:color w:val="auto"/>
          <w:sz w:val="28"/>
          <w:highlight w:val="none"/>
        </w:rPr>
        <w:t>四．</w:t>
      </w:r>
      <w:bookmarkStart w:id="226" w:name="_Toc515390494"/>
      <w:bookmarkStart w:id="227" w:name="_Toc496587830"/>
      <w:r>
        <w:rPr>
          <w:rFonts w:hint="eastAsia" w:hAnsi="宋体"/>
          <w:color w:val="auto"/>
          <w:sz w:val="28"/>
          <w:highlight w:val="none"/>
        </w:rPr>
        <w:t>投标人信用承诺</w:t>
      </w:r>
      <w:bookmarkEnd w:id="225"/>
      <w:bookmarkEnd w:id="226"/>
      <w:bookmarkEnd w:id="227"/>
    </w:p>
    <w:p w14:paraId="2688EC94">
      <w:pPr>
        <w:spacing w:line="360" w:lineRule="auto"/>
        <w:ind w:firstLine="630"/>
        <w:rPr>
          <w:rFonts w:hint="eastAsia" w:ascii="宋体" w:hAnsi="宋体"/>
          <w:b/>
          <w:color w:val="auto"/>
          <w:highlight w:val="none"/>
        </w:rPr>
      </w:pPr>
      <w:r>
        <w:rPr>
          <w:rFonts w:hint="eastAsia" w:ascii="宋体" w:hAnsi="宋体"/>
          <w:b/>
          <w:color w:val="auto"/>
          <w:highlight w:val="none"/>
        </w:rPr>
        <w:t>一、我公司申明：</w:t>
      </w:r>
    </w:p>
    <w:p w14:paraId="3639EC91">
      <w:pPr>
        <w:spacing w:line="360" w:lineRule="auto"/>
        <w:ind w:firstLine="630"/>
        <w:rPr>
          <w:rFonts w:hint="eastAsia" w:ascii="宋体" w:hAnsi="宋体"/>
          <w:color w:val="auto"/>
          <w:highlight w:val="none"/>
        </w:rPr>
      </w:pPr>
      <w:r>
        <w:rPr>
          <w:rFonts w:hint="eastAsia" w:ascii="宋体" w:hAnsi="宋体"/>
          <w:color w:val="auto"/>
          <w:highlight w:val="none"/>
        </w:rPr>
        <w:t>1.我公司未被人民法院列入失信被执行人；</w:t>
      </w:r>
    </w:p>
    <w:p w14:paraId="26E642ED">
      <w:pPr>
        <w:spacing w:line="360" w:lineRule="auto"/>
        <w:ind w:firstLine="630"/>
        <w:rPr>
          <w:rFonts w:hint="eastAsia" w:ascii="宋体" w:hAnsi="宋体"/>
          <w:color w:val="auto"/>
          <w:highlight w:val="none"/>
        </w:rPr>
      </w:pPr>
      <w:r>
        <w:rPr>
          <w:rFonts w:hint="eastAsia" w:ascii="宋体" w:hAnsi="宋体"/>
          <w:color w:val="auto"/>
          <w:highlight w:val="none"/>
        </w:rPr>
        <w:t>2.我公司和我公司法定代表人和我公司拟派项目经理（项目负责人）均未被人民检察院列入行贿犯罪档案；</w:t>
      </w:r>
    </w:p>
    <w:p w14:paraId="294CF060">
      <w:pPr>
        <w:spacing w:line="360" w:lineRule="auto"/>
        <w:ind w:firstLine="630"/>
        <w:rPr>
          <w:rFonts w:hint="eastAsia" w:ascii="宋体" w:hAnsi="宋体"/>
          <w:color w:val="auto"/>
          <w:highlight w:val="none"/>
        </w:rPr>
      </w:pPr>
      <w:r>
        <w:rPr>
          <w:rFonts w:hint="eastAsia" w:ascii="宋体" w:hAnsi="宋体"/>
          <w:color w:val="auto"/>
          <w:highlight w:val="none"/>
        </w:rPr>
        <w:t>3.我公司未被工商行政管理部门列入企业经营异常名录；</w:t>
      </w:r>
    </w:p>
    <w:p w14:paraId="78256D56">
      <w:pPr>
        <w:spacing w:line="360" w:lineRule="auto"/>
        <w:ind w:firstLine="630"/>
        <w:rPr>
          <w:rFonts w:hint="eastAsia" w:ascii="宋体" w:hAnsi="宋体"/>
          <w:color w:val="auto"/>
          <w:highlight w:val="none"/>
        </w:rPr>
      </w:pPr>
      <w:r>
        <w:rPr>
          <w:rFonts w:hint="eastAsia" w:ascii="宋体" w:hAnsi="宋体"/>
          <w:color w:val="auto"/>
          <w:highlight w:val="none"/>
        </w:rPr>
        <w:t>4.我公司未被税务部门列入重大税收违法案件当事人名单。</w:t>
      </w:r>
    </w:p>
    <w:p w14:paraId="16E35190">
      <w:pPr>
        <w:spacing w:line="360" w:lineRule="auto"/>
        <w:ind w:firstLine="630"/>
        <w:rPr>
          <w:rFonts w:hint="eastAsia" w:ascii="宋体" w:hAnsi="宋体"/>
          <w:color w:val="auto"/>
          <w:highlight w:val="none"/>
        </w:rPr>
      </w:pPr>
      <w:r>
        <w:rPr>
          <w:rFonts w:hint="eastAsia" w:ascii="宋体" w:hAnsi="宋体"/>
          <w:b/>
          <w:color w:val="auto"/>
          <w:highlight w:val="none"/>
        </w:rPr>
        <w:t>二、合同签订前</w:t>
      </w:r>
      <w:r>
        <w:rPr>
          <w:rFonts w:hint="eastAsia" w:ascii="宋体" w:hAnsi="宋体"/>
          <w:color w:val="auto"/>
          <w:highlight w:val="none"/>
        </w:rPr>
        <w:t>，若我公司具有本项目招标公告投标人资格中规定的不良信用记录情形，可取消我公司的中标资格或者不授予合同，所有责任由我公司自行承担。同时，我公司愿意无条件接受监管部门的调查处理。</w:t>
      </w:r>
    </w:p>
    <w:p w14:paraId="24D92A9C">
      <w:pPr>
        <w:spacing w:line="360" w:lineRule="auto"/>
        <w:ind w:firstLine="630"/>
        <w:rPr>
          <w:rFonts w:hint="eastAsia" w:ascii="宋体" w:hAnsi="宋体"/>
          <w:color w:val="auto"/>
          <w:highlight w:val="none"/>
        </w:rPr>
      </w:pPr>
      <w:r>
        <w:rPr>
          <w:rFonts w:hint="eastAsia" w:ascii="宋体" w:hAnsi="宋体"/>
          <w:color w:val="auto"/>
          <w:highlight w:val="none"/>
        </w:rPr>
        <w:t>三、所提供的一切材料都是真实、有效、合法的；</w:t>
      </w:r>
    </w:p>
    <w:p w14:paraId="22CA0E3D">
      <w:pPr>
        <w:spacing w:line="360" w:lineRule="auto"/>
        <w:ind w:firstLine="630"/>
        <w:rPr>
          <w:rFonts w:hint="eastAsia" w:ascii="宋体" w:hAnsi="宋体"/>
          <w:color w:val="auto"/>
          <w:highlight w:val="none"/>
        </w:rPr>
      </w:pPr>
      <w:r>
        <w:rPr>
          <w:rFonts w:hint="eastAsia" w:ascii="宋体" w:hAnsi="宋体"/>
          <w:color w:val="auto"/>
          <w:highlight w:val="none"/>
        </w:rPr>
        <w:t>三、不出借、转让资质证书，不让他人挂靠投标，不以他人名义投标或者以其他方式弄虚作假，骗取中标；</w:t>
      </w:r>
    </w:p>
    <w:p w14:paraId="4D3F15A8">
      <w:pPr>
        <w:spacing w:line="360" w:lineRule="auto"/>
        <w:ind w:firstLine="630"/>
        <w:rPr>
          <w:rFonts w:hint="eastAsia" w:ascii="宋体" w:hAnsi="宋体"/>
          <w:color w:val="auto"/>
          <w:highlight w:val="none"/>
        </w:rPr>
      </w:pPr>
      <w:r>
        <w:rPr>
          <w:rFonts w:hint="eastAsia" w:ascii="宋体" w:hAnsi="宋体"/>
          <w:color w:val="auto"/>
          <w:highlight w:val="none"/>
        </w:rPr>
        <w:t>四、不与其他投标单位相互串通投标，不排挤其他投标单位的公平竞争、损害采购人的合法权益；</w:t>
      </w:r>
    </w:p>
    <w:p w14:paraId="0AC71DDF">
      <w:pPr>
        <w:spacing w:line="360" w:lineRule="auto"/>
        <w:ind w:firstLine="630"/>
        <w:rPr>
          <w:rFonts w:hint="eastAsia" w:ascii="宋体" w:hAnsi="宋体"/>
          <w:color w:val="auto"/>
          <w:highlight w:val="none"/>
        </w:rPr>
      </w:pPr>
      <w:r>
        <w:rPr>
          <w:rFonts w:hint="eastAsia" w:ascii="宋体" w:hAnsi="宋体"/>
          <w:color w:val="auto"/>
          <w:highlight w:val="none"/>
        </w:rPr>
        <w:t>五、不与采购人、招标代理机构或其他投标单位串通投标，损害国家利益、社会公共利益或者他人的合法权益；</w:t>
      </w:r>
    </w:p>
    <w:p w14:paraId="189E97A8">
      <w:pPr>
        <w:spacing w:line="360" w:lineRule="auto"/>
        <w:ind w:firstLine="630"/>
        <w:rPr>
          <w:rFonts w:hint="eastAsia" w:ascii="宋体" w:hAnsi="宋体"/>
          <w:color w:val="auto"/>
          <w:highlight w:val="none"/>
        </w:rPr>
      </w:pPr>
      <w:r>
        <w:rPr>
          <w:rFonts w:hint="eastAsia" w:ascii="宋体" w:hAnsi="宋体"/>
          <w:color w:val="auto"/>
          <w:highlight w:val="none"/>
        </w:rPr>
        <w:t>六、严格遵守开标现场纪律，服从监管人员管理；</w:t>
      </w:r>
    </w:p>
    <w:p w14:paraId="72F0A60B">
      <w:pPr>
        <w:spacing w:line="360" w:lineRule="auto"/>
        <w:ind w:firstLine="630"/>
        <w:rPr>
          <w:rFonts w:hint="eastAsia" w:ascii="宋体" w:hAnsi="宋体"/>
          <w:color w:val="auto"/>
          <w:highlight w:val="none"/>
        </w:rPr>
      </w:pPr>
      <w:r>
        <w:rPr>
          <w:rFonts w:hint="eastAsia" w:ascii="宋体" w:hAnsi="宋体"/>
          <w:color w:val="auto"/>
          <w:highlight w:val="none"/>
        </w:rPr>
        <w:t>七、保证企业及所属相关人员在本次投标中无行贿等犯罪行为；</w:t>
      </w:r>
    </w:p>
    <w:p w14:paraId="1BA6C494">
      <w:pPr>
        <w:spacing w:line="360" w:lineRule="auto"/>
        <w:ind w:firstLine="630"/>
        <w:rPr>
          <w:rFonts w:hint="eastAsia" w:ascii="宋体" w:hAnsi="宋体"/>
          <w:color w:val="auto"/>
          <w:highlight w:val="none"/>
        </w:rPr>
      </w:pPr>
      <w:r>
        <w:rPr>
          <w:rFonts w:hint="eastAsia" w:ascii="宋体" w:hAnsi="宋体"/>
          <w:color w:val="auto"/>
          <w:highlight w:val="none"/>
        </w:rPr>
        <w:t>以上内容我已仔细阅读，本公司若有违反承诺内容的行为，自愿依法接受取消投标资格、记入信用档案、取消中标资格、没收投标保证金等有关处理，愿意承担法律责任，给采购人造成损失的，依法承担赔偿责任。</w:t>
      </w:r>
    </w:p>
    <w:p w14:paraId="769E0F39">
      <w:pPr>
        <w:spacing w:line="360" w:lineRule="auto"/>
        <w:ind w:firstLine="482" w:firstLineChars="200"/>
        <w:rPr>
          <w:rFonts w:hint="eastAsia" w:ascii="宋体" w:hAnsi="宋体"/>
          <w:b/>
          <w:color w:val="auto"/>
          <w:highlight w:val="none"/>
        </w:rPr>
      </w:pPr>
    </w:p>
    <w:p w14:paraId="3F66904A">
      <w:pPr>
        <w:spacing w:line="360" w:lineRule="auto"/>
        <w:ind w:firstLine="482" w:firstLineChars="200"/>
        <w:rPr>
          <w:rFonts w:hint="eastAsia" w:ascii="宋体" w:hAnsi="宋体"/>
          <w:b/>
          <w:color w:val="auto"/>
          <w:highlight w:val="none"/>
        </w:rPr>
      </w:pPr>
      <w:r>
        <w:rPr>
          <w:rFonts w:ascii="宋体" w:hAnsi="宋体"/>
          <w:b/>
          <w:color w:val="auto"/>
          <w:highlight w:val="none"/>
        </w:rPr>
        <w:t>我公司</w:t>
      </w:r>
      <w:r>
        <w:rPr>
          <w:rFonts w:hint="eastAsia" w:ascii="宋体" w:hAnsi="宋体"/>
          <w:b/>
          <w:color w:val="auto"/>
          <w:highlight w:val="none"/>
        </w:rPr>
        <w:t>对以上承诺的真实性承担责任</w:t>
      </w:r>
      <w:r>
        <w:rPr>
          <w:rFonts w:ascii="宋体" w:hAnsi="宋体"/>
          <w:b/>
          <w:color w:val="auto"/>
          <w:highlight w:val="none"/>
        </w:rPr>
        <w:t>。</w:t>
      </w:r>
    </w:p>
    <w:p w14:paraId="5E8338A5">
      <w:pPr>
        <w:spacing w:line="360" w:lineRule="auto"/>
        <w:ind w:firstLine="630"/>
        <w:rPr>
          <w:rFonts w:hint="eastAsia" w:ascii="宋体" w:hAnsi="宋体"/>
          <w:b/>
          <w:color w:val="auto"/>
          <w:highlight w:val="none"/>
        </w:rPr>
      </w:pPr>
    </w:p>
    <w:p w14:paraId="314D4BF3">
      <w:pPr>
        <w:spacing w:line="360" w:lineRule="auto"/>
        <w:ind w:firstLine="630"/>
        <w:rPr>
          <w:rFonts w:hint="eastAsia" w:ascii="宋体" w:hAnsi="宋体"/>
          <w:b/>
          <w:color w:val="auto"/>
          <w:highlight w:val="none"/>
        </w:rPr>
      </w:pPr>
      <w:r>
        <w:rPr>
          <w:rFonts w:hint="eastAsia" w:ascii="宋体" w:hAnsi="宋体"/>
          <w:b/>
          <w:color w:val="auto"/>
          <w:highlight w:val="none"/>
        </w:rPr>
        <w:t>投标人公章：</w:t>
      </w:r>
    </w:p>
    <w:p w14:paraId="0A4462E9">
      <w:pPr>
        <w:ind w:firstLine="645"/>
        <w:rPr>
          <w:rFonts w:hint="eastAsia" w:ascii="宋体" w:hAnsi="宋体" w:cs="宋体"/>
          <w:color w:val="auto"/>
          <w:kern w:val="0"/>
          <w:szCs w:val="24"/>
          <w:highlight w:val="none"/>
        </w:rPr>
      </w:pPr>
    </w:p>
    <w:p w14:paraId="5EFE0155">
      <w:pPr>
        <w:ind w:firstLine="645"/>
        <w:rPr>
          <w:rFonts w:hint="eastAsia" w:ascii="宋体" w:hAnsi="宋体" w:cs="宋体"/>
          <w:color w:val="auto"/>
          <w:kern w:val="0"/>
          <w:szCs w:val="24"/>
          <w:highlight w:val="none"/>
        </w:rPr>
      </w:pPr>
    </w:p>
    <w:p w14:paraId="5BF70329">
      <w:pPr>
        <w:spacing w:line="360" w:lineRule="auto"/>
        <w:rPr>
          <w:rFonts w:hint="eastAsia" w:ascii="宋体" w:hAnsi="宋体"/>
          <w:b/>
          <w:color w:val="auto"/>
          <w:szCs w:val="24"/>
          <w:highlight w:val="none"/>
        </w:rPr>
      </w:pPr>
    </w:p>
    <w:p w14:paraId="6C5481DB">
      <w:pPr>
        <w:spacing w:line="360" w:lineRule="auto"/>
        <w:rPr>
          <w:rFonts w:hint="eastAsia" w:ascii="宋体" w:hAnsi="宋体"/>
          <w:b/>
          <w:color w:val="auto"/>
          <w:szCs w:val="24"/>
          <w:highlight w:val="none"/>
        </w:rPr>
      </w:pPr>
    </w:p>
    <w:p w14:paraId="06FC51DE">
      <w:pPr>
        <w:pStyle w:val="5"/>
        <w:rPr>
          <w:rFonts w:hint="eastAsia" w:hAnsi="宋体"/>
          <w:color w:val="auto"/>
          <w:sz w:val="28"/>
          <w:highlight w:val="none"/>
        </w:rPr>
      </w:pPr>
      <w:bookmarkStart w:id="228" w:name="_Toc4347"/>
      <w:r>
        <w:rPr>
          <w:rFonts w:hint="eastAsia" w:hAnsi="宋体"/>
          <w:color w:val="auto"/>
          <w:sz w:val="28"/>
          <w:highlight w:val="none"/>
        </w:rPr>
        <w:t>五. 投标业绩</w:t>
      </w:r>
      <w:bookmarkEnd w:id="228"/>
    </w:p>
    <w:p w14:paraId="784C6A00">
      <w:pPr>
        <w:jc w:val="center"/>
        <w:rPr>
          <w:b/>
          <w:color w:val="auto"/>
          <w:sz w:val="28"/>
          <w:szCs w:val="28"/>
          <w:highlight w:val="none"/>
        </w:rPr>
      </w:pPr>
      <w:r>
        <w:rPr>
          <w:rFonts w:hint="eastAsia"/>
          <w:b/>
          <w:color w:val="auto"/>
          <w:sz w:val="28"/>
          <w:szCs w:val="28"/>
          <w:highlight w:val="none"/>
        </w:rPr>
        <w:t>（一）业绩表</w:t>
      </w:r>
    </w:p>
    <w:p w14:paraId="2AEBB5DC">
      <w:pPr>
        <w:jc w:val="center"/>
        <w:rPr>
          <w:color w:val="auto"/>
          <w:szCs w:val="24"/>
          <w:highlight w:val="none"/>
        </w:rPr>
      </w:pPr>
      <w:r>
        <w:rPr>
          <w:rFonts w:hint="eastAsia"/>
          <w:color w:val="auto"/>
          <w:szCs w:val="24"/>
          <w:highlight w:val="none"/>
        </w:rPr>
        <w:t>（格式仅供参考）</w:t>
      </w:r>
    </w:p>
    <w:tbl>
      <w:tblPr>
        <w:tblStyle w:val="2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5"/>
        <w:gridCol w:w="6679"/>
        <w:gridCol w:w="1311"/>
      </w:tblGrid>
      <w:tr w14:paraId="7B1C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2A7CFAB0">
            <w:pPr>
              <w:ind w:firstLine="0" w:firstLineChars="0"/>
              <w:jc w:val="center"/>
              <w:rPr>
                <w:b/>
                <w:color w:val="auto"/>
                <w:highlight w:val="none"/>
              </w:rPr>
            </w:pPr>
            <w:r>
              <w:rPr>
                <w:rFonts w:hint="eastAsia"/>
                <w:b/>
                <w:color w:val="auto"/>
                <w:highlight w:val="none"/>
              </w:rPr>
              <w:t>业绩序号</w:t>
            </w:r>
          </w:p>
        </w:tc>
        <w:tc>
          <w:tcPr>
            <w:tcW w:w="3468" w:type="pct"/>
            <w:noWrap w:val="0"/>
            <w:vAlign w:val="center"/>
          </w:tcPr>
          <w:p w14:paraId="3419D003">
            <w:pPr>
              <w:ind w:firstLine="0" w:firstLineChars="0"/>
              <w:jc w:val="center"/>
              <w:rPr>
                <w:rFonts w:hint="eastAsia"/>
                <w:b/>
                <w:color w:val="auto"/>
                <w:highlight w:val="none"/>
              </w:rPr>
            </w:pPr>
            <w:r>
              <w:rPr>
                <w:rFonts w:hint="eastAsia"/>
                <w:b/>
                <w:color w:val="auto"/>
                <w:highlight w:val="none"/>
              </w:rPr>
              <w:t>项目</w:t>
            </w:r>
            <w:r>
              <w:rPr>
                <w:b/>
                <w:color w:val="auto"/>
                <w:highlight w:val="none"/>
              </w:rPr>
              <w:t>名称</w:t>
            </w:r>
            <w:r>
              <w:rPr>
                <w:rFonts w:hint="eastAsia"/>
                <w:b/>
                <w:color w:val="auto"/>
                <w:highlight w:val="none"/>
              </w:rPr>
              <w:t>（合同名称）</w:t>
            </w:r>
          </w:p>
        </w:tc>
        <w:tc>
          <w:tcPr>
            <w:tcW w:w="681" w:type="pct"/>
            <w:noWrap w:val="0"/>
            <w:vAlign w:val="center"/>
          </w:tcPr>
          <w:p w14:paraId="05012BC1">
            <w:pPr>
              <w:ind w:firstLine="0" w:firstLineChars="0"/>
              <w:jc w:val="center"/>
              <w:rPr>
                <w:b/>
                <w:color w:val="auto"/>
                <w:highlight w:val="none"/>
              </w:rPr>
            </w:pPr>
            <w:r>
              <w:rPr>
                <w:rFonts w:hint="eastAsia"/>
                <w:b/>
                <w:color w:val="auto"/>
                <w:highlight w:val="none"/>
              </w:rPr>
              <w:t>备注</w:t>
            </w:r>
          </w:p>
        </w:tc>
      </w:tr>
      <w:tr w14:paraId="3EAD2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662EDC77">
            <w:pPr>
              <w:ind w:firstLine="0" w:firstLineChars="0"/>
              <w:jc w:val="center"/>
              <w:rPr>
                <w:color w:val="auto"/>
                <w:highlight w:val="none"/>
              </w:rPr>
            </w:pPr>
            <w:r>
              <w:rPr>
                <w:rFonts w:hint="eastAsia"/>
                <w:color w:val="auto"/>
                <w:highlight w:val="none"/>
              </w:rPr>
              <w:t>1</w:t>
            </w:r>
          </w:p>
        </w:tc>
        <w:tc>
          <w:tcPr>
            <w:tcW w:w="3468" w:type="pct"/>
            <w:noWrap w:val="0"/>
            <w:vAlign w:val="center"/>
          </w:tcPr>
          <w:p w14:paraId="25E9602D">
            <w:pPr>
              <w:ind w:firstLine="480"/>
              <w:jc w:val="center"/>
              <w:rPr>
                <w:rFonts w:hint="eastAsia"/>
                <w:color w:val="auto"/>
                <w:highlight w:val="none"/>
              </w:rPr>
            </w:pPr>
          </w:p>
        </w:tc>
        <w:tc>
          <w:tcPr>
            <w:tcW w:w="681" w:type="pct"/>
            <w:noWrap w:val="0"/>
            <w:vAlign w:val="center"/>
          </w:tcPr>
          <w:p w14:paraId="76756E96">
            <w:pPr>
              <w:ind w:firstLine="480"/>
              <w:jc w:val="center"/>
              <w:rPr>
                <w:color w:val="auto"/>
                <w:highlight w:val="none"/>
              </w:rPr>
            </w:pPr>
          </w:p>
        </w:tc>
      </w:tr>
      <w:tr w14:paraId="7097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68DF5BF4">
            <w:pPr>
              <w:ind w:firstLine="0" w:firstLineChars="0"/>
              <w:jc w:val="center"/>
              <w:rPr>
                <w:color w:val="auto"/>
                <w:highlight w:val="none"/>
              </w:rPr>
            </w:pPr>
            <w:r>
              <w:rPr>
                <w:color w:val="auto"/>
                <w:highlight w:val="none"/>
              </w:rPr>
              <w:t>2</w:t>
            </w:r>
          </w:p>
        </w:tc>
        <w:tc>
          <w:tcPr>
            <w:tcW w:w="3468" w:type="pct"/>
            <w:noWrap w:val="0"/>
            <w:vAlign w:val="center"/>
          </w:tcPr>
          <w:p w14:paraId="31E248B1">
            <w:pPr>
              <w:ind w:firstLine="480"/>
              <w:jc w:val="center"/>
              <w:rPr>
                <w:rFonts w:hint="eastAsia"/>
                <w:color w:val="auto"/>
                <w:highlight w:val="none"/>
              </w:rPr>
            </w:pPr>
          </w:p>
        </w:tc>
        <w:tc>
          <w:tcPr>
            <w:tcW w:w="681" w:type="pct"/>
            <w:noWrap w:val="0"/>
            <w:vAlign w:val="center"/>
          </w:tcPr>
          <w:p w14:paraId="56F74F01">
            <w:pPr>
              <w:ind w:firstLine="480"/>
              <w:jc w:val="center"/>
              <w:rPr>
                <w:color w:val="auto"/>
                <w:highlight w:val="none"/>
              </w:rPr>
            </w:pPr>
          </w:p>
        </w:tc>
      </w:tr>
      <w:tr w14:paraId="53966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6A0A7DAF">
            <w:pPr>
              <w:ind w:firstLine="0" w:firstLineChars="0"/>
              <w:jc w:val="center"/>
              <w:rPr>
                <w:color w:val="auto"/>
                <w:highlight w:val="none"/>
              </w:rPr>
            </w:pPr>
            <w:r>
              <w:rPr>
                <w:rFonts w:hint="eastAsia"/>
                <w:color w:val="auto"/>
                <w:highlight w:val="none"/>
              </w:rPr>
              <w:t>……</w:t>
            </w:r>
          </w:p>
        </w:tc>
        <w:tc>
          <w:tcPr>
            <w:tcW w:w="3468" w:type="pct"/>
            <w:noWrap w:val="0"/>
            <w:vAlign w:val="center"/>
          </w:tcPr>
          <w:p w14:paraId="43F451A1">
            <w:pPr>
              <w:ind w:firstLine="480"/>
              <w:jc w:val="center"/>
              <w:rPr>
                <w:color w:val="auto"/>
                <w:highlight w:val="none"/>
              </w:rPr>
            </w:pPr>
          </w:p>
        </w:tc>
        <w:tc>
          <w:tcPr>
            <w:tcW w:w="681" w:type="pct"/>
            <w:noWrap w:val="0"/>
            <w:vAlign w:val="center"/>
          </w:tcPr>
          <w:p w14:paraId="5D843AB9">
            <w:pPr>
              <w:ind w:firstLine="480"/>
              <w:jc w:val="center"/>
              <w:rPr>
                <w:color w:val="auto"/>
                <w:highlight w:val="none"/>
              </w:rPr>
            </w:pPr>
          </w:p>
        </w:tc>
      </w:tr>
    </w:tbl>
    <w:p w14:paraId="182E881C">
      <w:pPr>
        <w:spacing w:before="48" w:beforeLines="20" w:after="48" w:afterLines="20" w:line="360" w:lineRule="auto"/>
        <w:jc w:val="center"/>
        <w:rPr>
          <w:rFonts w:hint="eastAsia" w:ascii="宋体" w:hAnsi="宋体"/>
          <w:color w:val="auto"/>
          <w:sz w:val="28"/>
          <w:highlight w:val="none"/>
        </w:rPr>
      </w:pPr>
    </w:p>
    <w:p w14:paraId="6837727C">
      <w:pPr>
        <w:spacing w:before="48" w:beforeLines="20" w:after="48" w:afterLines="20" w:line="360" w:lineRule="auto"/>
        <w:jc w:val="center"/>
        <w:rPr>
          <w:rFonts w:hint="eastAsia" w:ascii="宋体" w:hAnsi="宋体"/>
          <w:b/>
          <w:color w:val="auto"/>
          <w:sz w:val="28"/>
          <w:highlight w:val="none"/>
        </w:rPr>
      </w:pPr>
      <w:r>
        <w:rPr>
          <w:rFonts w:hint="eastAsia" w:ascii="宋体" w:hAnsi="宋体"/>
          <w:b/>
          <w:color w:val="auto"/>
          <w:sz w:val="28"/>
          <w:highlight w:val="none"/>
        </w:rPr>
        <w:t>（二）业绩证明材料</w:t>
      </w:r>
    </w:p>
    <w:p w14:paraId="38C73947">
      <w:pPr>
        <w:spacing w:before="48" w:beforeLines="20" w:after="48" w:afterLines="20" w:line="360" w:lineRule="auto"/>
        <w:jc w:val="center"/>
        <w:rPr>
          <w:rFonts w:hint="eastAsia" w:ascii="宋体" w:hAnsi="宋体"/>
          <w:color w:val="auto"/>
          <w:szCs w:val="24"/>
          <w:highlight w:val="none"/>
        </w:rPr>
      </w:pPr>
      <w:r>
        <w:rPr>
          <w:rFonts w:hint="eastAsia" w:ascii="宋体" w:hAnsi="宋体"/>
          <w:color w:val="auto"/>
          <w:szCs w:val="24"/>
          <w:highlight w:val="none"/>
        </w:rPr>
        <w:t>（建议与上述“（一）业绩表”填写的业绩一一对应提供）</w:t>
      </w:r>
    </w:p>
    <w:p w14:paraId="3073AD6C">
      <w:pPr>
        <w:ind w:firstLine="482"/>
        <w:jc w:val="center"/>
        <w:rPr>
          <w:b/>
          <w:color w:val="auto"/>
          <w:highlight w:val="none"/>
        </w:rPr>
      </w:pPr>
      <w:r>
        <w:rPr>
          <w:rFonts w:hint="eastAsia"/>
          <w:b/>
          <w:color w:val="auto"/>
          <w:highlight w:val="none"/>
        </w:rPr>
        <w:t>投标人业绩信息表（详细评审）</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0"/>
        <w:gridCol w:w="7189"/>
      </w:tblGrid>
      <w:tr w14:paraId="1118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7B3FB8F">
            <w:pPr>
              <w:autoSpaceDE w:val="0"/>
              <w:autoSpaceDN w:val="0"/>
              <w:adjustRightInd w:val="0"/>
              <w:spacing w:line="300" w:lineRule="exact"/>
              <w:ind w:firstLine="480"/>
              <w:jc w:val="center"/>
              <w:rPr>
                <w:rFonts w:hint="eastAsia" w:cs="宋体"/>
                <w:color w:val="auto"/>
                <w:szCs w:val="21"/>
                <w:highlight w:val="none"/>
              </w:rPr>
            </w:pPr>
            <w:r>
              <w:rPr>
                <w:rFonts w:hint="eastAsia" w:cs="宋体"/>
                <w:color w:val="auto"/>
                <w:szCs w:val="21"/>
                <w:highlight w:val="none"/>
              </w:rPr>
              <w:t>项目名称</w:t>
            </w:r>
          </w:p>
          <w:p w14:paraId="47227B2E">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（合同名称）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19242AC4">
            <w:pPr>
              <w:autoSpaceDE w:val="0"/>
              <w:autoSpaceDN w:val="0"/>
              <w:adjustRightInd w:val="0"/>
              <w:spacing w:line="300" w:lineRule="exact"/>
              <w:ind w:firstLine="480"/>
              <w:jc w:val="center"/>
              <w:rPr>
                <w:rFonts w:cs="宋体"/>
                <w:color w:val="auto"/>
                <w:szCs w:val="21"/>
                <w:highlight w:val="none"/>
              </w:rPr>
            </w:pPr>
          </w:p>
        </w:tc>
      </w:tr>
      <w:tr w14:paraId="33D0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2702BDD">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项目所在地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02969544">
            <w:pPr>
              <w:autoSpaceDE w:val="0"/>
              <w:autoSpaceDN w:val="0"/>
              <w:adjustRightInd w:val="0"/>
              <w:spacing w:line="300" w:lineRule="exact"/>
              <w:ind w:firstLine="480"/>
              <w:jc w:val="center"/>
              <w:rPr>
                <w:rFonts w:cs="宋体"/>
                <w:color w:val="auto"/>
                <w:szCs w:val="21"/>
                <w:highlight w:val="none"/>
              </w:rPr>
            </w:pPr>
          </w:p>
        </w:tc>
      </w:tr>
      <w:tr w14:paraId="4E69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4A05D1F1">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发包人名称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3476A743">
            <w:pPr>
              <w:autoSpaceDE w:val="0"/>
              <w:autoSpaceDN w:val="0"/>
              <w:adjustRightInd w:val="0"/>
              <w:spacing w:line="300" w:lineRule="exact"/>
              <w:ind w:firstLine="480"/>
              <w:jc w:val="center"/>
              <w:rPr>
                <w:rFonts w:cs="宋体"/>
                <w:color w:val="auto"/>
                <w:szCs w:val="21"/>
                <w:highlight w:val="none"/>
              </w:rPr>
            </w:pPr>
          </w:p>
        </w:tc>
      </w:tr>
      <w:tr w14:paraId="63F8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6B28532E">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发包人地址</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5EE30D3C">
            <w:pPr>
              <w:autoSpaceDE w:val="0"/>
              <w:autoSpaceDN w:val="0"/>
              <w:adjustRightInd w:val="0"/>
              <w:spacing w:line="300" w:lineRule="exact"/>
              <w:ind w:firstLine="480"/>
              <w:jc w:val="center"/>
              <w:rPr>
                <w:rFonts w:cs="宋体"/>
                <w:color w:val="auto"/>
                <w:szCs w:val="21"/>
                <w:highlight w:val="none"/>
              </w:rPr>
            </w:pPr>
          </w:p>
        </w:tc>
      </w:tr>
      <w:tr w14:paraId="485F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7C94C9A6">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发包人电话</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498C7710">
            <w:pPr>
              <w:autoSpaceDE w:val="0"/>
              <w:autoSpaceDN w:val="0"/>
              <w:adjustRightInd w:val="0"/>
              <w:spacing w:line="300" w:lineRule="exact"/>
              <w:ind w:firstLine="480"/>
              <w:jc w:val="center"/>
              <w:rPr>
                <w:rFonts w:cs="宋体"/>
                <w:color w:val="auto"/>
                <w:szCs w:val="21"/>
                <w:highlight w:val="none"/>
              </w:rPr>
            </w:pPr>
          </w:p>
        </w:tc>
      </w:tr>
      <w:tr w14:paraId="5C51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02B04362">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合同价格</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094EE5BA">
            <w:pPr>
              <w:autoSpaceDE w:val="0"/>
              <w:autoSpaceDN w:val="0"/>
              <w:adjustRightInd w:val="0"/>
              <w:spacing w:line="300" w:lineRule="exact"/>
              <w:ind w:firstLine="480"/>
              <w:jc w:val="center"/>
              <w:rPr>
                <w:rFonts w:cs="宋体"/>
                <w:color w:val="auto"/>
                <w:szCs w:val="21"/>
                <w:highlight w:val="none"/>
              </w:rPr>
            </w:pPr>
          </w:p>
        </w:tc>
      </w:tr>
      <w:tr w14:paraId="3C97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6170B072">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开工日期</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3D745F47">
            <w:pPr>
              <w:autoSpaceDE w:val="0"/>
              <w:autoSpaceDN w:val="0"/>
              <w:adjustRightInd w:val="0"/>
              <w:spacing w:line="300" w:lineRule="exact"/>
              <w:ind w:firstLine="480"/>
              <w:jc w:val="center"/>
              <w:rPr>
                <w:rFonts w:cs="宋体"/>
                <w:color w:val="auto"/>
                <w:szCs w:val="21"/>
                <w:highlight w:val="none"/>
              </w:rPr>
            </w:pPr>
          </w:p>
        </w:tc>
      </w:tr>
      <w:tr w14:paraId="2999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339776C1">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承担的工作</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37454E60">
            <w:pPr>
              <w:autoSpaceDE w:val="0"/>
              <w:autoSpaceDN w:val="0"/>
              <w:adjustRightInd w:val="0"/>
              <w:spacing w:line="300" w:lineRule="exact"/>
              <w:ind w:firstLine="480"/>
              <w:jc w:val="center"/>
              <w:rPr>
                <w:rFonts w:cs="宋体"/>
                <w:color w:val="auto"/>
                <w:szCs w:val="21"/>
                <w:highlight w:val="none"/>
              </w:rPr>
            </w:pPr>
          </w:p>
        </w:tc>
      </w:tr>
      <w:tr w14:paraId="452C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745B3AD8">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工程质量</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4BAC582C">
            <w:pPr>
              <w:autoSpaceDE w:val="0"/>
              <w:autoSpaceDN w:val="0"/>
              <w:adjustRightInd w:val="0"/>
              <w:spacing w:line="300" w:lineRule="exact"/>
              <w:ind w:firstLine="480"/>
              <w:jc w:val="center"/>
              <w:rPr>
                <w:rFonts w:cs="宋体"/>
                <w:color w:val="auto"/>
                <w:szCs w:val="21"/>
                <w:highlight w:val="none"/>
              </w:rPr>
            </w:pPr>
          </w:p>
        </w:tc>
      </w:tr>
      <w:tr w14:paraId="056D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57C9383">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项目描述</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71DC2B33">
            <w:pPr>
              <w:autoSpaceDE w:val="0"/>
              <w:autoSpaceDN w:val="0"/>
              <w:adjustRightInd w:val="0"/>
              <w:spacing w:line="300" w:lineRule="exact"/>
              <w:ind w:firstLine="480"/>
              <w:jc w:val="center"/>
              <w:rPr>
                <w:rFonts w:cs="宋体"/>
                <w:color w:val="auto"/>
                <w:szCs w:val="21"/>
                <w:highlight w:val="none"/>
              </w:rPr>
            </w:pPr>
          </w:p>
        </w:tc>
      </w:tr>
      <w:tr w14:paraId="1656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0DD87FC">
            <w:pPr>
              <w:autoSpaceDE w:val="0"/>
              <w:autoSpaceDN w:val="0"/>
              <w:adjustRightInd w:val="0"/>
              <w:spacing w:line="300" w:lineRule="exact"/>
              <w:ind w:firstLine="480"/>
              <w:jc w:val="center"/>
              <w:rPr>
                <w:rFonts w:cs="宋体"/>
                <w:color w:val="auto"/>
                <w:szCs w:val="21"/>
                <w:highlight w:val="none"/>
              </w:rPr>
            </w:pPr>
            <w:r>
              <w:rPr>
                <w:rFonts w:hint="eastAsia" w:cs="宋体"/>
                <w:color w:val="auto"/>
                <w:szCs w:val="21"/>
                <w:highlight w:val="none"/>
              </w:rPr>
              <w:t>备注</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139DD024">
            <w:pPr>
              <w:autoSpaceDE w:val="0"/>
              <w:autoSpaceDN w:val="0"/>
              <w:adjustRightInd w:val="0"/>
              <w:spacing w:line="300" w:lineRule="exact"/>
              <w:ind w:firstLine="480"/>
              <w:jc w:val="center"/>
              <w:rPr>
                <w:rFonts w:cs="宋体"/>
                <w:color w:val="auto"/>
                <w:szCs w:val="21"/>
                <w:highlight w:val="none"/>
              </w:rPr>
            </w:pPr>
          </w:p>
        </w:tc>
      </w:tr>
    </w:tbl>
    <w:p w14:paraId="43A67D5A">
      <w:pPr>
        <w:ind w:firstLine="480"/>
        <w:rPr>
          <w:color w:val="auto"/>
          <w:highlight w:val="none"/>
        </w:rPr>
      </w:pPr>
      <w:r>
        <w:rPr>
          <w:rFonts w:hint="eastAsia" w:cs="宋体"/>
          <w:color w:val="auto"/>
          <w:szCs w:val="21"/>
          <w:highlight w:val="none"/>
        </w:rPr>
        <w:t>注：投标人应根据招标文件的要求在本表后附相关证明材料。</w:t>
      </w:r>
    </w:p>
    <w:p w14:paraId="3EA1F33B">
      <w:pPr>
        <w:spacing w:before="48" w:beforeLines="20" w:after="48" w:afterLines="20" w:line="360" w:lineRule="auto"/>
        <w:jc w:val="center"/>
        <w:rPr>
          <w:rFonts w:hint="eastAsia" w:ascii="宋体" w:hAnsi="宋体"/>
          <w:color w:val="auto"/>
          <w:szCs w:val="24"/>
          <w:highlight w:val="none"/>
        </w:rPr>
      </w:pPr>
    </w:p>
    <w:p w14:paraId="293B321A">
      <w:pPr>
        <w:pStyle w:val="5"/>
        <w:spacing w:before="120" w:after="120" w:line="360" w:lineRule="auto"/>
        <w:rPr>
          <w:rFonts w:hint="eastAsia" w:hAnsi="宋体"/>
          <w:color w:val="auto"/>
          <w:sz w:val="28"/>
          <w:highlight w:val="none"/>
        </w:rPr>
      </w:pPr>
      <w:r>
        <w:rPr>
          <w:rFonts w:hAnsi="宋体"/>
          <w:color w:val="auto"/>
          <w:sz w:val="28"/>
          <w:highlight w:val="none"/>
        </w:rPr>
        <w:br w:type="page"/>
      </w:r>
      <w:bookmarkStart w:id="229" w:name="_Toc17311"/>
      <w:r>
        <w:rPr>
          <w:rFonts w:hint="eastAsia" w:hAnsi="宋体"/>
          <w:color w:val="auto"/>
          <w:sz w:val="28"/>
          <w:highlight w:val="none"/>
        </w:rPr>
        <w:t>六．拟投入本项目的人员情况</w:t>
      </w:r>
      <w:bookmarkEnd w:id="229"/>
    </w:p>
    <w:p w14:paraId="248857C6">
      <w:pPr>
        <w:tabs>
          <w:tab w:val="left" w:pos="4620"/>
        </w:tabs>
        <w:spacing w:line="360" w:lineRule="auto"/>
        <w:ind w:firstLine="480" w:firstLineChars="200"/>
        <w:rPr>
          <w:rFonts w:hint="eastAsia" w:ascii="宋体" w:hAnsi="宋体"/>
          <w:color w:val="auto"/>
          <w:highlight w:val="none"/>
        </w:rPr>
      </w:pPr>
      <w:r>
        <w:rPr>
          <w:rFonts w:hint="eastAsia" w:ascii="宋体" w:hAnsi="宋体"/>
          <w:bCs/>
          <w:color w:val="auto"/>
          <w:szCs w:val="24"/>
          <w:highlight w:val="none"/>
        </w:rPr>
        <w:t>投标人可自行制作格式</w:t>
      </w:r>
      <w:r>
        <w:rPr>
          <w:rFonts w:hint="eastAsia" w:ascii="宋体" w:hAnsi="宋体"/>
          <w:color w:val="auto"/>
          <w:highlight w:val="none"/>
        </w:rPr>
        <w:t>，应能体现出所有招标文件要求的内容，并附相关证明材料（复印件或影印件），下列格式仅供参考。</w:t>
      </w:r>
    </w:p>
    <w:p w14:paraId="7BBE2CF1">
      <w:pPr>
        <w:tabs>
          <w:tab w:val="left" w:pos="4620"/>
        </w:tabs>
        <w:spacing w:line="360" w:lineRule="auto"/>
        <w:ind w:firstLine="482" w:firstLineChars="200"/>
        <w:rPr>
          <w:rFonts w:hint="eastAsia" w:ascii="宋体" w:hAnsi="宋体"/>
          <w:b/>
          <w:bCs/>
          <w:color w:val="auto"/>
          <w:szCs w:val="24"/>
          <w:highlight w:val="none"/>
        </w:rPr>
      </w:pPr>
      <w:r>
        <w:rPr>
          <w:rFonts w:hint="eastAsia" w:ascii="宋体" w:hAnsi="宋体"/>
          <w:b/>
          <w:bCs/>
          <w:color w:val="auto"/>
          <w:szCs w:val="24"/>
          <w:highlight w:val="none"/>
        </w:rPr>
        <w:t>（一）拟委任的主要人员汇总表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
        <w:gridCol w:w="748"/>
        <w:gridCol w:w="1383"/>
        <w:gridCol w:w="969"/>
        <w:gridCol w:w="692"/>
        <w:gridCol w:w="740"/>
        <w:gridCol w:w="1107"/>
        <w:gridCol w:w="726"/>
        <w:gridCol w:w="15"/>
        <w:gridCol w:w="1119"/>
        <w:gridCol w:w="15"/>
        <w:gridCol w:w="775"/>
      </w:tblGrid>
      <w:tr w14:paraId="76A0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3" w:type="dxa"/>
            <w:gridSpan w:val="2"/>
            <w:vAlign w:val="center"/>
          </w:tcPr>
          <w:p w14:paraId="4CC63AE0">
            <w:pPr>
              <w:spacing w:line="440" w:lineRule="exact"/>
              <w:jc w:val="center"/>
              <w:rPr>
                <w:color w:val="auto"/>
                <w:highlight w:val="none"/>
              </w:rPr>
            </w:pPr>
            <w:r>
              <w:rPr>
                <w:rFonts w:hint="eastAsia"/>
                <w:color w:val="auto"/>
                <w:highlight w:val="none"/>
              </w:rPr>
              <w:t>序号</w:t>
            </w:r>
          </w:p>
        </w:tc>
        <w:tc>
          <w:tcPr>
            <w:tcW w:w="1383" w:type="dxa"/>
            <w:vMerge w:val="restart"/>
            <w:vAlign w:val="center"/>
          </w:tcPr>
          <w:p w14:paraId="58ABFF8C">
            <w:pPr>
              <w:spacing w:line="440" w:lineRule="exact"/>
              <w:jc w:val="center"/>
              <w:rPr>
                <w:color w:val="auto"/>
                <w:highlight w:val="none"/>
              </w:rPr>
            </w:pPr>
            <w:r>
              <w:rPr>
                <w:rFonts w:hint="eastAsia"/>
                <w:color w:val="auto"/>
                <w:highlight w:val="none"/>
              </w:rPr>
              <w:t>本项目任职</w:t>
            </w:r>
          </w:p>
        </w:tc>
        <w:tc>
          <w:tcPr>
            <w:tcW w:w="969" w:type="dxa"/>
            <w:vMerge w:val="restart"/>
            <w:vAlign w:val="center"/>
          </w:tcPr>
          <w:p w14:paraId="48D459EE">
            <w:pPr>
              <w:spacing w:line="440" w:lineRule="exact"/>
              <w:jc w:val="center"/>
              <w:rPr>
                <w:color w:val="auto"/>
                <w:highlight w:val="none"/>
              </w:rPr>
            </w:pPr>
            <w:r>
              <w:rPr>
                <w:rFonts w:hint="eastAsia"/>
                <w:color w:val="auto"/>
                <w:highlight w:val="none"/>
              </w:rPr>
              <w:t>姓名</w:t>
            </w:r>
          </w:p>
        </w:tc>
        <w:tc>
          <w:tcPr>
            <w:tcW w:w="692" w:type="dxa"/>
            <w:vMerge w:val="restart"/>
            <w:vAlign w:val="center"/>
          </w:tcPr>
          <w:p w14:paraId="371CFD36">
            <w:pPr>
              <w:spacing w:line="440" w:lineRule="exact"/>
              <w:jc w:val="center"/>
              <w:rPr>
                <w:color w:val="auto"/>
                <w:highlight w:val="none"/>
              </w:rPr>
            </w:pPr>
            <w:r>
              <w:rPr>
                <w:rFonts w:hint="eastAsia"/>
                <w:color w:val="auto"/>
                <w:highlight w:val="none"/>
              </w:rPr>
              <w:t>职称</w:t>
            </w:r>
          </w:p>
        </w:tc>
        <w:tc>
          <w:tcPr>
            <w:tcW w:w="740" w:type="dxa"/>
            <w:vMerge w:val="restart"/>
            <w:vAlign w:val="center"/>
          </w:tcPr>
          <w:p w14:paraId="603D9036">
            <w:pPr>
              <w:spacing w:line="440" w:lineRule="exact"/>
              <w:jc w:val="center"/>
              <w:rPr>
                <w:color w:val="auto"/>
                <w:highlight w:val="none"/>
              </w:rPr>
            </w:pPr>
            <w:r>
              <w:rPr>
                <w:rFonts w:hint="eastAsia"/>
                <w:color w:val="auto"/>
                <w:highlight w:val="none"/>
              </w:rPr>
              <w:t>专业</w:t>
            </w:r>
          </w:p>
        </w:tc>
        <w:tc>
          <w:tcPr>
            <w:tcW w:w="2967" w:type="dxa"/>
            <w:gridSpan w:val="4"/>
            <w:vAlign w:val="center"/>
          </w:tcPr>
          <w:p w14:paraId="396CCA04">
            <w:pPr>
              <w:spacing w:line="440" w:lineRule="exact"/>
              <w:jc w:val="center"/>
              <w:rPr>
                <w:color w:val="auto"/>
                <w:highlight w:val="none"/>
              </w:rPr>
            </w:pPr>
            <w:r>
              <w:rPr>
                <w:rFonts w:hint="eastAsia"/>
                <w:color w:val="auto"/>
                <w:highlight w:val="none"/>
              </w:rPr>
              <w:t>执业或职业资格证明（如有）</w:t>
            </w:r>
          </w:p>
        </w:tc>
        <w:tc>
          <w:tcPr>
            <w:tcW w:w="790" w:type="dxa"/>
            <w:gridSpan w:val="2"/>
            <w:vAlign w:val="center"/>
          </w:tcPr>
          <w:p w14:paraId="00D504F6">
            <w:pPr>
              <w:spacing w:line="440" w:lineRule="exact"/>
              <w:jc w:val="center"/>
              <w:rPr>
                <w:color w:val="auto"/>
                <w:highlight w:val="none"/>
              </w:rPr>
            </w:pPr>
            <w:r>
              <w:rPr>
                <w:rFonts w:hint="eastAsia"/>
                <w:color w:val="auto"/>
                <w:highlight w:val="none"/>
              </w:rPr>
              <w:t>备注</w:t>
            </w:r>
          </w:p>
        </w:tc>
      </w:tr>
      <w:tr w14:paraId="41CD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369" w:hRule="atLeast"/>
          <w:jc w:val="center"/>
        </w:trPr>
        <w:tc>
          <w:tcPr>
            <w:tcW w:w="748" w:type="dxa"/>
            <w:vAlign w:val="center"/>
          </w:tcPr>
          <w:p w14:paraId="48E52810">
            <w:pPr>
              <w:rPr>
                <w:color w:val="auto"/>
                <w:highlight w:val="none"/>
              </w:rPr>
            </w:pPr>
          </w:p>
        </w:tc>
        <w:tc>
          <w:tcPr>
            <w:tcW w:w="1383" w:type="dxa"/>
            <w:vMerge w:val="continue"/>
          </w:tcPr>
          <w:p w14:paraId="4060BD19">
            <w:pPr>
              <w:rPr>
                <w:color w:val="auto"/>
                <w:highlight w:val="none"/>
              </w:rPr>
            </w:pPr>
          </w:p>
        </w:tc>
        <w:tc>
          <w:tcPr>
            <w:tcW w:w="969" w:type="dxa"/>
            <w:vMerge w:val="continue"/>
            <w:vAlign w:val="center"/>
          </w:tcPr>
          <w:p w14:paraId="06A6BE10">
            <w:pPr>
              <w:rPr>
                <w:color w:val="auto"/>
                <w:highlight w:val="none"/>
              </w:rPr>
            </w:pPr>
          </w:p>
        </w:tc>
        <w:tc>
          <w:tcPr>
            <w:tcW w:w="692" w:type="dxa"/>
            <w:vMerge w:val="continue"/>
            <w:vAlign w:val="center"/>
          </w:tcPr>
          <w:p w14:paraId="6621D724">
            <w:pPr>
              <w:rPr>
                <w:color w:val="auto"/>
                <w:highlight w:val="none"/>
              </w:rPr>
            </w:pPr>
          </w:p>
        </w:tc>
        <w:tc>
          <w:tcPr>
            <w:tcW w:w="740" w:type="dxa"/>
            <w:vMerge w:val="continue"/>
            <w:vAlign w:val="center"/>
          </w:tcPr>
          <w:p w14:paraId="12637056">
            <w:pPr>
              <w:spacing w:line="440" w:lineRule="exact"/>
              <w:jc w:val="center"/>
              <w:rPr>
                <w:color w:val="auto"/>
                <w:highlight w:val="none"/>
              </w:rPr>
            </w:pPr>
          </w:p>
        </w:tc>
        <w:tc>
          <w:tcPr>
            <w:tcW w:w="1107" w:type="dxa"/>
            <w:vAlign w:val="center"/>
          </w:tcPr>
          <w:p w14:paraId="1E586496">
            <w:pPr>
              <w:spacing w:before="100" w:beforeAutospacing="1" w:after="100" w:afterAutospacing="1" w:line="440" w:lineRule="exact"/>
              <w:jc w:val="center"/>
              <w:rPr>
                <w:color w:val="auto"/>
                <w:highlight w:val="none"/>
              </w:rPr>
            </w:pPr>
            <w:r>
              <w:rPr>
                <w:rFonts w:hint="eastAsia"/>
                <w:color w:val="auto"/>
                <w:highlight w:val="none"/>
              </w:rPr>
              <w:t>证书名称</w:t>
            </w:r>
          </w:p>
        </w:tc>
        <w:tc>
          <w:tcPr>
            <w:tcW w:w="726" w:type="dxa"/>
            <w:vAlign w:val="center"/>
          </w:tcPr>
          <w:p w14:paraId="3CB91F46">
            <w:pPr>
              <w:spacing w:before="100" w:beforeAutospacing="1" w:after="100" w:afterAutospacing="1" w:line="440" w:lineRule="exact"/>
              <w:jc w:val="center"/>
              <w:rPr>
                <w:color w:val="auto"/>
                <w:highlight w:val="none"/>
              </w:rPr>
            </w:pPr>
            <w:r>
              <w:rPr>
                <w:rFonts w:hint="eastAsia"/>
                <w:color w:val="auto"/>
                <w:highlight w:val="none"/>
              </w:rPr>
              <w:t>级别</w:t>
            </w:r>
          </w:p>
        </w:tc>
        <w:tc>
          <w:tcPr>
            <w:tcW w:w="1134" w:type="dxa"/>
            <w:gridSpan w:val="2"/>
            <w:vAlign w:val="center"/>
          </w:tcPr>
          <w:p w14:paraId="2BCCA5C7">
            <w:pPr>
              <w:spacing w:before="100" w:beforeAutospacing="1" w:after="100" w:afterAutospacing="1" w:line="440" w:lineRule="exact"/>
              <w:jc w:val="center"/>
              <w:rPr>
                <w:color w:val="auto"/>
                <w:highlight w:val="none"/>
              </w:rPr>
            </w:pPr>
            <w:r>
              <w:rPr>
                <w:rFonts w:hint="eastAsia"/>
                <w:color w:val="auto"/>
                <w:highlight w:val="none"/>
              </w:rPr>
              <w:t>证号</w:t>
            </w:r>
          </w:p>
        </w:tc>
        <w:tc>
          <w:tcPr>
            <w:tcW w:w="790" w:type="dxa"/>
            <w:gridSpan w:val="2"/>
            <w:vAlign w:val="center"/>
          </w:tcPr>
          <w:p w14:paraId="2FBA115D">
            <w:pPr>
              <w:spacing w:line="440" w:lineRule="exact"/>
              <w:jc w:val="center"/>
              <w:rPr>
                <w:color w:val="auto"/>
                <w:highlight w:val="none"/>
              </w:rPr>
            </w:pPr>
          </w:p>
        </w:tc>
      </w:tr>
      <w:tr w14:paraId="5C64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vAlign w:val="center"/>
          </w:tcPr>
          <w:p w14:paraId="011FDCDB">
            <w:pPr>
              <w:spacing w:line="440" w:lineRule="exact"/>
              <w:jc w:val="center"/>
              <w:rPr>
                <w:color w:val="auto"/>
                <w:highlight w:val="none"/>
              </w:rPr>
            </w:pPr>
          </w:p>
        </w:tc>
        <w:tc>
          <w:tcPr>
            <w:tcW w:w="1383" w:type="dxa"/>
          </w:tcPr>
          <w:p w14:paraId="7B638304">
            <w:pPr>
              <w:spacing w:line="440" w:lineRule="exact"/>
              <w:jc w:val="center"/>
              <w:rPr>
                <w:color w:val="auto"/>
                <w:highlight w:val="none"/>
              </w:rPr>
            </w:pPr>
          </w:p>
        </w:tc>
        <w:tc>
          <w:tcPr>
            <w:tcW w:w="969" w:type="dxa"/>
            <w:vAlign w:val="center"/>
          </w:tcPr>
          <w:p w14:paraId="3A0012D8">
            <w:pPr>
              <w:spacing w:line="440" w:lineRule="exact"/>
              <w:jc w:val="center"/>
              <w:rPr>
                <w:color w:val="auto"/>
                <w:highlight w:val="none"/>
              </w:rPr>
            </w:pPr>
          </w:p>
        </w:tc>
        <w:tc>
          <w:tcPr>
            <w:tcW w:w="692" w:type="dxa"/>
            <w:vAlign w:val="center"/>
          </w:tcPr>
          <w:p w14:paraId="17054C7A">
            <w:pPr>
              <w:spacing w:line="440" w:lineRule="exact"/>
              <w:jc w:val="center"/>
              <w:rPr>
                <w:color w:val="auto"/>
                <w:highlight w:val="none"/>
              </w:rPr>
            </w:pPr>
          </w:p>
        </w:tc>
        <w:tc>
          <w:tcPr>
            <w:tcW w:w="740" w:type="dxa"/>
            <w:vAlign w:val="center"/>
          </w:tcPr>
          <w:p w14:paraId="728F94DF">
            <w:pPr>
              <w:spacing w:line="440" w:lineRule="exact"/>
              <w:jc w:val="center"/>
              <w:rPr>
                <w:color w:val="auto"/>
                <w:highlight w:val="none"/>
              </w:rPr>
            </w:pPr>
          </w:p>
        </w:tc>
        <w:tc>
          <w:tcPr>
            <w:tcW w:w="1107" w:type="dxa"/>
            <w:vAlign w:val="center"/>
          </w:tcPr>
          <w:p w14:paraId="32CEFE34">
            <w:pPr>
              <w:spacing w:line="440" w:lineRule="exact"/>
              <w:jc w:val="center"/>
              <w:rPr>
                <w:color w:val="auto"/>
                <w:highlight w:val="none"/>
              </w:rPr>
            </w:pPr>
          </w:p>
        </w:tc>
        <w:tc>
          <w:tcPr>
            <w:tcW w:w="741" w:type="dxa"/>
            <w:gridSpan w:val="2"/>
            <w:vAlign w:val="center"/>
          </w:tcPr>
          <w:p w14:paraId="6F4915C7">
            <w:pPr>
              <w:spacing w:line="440" w:lineRule="exact"/>
              <w:jc w:val="center"/>
              <w:rPr>
                <w:color w:val="auto"/>
                <w:highlight w:val="none"/>
              </w:rPr>
            </w:pPr>
          </w:p>
        </w:tc>
        <w:tc>
          <w:tcPr>
            <w:tcW w:w="1134" w:type="dxa"/>
            <w:gridSpan w:val="2"/>
            <w:vAlign w:val="center"/>
          </w:tcPr>
          <w:p w14:paraId="734A760A">
            <w:pPr>
              <w:spacing w:line="440" w:lineRule="exact"/>
              <w:jc w:val="center"/>
              <w:rPr>
                <w:color w:val="auto"/>
                <w:highlight w:val="none"/>
              </w:rPr>
            </w:pPr>
          </w:p>
        </w:tc>
        <w:tc>
          <w:tcPr>
            <w:tcW w:w="775" w:type="dxa"/>
            <w:vAlign w:val="center"/>
          </w:tcPr>
          <w:p w14:paraId="3340033F">
            <w:pPr>
              <w:spacing w:line="440" w:lineRule="exact"/>
              <w:jc w:val="center"/>
              <w:rPr>
                <w:color w:val="auto"/>
                <w:highlight w:val="none"/>
              </w:rPr>
            </w:pPr>
          </w:p>
        </w:tc>
      </w:tr>
      <w:tr w14:paraId="6F81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tcPr>
          <w:p w14:paraId="2AA6B9E8">
            <w:pPr>
              <w:spacing w:line="440" w:lineRule="exact"/>
              <w:jc w:val="center"/>
              <w:rPr>
                <w:color w:val="auto"/>
                <w:highlight w:val="none"/>
              </w:rPr>
            </w:pPr>
          </w:p>
        </w:tc>
        <w:tc>
          <w:tcPr>
            <w:tcW w:w="1383" w:type="dxa"/>
          </w:tcPr>
          <w:p w14:paraId="0DDA43B1">
            <w:pPr>
              <w:spacing w:line="440" w:lineRule="exact"/>
              <w:jc w:val="center"/>
              <w:rPr>
                <w:color w:val="auto"/>
                <w:highlight w:val="none"/>
              </w:rPr>
            </w:pPr>
          </w:p>
        </w:tc>
        <w:tc>
          <w:tcPr>
            <w:tcW w:w="969" w:type="dxa"/>
          </w:tcPr>
          <w:p w14:paraId="2777F219">
            <w:pPr>
              <w:spacing w:line="440" w:lineRule="exact"/>
              <w:jc w:val="center"/>
              <w:rPr>
                <w:color w:val="auto"/>
                <w:highlight w:val="none"/>
              </w:rPr>
            </w:pPr>
          </w:p>
        </w:tc>
        <w:tc>
          <w:tcPr>
            <w:tcW w:w="692" w:type="dxa"/>
          </w:tcPr>
          <w:p w14:paraId="035A74C9">
            <w:pPr>
              <w:spacing w:line="440" w:lineRule="exact"/>
              <w:jc w:val="center"/>
              <w:rPr>
                <w:color w:val="auto"/>
                <w:highlight w:val="none"/>
              </w:rPr>
            </w:pPr>
          </w:p>
        </w:tc>
        <w:tc>
          <w:tcPr>
            <w:tcW w:w="740" w:type="dxa"/>
          </w:tcPr>
          <w:p w14:paraId="6C7DB61B">
            <w:pPr>
              <w:spacing w:line="440" w:lineRule="exact"/>
              <w:jc w:val="center"/>
              <w:rPr>
                <w:color w:val="auto"/>
                <w:highlight w:val="none"/>
              </w:rPr>
            </w:pPr>
          </w:p>
        </w:tc>
        <w:tc>
          <w:tcPr>
            <w:tcW w:w="1107" w:type="dxa"/>
          </w:tcPr>
          <w:p w14:paraId="598DD2C2">
            <w:pPr>
              <w:spacing w:line="440" w:lineRule="exact"/>
              <w:jc w:val="center"/>
              <w:rPr>
                <w:color w:val="auto"/>
                <w:highlight w:val="none"/>
              </w:rPr>
            </w:pPr>
          </w:p>
        </w:tc>
        <w:tc>
          <w:tcPr>
            <w:tcW w:w="741" w:type="dxa"/>
            <w:gridSpan w:val="2"/>
          </w:tcPr>
          <w:p w14:paraId="5907ABA4">
            <w:pPr>
              <w:spacing w:line="440" w:lineRule="exact"/>
              <w:jc w:val="center"/>
              <w:rPr>
                <w:color w:val="auto"/>
                <w:highlight w:val="none"/>
              </w:rPr>
            </w:pPr>
          </w:p>
        </w:tc>
        <w:tc>
          <w:tcPr>
            <w:tcW w:w="1134" w:type="dxa"/>
            <w:gridSpan w:val="2"/>
          </w:tcPr>
          <w:p w14:paraId="73AE93A1">
            <w:pPr>
              <w:spacing w:line="440" w:lineRule="exact"/>
              <w:jc w:val="center"/>
              <w:rPr>
                <w:color w:val="auto"/>
                <w:highlight w:val="none"/>
              </w:rPr>
            </w:pPr>
          </w:p>
        </w:tc>
        <w:tc>
          <w:tcPr>
            <w:tcW w:w="775" w:type="dxa"/>
          </w:tcPr>
          <w:p w14:paraId="3F089597">
            <w:pPr>
              <w:spacing w:line="440" w:lineRule="exact"/>
              <w:jc w:val="center"/>
              <w:rPr>
                <w:color w:val="auto"/>
                <w:highlight w:val="none"/>
              </w:rPr>
            </w:pPr>
          </w:p>
        </w:tc>
      </w:tr>
      <w:tr w14:paraId="199C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tcPr>
          <w:p w14:paraId="5DF39044">
            <w:pPr>
              <w:spacing w:line="440" w:lineRule="exact"/>
              <w:jc w:val="center"/>
              <w:rPr>
                <w:color w:val="auto"/>
                <w:highlight w:val="none"/>
              </w:rPr>
            </w:pPr>
          </w:p>
        </w:tc>
        <w:tc>
          <w:tcPr>
            <w:tcW w:w="1383" w:type="dxa"/>
          </w:tcPr>
          <w:p w14:paraId="4852B182">
            <w:pPr>
              <w:spacing w:line="440" w:lineRule="exact"/>
              <w:jc w:val="center"/>
              <w:rPr>
                <w:color w:val="auto"/>
                <w:highlight w:val="none"/>
              </w:rPr>
            </w:pPr>
          </w:p>
        </w:tc>
        <w:tc>
          <w:tcPr>
            <w:tcW w:w="969" w:type="dxa"/>
          </w:tcPr>
          <w:p w14:paraId="7AE9AE82">
            <w:pPr>
              <w:spacing w:line="440" w:lineRule="exact"/>
              <w:jc w:val="center"/>
              <w:rPr>
                <w:color w:val="auto"/>
                <w:highlight w:val="none"/>
              </w:rPr>
            </w:pPr>
          </w:p>
        </w:tc>
        <w:tc>
          <w:tcPr>
            <w:tcW w:w="692" w:type="dxa"/>
          </w:tcPr>
          <w:p w14:paraId="205B9EBA">
            <w:pPr>
              <w:spacing w:line="440" w:lineRule="exact"/>
              <w:jc w:val="center"/>
              <w:rPr>
                <w:color w:val="auto"/>
                <w:highlight w:val="none"/>
              </w:rPr>
            </w:pPr>
          </w:p>
        </w:tc>
        <w:tc>
          <w:tcPr>
            <w:tcW w:w="740" w:type="dxa"/>
          </w:tcPr>
          <w:p w14:paraId="3FB19195">
            <w:pPr>
              <w:spacing w:line="440" w:lineRule="exact"/>
              <w:jc w:val="center"/>
              <w:rPr>
                <w:color w:val="auto"/>
                <w:highlight w:val="none"/>
              </w:rPr>
            </w:pPr>
          </w:p>
        </w:tc>
        <w:tc>
          <w:tcPr>
            <w:tcW w:w="1107" w:type="dxa"/>
          </w:tcPr>
          <w:p w14:paraId="2AE41D40">
            <w:pPr>
              <w:spacing w:line="440" w:lineRule="exact"/>
              <w:jc w:val="center"/>
              <w:rPr>
                <w:color w:val="auto"/>
                <w:highlight w:val="none"/>
              </w:rPr>
            </w:pPr>
          </w:p>
        </w:tc>
        <w:tc>
          <w:tcPr>
            <w:tcW w:w="741" w:type="dxa"/>
            <w:gridSpan w:val="2"/>
          </w:tcPr>
          <w:p w14:paraId="2C1A685C">
            <w:pPr>
              <w:spacing w:line="440" w:lineRule="exact"/>
              <w:jc w:val="center"/>
              <w:rPr>
                <w:color w:val="auto"/>
                <w:highlight w:val="none"/>
              </w:rPr>
            </w:pPr>
          </w:p>
        </w:tc>
        <w:tc>
          <w:tcPr>
            <w:tcW w:w="1134" w:type="dxa"/>
            <w:gridSpan w:val="2"/>
          </w:tcPr>
          <w:p w14:paraId="4EBCB88D">
            <w:pPr>
              <w:spacing w:line="440" w:lineRule="exact"/>
              <w:jc w:val="center"/>
              <w:rPr>
                <w:color w:val="auto"/>
                <w:highlight w:val="none"/>
              </w:rPr>
            </w:pPr>
          </w:p>
        </w:tc>
        <w:tc>
          <w:tcPr>
            <w:tcW w:w="775" w:type="dxa"/>
          </w:tcPr>
          <w:p w14:paraId="0B5AF878">
            <w:pPr>
              <w:spacing w:line="440" w:lineRule="exact"/>
              <w:jc w:val="center"/>
              <w:rPr>
                <w:color w:val="auto"/>
                <w:highlight w:val="none"/>
              </w:rPr>
            </w:pPr>
          </w:p>
        </w:tc>
      </w:tr>
      <w:tr w14:paraId="0143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tcPr>
          <w:p w14:paraId="73B5C7FC">
            <w:pPr>
              <w:spacing w:line="440" w:lineRule="exact"/>
              <w:jc w:val="center"/>
              <w:rPr>
                <w:color w:val="auto"/>
                <w:highlight w:val="none"/>
              </w:rPr>
            </w:pPr>
          </w:p>
        </w:tc>
        <w:tc>
          <w:tcPr>
            <w:tcW w:w="1383" w:type="dxa"/>
          </w:tcPr>
          <w:p w14:paraId="6DC30288">
            <w:pPr>
              <w:spacing w:line="440" w:lineRule="exact"/>
              <w:jc w:val="center"/>
              <w:rPr>
                <w:color w:val="auto"/>
                <w:highlight w:val="none"/>
              </w:rPr>
            </w:pPr>
          </w:p>
        </w:tc>
        <w:tc>
          <w:tcPr>
            <w:tcW w:w="969" w:type="dxa"/>
          </w:tcPr>
          <w:p w14:paraId="5A6B8F6F">
            <w:pPr>
              <w:spacing w:line="440" w:lineRule="exact"/>
              <w:jc w:val="center"/>
              <w:rPr>
                <w:color w:val="auto"/>
                <w:highlight w:val="none"/>
              </w:rPr>
            </w:pPr>
          </w:p>
        </w:tc>
        <w:tc>
          <w:tcPr>
            <w:tcW w:w="692" w:type="dxa"/>
          </w:tcPr>
          <w:p w14:paraId="21DE7E23">
            <w:pPr>
              <w:spacing w:line="440" w:lineRule="exact"/>
              <w:jc w:val="center"/>
              <w:rPr>
                <w:color w:val="auto"/>
                <w:highlight w:val="none"/>
              </w:rPr>
            </w:pPr>
          </w:p>
        </w:tc>
        <w:tc>
          <w:tcPr>
            <w:tcW w:w="740" w:type="dxa"/>
          </w:tcPr>
          <w:p w14:paraId="5F7A6F2D">
            <w:pPr>
              <w:spacing w:line="440" w:lineRule="exact"/>
              <w:jc w:val="center"/>
              <w:rPr>
                <w:color w:val="auto"/>
                <w:highlight w:val="none"/>
              </w:rPr>
            </w:pPr>
          </w:p>
        </w:tc>
        <w:tc>
          <w:tcPr>
            <w:tcW w:w="1107" w:type="dxa"/>
          </w:tcPr>
          <w:p w14:paraId="06BD395A">
            <w:pPr>
              <w:spacing w:line="440" w:lineRule="exact"/>
              <w:jc w:val="center"/>
              <w:rPr>
                <w:color w:val="auto"/>
                <w:highlight w:val="none"/>
              </w:rPr>
            </w:pPr>
          </w:p>
        </w:tc>
        <w:tc>
          <w:tcPr>
            <w:tcW w:w="741" w:type="dxa"/>
            <w:gridSpan w:val="2"/>
          </w:tcPr>
          <w:p w14:paraId="243566BD">
            <w:pPr>
              <w:spacing w:line="440" w:lineRule="exact"/>
              <w:jc w:val="center"/>
              <w:rPr>
                <w:color w:val="auto"/>
                <w:highlight w:val="none"/>
              </w:rPr>
            </w:pPr>
          </w:p>
        </w:tc>
        <w:tc>
          <w:tcPr>
            <w:tcW w:w="1134" w:type="dxa"/>
            <w:gridSpan w:val="2"/>
          </w:tcPr>
          <w:p w14:paraId="64464406">
            <w:pPr>
              <w:spacing w:line="440" w:lineRule="exact"/>
              <w:jc w:val="center"/>
              <w:rPr>
                <w:color w:val="auto"/>
                <w:highlight w:val="none"/>
              </w:rPr>
            </w:pPr>
          </w:p>
        </w:tc>
        <w:tc>
          <w:tcPr>
            <w:tcW w:w="775" w:type="dxa"/>
          </w:tcPr>
          <w:p w14:paraId="7A98AB32">
            <w:pPr>
              <w:spacing w:line="440" w:lineRule="exact"/>
              <w:jc w:val="center"/>
              <w:rPr>
                <w:color w:val="auto"/>
                <w:highlight w:val="none"/>
              </w:rPr>
            </w:pPr>
          </w:p>
        </w:tc>
      </w:tr>
      <w:tr w14:paraId="3D71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tcPr>
          <w:p w14:paraId="73747745">
            <w:pPr>
              <w:spacing w:line="440" w:lineRule="exact"/>
              <w:jc w:val="center"/>
              <w:rPr>
                <w:color w:val="auto"/>
                <w:highlight w:val="none"/>
              </w:rPr>
            </w:pPr>
          </w:p>
        </w:tc>
        <w:tc>
          <w:tcPr>
            <w:tcW w:w="1383" w:type="dxa"/>
          </w:tcPr>
          <w:p w14:paraId="24213004">
            <w:pPr>
              <w:spacing w:line="440" w:lineRule="exact"/>
              <w:jc w:val="center"/>
              <w:rPr>
                <w:color w:val="auto"/>
                <w:highlight w:val="none"/>
              </w:rPr>
            </w:pPr>
          </w:p>
        </w:tc>
        <w:tc>
          <w:tcPr>
            <w:tcW w:w="969" w:type="dxa"/>
          </w:tcPr>
          <w:p w14:paraId="1AFC1287">
            <w:pPr>
              <w:spacing w:line="440" w:lineRule="exact"/>
              <w:jc w:val="center"/>
              <w:rPr>
                <w:color w:val="auto"/>
                <w:highlight w:val="none"/>
              </w:rPr>
            </w:pPr>
          </w:p>
        </w:tc>
        <w:tc>
          <w:tcPr>
            <w:tcW w:w="692" w:type="dxa"/>
          </w:tcPr>
          <w:p w14:paraId="673BF568">
            <w:pPr>
              <w:spacing w:line="440" w:lineRule="exact"/>
              <w:jc w:val="center"/>
              <w:rPr>
                <w:color w:val="auto"/>
                <w:highlight w:val="none"/>
              </w:rPr>
            </w:pPr>
          </w:p>
        </w:tc>
        <w:tc>
          <w:tcPr>
            <w:tcW w:w="740" w:type="dxa"/>
          </w:tcPr>
          <w:p w14:paraId="4D7D753B">
            <w:pPr>
              <w:spacing w:line="440" w:lineRule="exact"/>
              <w:jc w:val="center"/>
              <w:rPr>
                <w:color w:val="auto"/>
                <w:highlight w:val="none"/>
              </w:rPr>
            </w:pPr>
          </w:p>
        </w:tc>
        <w:tc>
          <w:tcPr>
            <w:tcW w:w="1107" w:type="dxa"/>
          </w:tcPr>
          <w:p w14:paraId="766E92DA">
            <w:pPr>
              <w:spacing w:line="440" w:lineRule="exact"/>
              <w:jc w:val="center"/>
              <w:rPr>
                <w:color w:val="auto"/>
                <w:highlight w:val="none"/>
              </w:rPr>
            </w:pPr>
          </w:p>
        </w:tc>
        <w:tc>
          <w:tcPr>
            <w:tcW w:w="741" w:type="dxa"/>
            <w:gridSpan w:val="2"/>
          </w:tcPr>
          <w:p w14:paraId="70278315">
            <w:pPr>
              <w:spacing w:line="440" w:lineRule="exact"/>
              <w:jc w:val="center"/>
              <w:rPr>
                <w:color w:val="auto"/>
                <w:highlight w:val="none"/>
              </w:rPr>
            </w:pPr>
          </w:p>
        </w:tc>
        <w:tc>
          <w:tcPr>
            <w:tcW w:w="1134" w:type="dxa"/>
            <w:gridSpan w:val="2"/>
          </w:tcPr>
          <w:p w14:paraId="3E2ADB99">
            <w:pPr>
              <w:spacing w:line="440" w:lineRule="exact"/>
              <w:jc w:val="center"/>
              <w:rPr>
                <w:color w:val="auto"/>
                <w:highlight w:val="none"/>
              </w:rPr>
            </w:pPr>
          </w:p>
        </w:tc>
        <w:tc>
          <w:tcPr>
            <w:tcW w:w="775" w:type="dxa"/>
          </w:tcPr>
          <w:p w14:paraId="1AA441AC">
            <w:pPr>
              <w:spacing w:line="440" w:lineRule="exact"/>
              <w:jc w:val="center"/>
              <w:rPr>
                <w:color w:val="auto"/>
                <w:highlight w:val="none"/>
              </w:rPr>
            </w:pPr>
          </w:p>
        </w:tc>
      </w:tr>
      <w:tr w14:paraId="0346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13" w:hRule="atLeast"/>
          <w:jc w:val="center"/>
        </w:trPr>
        <w:tc>
          <w:tcPr>
            <w:tcW w:w="748" w:type="dxa"/>
          </w:tcPr>
          <w:p w14:paraId="3D9D0D9A">
            <w:pPr>
              <w:spacing w:line="440" w:lineRule="exact"/>
              <w:jc w:val="center"/>
              <w:rPr>
                <w:color w:val="auto"/>
                <w:highlight w:val="none"/>
              </w:rPr>
            </w:pPr>
          </w:p>
        </w:tc>
        <w:tc>
          <w:tcPr>
            <w:tcW w:w="1383" w:type="dxa"/>
          </w:tcPr>
          <w:p w14:paraId="3538F985">
            <w:pPr>
              <w:spacing w:line="440" w:lineRule="exact"/>
              <w:jc w:val="center"/>
              <w:rPr>
                <w:color w:val="auto"/>
                <w:highlight w:val="none"/>
              </w:rPr>
            </w:pPr>
          </w:p>
        </w:tc>
        <w:tc>
          <w:tcPr>
            <w:tcW w:w="969" w:type="dxa"/>
          </w:tcPr>
          <w:p w14:paraId="6D2D5991">
            <w:pPr>
              <w:spacing w:line="440" w:lineRule="exact"/>
              <w:jc w:val="center"/>
              <w:rPr>
                <w:color w:val="auto"/>
                <w:highlight w:val="none"/>
              </w:rPr>
            </w:pPr>
          </w:p>
        </w:tc>
        <w:tc>
          <w:tcPr>
            <w:tcW w:w="692" w:type="dxa"/>
          </w:tcPr>
          <w:p w14:paraId="453A9107">
            <w:pPr>
              <w:spacing w:line="440" w:lineRule="exact"/>
              <w:jc w:val="center"/>
              <w:rPr>
                <w:color w:val="auto"/>
                <w:highlight w:val="none"/>
              </w:rPr>
            </w:pPr>
          </w:p>
        </w:tc>
        <w:tc>
          <w:tcPr>
            <w:tcW w:w="740" w:type="dxa"/>
          </w:tcPr>
          <w:p w14:paraId="41F4BB30">
            <w:pPr>
              <w:spacing w:line="440" w:lineRule="exact"/>
              <w:jc w:val="center"/>
              <w:rPr>
                <w:color w:val="auto"/>
                <w:highlight w:val="none"/>
              </w:rPr>
            </w:pPr>
          </w:p>
        </w:tc>
        <w:tc>
          <w:tcPr>
            <w:tcW w:w="1107" w:type="dxa"/>
          </w:tcPr>
          <w:p w14:paraId="03976EEA">
            <w:pPr>
              <w:spacing w:line="440" w:lineRule="exact"/>
              <w:jc w:val="center"/>
              <w:rPr>
                <w:color w:val="auto"/>
                <w:highlight w:val="none"/>
              </w:rPr>
            </w:pPr>
          </w:p>
        </w:tc>
        <w:tc>
          <w:tcPr>
            <w:tcW w:w="741" w:type="dxa"/>
            <w:gridSpan w:val="2"/>
          </w:tcPr>
          <w:p w14:paraId="3F7CF92F">
            <w:pPr>
              <w:spacing w:line="440" w:lineRule="exact"/>
              <w:jc w:val="center"/>
              <w:rPr>
                <w:color w:val="auto"/>
                <w:highlight w:val="none"/>
              </w:rPr>
            </w:pPr>
          </w:p>
        </w:tc>
        <w:tc>
          <w:tcPr>
            <w:tcW w:w="1134" w:type="dxa"/>
            <w:gridSpan w:val="2"/>
          </w:tcPr>
          <w:p w14:paraId="58928331">
            <w:pPr>
              <w:spacing w:line="440" w:lineRule="exact"/>
              <w:jc w:val="center"/>
              <w:rPr>
                <w:color w:val="auto"/>
                <w:highlight w:val="none"/>
              </w:rPr>
            </w:pPr>
          </w:p>
        </w:tc>
        <w:tc>
          <w:tcPr>
            <w:tcW w:w="775" w:type="dxa"/>
          </w:tcPr>
          <w:p w14:paraId="4EA2E91B">
            <w:pPr>
              <w:spacing w:line="440" w:lineRule="exact"/>
              <w:jc w:val="center"/>
              <w:rPr>
                <w:color w:val="auto"/>
                <w:highlight w:val="none"/>
              </w:rPr>
            </w:pPr>
          </w:p>
        </w:tc>
      </w:tr>
      <w:tr w14:paraId="04A7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02" w:hRule="atLeast"/>
          <w:jc w:val="center"/>
        </w:trPr>
        <w:tc>
          <w:tcPr>
            <w:tcW w:w="748" w:type="dxa"/>
          </w:tcPr>
          <w:p w14:paraId="5606C510">
            <w:pPr>
              <w:spacing w:line="440" w:lineRule="exact"/>
              <w:jc w:val="center"/>
              <w:rPr>
                <w:color w:val="auto"/>
                <w:highlight w:val="none"/>
              </w:rPr>
            </w:pPr>
          </w:p>
        </w:tc>
        <w:tc>
          <w:tcPr>
            <w:tcW w:w="1383" w:type="dxa"/>
          </w:tcPr>
          <w:p w14:paraId="48156481">
            <w:pPr>
              <w:spacing w:line="440" w:lineRule="exact"/>
              <w:jc w:val="center"/>
              <w:rPr>
                <w:color w:val="auto"/>
                <w:highlight w:val="none"/>
              </w:rPr>
            </w:pPr>
          </w:p>
        </w:tc>
        <w:tc>
          <w:tcPr>
            <w:tcW w:w="969" w:type="dxa"/>
          </w:tcPr>
          <w:p w14:paraId="1CB9C869">
            <w:pPr>
              <w:spacing w:line="440" w:lineRule="exact"/>
              <w:jc w:val="center"/>
              <w:rPr>
                <w:color w:val="auto"/>
                <w:highlight w:val="none"/>
              </w:rPr>
            </w:pPr>
          </w:p>
        </w:tc>
        <w:tc>
          <w:tcPr>
            <w:tcW w:w="692" w:type="dxa"/>
          </w:tcPr>
          <w:p w14:paraId="621F4210">
            <w:pPr>
              <w:spacing w:line="440" w:lineRule="exact"/>
              <w:jc w:val="center"/>
              <w:rPr>
                <w:color w:val="auto"/>
                <w:highlight w:val="none"/>
              </w:rPr>
            </w:pPr>
          </w:p>
        </w:tc>
        <w:tc>
          <w:tcPr>
            <w:tcW w:w="740" w:type="dxa"/>
          </w:tcPr>
          <w:p w14:paraId="5F5F770B">
            <w:pPr>
              <w:spacing w:line="440" w:lineRule="exact"/>
              <w:jc w:val="center"/>
              <w:rPr>
                <w:color w:val="auto"/>
                <w:highlight w:val="none"/>
              </w:rPr>
            </w:pPr>
          </w:p>
        </w:tc>
        <w:tc>
          <w:tcPr>
            <w:tcW w:w="1107" w:type="dxa"/>
          </w:tcPr>
          <w:p w14:paraId="4DFB2AED">
            <w:pPr>
              <w:spacing w:line="440" w:lineRule="exact"/>
              <w:jc w:val="center"/>
              <w:rPr>
                <w:color w:val="auto"/>
                <w:highlight w:val="none"/>
              </w:rPr>
            </w:pPr>
          </w:p>
        </w:tc>
        <w:tc>
          <w:tcPr>
            <w:tcW w:w="741" w:type="dxa"/>
            <w:gridSpan w:val="2"/>
          </w:tcPr>
          <w:p w14:paraId="04CAC96F">
            <w:pPr>
              <w:spacing w:line="440" w:lineRule="exact"/>
              <w:jc w:val="center"/>
              <w:rPr>
                <w:color w:val="auto"/>
                <w:highlight w:val="none"/>
              </w:rPr>
            </w:pPr>
          </w:p>
        </w:tc>
        <w:tc>
          <w:tcPr>
            <w:tcW w:w="1134" w:type="dxa"/>
            <w:gridSpan w:val="2"/>
          </w:tcPr>
          <w:p w14:paraId="18BF5D16">
            <w:pPr>
              <w:spacing w:line="440" w:lineRule="exact"/>
              <w:jc w:val="center"/>
              <w:rPr>
                <w:color w:val="auto"/>
                <w:highlight w:val="none"/>
              </w:rPr>
            </w:pPr>
          </w:p>
        </w:tc>
        <w:tc>
          <w:tcPr>
            <w:tcW w:w="775" w:type="dxa"/>
          </w:tcPr>
          <w:p w14:paraId="0FC4500D">
            <w:pPr>
              <w:spacing w:line="440" w:lineRule="exact"/>
              <w:jc w:val="center"/>
              <w:rPr>
                <w:color w:val="auto"/>
                <w:highlight w:val="none"/>
              </w:rPr>
            </w:pPr>
          </w:p>
        </w:tc>
      </w:tr>
      <w:tr w14:paraId="0FE3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426" w:hRule="atLeast"/>
          <w:jc w:val="center"/>
        </w:trPr>
        <w:tc>
          <w:tcPr>
            <w:tcW w:w="748" w:type="dxa"/>
          </w:tcPr>
          <w:p w14:paraId="2A9BBAB6">
            <w:pPr>
              <w:spacing w:line="440" w:lineRule="exact"/>
              <w:jc w:val="center"/>
              <w:rPr>
                <w:color w:val="auto"/>
                <w:highlight w:val="none"/>
              </w:rPr>
            </w:pPr>
          </w:p>
        </w:tc>
        <w:tc>
          <w:tcPr>
            <w:tcW w:w="1383" w:type="dxa"/>
          </w:tcPr>
          <w:p w14:paraId="1987483C">
            <w:pPr>
              <w:spacing w:line="440" w:lineRule="exact"/>
              <w:jc w:val="center"/>
              <w:rPr>
                <w:color w:val="auto"/>
                <w:highlight w:val="none"/>
              </w:rPr>
            </w:pPr>
          </w:p>
        </w:tc>
        <w:tc>
          <w:tcPr>
            <w:tcW w:w="969" w:type="dxa"/>
          </w:tcPr>
          <w:p w14:paraId="690BDE37">
            <w:pPr>
              <w:spacing w:line="440" w:lineRule="exact"/>
              <w:jc w:val="center"/>
              <w:rPr>
                <w:color w:val="auto"/>
                <w:highlight w:val="none"/>
              </w:rPr>
            </w:pPr>
          </w:p>
        </w:tc>
        <w:tc>
          <w:tcPr>
            <w:tcW w:w="692" w:type="dxa"/>
          </w:tcPr>
          <w:p w14:paraId="44B3D75F">
            <w:pPr>
              <w:spacing w:line="440" w:lineRule="exact"/>
              <w:jc w:val="center"/>
              <w:rPr>
                <w:color w:val="auto"/>
                <w:highlight w:val="none"/>
              </w:rPr>
            </w:pPr>
          </w:p>
        </w:tc>
        <w:tc>
          <w:tcPr>
            <w:tcW w:w="740" w:type="dxa"/>
          </w:tcPr>
          <w:p w14:paraId="0CBD1399">
            <w:pPr>
              <w:spacing w:line="440" w:lineRule="exact"/>
              <w:jc w:val="center"/>
              <w:rPr>
                <w:color w:val="auto"/>
                <w:highlight w:val="none"/>
              </w:rPr>
            </w:pPr>
          </w:p>
        </w:tc>
        <w:tc>
          <w:tcPr>
            <w:tcW w:w="1107" w:type="dxa"/>
          </w:tcPr>
          <w:p w14:paraId="6DF26B73">
            <w:pPr>
              <w:spacing w:line="440" w:lineRule="exact"/>
              <w:jc w:val="center"/>
              <w:rPr>
                <w:color w:val="auto"/>
                <w:highlight w:val="none"/>
              </w:rPr>
            </w:pPr>
          </w:p>
        </w:tc>
        <w:tc>
          <w:tcPr>
            <w:tcW w:w="741" w:type="dxa"/>
            <w:gridSpan w:val="2"/>
          </w:tcPr>
          <w:p w14:paraId="3A9DC550">
            <w:pPr>
              <w:spacing w:line="440" w:lineRule="exact"/>
              <w:jc w:val="center"/>
              <w:rPr>
                <w:color w:val="auto"/>
                <w:highlight w:val="none"/>
              </w:rPr>
            </w:pPr>
          </w:p>
        </w:tc>
        <w:tc>
          <w:tcPr>
            <w:tcW w:w="1134" w:type="dxa"/>
            <w:gridSpan w:val="2"/>
          </w:tcPr>
          <w:p w14:paraId="169AA710">
            <w:pPr>
              <w:spacing w:line="440" w:lineRule="exact"/>
              <w:jc w:val="center"/>
              <w:rPr>
                <w:color w:val="auto"/>
                <w:highlight w:val="none"/>
              </w:rPr>
            </w:pPr>
          </w:p>
        </w:tc>
        <w:tc>
          <w:tcPr>
            <w:tcW w:w="775" w:type="dxa"/>
          </w:tcPr>
          <w:p w14:paraId="4E8714A9">
            <w:pPr>
              <w:spacing w:line="440" w:lineRule="exact"/>
              <w:jc w:val="center"/>
              <w:rPr>
                <w:color w:val="auto"/>
                <w:highlight w:val="none"/>
              </w:rPr>
            </w:pPr>
          </w:p>
        </w:tc>
      </w:tr>
    </w:tbl>
    <w:p w14:paraId="3AB2032A">
      <w:pPr>
        <w:spacing w:line="440" w:lineRule="exact"/>
        <w:rPr>
          <w:rFonts w:hint="eastAsia" w:ascii="宋体" w:hAnsi="宋体"/>
          <w:b/>
          <w:bCs/>
          <w:color w:val="auto"/>
          <w:szCs w:val="24"/>
          <w:highlight w:val="none"/>
        </w:rPr>
      </w:pPr>
      <w:bookmarkStart w:id="230" w:name="_Toc391394125"/>
      <w:bookmarkStart w:id="231" w:name="_Toc482188668"/>
      <w:bookmarkStart w:id="232" w:name="_Toc179632825"/>
      <w:bookmarkStart w:id="233" w:name="_Toc152045805"/>
      <w:bookmarkStart w:id="234" w:name="_Toc359594249"/>
      <w:bookmarkStart w:id="235" w:name="_Toc152042594"/>
      <w:bookmarkStart w:id="236" w:name="_Toc300835232"/>
      <w:bookmarkStart w:id="237" w:name="_Toc370676440"/>
      <w:bookmarkStart w:id="238" w:name="_Toc144974873"/>
      <w:bookmarkStart w:id="239" w:name="_Toc492300541"/>
      <w:bookmarkStart w:id="240" w:name="_Toc384308390"/>
      <w:bookmarkStart w:id="241" w:name="_Toc385943079"/>
      <w:r>
        <w:rPr>
          <w:rFonts w:hint="eastAsia" w:ascii="宋体" w:hAnsi="宋体"/>
          <w:b/>
          <w:bCs/>
          <w:color w:val="auto"/>
          <w:szCs w:val="24"/>
          <w:highlight w:val="none"/>
        </w:rPr>
        <w:t>（二）主要人员简历表</w:t>
      </w:r>
      <w:bookmarkEnd w:id="230"/>
      <w:bookmarkEnd w:id="231"/>
      <w:bookmarkEnd w:id="232"/>
      <w:bookmarkEnd w:id="233"/>
      <w:bookmarkEnd w:id="234"/>
      <w:bookmarkEnd w:id="235"/>
      <w:bookmarkEnd w:id="236"/>
      <w:bookmarkEnd w:id="237"/>
      <w:bookmarkEnd w:id="238"/>
      <w:bookmarkEnd w:id="239"/>
      <w:bookmarkEnd w:id="240"/>
      <w:bookmarkEnd w:id="241"/>
    </w:p>
    <w:p w14:paraId="4791DED4">
      <w:pPr>
        <w:topLinePunct/>
        <w:spacing w:line="440" w:lineRule="exact"/>
        <w:jc w:val="center"/>
        <w:rPr>
          <w:color w:val="auto"/>
          <w:sz w:val="23"/>
          <w:highlight w:val="none"/>
        </w:rPr>
      </w:pPr>
      <w:r>
        <w:rPr>
          <w:rFonts w:hint="eastAsia"/>
          <w:color w:val="auto"/>
          <w:highlight w:val="non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57"/>
        <w:gridCol w:w="690"/>
        <w:gridCol w:w="956"/>
        <w:gridCol w:w="1064"/>
        <w:gridCol w:w="705"/>
        <w:gridCol w:w="1259"/>
        <w:gridCol w:w="400"/>
        <w:gridCol w:w="1894"/>
      </w:tblGrid>
      <w:tr w14:paraId="5E6C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5" w:type="dxa"/>
            <w:vAlign w:val="center"/>
          </w:tcPr>
          <w:p w14:paraId="1334819B">
            <w:pPr>
              <w:spacing w:line="440" w:lineRule="exact"/>
              <w:jc w:val="center"/>
              <w:rPr>
                <w:color w:val="auto"/>
                <w:highlight w:val="none"/>
              </w:rPr>
            </w:pPr>
            <w:r>
              <w:rPr>
                <w:rFonts w:hint="eastAsia"/>
                <w:color w:val="auto"/>
                <w:highlight w:val="none"/>
              </w:rPr>
              <w:t>姓</w:t>
            </w:r>
            <w:r>
              <w:rPr>
                <w:color w:val="auto"/>
                <w:highlight w:val="none"/>
              </w:rPr>
              <w:t xml:space="preserve">  </w:t>
            </w:r>
            <w:r>
              <w:rPr>
                <w:rFonts w:hint="eastAsia"/>
                <w:color w:val="auto"/>
                <w:highlight w:val="none"/>
              </w:rPr>
              <w:t>名</w:t>
            </w:r>
          </w:p>
        </w:tc>
        <w:tc>
          <w:tcPr>
            <w:tcW w:w="1047" w:type="dxa"/>
            <w:gridSpan w:val="2"/>
            <w:vAlign w:val="center"/>
          </w:tcPr>
          <w:p w14:paraId="37522E6F">
            <w:pPr>
              <w:spacing w:line="440" w:lineRule="exact"/>
              <w:jc w:val="center"/>
              <w:rPr>
                <w:color w:val="auto"/>
                <w:highlight w:val="none"/>
              </w:rPr>
            </w:pPr>
          </w:p>
        </w:tc>
        <w:tc>
          <w:tcPr>
            <w:tcW w:w="956" w:type="dxa"/>
            <w:vAlign w:val="center"/>
          </w:tcPr>
          <w:p w14:paraId="4F6C28A2">
            <w:pPr>
              <w:spacing w:line="440" w:lineRule="exact"/>
              <w:jc w:val="center"/>
              <w:rPr>
                <w:color w:val="auto"/>
                <w:highlight w:val="none"/>
              </w:rPr>
            </w:pPr>
            <w:r>
              <w:rPr>
                <w:rFonts w:hint="eastAsia"/>
                <w:color w:val="auto"/>
                <w:highlight w:val="none"/>
              </w:rPr>
              <w:t>年龄</w:t>
            </w:r>
          </w:p>
        </w:tc>
        <w:tc>
          <w:tcPr>
            <w:tcW w:w="1064" w:type="dxa"/>
            <w:vAlign w:val="center"/>
          </w:tcPr>
          <w:p w14:paraId="4A06D50D">
            <w:pPr>
              <w:spacing w:line="440" w:lineRule="exact"/>
              <w:jc w:val="center"/>
              <w:rPr>
                <w:color w:val="auto"/>
                <w:highlight w:val="none"/>
              </w:rPr>
            </w:pPr>
          </w:p>
        </w:tc>
        <w:tc>
          <w:tcPr>
            <w:tcW w:w="2364" w:type="dxa"/>
            <w:gridSpan w:val="3"/>
            <w:vAlign w:val="center"/>
          </w:tcPr>
          <w:p w14:paraId="7300B664">
            <w:pPr>
              <w:spacing w:line="440" w:lineRule="exact"/>
              <w:jc w:val="center"/>
              <w:rPr>
                <w:color w:val="auto"/>
                <w:highlight w:val="none"/>
              </w:rPr>
            </w:pPr>
            <w:r>
              <w:rPr>
                <w:rFonts w:hint="eastAsia"/>
                <w:color w:val="auto"/>
                <w:highlight w:val="none"/>
              </w:rPr>
              <w:t>执业资格证书（或上岗证书）名称（如有要求）</w:t>
            </w:r>
          </w:p>
        </w:tc>
        <w:tc>
          <w:tcPr>
            <w:tcW w:w="1894" w:type="dxa"/>
            <w:vAlign w:val="center"/>
          </w:tcPr>
          <w:p w14:paraId="1D48ECEE">
            <w:pPr>
              <w:spacing w:line="440" w:lineRule="exact"/>
              <w:jc w:val="center"/>
              <w:rPr>
                <w:color w:val="auto"/>
                <w:highlight w:val="none"/>
              </w:rPr>
            </w:pPr>
          </w:p>
        </w:tc>
      </w:tr>
      <w:tr w14:paraId="5EE6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vAlign w:val="center"/>
          </w:tcPr>
          <w:p w14:paraId="330B9D9E">
            <w:pPr>
              <w:spacing w:line="440" w:lineRule="exact"/>
              <w:jc w:val="center"/>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称</w:t>
            </w:r>
          </w:p>
        </w:tc>
        <w:tc>
          <w:tcPr>
            <w:tcW w:w="1047" w:type="dxa"/>
            <w:gridSpan w:val="2"/>
            <w:vAlign w:val="center"/>
          </w:tcPr>
          <w:p w14:paraId="4459223E">
            <w:pPr>
              <w:spacing w:line="440" w:lineRule="exact"/>
              <w:jc w:val="center"/>
              <w:rPr>
                <w:color w:val="auto"/>
                <w:highlight w:val="none"/>
              </w:rPr>
            </w:pPr>
          </w:p>
        </w:tc>
        <w:tc>
          <w:tcPr>
            <w:tcW w:w="956" w:type="dxa"/>
            <w:vAlign w:val="center"/>
          </w:tcPr>
          <w:p w14:paraId="289F02CB">
            <w:pPr>
              <w:spacing w:before="100" w:beforeAutospacing="1" w:after="100" w:afterAutospacing="1" w:line="440" w:lineRule="exact"/>
              <w:jc w:val="center"/>
              <w:rPr>
                <w:color w:val="auto"/>
                <w:highlight w:val="none"/>
              </w:rPr>
            </w:pPr>
            <w:r>
              <w:rPr>
                <w:rFonts w:hint="eastAsia"/>
                <w:color w:val="auto"/>
                <w:highlight w:val="none"/>
              </w:rPr>
              <w:t>学历</w:t>
            </w:r>
          </w:p>
        </w:tc>
        <w:tc>
          <w:tcPr>
            <w:tcW w:w="1064" w:type="dxa"/>
            <w:vAlign w:val="center"/>
          </w:tcPr>
          <w:p w14:paraId="50F70F70">
            <w:pPr>
              <w:spacing w:line="440" w:lineRule="exact"/>
              <w:jc w:val="center"/>
              <w:rPr>
                <w:color w:val="auto"/>
                <w:highlight w:val="none"/>
              </w:rPr>
            </w:pPr>
          </w:p>
        </w:tc>
        <w:tc>
          <w:tcPr>
            <w:tcW w:w="2364" w:type="dxa"/>
            <w:gridSpan w:val="3"/>
            <w:vAlign w:val="center"/>
          </w:tcPr>
          <w:p w14:paraId="279D2ACA">
            <w:pPr>
              <w:spacing w:before="100" w:beforeAutospacing="1" w:after="100" w:afterAutospacing="1" w:line="440" w:lineRule="exact"/>
              <w:jc w:val="center"/>
              <w:rPr>
                <w:color w:val="auto"/>
                <w:highlight w:val="none"/>
              </w:rPr>
            </w:pPr>
            <w:r>
              <w:rPr>
                <w:rFonts w:hint="eastAsia"/>
                <w:color w:val="auto"/>
                <w:highlight w:val="none"/>
              </w:rPr>
              <w:t>拟在本项目任职</w:t>
            </w:r>
          </w:p>
        </w:tc>
        <w:tc>
          <w:tcPr>
            <w:tcW w:w="1894" w:type="dxa"/>
            <w:vAlign w:val="center"/>
          </w:tcPr>
          <w:p w14:paraId="50B977C4">
            <w:pPr>
              <w:spacing w:line="440" w:lineRule="exact"/>
              <w:jc w:val="center"/>
              <w:rPr>
                <w:color w:val="auto"/>
                <w:highlight w:val="none"/>
              </w:rPr>
            </w:pPr>
          </w:p>
        </w:tc>
      </w:tr>
      <w:tr w14:paraId="27A5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5" w:type="dxa"/>
            <w:vAlign w:val="center"/>
          </w:tcPr>
          <w:p w14:paraId="5EC97AD8">
            <w:pPr>
              <w:spacing w:before="100" w:beforeAutospacing="1" w:after="100" w:afterAutospacing="1" w:line="440" w:lineRule="exact"/>
              <w:jc w:val="center"/>
              <w:rPr>
                <w:color w:val="auto"/>
                <w:highlight w:val="none"/>
              </w:rPr>
            </w:pPr>
            <w:r>
              <w:rPr>
                <w:rFonts w:hint="eastAsia"/>
                <w:color w:val="auto"/>
                <w:highlight w:val="none"/>
              </w:rPr>
              <w:t>工作年限</w:t>
            </w:r>
          </w:p>
        </w:tc>
        <w:tc>
          <w:tcPr>
            <w:tcW w:w="7325" w:type="dxa"/>
            <w:gridSpan w:val="8"/>
            <w:vAlign w:val="center"/>
          </w:tcPr>
          <w:p w14:paraId="13FD5BA2">
            <w:pPr>
              <w:spacing w:line="440" w:lineRule="exact"/>
              <w:jc w:val="center"/>
              <w:rPr>
                <w:color w:val="auto"/>
                <w:highlight w:val="none"/>
              </w:rPr>
            </w:pPr>
          </w:p>
        </w:tc>
      </w:tr>
      <w:tr w14:paraId="0DCA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85" w:type="dxa"/>
            <w:vAlign w:val="center"/>
          </w:tcPr>
          <w:p w14:paraId="0488F0A0">
            <w:pPr>
              <w:spacing w:before="100" w:beforeAutospacing="1" w:after="100" w:afterAutospacing="1" w:line="440" w:lineRule="exact"/>
              <w:jc w:val="center"/>
              <w:rPr>
                <w:color w:val="auto"/>
                <w:highlight w:val="none"/>
              </w:rPr>
            </w:pPr>
            <w:r>
              <w:rPr>
                <w:rFonts w:hint="eastAsia"/>
                <w:color w:val="auto"/>
                <w:highlight w:val="none"/>
              </w:rPr>
              <w:t>毕业学校</w:t>
            </w:r>
          </w:p>
        </w:tc>
        <w:tc>
          <w:tcPr>
            <w:tcW w:w="7325" w:type="dxa"/>
            <w:gridSpan w:val="8"/>
            <w:vAlign w:val="center"/>
          </w:tcPr>
          <w:p w14:paraId="55A34AB9">
            <w:pPr>
              <w:spacing w:before="100" w:beforeAutospacing="1" w:after="100" w:afterAutospacing="1" w:line="440" w:lineRule="exact"/>
              <w:ind w:firstLine="1320" w:firstLineChars="550"/>
              <w:rPr>
                <w:color w:val="auto"/>
                <w:highlight w:val="none"/>
              </w:rPr>
            </w:pPr>
            <w:r>
              <w:rPr>
                <w:rFonts w:hint="eastAsia"/>
                <w:color w:val="auto"/>
                <w:highlight w:val="none"/>
              </w:rPr>
              <w:t>年毕业于</w:t>
            </w:r>
            <w:r>
              <w:rPr>
                <w:color w:val="auto"/>
                <w:highlight w:val="none"/>
              </w:rPr>
              <w:t xml:space="preserve">            </w:t>
            </w:r>
            <w:r>
              <w:rPr>
                <w:rFonts w:hint="eastAsia"/>
                <w:color w:val="auto"/>
                <w:highlight w:val="none"/>
              </w:rPr>
              <w:t>学校</w:t>
            </w:r>
            <w:r>
              <w:rPr>
                <w:color w:val="auto"/>
                <w:highlight w:val="none"/>
              </w:rPr>
              <w:t xml:space="preserve">        </w:t>
            </w:r>
            <w:r>
              <w:rPr>
                <w:rFonts w:hint="eastAsia"/>
                <w:color w:val="auto"/>
                <w:highlight w:val="none"/>
              </w:rPr>
              <w:t>专业</w:t>
            </w:r>
          </w:p>
        </w:tc>
      </w:tr>
      <w:tr w14:paraId="1B02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510" w:type="dxa"/>
            <w:gridSpan w:val="9"/>
            <w:vAlign w:val="center"/>
          </w:tcPr>
          <w:p w14:paraId="48959E66">
            <w:pPr>
              <w:spacing w:before="100" w:beforeAutospacing="1" w:after="100" w:afterAutospacing="1" w:line="440" w:lineRule="exact"/>
              <w:jc w:val="left"/>
              <w:rPr>
                <w:color w:val="auto"/>
                <w:highlight w:val="none"/>
              </w:rPr>
            </w:pPr>
            <w:r>
              <w:rPr>
                <w:rFonts w:hint="eastAsia"/>
                <w:color w:val="auto"/>
                <w:highlight w:val="none"/>
              </w:rPr>
              <w:t>主要工作经历</w:t>
            </w:r>
          </w:p>
        </w:tc>
      </w:tr>
      <w:tr w14:paraId="187F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42" w:type="dxa"/>
            <w:gridSpan w:val="2"/>
            <w:vAlign w:val="center"/>
          </w:tcPr>
          <w:p w14:paraId="1178E3C0">
            <w:pPr>
              <w:spacing w:before="100" w:beforeAutospacing="1" w:after="100" w:afterAutospacing="1" w:line="440" w:lineRule="exact"/>
              <w:jc w:val="center"/>
              <w:rPr>
                <w:color w:val="auto"/>
                <w:highlight w:val="none"/>
              </w:rPr>
            </w:pPr>
            <w:r>
              <w:rPr>
                <w:rFonts w:hint="eastAsia"/>
                <w:color w:val="auto"/>
                <w:highlight w:val="none"/>
              </w:rPr>
              <w:t>时</w:t>
            </w:r>
            <w:r>
              <w:rPr>
                <w:color w:val="auto"/>
                <w:highlight w:val="none"/>
              </w:rPr>
              <w:t xml:space="preserve">  </w:t>
            </w:r>
            <w:r>
              <w:rPr>
                <w:rFonts w:hint="eastAsia"/>
                <w:color w:val="auto"/>
                <w:highlight w:val="none"/>
              </w:rPr>
              <w:t>间</w:t>
            </w:r>
          </w:p>
        </w:tc>
        <w:tc>
          <w:tcPr>
            <w:tcW w:w="3415" w:type="dxa"/>
            <w:gridSpan w:val="4"/>
            <w:vAlign w:val="center"/>
          </w:tcPr>
          <w:p w14:paraId="34CB595F">
            <w:pPr>
              <w:spacing w:before="100" w:beforeAutospacing="1" w:after="100" w:afterAutospacing="1" w:line="440" w:lineRule="exact"/>
              <w:jc w:val="center"/>
              <w:rPr>
                <w:color w:val="auto"/>
                <w:highlight w:val="none"/>
              </w:rPr>
            </w:pPr>
            <w:r>
              <w:rPr>
                <w:rFonts w:hint="eastAsia"/>
                <w:color w:val="auto"/>
                <w:highlight w:val="none"/>
              </w:rPr>
              <w:t>参加过的类似项目</w:t>
            </w:r>
          </w:p>
        </w:tc>
        <w:tc>
          <w:tcPr>
            <w:tcW w:w="1259" w:type="dxa"/>
            <w:vAlign w:val="center"/>
          </w:tcPr>
          <w:p w14:paraId="64873EE9">
            <w:pPr>
              <w:spacing w:before="100" w:beforeAutospacing="1" w:after="100" w:afterAutospacing="1" w:line="440" w:lineRule="exact"/>
              <w:jc w:val="center"/>
              <w:rPr>
                <w:color w:val="auto"/>
                <w:highlight w:val="none"/>
              </w:rPr>
            </w:pPr>
            <w:r>
              <w:rPr>
                <w:rFonts w:hint="eastAsia"/>
                <w:color w:val="auto"/>
                <w:highlight w:val="none"/>
              </w:rPr>
              <w:t>担任职务</w:t>
            </w:r>
          </w:p>
        </w:tc>
        <w:tc>
          <w:tcPr>
            <w:tcW w:w="2294" w:type="dxa"/>
            <w:gridSpan w:val="2"/>
            <w:vAlign w:val="center"/>
          </w:tcPr>
          <w:p w14:paraId="54F03E76">
            <w:pPr>
              <w:spacing w:before="100" w:beforeAutospacing="1" w:after="100" w:afterAutospacing="1" w:line="440" w:lineRule="exact"/>
              <w:jc w:val="center"/>
              <w:rPr>
                <w:color w:val="auto"/>
                <w:highlight w:val="none"/>
              </w:rPr>
            </w:pPr>
            <w:r>
              <w:rPr>
                <w:rFonts w:hint="eastAsia"/>
                <w:color w:val="auto"/>
                <w:highlight w:val="none"/>
              </w:rPr>
              <w:t>发包人及联系电话</w:t>
            </w:r>
          </w:p>
        </w:tc>
      </w:tr>
      <w:tr w14:paraId="576D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tcPr>
          <w:p w14:paraId="04C9D9A0">
            <w:pPr>
              <w:spacing w:line="440" w:lineRule="exact"/>
              <w:rPr>
                <w:color w:val="auto"/>
                <w:highlight w:val="none"/>
              </w:rPr>
            </w:pPr>
          </w:p>
        </w:tc>
        <w:tc>
          <w:tcPr>
            <w:tcW w:w="3415" w:type="dxa"/>
            <w:gridSpan w:val="4"/>
          </w:tcPr>
          <w:p w14:paraId="21B5783E">
            <w:pPr>
              <w:spacing w:line="440" w:lineRule="exact"/>
              <w:rPr>
                <w:color w:val="auto"/>
                <w:highlight w:val="none"/>
              </w:rPr>
            </w:pPr>
          </w:p>
        </w:tc>
        <w:tc>
          <w:tcPr>
            <w:tcW w:w="1259" w:type="dxa"/>
          </w:tcPr>
          <w:p w14:paraId="42C55969">
            <w:pPr>
              <w:spacing w:line="440" w:lineRule="exact"/>
              <w:rPr>
                <w:color w:val="auto"/>
                <w:highlight w:val="none"/>
              </w:rPr>
            </w:pPr>
          </w:p>
        </w:tc>
        <w:tc>
          <w:tcPr>
            <w:tcW w:w="2294" w:type="dxa"/>
            <w:gridSpan w:val="2"/>
          </w:tcPr>
          <w:p w14:paraId="3573D38D">
            <w:pPr>
              <w:spacing w:line="440" w:lineRule="exact"/>
              <w:rPr>
                <w:color w:val="auto"/>
                <w:highlight w:val="none"/>
              </w:rPr>
            </w:pPr>
          </w:p>
        </w:tc>
      </w:tr>
      <w:tr w14:paraId="46E9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tcPr>
          <w:p w14:paraId="2B9E869B">
            <w:pPr>
              <w:spacing w:line="440" w:lineRule="exact"/>
              <w:rPr>
                <w:color w:val="auto"/>
                <w:highlight w:val="none"/>
              </w:rPr>
            </w:pPr>
          </w:p>
        </w:tc>
        <w:tc>
          <w:tcPr>
            <w:tcW w:w="3415" w:type="dxa"/>
            <w:gridSpan w:val="4"/>
          </w:tcPr>
          <w:p w14:paraId="08D86858">
            <w:pPr>
              <w:spacing w:line="440" w:lineRule="exact"/>
              <w:rPr>
                <w:color w:val="auto"/>
                <w:highlight w:val="none"/>
              </w:rPr>
            </w:pPr>
          </w:p>
        </w:tc>
        <w:tc>
          <w:tcPr>
            <w:tcW w:w="1259" w:type="dxa"/>
          </w:tcPr>
          <w:p w14:paraId="33EBD129">
            <w:pPr>
              <w:spacing w:line="440" w:lineRule="exact"/>
              <w:rPr>
                <w:color w:val="auto"/>
                <w:highlight w:val="none"/>
              </w:rPr>
            </w:pPr>
          </w:p>
        </w:tc>
        <w:tc>
          <w:tcPr>
            <w:tcW w:w="2294" w:type="dxa"/>
            <w:gridSpan w:val="2"/>
          </w:tcPr>
          <w:p w14:paraId="5A9DEAD3">
            <w:pPr>
              <w:spacing w:line="440" w:lineRule="exact"/>
              <w:rPr>
                <w:color w:val="auto"/>
                <w:highlight w:val="none"/>
              </w:rPr>
            </w:pPr>
          </w:p>
        </w:tc>
      </w:tr>
      <w:tr w14:paraId="603A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42" w:type="dxa"/>
            <w:gridSpan w:val="2"/>
          </w:tcPr>
          <w:p w14:paraId="38DC8522">
            <w:pPr>
              <w:spacing w:line="440" w:lineRule="exact"/>
              <w:rPr>
                <w:color w:val="auto"/>
                <w:highlight w:val="none"/>
              </w:rPr>
            </w:pPr>
          </w:p>
        </w:tc>
        <w:tc>
          <w:tcPr>
            <w:tcW w:w="3415" w:type="dxa"/>
            <w:gridSpan w:val="4"/>
          </w:tcPr>
          <w:p w14:paraId="2DBC0EBA">
            <w:pPr>
              <w:spacing w:line="440" w:lineRule="exact"/>
              <w:rPr>
                <w:color w:val="auto"/>
                <w:highlight w:val="none"/>
              </w:rPr>
            </w:pPr>
          </w:p>
        </w:tc>
        <w:tc>
          <w:tcPr>
            <w:tcW w:w="1259" w:type="dxa"/>
          </w:tcPr>
          <w:p w14:paraId="16132383">
            <w:pPr>
              <w:spacing w:line="440" w:lineRule="exact"/>
              <w:rPr>
                <w:color w:val="auto"/>
                <w:highlight w:val="none"/>
              </w:rPr>
            </w:pPr>
          </w:p>
        </w:tc>
        <w:tc>
          <w:tcPr>
            <w:tcW w:w="2294" w:type="dxa"/>
            <w:gridSpan w:val="2"/>
          </w:tcPr>
          <w:p w14:paraId="67F79D9A">
            <w:pPr>
              <w:spacing w:line="440" w:lineRule="exact"/>
              <w:rPr>
                <w:color w:val="auto"/>
                <w:highlight w:val="none"/>
              </w:rPr>
            </w:pPr>
          </w:p>
        </w:tc>
      </w:tr>
    </w:tbl>
    <w:p w14:paraId="5B146C62">
      <w:pPr>
        <w:spacing w:line="440" w:lineRule="exact"/>
        <w:rPr>
          <w:rFonts w:hint="eastAsia" w:ascii="宋体" w:hAnsi="宋体"/>
          <w:color w:val="auto"/>
          <w:sz w:val="28"/>
          <w:highlight w:val="none"/>
        </w:rPr>
      </w:pPr>
      <w:r>
        <w:rPr>
          <w:b/>
          <w:color w:val="auto"/>
          <w:highlight w:val="none"/>
        </w:rPr>
        <w:t>注：投标人应根据</w:t>
      </w:r>
      <w:r>
        <w:rPr>
          <w:rFonts w:hint="eastAsia"/>
          <w:b/>
          <w:color w:val="auto"/>
          <w:highlight w:val="none"/>
        </w:rPr>
        <w:t>招标文件</w:t>
      </w:r>
      <w:r>
        <w:rPr>
          <w:b/>
          <w:color w:val="auto"/>
          <w:highlight w:val="none"/>
        </w:rPr>
        <w:t>的要求在本表后附相关证明材料。</w:t>
      </w:r>
    </w:p>
    <w:p w14:paraId="67D0CC7C">
      <w:pPr>
        <w:pStyle w:val="5"/>
        <w:spacing w:before="120" w:after="120" w:line="360" w:lineRule="auto"/>
        <w:rPr>
          <w:rFonts w:hint="eastAsia" w:hAnsi="宋体"/>
          <w:color w:val="auto"/>
          <w:sz w:val="24"/>
          <w:szCs w:val="24"/>
          <w:highlight w:val="none"/>
        </w:rPr>
      </w:pPr>
      <w:r>
        <w:rPr>
          <w:rFonts w:hAnsi="宋体"/>
          <w:color w:val="auto"/>
          <w:sz w:val="24"/>
          <w:szCs w:val="24"/>
          <w:highlight w:val="none"/>
        </w:rPr>
        <w:br w:type="page"/>
      </w:r>
      <w:bookmarkStart w:id="242" w:name="_Toc10299"/>
      <w:r>
        <w:rPr>
          <w:rFonts w:hint="eastAsia" w:hAnsi="宋体"/>
          <w:color w:val="auto"/>
          <w:sz w:val="28"/>
          <w:highlight w:val="none"/>
        </w:rPr>
        <w:t>七．服务方案</w:t>
      </w:r>
      <w:bookmarkEnd w:id="242"/>
    </w:p>
    <w:p w14:paraId="05911C6C">
      <w:pPr>
        <w:spacing w:before="48" w:beforeLines="20" w:after="48" w:afterLines="20" w:line="360" w:lineRule="auto"/>
        <w:jc w:val="center"/>
        <w:rPr>
          <w:rFonts w:hint="eastAsia" w:ascii="宋体" w:hAnsi="宋体"/>
          <w:color w:val="auto"/>
          <w:szCs w:val="24"/>
          <w:highlight w:val="none"/>
        </w:rPr>
      </w:pPr>
      <w:r>
        <w:rPr>
          <w:rFonts w:hint="eastAsia" w:ascii="宋体" w:hAnsi="宋体"/>
          <w:bCs/>
          <w:color w:val="auto"/>
          <w:szCs w:val="24"/>
          <w:highlight w:val="none"/>
        </w:rPr>
        <w:t>（投标人可自行制作格式）</w:t>
      </w:r>
    </w:p>
    <w:p w14:paraId="6C46A2FD">
      <w:pPr>
        <w:spacing w:before="48" w:beforeLines="20" w:after="48" w:afterLines="20" w:line="360" w:lineRule="auto"/>
        <w:rPr>
          <w:rFonts w:hint="eastAsia" w:ascii="宋体" w:hAnsi="宋体"/>
          <w:color w:val="auto"/>
          <w:szCs w:val="24"/>
          <w:highlight w:val="none"/>
        </w:rPr>
      </w:pPr>
    </w:p>
    <w:p w14:paraId="26AAFC56">
      <w:pPr>
        <w:spacing w:before="48" w:beforeLines="20" w:after="48" w:afterLines="20" w:line="360" w:lineRule="auto"/>
        <w:rPr>
          <w:rFonts w:hint="eastAsia" w:ascii="宋体" w:hAnsi="宋体"/>
          <w:color w:val="auto"/>
          <w:szCs w:val="24"/>
          <w:highlight w:val="none"/>
        </w:rPr>
      </w:pPr>
    </w:p>
    <w:p w14:paraId="665C3B03">
      <w:pPr>
        <w:spacing w:before="48" w:beforeLines="20" w:after="48" w:afterLines="20" w:line="360" w:lineRule="auto"/>
        <w:rPr>
          <w:rFonts w:hint="eastAsia" w:ascii="宋体" w:hAnsi="宋体"/>
          <w:color w:val="auto"/>
          <w:szCs w:val="24"/>
          <w:highlight w:val="none"/>
        </w:rPr>
      </w:pPr>
    </w:p>
    <w:p w14:paraId="0B6B7463">
      <w:pPr>
        <w:spacing w:before="48" w:beforeLines="20" w:after="48" w:afterLines="20" w:line="360" w:lineRule="auto"/>
        <w:rPr>
          <w:rFonts w:hint="eastAsia" w:ascii="宋体" w:hAnsi="宋体"/>
          <w:color w:val="auto"/>
          <w:szCs w:val="24"/>
          <w:highlight w:val="none"/>
        </w:rPr>
      </w:pPr>
    </w:p>
    <w:p w14:paraId="70DF0EC6">
      <w:pPr>
        <w:spacing w:before="48" w:beforeLines="20" w:after="48" w:afterLines="20" w:line="360" w:lineRule="auto"/>
        <w:rPr>
          <w:rFonts w:hint="eastAsia" w:ascii="宋体" w:hAnsi="宋体"/>
          <w:color w:val="auto"/>
          <w:szCs w:val="24"/>
          <w:highlight w:val="none"/>
        </w:rPr>
      </w:pPr>
    </w:p>
    <w:p w14:paraId="20E9DCB7">
      <w:pPr>
        <w:pStyle w:val="5"/>
        <w:spacing w:before="120" w:after="120" w:line="360" w:lineRule="auto"/>
        <w:rPr>
          <w:rFonts w:hint="eastAsia" w:hAnsi="宋体"/>
          <w:color w:val="auto"/>
          <w:sz w:val="24"/>
          <w:szCs w:val="24"/>
          <w:highlight w:val="none"/>
        </w:rPr>
      </w:pPr>
      <w:bookmarkStart w:id="243" w:name="_Toc516969105"/>
      <w:bookmarkStart w:id="244" w:name="_Toc220232402"/>
      <w:r>
        <w:rPr>
          <w:rFonts w:hAnsi="宋体"/>
          <w:color w:val="auto"/>
          <w:sz w:val="24"/>
          <w:szCs w:val="24"/>
          <w:highlight w:val="none"/>
        </w:rPr>
        <w:br w:type="page"/>
      </w:r>
      <w:bookmarkStart w:id="245" w:name="_Toc4094"/>
      <w:r>
        <w:rPr>
          <w:rFonts w:hint="eastAsia" w:hAnsi="宋体"/>
          <w:color w:val="auto"/>
          <w:sz w:val="28"/>
          <w:highlight w:val="none"/>
        </w:rPr>
        <w:t>八．有关证明文件</w:t>
      </w:r>
      <w:bookmarkEnd w:id="243"/>
      <w:bookmarkEnd w:id="244"/>
      <w:bookmarkEnd w:id="245"/>
    </w:p>
    <w:p w14:paraId="345E70CA">
      <w:pPr>
        <w:tabs>
          <w:tab w:val="left" w:pos="4620"/>
        </w:tabs>
        <w:spacing w:line="360" w:lineRule="auto"/>
        <w:ind w:firstLine="480" w:firstLineChars="200"/>
        <w:rPr>
          <w:rFonts w:hint="eastAsia" w:ascii="宋体" w:hAnsi="宋体"/>
          <w:color w:val="auto"/>
          <w:szCs w:val="24"/>
          <w:highlight w:val="none"/>
        </w:rPr>
      </w:pPr>
      <w:r>
        <w:rPr>
          <w:rFonts w:hint="eastAsia" w:ascii="宋体" w:hAnsi="宋体"/>
          <w:color w:val="auto"/>
          <w:szCs w:val="24"/>
          <w:highlight w:val="none"/>
        </w:rPr>
        <w:t>提供符合招标公告、招标需求及评标办法规定的相关证明文件。</w:t>
      </w:r>
    </w:p>
    <w:p w14:paraId="5340B3E5">
      <w:pPr>
        <w:tabs>
          <w:tab w:val="left" w:pos="4620"/>
        </w:tabs>
        <w:spacing w:line="360" w:lineRule="auto"/>
        <w:rPr>
          <w:rFonts w:hint="eastAsia" w:ascii="宋体" w:hAnsi="宋体"/>
          <w:color w:val="auto"/>
          <w:szCs w:val="24"/>
          <w:highlight w:val="none"/>
        </w:rPr>
      </w:pPr>
    </w:p>
    <w:p w14:paraId="6D640AAC">
      <w:pPr>
        <w:tabs>
          <w:tab w:val="left" w:pos="4620"/>
        </w:tabs>
        <w:spacing w:line="360" w:lineRule="auto"/>
        <w:rPr>
          <w:rFonts w:hint="eastAsia" w:ascii="宋体" w:hAnsi="宋体"/>
          <w:color w:val="auto"/>
          <w:szCs w:val="24"/>
          <w:highlight w:val="none"/>
        </w:rPr>
      </w:pPr>
      <w:r>
        <w:rPr>
          <w:rFonts w:ascii="宋体" w:hAnsi="宋体"/>
          <w:color w:val="auto"/>
          <w:szCs w:val="24"/>
          <w:highlight w:val="none"/>
        </w:rPr>
        <w:br w:type="page"/>
      </w:r>
    </w:p>
    <w:p w14:paraId="12AB455D">
      <w:pPr>
        <w:pStyle w:val="5"/>
        <w:spacing w:before="120" w:after="120" w:line="360" w:lineRule="auto"/>
        <w:rPr>
          <w:rFonts w:hint="eastAsia" w:hAnsi="宋体"/>
          <w:color w:val="auto"/>
          <w:sz w:val="24"/>
          <w:szCs w:val="24"/>
          <w:highlight w:val="none"/>
        </w:rPr>
      </w:pPr>
      <w:bookmarkStart w:id="246" w:name="_Toc13926"/>
      <w:r>
        <w:rPr>
          <w:rFonts w:hAnsi="宋体"/>
          <w:color w:val="auto"/>
          <w:sz w:val="28"/>
          <w:highlight w:val="none"/>
        </w:rPr>
        <mc:AlternateContent>
          <mc:Choice Requires="wpg">
            <w:drawing>
              <wp:anchor distT="0" distB="0" distL="114300" distR="114300" simplePos="0" relativeHeight="251661312" behindDoc="0" locked="0" layoutInCell="1" allowOverlap="1">
                <wp:simplePos x="0" y="0"/>
                <wp:positionH relativeFrom="column">
                  <wp:posOffset>1236980</wp:posOffset>
                </wp:positionH>
                <wp:positionV relativeFrom="paragraph">
                  <wp:posOffset>2533650</wp:posOffset>
                </wp:positionV>
                <wp:extent cx="3860165" cy="727710"/>
                <wp:effectExtent l="4445" t="4445" r="21590" b="10795"/>
                <wp:wrapNone/>
                <wp:docPr id="3" name="组合 12"/>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1" name="自选图形 13"/>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4D3E536">
                              <w:pPr>
                                <w:rPr>
                                  <w:color w:val="FF0000"/>
                                </w:rPr>
                              </w:pPr>
                            </w:p>
                            <w:p w14:paraId="666BB330">
                              <w:pPr>
                                <w:jc w:val="center"/>
                                <w:rPr>
                                  <w:color w:val="FF0000"/>
                                </w:rPr>
                              </w:pPr>
                              <w:r>
                                <w:rPr>
                                  <w:rFonts w:hint="eastAsia"/>
                                  <w:color w:val="FF0000"/>
                                </w:rPr>
                                <w:t>授权代表身份证正面</w:t>
                              </w:r>
                            </w:p>
                            <w:p w14:paraId="5422A9BC">
                              <w:pPr>
                                <w:jc w:val="center"/>
                                <w:rPr>
                                  <w:color w:val="FF0000"/>
                                  <w:szCs w:val="21"/>
                                </w:rPr>
                              </w:pPr>
                              <w:r>
                                <w:rPr>
                                  <w:rFonts w:hint="eastAsia"/>
                                  <w:color w:val="FF0000"/>
                                </w:rPr>
                                <w:t>复印件或影印件</w:t>
                              </w:r>
                            </w:p>
                          </w:txbxContent>
                        </wps:txbx>
                        <wps:bodyPr wrap="square" upright="1"/>
                      </wps:wsp>
                      <wps:wsp>
                        <wps:cNvPr id="2" name="自选图形 14"/>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A9BA23">
                              <w:pPr>
                                <w:rPr>
                                  <w:color w:val="FF0000"/>
                                </w:rPr>
                              </w:pPr>
                            </w:p>
                            <w:p w14:paraId="00405762">
                              <w:pPr>
                                <w:jc w:val="center"/>
                                <w:rPr>
                                  <w:color w:val="FF0000"/>
                                </w:rPr>
                              </w:pPr>
                              <w:r>
                                <w:rPr>
                                  <w:rFonts w:hint="eastAsia"/>
                                  <w:color w:val="FF0000"/>
                                </w:rPr>
                                <w:t>授权代表身份证反面</w:t>
                              </w:r>
                            </w:p>
                            <w:p w14:paraId="5CB3EC78">
                              <w:pPr>
                                <w:jc w:val="center"/>
                                <w:rPr>
                                  <w:color w:val="FF0000"/>
                                  <w:szCs w:val="21"/>
                                </w:rPr>
                              </w:pPr>
                              <w:r>
                                <w:rPr>
                                  <w:rFonts w:hint="eastAsia"/>
                                  <w:color w:val="FF0000"/>
                                </w:rPr>
                                <w:t>复印件或影印件</w:t>
                              </w:r>
                            </w:p>
                          </w:txbxContent>
                        </wps:txbx>
                        <wps:bodyPr wrap="square" upright="1"/>
                      </wps:wsp>
                    </wpg:wgp>
                  </a:graphicData>
                </a:graphic>
              </wp:anchor>
            </w:drawing>
          </mc:Choice>
          <mc:Fallback>
            <w:pict>
              <v:group id="组合 12" o:spid="_x0000_s1026" o:spt="203" style="position:absolute;left:0pt;margin-left:97.4pt;margin-top:199.5pt;height:57.3pt;width:303.95pt;z-index:251661312;mso-width-relative:page;mso-height-relative:page;" coordorigin="3270,5789" coordsize="6079,1525" o:gfxdata="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1fzzE9sAAAAL&#10;AQAADwAAAAAAAAABACAAAAAiAAAAZHJzL2Rvd25yZXYueG1sUEsBAhQAFAAAAAgAh07iQBPtgM7E&#10;AgAAHwgAAA4AAAAAAAAAAQAgAAAAKgEAAGRycy9lMm9Eb2MueG1sUEsFBgAAAAAGAAYAWQEAAGAG&#10;AAAAAA==&#10;">
                <o:lock v:ext="edit" aspectratio="f"/>
                <v:roundrect id="自选图形 13" o:spid="_x0000_s1026" o:spt="2" style="position:absolute;left:3270;top:5789;height:1525;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14:paraId="54D3E536">
                        <w:pPr>
                          <w:rPr>
                            <w:color w:val="FF0000"/>
                          </w:rPr>
                        </w:pPr>
                      </w:p>
                      <w:p w14:paraId="666BB330">
                        <w:pPr>
                          <w:jc w:val="center"/>
                          <w:rPr>
                            <w:color w:val="FF0000"/>
                          </w:rPr>
                        </w:pPr>
                        <w:r>
                          <w:rPr>
                            <w:rFonts w:hint="eastAsia"/>
                            <w:color w:val="FF0000"/>
                          </w:rPr>
                          <w:t>授权代表身份证正面</w:t>
                        </w:r>
                      </w:p>
                      <w:p w14:paraId="5422A9BC">
                        <w:pPr>
                          <w:jc w:val="center"/>
                          <w:rPr>
                            <w:color w:val="FF0000"/>
                            <w:szCs w:val="21"/>
                          </w:rPr>
                        </w:pPr>
                        <w:r>
                          <w:rPr>
                            <w:rFonts w:hint="eastAsia"/>
                            <w:color w:val="FF0000"/>
                          </w:rPr>
                          <w:t>复印件或影印件</w:t>
                        </w:r>
                      </w:p>
                    </w:txbxContent>
                  </v:textbox>
                </v:roundrect>
                <v:roundrect id="自选图形 14" o:spid="_x0000_s1026" o:spt="2" style="position:absolute;left:6555;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19A9BA23">
                        <w:pPr>
                          <w:rPr>
                            <w:color w:val="FF0000"/>
                          </w:rPr>
                        </w:pPr>
                      </w:p>
                      <w:p w14:paraId="00405762">
                        <w:pPr>
                          <w:jc w:val="center"/>
                          <w:rPr>
                            <w:color w:val="FF0000"/>
                          </w:rPr>
                        </w:pPr>
                        <w:r>
                          <w:rPr>
                            <w:rFonts w:hint="eastAsia"/>
                            <w:color w:val="FF0000"/>
                          </w:rPr>
                          <w:t>授权代表身份证反面</w:t>
                        </w:r>
                      </w:p>
                      <w:p w14:paraId="5CB3EC78">
                        <w:pPr>
                          <w:jc w:val="center"/>
                          <w:rPr>
                            <w:color w:val="FF0000"/>
                            <w:szCs w:val="21"/>
                          </w:rPr>
                        </w:pPr>
                        <w:r>
                          <w:rPr>
                            <w:rFonts w:hint="eastAsia"/>
                            <w:color w:val="FF0000"/>
                          </w:rPr>
                          <w:t>复印件或影印件</w:t>
                        </w:r>
                      </w:p>
                    </w:txbxContent>
                  </v:textbox>
                </v:roundrect>
              </v:group>
            </w:pict>
          </mc:Fallback>
        </mc:AlternateContent>
      </w:r>
      <w:r>
        <w:rPr>
          <w:rFonts w:hint="eastAsia" w:hAnsi="宋体"/>
          <w:color w:val="auto"/>
          <w:sz w:val="28"/>
          <w:highlight w:val="none"/>
        </w:rPr>
        <w:t>九．投标授权书</w:t>
      </w:r>
      <w:bookmarkEnd w:id="246"/>
    </w:p>
    <w:p w14:paraId="02B83A67">
      <w:pPr>
        <w:pStyle w:val="13"/>
        <w:snapToGrid w:val="0"/>
        <w:spacing w:line="360" w:lineRule="auto"/>
        <w:ind w:firstLine="480" w:firstLineChars="200"/>
        <w:jc w:val="left"/>
        <w:rPr>
          <w:rFonts w:hint="eastAsia" w:hAnsi="宋体"/>
          <w:color w:val="auto"/>
          <w:szCs w:val="24"/>
          <w:highlight w:val="none"/>
        </w:rPr>
      </w:pPr>
      <w:r>
        <w:rPr>
          <w:rFonts w:hint="eastAsia" w:hAnsi="宋体"/>
          <w:color w:val="auto"/>
          <w:szCs w:val="24"/>
          <w:highlight w:val="none"/>
        </w:rPr>
        <w:t>本授权书声明：</w:t>
      </w:r>
      <w:r>
        <w:rPr>
          <w:rFonts w:hint="eastAsia" w:hAnsi="宋体"/>
          <w:color w:val="auto"/>
          <w:szCs w:val="24"/>
          <w:highlight w:val="none"/>
          <w:u w:val="single"/>
        </w:rPr>
        <w:t xml:space="preserve">           </w:t>
      </w:r>
      <w:r>
        <w:rPr>
          <w:rFonts w:hint="eastAsia" w:hAnsi="宋体"/>
          <w:color w:val="auto"/>
          <w:szCs w:val="24"/>
          <w:highlight w:val="none"/>
        </w:rPr>
        <w:t>公司（工厂）授权</w:t>
      </w:r>
      <w:r>
        <w:rPr>
          <w:rFonts w:hint="eastAsia" w:hAnsi="宋体"/>
          <w:color w:val="auto"/>
          <w:szCs w:val="24"/>
          <w:highlight w:val="none"/>
          <w:u w:val="single"/>
        </w:rPr>
        <w:t xml:space="preserve">       </w:t>
      </w:r>
      <w:r>
        <w:rPr>
          <w:rFonts w:hint="eastAsia" w:hAnsi="宋体"/>
          <w:color w:val="auto"/>
          <w:szCs w:val="24"/>
          <w:highlight w:val="none"/>
        </w:rPr>
        <w:t>（投标人授权代表姓名、职务，手机号码）代表本公司（工厂）参加</w:t>
      </w:r>
      <w:r>
        <w:rPr>
          <w:rFonts w:hint="eastAsia" w:hAnsi="宋体"/>
          <w:color w:val="auto"/>
          <w:szCs w:val="24"/>
          <w:highlight w:val="none"/>
          <w:lang w:eastAsia="zh-CN"/>
        </w:rPr>
        <w:t>肥西县公共资源交易有限责任公司</w:t>
      </w:r>
      <w:r>
        <w:rPr>
          <w:rFonts w:hint="eastAsia"/>
          <w:b/>
          <w:bCs/>
          <w:u w:val="single"/>
        </w:rPr>
        <w:t>肥西县智慧平安小区统一运维项目</w:t>
      </w:r>
      <w:r>
        <w:rPr>
          <w:rFonts w:hint="eastAsia" w:hAnsi="宋体"/>
          <w:bCs/>
          <w:color w:val="auto"/>
          <w:szCs w:val="24"/>
          <w:highlight w:val="none"/>
        </w:rPr>
        <w:t xml:space="preserve">招标活动（项目编号： </w:t>
      </w:r>
      <w:r>
        <w:rPr>
          <w:rFonts w:hint="eastAsia" w:hAnsi="宋体"/>
          <w:bCs/>
          <w:color w:val="auto"/>
          <w:szCs w:val="24"/>
          <w:highlight w:val="none"/>
          <w:lang w:eastAsia="zh-CN"/>
        </w:rPr>
        <w:t>2026PHBZ311</w:t>
      </w:r>
      <w:r>
        <w:rPr>
          <w:rFonts w:hint="eastAsia" w:hAnsi="宋体"/>
          <w:bCs/>
          <w:color w:val="auto"/>
          <w:szCs w:val="24"/>
          <w:highlight w:val="none"/>
        </w:rPr>
        <w:t>）</w:t>
      </w:r>
      <w:r>
        <w:rPr>
          <w:rFonts w:hint="eastAsia" w:hAnsi="宋体"/>
          <w:color w:val="auto"/>
          <w:szCs w:val="24"/>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14:paraId="4FE70840">
      <w:pPr>
        <w:pStyle w:val="13"/>
        <w:snapToGrid w:val="0"/>
        <w:spacing w:line="360" w:lineRule="auto"/>
        <w:ind w:firstLine="480" w:firstLineChars="200"/>
        <w:jc w:val="left"/>
        <w:rPr>
          <w:rFonts w:hint="eastAsia" w:hAnsi="宋体"/>
          <w:color w:val="auto"/>
          <w:szCs w:val="24"/>
          <w:highlight w:val="none"/>
        </w:rPr>
      </w:pPr>
      <w:r>
        <w:rPr>
          <w:rFonts w:hint="eastAsia" w:hAnsi="宋体"/>
          <w:color w:val="auto"/>
          <w:szCs w:val="24"/>
          <w:highlight w:val="none"/>
        </w:rPr>
        <w:t>本授权书自出具之日起生效。</w:t>
      </w:r>
    </w:p>
    <w:p w14:paraId="0E4ADB4E">
      <w:pPr>
        <w:spacing w:line="360" w:lineRule="auto"/>
        <w:rPr>
          <w:rFonts w:hint="eastAsia" w:ascii="宋体" w:hAnsi="宋体"/>
          <w:color w:val="auto"/>
          <w:szCs w:val="24"/>
          <w:highlight w:val="none"/>
        </w:rPr>
      </w:pPr>
    </w:p>
    <w:p w14:paraId="33AE48B3">
      <w:pPr>
        <w:spacing w:line="360" w:lineRule="auto"/>
        <w:ind w:firstLine="645"/>
        <w:rPr>
          <w:rFonts w:hint="eastAsia" w:ascii="宋体" w:hAnsi="宋体"/>
          <w:color w:val="auto"/>
          <w:szCs w:val="24"/>
          <w:highlight w:val="none"/>
        </w:rPr>
      </w:pPr>
      <w:r>
        <w:rPr>
          <w:rFonts w:hint="eastAsia" w:ascii="宋体" w:hAnsi="宋体"/>
          <w:color w:val="auto"/>
          <w:szCs w:val="24"/>
          <w:highlight w:val="none"/>
        </w:rPr>
        <w:t>特此声明。</w:t>
      </w:r>
    </w:p>
    <w:p w14:paraId="23E1E978">
      <w:pPr>
        <w:spacing w:line="360" w:lineRule="auto"/>
        <w:jc w:val="center"/>
        <w:rPr>
          <w:rFonts w:hint="eastAsia" w:ascii="宋体" w:hAnsi="宋体"/>
          <w:color w:val="auto"/>
          <w:szCs w:val="24"/>
          <w:highlight w:val="none"/>
        </w:rPr>
      </w:pPr>
    </w:p>
    <w:p w14:paraId="2E5BDA70">
      <w:pPr>
        <w:spacing w:line="360" w:lineRule="auto"/>
        <w:rPr>
          <w:rFonts w:hint="eastAsia" w:ascii="宋体" w:hAnsi="宋体"/>
          <w:color w:val="auto"/>
          <w:szCs w:val="24"/>
          <w:highlight w:val="none"/>
        </w:rPr>
      </w:pPr>
    </w:p>
    <w:p w14:paraId="5DA981E9">
      <w:pPr>
        <w:spacing w:line="360" w:lineRule="auto"/>
        <w:rPr>
          <w:rFonts w:hint="eastAsia" w:ascii="宋体" w:hAnsi="宋体"/>
          <w:b/>
          <w:bCs/>
          <w:color w:val="auto"/>
          <w:szCs w:val="24"/>
          <w:highlight w:val="none"/>
        </w:rPr>
      </w:pPr>
      <w:r>
        <w:rPr>
          <w:rFonts w:hint="eastAsia" w:ascii="宋体" w:hAnsi="宋体"/>
          <w:b/>
          <w:bCs/>
          <w:color w:val="auto"/>
          <w:szCs w:val="24"/>
          <w:highlight w:val="none"/>
        </w:rPr>
        <w:t>投标人公章：</w:t>
      </w:r>
      <w:r>
        <w:rPr>
          <w:rFonts w:hint="eastAsia" w:ascii="宋体" w:hAnsi="宋体"/>
          <w:b/>
          <w:bCs/>
          <w:color w:val="auto"/>
          <w:szCs w:val="24"/>
          <w:highlight w:val="none"/>
          <w:u w:val="single"/>
        </w:rPr>
        <w:t xml:space="preserve">                    </w:t>
      </w:r>
    </w:p>
    <w:p w14:paraId="29D01ED2">
      <w:pPr>
        <w:spacing w:line="360" w:lineRule="auto"/>
        <w:rPr>
          <w:rFonts w:hint="eastAsia" w:ascii="宋体" w:hAnsi="宋体"/>
          <w:color w:val="auto"/>
          <w:szCs w:val="24"/>
          <w:highlight w:val="none"/>
        </w:rPr>
      </w:pPr>
      <w:r>
        <w:rPr>
          <w:rFonts w:hint="eastAsia" w:ascii="宋体" w:hAnsi="宋体"/>
          <w:color w:val="auto"/>
          <w:szCs w:val="24"/>
          <w:highlight w:val="none"/>
        </w:rPr>
        <w:t>日     期：</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w:t>
      </w:r>
    </w:p>
    <w:p w14:paraId="0BA3FB11">
      <w:pPr>
        <w:rPr>
          <w:rFonts w:hint="eastAsia" w:ascii="宋体" w:hAnsi="宋体"/>
          <w:color w:val="auto"/>
          <w:szCs w:val="24"/>
          <w:highlight w:val="none"/>
        </w:rPr>
      </w:pPr>
    </w:p>
    <w:p w14:paraId="74067F71">
      <w:pPr>
        <w:rPr>
          <w:rFonts w:hint="eastAsia" w:ascii="宋体" w:hAnsi="宋体"/>
          <w:color w:val="auto"/>
          <w:szCs w:val="24"/>
          <w:highlight w:val="none"/>
        </w:rPr>
      </w:pPr>
    </w:p>
    <w:p w14:paraId="64BE1634">
      <w:pPr>
        <w:pStyle w:val="13"/>
        <w:snapToGrid w:val="0"/>
        <w:spacing w:line="360" w:lineRule="auto"/>
        <w:jc w:val="left"/>
        <w:rPr>
          <w:rFonts w:hint="eastAsia" w:hAnsi="宋体"/>
          <w:color w:val="auto"/>
          <w:szCs w:val="24"/>
          <w:highlight w:val="none"/>
        </w:rPr>
      </w:pPr>
      <w:r>
        <w:rPr>
          <w:rFonts w:hint="eastAsia" w:hAnsi="宋体"/>
          <w:color w:val="auto"/>
          <w:szCs w:val="24"/>
          <w:highlight w:val="none"/>
        </w:rPr>
        <w:t>注：</w:t>
      </w:r>
    </w:p>
    <w:p w14:paraId="7CA3FAE1">
      <w:pPr>
        <w:pStyle w:val="13"/>
        <w:snapToGrid w:val="0"/>
        <w:spacing w:line="360" w:lineRule="auto"/>
        <w:jc w:val="left"/>
        <w:rPr>
          <w:rFonts w:hint="eastAsia" w:hAnsi="宋体"/>
          <w:color w:val="auto"/>
          <w:szCs w:val="28"/>
          <w:highlight w:val="none"/>
        </w:rPr>
      </w:pPr>
      <w:r>
        <w:rPr>
          <w:rFonts w:hint="eastAsia" w:hAnsi="宋体"/>
          <w:color w:val="auto"/>
          <w:szCs w:val="28"/>
          <w:highlight w:val="none"/>
        </w:rPr>
        <w:t>1.本项目只允许有唯一的投标人授权代表，投标文件中提供授权代表身份证</w:t>
      </w:r>
      <w:r>
        <w:rPr>
          <w:rFonts w:hint="eastAsia" w:hAnsi="宋体"/>
          <w:color w:val="auto"/>
          <w:highlight w:val="none"/>
        </w:rPr>
        <w:t>复印件或影印件</w:t>
      </w:r>
      <w:r>
        <w:rPr>
          <w:rFonts w:hint="eastAsia" w:hAnsi="宋体"/>
          <w:color w:val="auto"/>
          <w:szCs w:val="28"/>
          <w:highlight w:val="none"/>
        </w:rPr>
        <w:t>。</w:t>
      </w:r>
    </w:p>
    <w:p w14:paraId="4828D4D5">
      <w:pPr>
        <w:pStyle w:val="13"/>
        <w:snapToGrid w:val="0"/>
        <w:spacing w:line="360" w:lineRule="auto"/>
        <w:jc w:val="left"/>
        <w:rPr>
          <w:rFonts w:hint="eastAsia" w:hAnsi="宋体"/>
          <w:color w:val="auto"/>
          <w:szCs w:val="24"/>
          <w:highlight w:val="none"/>
        </w:rPr>
      </w:pPr>
      <w:r>
        <w:rPr>
          <w:rFonts w:hint="eastAsia" w:hAnsi="宋体"/>
          <w:color w:val="auto"/>
          <w:szCs w:val="28"/>
          <w:highlight w:val="none"/>
        </w:rPr>
        <w:t>2.法定代表人参加投标的无需此件，</w:t>
      </w:r>
      <w:r>
        <w:rPr>
          <w:rFonts w:hint="eastAsia" w:hAnsi="宋体"/>
          <w:color w:val="auto"/>
          <w:highlight w:val="none"/>
        </w:rPr>
        <w:t>但投标文件中须提供法定代表人身份证复印件或影印件。</w:t>
      </w:r>
    </w:p>
    <w:p w14:paraId="678236F9">
      <w:pPr>
        <w:pStyle w:val="5"/>
        <w:spacing w:before="120" w:after="120" w:line="360" w:lineRule="auto"/>
        <w:rPr>
          <w:rFonts w:hint="eastAsia" w:hAnsi="宋体"/>
          <w:color w:val="auto"/>
          <w:sz w:val="28"/>
          <w:highlight w:val="none"/>
        </w:rPr>
      </w:pPr>
      <w:bookmarkStart w:id="247" w:name="_Toc220232403"/>
      <w:r>
        <w:rPr>
          <w:rFonts w:hAnsi="宋体"/>
          <w:color w:val="auto"/>
          <w:sz w:val="28"/>
          <w:highlight w:val="none"/>
        </w:rPr>
        <w:br w:type="page"/>
      </w:r>
      <w:bookmarkStart w:id="248" w:name="_Toc3785"/>
      <w:r>
        <w:rPr>
          <w:rFonts w:hint="eastAsia" w:hAnsi="宋体"/>
          <w:color w:val="auto"/>
          <w:sz w:val="28"/>
          <w:highlight w:val="none"/>
        </w:rPr>
        <w:t>十．</w:t>
      </w:r>
      <w:bookmarkEnd w:id="247"/>
      <w:bookmarkStart w:id="249" w:name="_Toc389124158"/>
      <w:r>
        <w:rPr>
          <w:rFonts w:hint="eastAsia" w:hAnsi="宋体"/>
          <w:color w:val="auto"/>
          <w:sz w:val="28"/>
          <w:highlight w:val="none"/>
        </w:rPr>
        <w:t>投标人认为需提供的其他资料</w:t>
      </w:r>
      <w:bookmarkEnd w:id="248"/>
      <w:bookmarkEnd w:id="249"/>
    </w:p>
    <w:p w14:paraId="532FD07C">
      <w:pPr>
        <w:spacing w:line="500" w:lineRule="exact"/>
        <w:rPr>
          <w:rFonts w:hint="eastAsia" w:ascii="宋体" w:hAnsi="宋体"/>
          <w:b/>
          <w:bCs/>
          <w:color w:val="auto"/>
          <w:szCs w:val="24"/>
          <w:highlight w:val="none"/>
        </w:rPr>
      </w:pPr>
      <w:r>
        <w:rPr>
          <w:rFonts w:hint="eastAsia" w:ascii="宋体" w:hAnsi="宋体"/>
          <w:b/>
          <w:bCs/>
          <w:color w:val="auto"/>
          <w:szCs w:val="24"/>
          <w:highlight w:val="none"/>
        </w:rPr>
        <w:t xml:space="preserve">                       （</w:t>
      </w:r>
      <w:r>
        <w:rPr>
          <w:rFonts w:hint="eastAsia" w:ascii="宋体" w:hAnsi="宋体"/>
          <w:bCs/>
          <w:color w:val="auto"/>
          <w:szCs w:val="24"/>
          <w:highlight w:val="none"/>
        </w:rPr>
        <w:t>投标人可自行制作格式</w:t>
      </w:r>
      <w:r>
        <w:rPr>
          <w:rFonts w:hint="eastAsia" w:ascii="宋体" w:hAnsi="宋体"/>
          <w:b/>
          <w:bCs/>
          <w:color w:val="auto"/>
          <w:szCs w:val="24"/>
          <w:highlight w:val="none"/>
        </w:rPr>
        <w:t>）</w:t>
      </w:r>
    </w:p>
    <w:p w14:paraId="24E9CC20">
      <w:pPr>
        <w:rPr>
          <w:color w:val="auto"/>
          <w:highlight w:val="none"/>
        </w:rPr>
      </w:pPr>
    </w:p>
    <w:p w14:paraId="3C794D3F">
      <w:pPr>
        <w:rPr>
          <w:color w:val="auto"/>
          <w:highlight w:val="none"/>
        </w:rPr>
      </w:pPr>
    </w:p>
    <w:p w14:paraId="1645D385">
      <w:pPr>
        <w:rPr>
          <w:color w:val="auto"/>
          <w:highlight w:val="none"/>
        </w:rPr>
      </w:pPr>
    </w:p>
    <w:p w14:paraId="4256BCA5">
      <w:pPr>
        <w:rPr>
          <w:color w:val="auto"/>
          <w:highlight w:val="none"/>
        </w:rPr>
      </w:pPr>
      <w:r>
        <w:rPr>
          <w:color w:val="auto"/>
          <w:highlight w:val="none"/>
        </w:rPr>
        <w:br w:type="page"/>
      </w:r>
    </w:p>
    <w:p w14:paraId="247FA641">
      <w:pPr>
        <w:spacing w:line="360" w:lineRule="auto"/>
        <w:ind w:firstLine="883" w:firstLineChars="200"/>
        <w:rPr>
          <w:rFonts w:ascii="宋体" w:hAnsi="宋体" w:eastAsia="宋体" w:cs="宋体"/>
          <w:b/>
          <w:bCs/>
          <w:color w:val="auto"/>
          <w:kern w:val="0"/>
          <w:sz w:val="44"/>
          <w:szCs w:val="44"/>
          <w:highlight w:val="none"/>
        </w:rPr>
      </w:pPr>
      <w:r>
        <w:rPr>
          <w:rFonts w:hint="eastAsia" w:ascii="宋体" w:hAnsi="宋体" w:eastAsia="宋体" w:cs="宋体"/>
          <w:b/>
          <w:bCs/>
          <w:color w:val="auto"/>
          <w:kern w:val="0"/>
          <w:sz w:val="44"/>
          <w:szCs w:val="44"/>
          <w:highlight w:val="none"/>
        </w:rPr>
        <w:t>附件：全流程电子招标采购具体要求</w:t>
      </w:r>
      <w:r>
        <w:rPr>
          <w:rStyle w:val="30"/>
          <w:rFonts w:hint="eastAsia" w:ascii="宋体" w:hAnsi="宋体" w:eastAsia="宋体" w:cs="宋体"/>
          <w:b/>
          <w:bCs/>
          <w:color w:val="auto"/>
          <w:kern w:val="0"/>
          <w:sz w:val="44"/>
          <w:szCs w:val="44"/>
          <w:highlight w:val="none"/>
        </w:rPr>
        <w:footnoteReference w:id="0"/>
      </w:r>
    </w:p>
    <w:p w14:paraId="1FCDBF5E">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说明：当采用非招标方式进行全流程电子采购活动时，按照本规定执行，其中本要求“</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2585EC08">
      <w:pPr>
        <w:spacing w:line="400" w:lineRule="exact"/>
        <w:ind w:firstLine="480" w:firstLineChars="200"/>
        <w:rPr>
          <w:rFonts w:ascii="宋体" w:hAnsi="宋体" w:eastAsia="宋体" w:cs="宋体"/>
          <w:color w:val="auto"/>
          <w:kern w:val="0"/>
          <w:sz w:val="24"/>
          <w:szCs w:val="24"/>
          <w:highlight w:val="none"/>
        </w:rPr>
      </w:pPr>
    </w:p>
    <w:p w14:paraId="385BDB3D">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0"/>
          <w:highlight w:val="none"/>
        </w:rPr>
        <w:t>CA</w:t>
      </w:r>
      <w:r>
        <w:rPr>
          <w:rFonts w:hint="eastAsia" w:ascii="宋体" w:hAnsi="宋体" w:eastAsia="宋体" w:cs="宋体"/>
          <w:color w:val="auto"/>
          <w:kern w:val="0"/>
          <w:sz w:val="24"/>
          <w:szCs w:val="24"/>
          <w:highlight w:val="none"/>
        </w:rPr>
        <w:t>证书办理和注意事项</w:t>
      </w:r>
    </w:p>
    <w:p w14:paraId="5222AF99">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1.本项目采用全流程电子招标采购方式，</w:t>
      </w:r>
      <w:r>
        <w:rPr>
          <w:rFonts w:hint="eastAsia" w:ascii="宋体" w:hAnsi="宋体" w:eastAsia="宋体" w:cs="宋体"/>
          <w:color w:val="auto"/>
          <w:kern w:val="0"/>
          <w:sz w:val="24"/>
          <w:szCs w:val="20"/>
          <w:highlight w:val="none"/>
        </w:rPr>
        <w:t>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0"/>
          <w:highlight w:val="none"/>
        </w:rPr>
        <w:t>应及时办理CA证书，用于对投标文件进行电子签章及加、解密。</w:t>
      </w:r>
    </w:p>
    <w:p w14:paraId="17B84550">
      <w:pPr>
        <w:spacing w:line="400" w:lineRule="exact"/>
        <w:ind w:firstLine="480" w:firstLineChars="200"/>
        <w:rPr>
          <w:rFonts w:ascii="宋体" w:hAnsi="宋体" w:eastAsia="宋体" w:cs="宋体"/>
          <w:bCs/>
          <w:color w:val="auto"/>
          <w:kern w:val="0"/>
          <w:sz w:val="24"/>
          <w:szCs w:val="20"/>
          <w:highlight w:val="none"/>
        </w:rPr>
      </w:pPr>
      <w:r>
        <w:rPr>
          <w:rFonts w:hint="eastAsia" w:ascii="宋体" w:hAnsi="宋体" w:eastAsia="宋体" w:cs="宋体"/>
          <w:color w:val="auto"/>
          <w:kern w:val="0"/>
          <w:sz w:val="24"/>
          <w:szCs w:val="24"/>
          <w:highlight w:val="none"/>
        </w:rPr>
        <w:t>2.CA</w:t>
      </w:r>
      <w:r>
        <w:rPr>
          <w:rFonts w:hint="eastAsia" w:ascii="宋体" w:hAnsi="宋体" w:eastAsia="宋体" w:cs="宋体"/>
          <w:color w:val="auto"/>
          <w:kern w:val="0"/>
          <w:sz w:val="24"/>
          <w:szCs w:val="20"/>
          <w:highlight w:val="none"/>
        </w:rPr>
        <w:t>证书</w:t>
      </w:r>
      <w:r>
        <w:rPr>
          <w:rFonts w:hint="eastAsia" w:ascii="宋体" w:hAnsi="宋体" w:eastAsia="宋体" w:cs="宋体"/>
          <w:color w:val="auto"/>
          <w:kern w:val="0"/>
          <w:sz w:val="24"/>
          <w:szCs w:val="24"/>
          <w:highlight w:val="none"/>
        </w:rPr>
        <w:t>办理详见</w:t>
      </w:r>
      <w:r>
        <w:rPr>
          <w:rFonts w:hint="eastAsia" w:ascii="宋体" w:hAnsi="宋体" w:eastAsia="宋体" w:cs="宋体"/>
          <w:bCs/>
          <w:color w:val="auto"/>
          <w:kern w:val="0"/>
          <w:sz w:val="24"/>
          <w:szCs w:val="20"/>
          <w:highlight w:val="none"/>
        </w:rPr>
        <w:t>《优质采平台CA数字证书办理说明》：</w:t>
      </w:r>
    </w:p>
    <w:p w14:paraId="76A2D327">
      <w:pPr>
        <w:spacing w:line="400" w:lineRule="exact"/>
        <w:ind w:firstLine="480" w:firstLineChars="200"/>
        <w:rPr>
          <w:rFonts w:ascii="宋体" w:hAnsi="宋体" w:eastAsia="宋体" w:cs="宋体"/>
          <w:b/>
          <w:bCs/>
          <w:color w:val="auto"/>
          <w:kern w:val="0"/>
          <w:sz w:val="24"/>
          <w:szCs w:val="20"/>
          <w:highlight w:val="none"/>
        </w:rPr>
      </w:pPr>
      <w:r>
        <w:rPr>
          <w:rFonts w:ascii="宋体" w:hAnsi="宋体" w:eastAsia="宋体" w:cstheme="minorBidi"/>
          <w:color w:val="auto"/>
          <w:kern w:val="0"/>
          <w:sz w:val="24"/>
          <w:szCs w:val="20"/>
          <w:highlight w:val="none"/>
        </w:rPr>
        <w:fldChar w:fldCharType="begin"/>
      </w:r>
      <w:r>
        <w:rPr>
          <w:rFonts w:ascii="宋体" w:hAnsi="宋体" w:eastAsia="宋体" w:cstheme="minorBidi"/>
          <w:color w:val="auto"/>
          <w:kern w:val="0"/>
          <w:sz w:val="24"/>
          <w:szCs w:val="20"/>
          <w:highlight w:val="none"/>
        </w:rPr>
        <w:instrText xml:space="preserve"> HYPERLINK "http://www.youzhicai.com/ActivityTopic/AdviceDetail/8f80a7ec-911f-4c4d-a123-f8849880f045" </w:instrText>
      </w:r>
      <w:r>
        <w:rPr>
          <w:rFonts w:ascii="宋体" w:hAnsi="宋体" w:eastAsia="宋体" w:cstheme="minorBidi"/>
          <w:color w:val="auto"/>
          <w:kern w:val="0"/>
          <w:sz w:val="24"/>
          <w:szCs w:val="20"/>
          <w:highlight w:val="none"/>
        </w:rPr>
        <w:fldChar w:fldCharType="separate"/>
      </w:r>
      <w:r>
        <w:rPr>
          <w:rStyle w:val="28"/>
          <w:rFonts w:hint="eastAsia" w:ascii="宋体" w:hAnsi="宋体" w:eastAsia="宋体" w:cs="宋体"/>
          <w:bCs/>
          <w:color w:val="auto"/>
          <w:kern w:val="0"/>
          <w:sz w:val="24"/>
          <w:szCs w:val="20"/>
          <w:highlight w:val="none"/>
        </w:rPr>
        <w:t>http://www.youzhicai.com/ActivityTopic/AdviceDetail/8f80a7ec-911f-4c4d-a123-f</w:t>
      </w:r>
      <w:bookmarkStart w:id="250" w:name="_Hlt105085548"/>
      <w:bookmarkStart w:id="251" w:name="_Hlt105085547"/>
      <w:r>
        <w:rPr>
          <w:rStyle w:val="28"/>
          <w:rFonts w:hint="eastAsia" w:ascii="宋体" w:hAnsi="宋体" w:eastAsia="宋体" w:cs="宋体"/>
          <w:bCs/>
          <w:color w:val="auto"/>
          <w:kern w:val="0"/>
          <w:sz w:val="24"/>
          <w:szCs w:val="20"/>
          <w:highlight w:val="none"/>
        </w:rPr>
        <w:t>8</w:t>
      </w:r>
      <w:bookmarkEnd w:id="250"/>
      <w:bookmarkEnd w:id="251"/>
      <w:r>
        <w:rPr>
          <w:rStyle w:val="28"/>
          <w:rFonts w:hint="eastAsia" w:ascii="宋体" w:hAnsi="宋体" w:eastAsia="宋体" w:cs="宋体"/>
          <w:bCs/>
          <w:color w:val="auto"/>
          <w:kern w:val="0"/>
          <w:sz w:val="24"/>
          <w:szCs w:val="20"/>
          <w:highlight w:val="none"/>
        </w:rPr>
        <w:t>849880f045</w:t>
      </w:r>
      <w:r>
        <w:rPr>
          <w:rStyle w:val="28"/>
          <w:rFonts w:hint="eastAsia" w:ascii="宋体" w:hAnsi="宋体" w:eastAsia="宋体" w:cs="宋体"/>
          <w:bCs/>
          <w:color w:val="auto"/>
          <w:kern w:val="0"/>
          <w:sz w:val="24"/>
          <w:szCs w:val="20"/>
          <w:highlight w:val="none"/>
        </w:rPr>
        <w:fldChar w:fldCharType="end"/>
      </w:r>
      <w:r>
        <w:rPr>
          <w:rFonts w:hint="eastAsia" w:ascii="宋体" w:hAnsi="宋体" w:eastAsia="宋体" w:cs="宋体"/>
          <w:bCs/>
          <w:color w:val="auto"/>
          <w:kern w:val="0"/>
          <w:sz w:val="24"/>
          <w:szCs w:val="20"/>
          <w:highlight w:val="none"/>
        </w:rPr>
        <w:t>。</w:t>
      </w:r>
    </w:p>
    <w:p w14:paraId="25E74097">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3.CA</w:t>
      </w:r>
      <w:r>
        <w:rPr>
          <w:rFonts w:hint="eastAsia" w:ascii="宋体" w:hAnsi="宋体" w:eastAsia="宋体" w:cs="宋体"/>
          <w:color w:val="auto"/>
          <w:kern w:val="0"/>
          <w:sz w:val="24"/>
          <w:szCs w:val="20"/>
          <w:highlight w:val="none"/>
        </w:rPr>
        <w:t>证书</w:t>
      </w:r>
      <w:r>
        <w:rPr>
          <w:rFonts w:hint="eastAsia" w:ascii="宋体" w:hAnsi="宋体" w:eastAsia="宋体" w:cs="宋体"/>
          <w:color w:val="auto"/>
          <w:kern w:val="0"/>
          <w:sz w:val="24"/>
          <w:szCs w:val="24"/>
          <w:highlight w:val="none"/>
        </w:rPr>
        <w:t>到期或即将到期，须在递交投标文件前办理续期。</w:t>
      </w:r>
    </w:p>
    <w:p w14:paraId="1F614738">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4.CA锁</w:t>
      </w:r>
      <w:r>
        <w:rPr>
          <w:rFonts w:hint="eastAsia" w:ascii="宋体" w:hAnsi="宋体" w:eastAsia="宋体" w:cs="宋体"/>
          <w:color w:val="auto"/>
          <w:kern w:val="0"/>
          <w:sz w:val="24"/>
          <w:szCs w:val="20"/>
          <w:highlight w:val="none"/>
        </w:rPr>
        <w:t>遗失、损坏等无法使用，须在递交投标文件前补办CA锁。</w:t>
      </w:r>
    </w:p>
    <w:p w14:paraId="23CB925E">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5.企业</w:t>
      </w:r>
      <w:r>
        <w:rPr>
          <w:rFonts w:hint="eastAsia" w:ascii="宋体" w:hAnsi="宋体" w:eastAsia="宋体" w:cs="宋体"/>
          <w:color w:val="auto"/>
          <w:kern w:val="0"/>
          <w:sz w:val="24"/>
          <w:szCs w:val="20"/>
          <w:highlight w:val="none"/>
        </w:rPr>
        <w:t>信息（包括但不限于企业名称和法定代表人信息）发生变更的，须在递交投标文件前变更CA证书。</w:t>
      </w:r>
    </w:p>
    <w:p w14:paraId="5EFFC36F">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6.</w:t>
      </w:r>
      <w:r>
        <w:rPr>
          <w:rFonts w:hint="eastAsia" w:ascii="宋体" w:hAnsi="宋体" w:eastAsia="宋体" w:cstheme="minorBidi"/>
          <w:color w:val="auto"/>
          <w:kern w:val="0"/>
          <w:sz w:val="24"/>
          <w:szCs w:val="18"/>
          <w:highlight w:val="none"/>
        </w:rPr>
        <w:t xml:space="preserve"> </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由于</w:t>
      </w:r>
      <w:r>
        <w:rPr>
          <w:rFonts w:hint="eastAsia" w:ascii="宋体" w:hAnsi="宋体" w:eastAsia="宋体" w:cs="宋体"/>
          <w:color w:val="auto"/>
          <w:kern w:val="0"/>
          <w:sz w:val="24"/>
          <w:szCs w:val="20"/>
          <w:highlight w:val="none"/>
        </w:rPr>
        <w:t>CA证书</w:t>
      </w:r>
      <w:r>
        <w:rPr>
          <w:rFonts w:hint="eastAsia" w:ascii="宋体" w:hAnsi="宋体" w:eastAsia="宋体" w:cs="宋体"/>
          <w:color w:val="auto"/>
          <w:kern w:val="0"/>
          <w:sz w:val="24"/>
          <w:szCs w:val="24"/>
          <w:highlight w:val="none"/>
        </w:rPr>
        <w:t>遗失、损坏、更换、续期、企业信息变更等情况导致投标文件无法解密的，由</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自行承担责任；</w:t>
      </w:r>
    </w:p>
    <w:p w14:paraId="073C29EF">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7.加密和解密投标文件</w:t>
      </w:r>
      <w:r>
        <w:rPr>
          <w:rFonts w:hint="eastAsia" w:ascii="宋体" w:hAnsi="宋体" w:eastAsia="宋体" w:cs="宋体"/>
          <w:color w:val="auto"/>
          <w:kern w:val="0"/>
          <w:sz w:val="24"/>
          <w:szCs w:val="20"/>
          <w:highlight w:val="none"/>
        </w:rPr>
        <w:t>必须使用同一个CA证书</w:t>
      </w:r>
      <w:r>
        <w:rPr>
          <w:rFonts w:hint="eastAsia" w:ascii="宋体" w:hAnsi="宋体" w:eastAsia="宋体" w:cs="宋体"/>
          <w:color w:val="auto"/>
          <w:kern w:val="0"/>
          <w:sz w:val="24"/>
          <w:szCs w:val="24"/>
          <w:highlight w:val="none"/>
        </w:rPr>
        <w:t>。</w:t>
      </w:r>
    </w:p>
    <w:p w14:paraId="47B0BC6F">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二、制作、签章、加密、上传电子投标文件</w:t>
      </w:r>
    </w:p>
    <w:p w14:paraId="4763B852">
      <w:pPr>
        <w:spacing w:line="400" w:lineRule="exact"/>
        <w:ind w:firstLine="480" w:firstLineChars="200"/>
        <w:rPr>
          <w:rStyle w:val="28"/>
          <w:rFonts w:ascii="宋体" w:hAnsi="宋体" w:eastAsia="宋体" w:cs="宋体"/>
          <w:color w:val="auto"/>
          <w:kern w:val="0"/>
          <w:sz w:val="24"/>
          <w:szCs w:val="20"/>
          <w:highlight w:val="none"/>
        </w:rPr>
      </w:pPr>
      <w:r>
        <w:rPr>
          <w:rFonts w:hint="eastAsia" w:ascii="宋体" w:hAnsi="宋体" w:eastAsia="宋体" w:cs="宋体"/>
          <w:color w:val="auto"/>
          <w:kern w:val="0"/>
          <w:sz w:val="24"/>
          <w:szCs w:val="24"/>
          <w:highlight w:val="none"/>
        </w:rPr>
        <w:t>8.本项目采用全流程电子化招标采购方式，潜在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0"/>
          <w:highlight w:val="none"/>
        </w:rPr>
        <w:t>需使用</w:t>
      </w:r>
      <w:r>
        <w:rPr>
          <w:rFonts w:hint="eastAsia" w:ascii="宋体" w:hAnsi="宋体" w:eastAsia="宋体" w:cs="宋体"/>
          <w:color w:val="auto"/>
          <w:kern w:val="0"/>
          <w:sz w:val="24"/>
          <w:szCs w:val="24"/>
          <w:highlight w:val="none"/>
        </w:rPr>
        <w:t>“优质采投标工具客户端”（以下简称“投标工具”）制作</w:t>
      </w:r>
      <w:r>
        <w:rPr>
          <w:rFonts w:hint="eastAsia" w:ascii="宋体" w:hAnsi="宋体" w:eastAsia="宋体" w:cs="宋体"/>
          <w:color w:val="auto"/>
          <w:kern w:val="0"/>
          <w:sz w:val="24"/>
          <w:szCs w:val="20"/>
          <w:highlight w:val="none"/>
        </w:rPr>
        <w:t>电子投标文件，</w:t>
      </w:r>
      <w:r>
        <w:rPr>
          <w:rFonts w:hint="eastAsia" w:ascii="宋体" w:hAnsi="宋体" w:eastAsia="宋体" w:cs="宋体"/>
          <w:color w:val="auto"/>
          <w:kern w:val="0"/>
          <w:sz w:val="24"/>
          <w:szCs w:val="24"/>
          <w:highlight w:val="none"/>
        </w:rPr>
        <w:t>投标工具及操作说明下载地址：</w:t>
      </w:r>
      <w:r>
        <w:rPr>
          <w:rFonts w:ascii="宋体" w:hAnsi="宋体" w:eastAsia="宋体" w:cstheme="minorBidi"/>
          <w:color w:val="auto"/>
          <w:kern w:val="0"/>
          <w:sz w:val="24"/>
          <w:szCs w:val="20"/>
          <w:highlight w:val="none"/>
        </w:rPr>
        <w:fldChar w:fldCharType="begin"/>
      </w:r>
      <w:r>
        <w:rPr>
          <w:rFonts w:ascii="宋体" w:hAnsi="宋体" w:eastAsia="宋体" w:cstheme="minorBidi"/>
          <w:color w:val="auto"/>
          <w:kern w:val="0"/>
          <w:sz w:val="24"/>
          <w:szCs w:val="20"/>
          <w:highlight w:val="none"/>
        </w:rPr>
        <w:instrText xml:space="preserve"> HYPERLINK "https://toolcdn.youzhicai.com/tools/BidderTools.zip" </w:instrText>
      </w:r>
      <w:r>
        <w:rPr>
          <w:rFonts w:ascii="宋体" w:hAnsi="宋体" w:eastAsia="宋体" w:cstheme="minorBidi"/>
          <w:color w:val="auto"/>
          <w:kern w:val="0"/>
          <w:sz w:val="24"/>
          <w:szCs w:val="20"/>
          <w:highlight w:val="none"/>
        </w:rPr>
        <w:fldChar w:fldCharType="separate"/>
      </w:r>
      <w:r>
        <w:rPr>
          <w:rStyle w:val="28"/>
          <w:rFonts w:hint="eastAsia" w:ascii="宋体" w:hAnsi="宋体" w:eastAsia="宋体" w:cs="宋体"/>
          <w:color w:val="auto"/>
          <w:kern w:val="0"/>
          <w:sz w:val="24"/>
          <w:szCs w:val="20"/>
          <w:highlight w:val="none"/>
        </w:rPr>
        <w:t>https://toolcdn.youzhicai.com/tools/BidderTools.zip</w:t>
      </w:r>
      <w:r>
        <w:rPr>
          <w:rStyle w:val="28"/>
          <w:rFonts w:hint="eastAsia" w:ascii="宋体" w:hAnsi="宋体" w:eastAsia="宋体" w:cs="宋体"/>
          <w:color w:val="auto"/>
          <w:kern w:val="0"/>
          <w:sz w:val="24"/>
          <w:szCs w:val="20"/>
          <w:highlight w:val="none"/>
        </w:rPr>
        <w:fldChar w:fldCharType="end"/>
      </w:r>
      <w:r>
        <w:rPr>
          <w:rStyle w:val="28"/>
          <w:rFonts w:hint="eastAsia" w:ascii="宋体" w:hAnsi="宋体" w:eastAsia="宋体" w:cs="宋体"/>
          <w:color w:val="auto"/>
          <w:kern w:val="0"/>
          <w:sz w:val="24"/>
          <w:szCs w:val="20"/>
          <w:highlight w:val="none"/>
        </w:rPr>
        <w:t>。</w:t>
      </w:r>
    </w:p>
    <w:p w14:paraId="5B3B169B">
      <w:pPr>
        <w:spacing w:line="400" w:lineRule="exact"/>
        <w:ind w:firstLine="480" w:firstLineChars="200"/>
        <w:rPr>
          <w:rStyle w:val="28"/>
          <w:rFonts w:ascii="宋体" w:hAnsi="宋体" w:eastAsia="宋体" w:cs="宋体"/>
          <w:color w:val="auto"/>
          <w:kern w:val="0"/>
          <w:sz w:val="24"/>
          <w:szCs w:val="20"/>
          <w:highlight w:val="none"/>
          <w:u w:val="none"/>
        </w:rPr>
      </w:pPr>
      <w:r>
        <w:rPr>
          <w:rStyle w:val="28"/>
          <w:rFonts w:hint="eastAsia" w:ascii="宋体" w:hAnsi="宋体" w:eastAsia="宋体" w:cs="宋体"/>
          <w:color w:val="auto"/>
          <w:kern w:val="0"/>
          <w:sz w:val="24"/>
          <w:szCs w:val="20"/>
          <w:highlight w:val="none"/>
          <w:u w:val="none"/>
        </w:rPr>
        <w:tab/>
      </w:r>
      <w:r>
        <w:rPr>
          <w:rStyle w:val="28"/>
          <w:rFonts w:hint="eastAsia" w:ascii="宋体" w:hAnsi="宋体" w:eastAsia="宋体" w:cs="宋体"/>
          <w:color w:val="auto"/>
          <w:kern w:val="0"/>
          <w:sz w:val="24"/>
          <w:szCs w:val="20"/>
          <w:highlight w:val="none"/>
          <w:u w:val="none"/>
        </w:rPr>
        <w:t>8.1.投标工具建议在window7或windows10操作系统下使用；</w:t>
      </w:r>
    </w:p>
    <w:p w14:paraId="4A4CA7E1">
      <w:pPr>
        <w:spacing w:line="400" w:lineRule="exact"/>
        <w:ind w:firstLine="480" w:firstLineChars="200"/>
        <w:rPr>
          <w:rFonts w:ascii="宋体" w:hAnsi="宋体" w:eastAsia="宋体" w:cs="宋体"/>
          <w:bCs/>
          <w:color w:val="auto"/>
          <w:kern w:val="0"/>
          <w:sz w:val="18"/>
          <w:szCs w:val="20"/>
          <w:highlight w:val="none"/>
        </w:rPr>
      </w:pPr>
      <w:r>
        <w:rPr>
          <w:rStyle w:val="28"/>
          <w:rFonts w:hint="eastAsia" w:ascii="宋体" w:hAnsi="宋体" w:eastAsia="宋体" w:cs="宋体"/>
          <w:color w:val="auto"/>
          <w:kern w:val="0"/>
          <w:sz w:val="24"/>
          <w:szCs w:val="20"/>
          <w:highlight w:val="none"/>
          <w:u w:val="none"/>
        </w:rPr>
        <w:tab/>
      </w:r>
      <w:r>
        <w:rPr>
          <w:rStyle w:val="28"/>
          <w:rFonts w:hint="eastAsia" w:ascii="宋体" w:hAnsi="宋体" w:eastAsia="宋体" w:cs="宋体"/>
          <w:color w:val="auto"/>
          <w:kern w:val="0"/>
          <w:sz w:val="24"/>
          <w:szCs w:val="20"/>
          <w:highlight w:val="none"/>
          <w:u w:val="none"/>
        </w:rPr>
        <w:t>8.2.电子投标文件编制建议使用</w:t>
      </w:r>
      <w:r>
        <w:rPr>
          <w:rFonts w:hint="eastAsia" w:ascii="宋体" w:hAnsi="宋体" w:eastAsia="宋体" w:cs="宋体"/>
          <w:color w:val="auto"/>
          <w:kern w:val="0"/>
          <w:sz w:val="24"/>
          <w:szCs w:val="20"/>
          <w:highlight w:val="none"/>
        </w:rPr>
        <w:t>office2010版本。</w:t>
      </w:r>
    </w:p>
    <w:p w14:paraId="4E326892">
      <w:pPr>
        <w:wordWrap w:val="0"/>
        <w:spacing w:line="400" w:lineRule="exact"/>
        <w:ind w:firstLine="480" w:firstLineChars="200"/>
        <w:rPr>
          <w:rFonts w:ascii="宋体" w:hAnsi="宋体" w:eastAsia="宋体" w:cs="宋体"/>
          <w:bCs/>
          <w:color w:val="auto"/>
          <w:kern w:val="0"/>
          <w:sz w:val="24"/>
          <w:szCs w:val="20"/>
          <w:highlight w:val="none"/>
          <w:u w:val="single"/>
        </w:rPr>
      </w:pP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0"/>
          <w:highlight w:val="none"/>
        </w:rPr>
        <w:t>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0"/>
          <w:highlight w:val="none"/>
        </w:rPr>
        <w:t>制作电子投标文件后，需在</w:t>
      </w:r>
      <w:r>
        <w:rPr>
          <w:rFonts w:hint="eastAsia" w:ascii="宋体" w:hAnsi="宋体" w:eastAsia="宋体" w:cs="宋体"/>
          <w:color w:val="auto"/>
          <w:kern w:val="0"/>
          <w:sz w:val="24"/>
          <w:szCs w:val="24"/>
          <w:highlight w:val="none"/>
        </w:rPr>
        <w:t>投标工具</w:t>
      </w:r>
      <w:r>
        <w:rPr>
          <w:rFonts w:hint="eastAsia" w:ascii="宋体" w:hAnsi="宋体" w:eastAsia="宋体" w:cs="宋体"/>
          <w:color w:val="auto"/>
          <w:kern w:val="0"/>
          <w:sz w:val="24"/>
          <w:szCs w:val="20"/>
          <w:highlight w:val="none"/>
        </w:rPr>
        <w:t>对电子投标文件进行电子签章（项目有特殊说明的除外），并使用CA</w:t>
      </w:r>
      <w:r>
        <w:rPr>
          <w:rFonts w:hint="eastAsia" w:ascii="宋体" w:hAnsi="宋体" w:eastAsia="宋体" w:cs="宋体"/>
          <w:color w:val="auto"/>
          <w:kern w:val="0"/>
          <w:sz w:val="24"/>
          <w:szCs w:val="24"/>
          <w:highlight w:val="none"/>
        </w:rPr>
        <w:t>证书进行</w:t>
      </w:r>
      <w:r>
        <w:rPr>
          <w:rFonts w:hint="eastAsia" w:ascii="宋体" w:hAnsi="宋体" w:eastAsia="宋体" w:cs="宋体"/>
          <w:color w:val="auto"/>
          <w:kern w:val="0"/>
          <w:sz w:val="24"/>
          <w:szCs w:val="20"/>
          <w:highlight w:val="none"/>
        </w:rPr>
        <w:t>加密。在</w:t>
      </w:r>
      <w:r>
        <w:rPr>
          <w:rFonts w:hint="eastAsia" w:ascii="宋体" w:hAnsi="宋体" w:eastAsia="宋体" w:cs="宋体"/>
          <w:color w:val="auto"/>
          <w:kern w:val="0"/>
          <w:sz w:val="24"/>
          <w:szCs w:val="24"/>
          <w:highlight w:val="none"/>
        </w:rPr>
        <w:t>投标工具使用CA证书</w:t>
      </w:r>
      <w:r>
        <w:rPr>
          <w:rFonts w:hint="eastAsia" w:ascii="宋体" w:hAnsi="宋体" w:eastAsia="宋体" w:cs="宋体"/>
          <w:color w:val="auto"/>
          <w:kern w:val="0"/>
          <w:sz w:val="24"/>
          <w:szCs w:val="20"/>
          <w:highlight w:val="none"/>
        </w:rPr>
        <w:t>时需安装“优质采数字证书助手”</w:t>
      </w:r>
      <w:r>
        <w:rPr>
          <w:rFonts w:hint="eastAsia" w:ascii="宋体" w:hAnsi="宋体" w:eastAsia="宋体" w:cs="宋体"/>
          <w:color w:val="auto"/>
          <w:kern w:val="0"/>
          <w:sz w:val="24"/>
          <w:szCs w:val="24"/>
          <w:highlight w:val="none"/>
        </w:rPr>
        <w:t xml:space="preserve"> （即数字证书驱动）</w:t>
      </w:r>
      <w:r>
        <w:rPr>
          <w:rFonts w:hint="eastAsia" w:ascii="宋体" w:hAnsi="宋体" w:eastAsia="宋体" w:cs="宋体"/>
          <w:color w:val="auto"/>
          <w:kern w:val="0"/>
          <w:sz w:val="24"/>
          <w:szCs w:val="20"/>
          <w:highlight w:val="none"/>
        </w:rPr>
        <w:t>，下载地址：</w:t>
      </w:r>
      <w:r>
        <w:rPr>
          <w:rFonts w:ascii="宋体" w:hAnsi="宋体" w:eastAsia="宋体" w:cstheme="minorBidi"/>
          <w:color w:val="auto"/>
          <w:kern w:val="0"/>
          <w:sz w:val="24"/>
          <w:szCs w:val="20"/>
          <w:highlight w:val="none"/>
        </w:rPr>
        <w:fldChar w:fldCharType="begin"/>
      </w:r>
      <w:r>
        <w:rPr>
          <w:rFonts w:ascii="宋体" w:hAnsi="宋体" w:eastAsia="宋体" w:cstheme="minorBidi"/>
          <w:color w:val="auto"/>
          <w:kern w:val="0"/>
          <w:sz w:val="24"/>
          <w:szCs w:val="20"/>
          <w:highlight w:val="none"/>
        </w:rPr>
        <w:instrText xml:space="preserve"> HYPERLINK "https://toolcdn.youzhicai.com/ca.zip" </w:instrText>
      </w:r>
      <w:r>
        <w:rPr>
          <w:rFonts w:ascii="宋体" w:hAnsi="宋体" w:eastAsia="宋体" w:cstheme="minorBidi"/>
          <w:color w:val="auto"/>
          <w:kern w:val="0"/>
          <w:sz w:val="24"/>
          <w:szCs w:val="20"/>
          <w:highlight w:val="none"/>
        </w:rPr>
        <w:fldChar w:fldCharType="separate"/>
      </w:r>
      <w:r>
        <w:rPr>
          <w:rStyle w:val="28"/>
          <w:rFonts w:hint="eastAsia" w:ascii="宋体" w:hAnsi="宋体" w:eastAsia="宋体" w:cs="宋体"/>
          <w:color w:val="auto"/>
          <w:kern w:val="0"/>
          <w:sz w:val="24"/>
          <w:szCs w:val="20"/>
          <w:highlight w:val="none"/>
        </w:rPr>
        <w:t>https://toolcdn.youzhicai.com/ca.zip</w:t>
      </w:r>
      <w:r>
        <w:rPr>
          <w:rStyle w:val="28"/>
          <w:rFonts w:hint="eastAsia" w:ascii="宋体" w:hAnsi="宋体" w:eastAsia="宋体" w:cs="宋体"/>
          <w:color w:val="auto"/>
          <w:kern w:val="0"/>
          <w:sz w:val="24"/>
          <w:szCs w:val="20"/>
          <w:highlight w:val="none"/>
        </w:rPr>
        <w:fldChar w:fldCharType="end"/>
      </w:r>
      <w:r>
        <w:rPr>
          <w:rStyle w:val="28"/>
          <w:rFonts w:hint="eastAsia" w:ascii="宋体" w:hAnsi="宋体" w:eastAsia="宋体" w:cs="宋体"/>
          <w:color w:val="auto"/>
          <w:kern w:val="0"/>
          <w:sz w:val="24"/>
          <w:szCs w:val="20"/>
          <w:highlight w:val="none"/>
        </w:rPr>
        <w:t>。</w:t>
      </w:r>
    </w:p>
    <w:p w14:paraId="64E9C6F4">
      <w:pPr>
        <w:wordWrap w:val="0"/>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0"/>
          <w:highlight w:val="none"/>
        </w:rPr>
        <w:tab/>
      </w:r>
      <w:r>
        <w:rPr>
          <w:rFonts w:hint="eastAsia" w:ascii="宋体" w:hAnsi="宋体" w:eastAsia="宋体" w:cs="宋体"/>
          <w:color w:val="auto"/>
          <w:kern w:val="0"/>
          <w:sz w:val="24"/>
          <w:szCs w:val="24"/>
          <w:highlight w:val="none"/>
        </w:rPr>
        <w:t>10.潜在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完成制作、签章、加密投标文件后，需在</w:t>
      </w:r>
      <w:r>
        <w:rPr>
          <w:rFonts w:hint="eastAsia" w:ascii="宋体" w:hAnsi="宋体" w:eastAsia="宋体" w:cs="宋体"/>
          <w:color w:val="auto"/>
          <w:kern w:val="0"/>
          <w:sz w:val="24"/>
          <w:szCs w:val="20"/>
          <w:highlight w:val="none"/>
        </w:rPr>
        <w:t>招标文件规定的投标截止时间前在</w:t>
      </w:r>
      <w:r>
        <w:rPr>
          <w:rFonts w:hint="eastAsia" w:ascii="宋体" w:hAnsi="宋体" w:eastAsia="宋体" w:cs="宋体"/>
          <w:color w:val="auto"/>
          <w:kern w:val="0"/>
          <w:sz w:val="24"/>
          <w:szCs w:val="24"/>
          <w:highlight w:val="none"/>
        </w:rPr>
        <w:t>投标工具</w:t>
      </w:r>
      <w:r>
        <w:rPr>
          <w:rFonts w:hint="eastAsia" w:ascii="宋体" w:hAnsi="宋体" w:eastAsia="宋体" w:cs="宋体"/>
          <w:color w:val="auto"/>
          <w:kern w:val="0"/>
          <w:sz w:val="24"/>
          <w:szCs w:val="20"/>
          <w:highlight w:val="none"/>
        </w:rPr>
        <w:t>完成上传。</w:t>
      </w:r>
      <w:r>
        <w:rPr>
          <w:rFonts w:hint="eastAsia" w:ascii="宋体" w:hAnsi="宋体" w:eastAsia="宋体" w:cs="宋体"/>
          <w:color w:val="auto"/>
          <w:kern w:val="0"/>
          <w:sz w:val="24"/>
          <w:szCs w:val="24"/>
          <w:highlight w:val="none"/>
        </w:rPr>
        <w:t>投标截止时间以优质采云采购平台（</w:t>
      </w:r>
      <w:r>
        <w:rPr>
          <w:rFonts w:ascii="宋体" w:hAnsi="宋体" w:eastAsia="宋体" w:cs="宋体"/>
          <w:color w:val="auto"/>
          <w:kern w:val="0"/>
          <w:sz w:val="24"/>
          <w:szCs w:val="24"/>
          <w:highlight w:val="none"/>
        </w:rPr>
        <w:t>http://www.youzhicai.com/</w:t>
      </w:r>
      <w:r>
        <w:rPr>
          <w:rFonts w:hint="eastAsia" w:ascii="宋体" w:hAnsi="宋体" w:eastAsia="宋体" w:cs="宋体"/>
          <w:color w:val="auto"/>
          <w:kern w:val="0"/>
          <w:sz w:val="24"/>
          <w:szCs w:val="24"/>
          <w:highlight w:val="none"/>
        </w:rPr>
        <w:t>）系统的时间为准，如未在投标截止时间前完成电子投标文件上传，系统将自动关闭上传通道。潜在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未完成电子投标文件上传的，视为没有递交投标文件。</w:t>
      </w:r>
    </w:p>
    <w:p w14:paraId="14E9A9F9">
      <w:pPr>
        <w:wordWrap w:val="0"/>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在投标文件递交截止时间前，可以对其所递交的电子投标文件进行撤回，修改后重新上传。</w:t>
      </w:r>
    </w:p>
    <w:p w14:paraId="0251552D">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在制作、签章、加密、上传电子投标文件过程中，若存在技术操作问题，请及时联系优质采云采购平台客服人员，客服电话：400-0099-555，0551-62220164。</w:t>
      </w:r>
    </w:p>
    <w:p w14:paraId="0F5AD9A4">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三、开标和解密</w:t>
      </w:r>
    </w:p>
    <w:p w14:paraId="7226832F">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r>
        <w:rPr>
          <w:rFonts w:hint="eastAsia" w:ascii="宋体" w:hAnsi="宋体" w:eastAsia="宋体" w:cstheme="minorBidi"/>
          <w:color w:val="auto"/>
          <w:kern w:val="0"/>
          <w:sz w:val="24"/>
          <w:szCs w:val="18"/>
          <w:highlight w:val="none"/>
        </w:rPr>
        <w:t>业主单位</w:t>
      </w:r>
      <w:r>
        <w:rPr>
          <w:rFonts w:hint="eastAsia" w:ascii="宋体" w:hAnsi="宋体" w:eastAsia="宋体" w:cs="宋体"/>
          <w:color w:val="auto"/>
          <w:kern w:val="0"/>
          <w:sz w:val="24"/>
          <w:szCs w:val="24"/>
          <w:highlight w:val="none"/>
        </w:rPr>
        <w:t>或代理机构工作人员（以下简称工作人员）根据有关规定登录系统组织开标。投标文件递交截止时间后由</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使用</w:t>
      </w:r>
      <w:r>
        <w:rPr>
          <w:rFonts w:hint="eastAsia" w:ascii="宋体" w:hAnsi="宋体" w:eastAsia="宋体" w:cs="宋体"/>
          <w:color w:val="auto"/>
          <w:kern w:val="0"/>
          <w:sz w:val="24"/>
          <w:szCs w:val="20"/>
          <w:highlight w:val="none"/>
        </w:rPr>
        <w:t>CA证书</w:t>
      </w:r>
      <w:r>
        <w:rPr>
          <w:rFonts w:hint="eastAsia" w:ascii="宋体" w:hAnsi="宋体" w:eastAsia="宋体" w:cs="宋体"/>
          <w:color w:val="auto"/>
          <w:kern w:val="0"/>
          <w:sz w:val="24"/>
          <w:szCs w:val="24"/>
          <w:highlight w:val="none"/>
        </w:rPr>
        <w:t>解密投标文件，工作人员导入已解密投标文件并公布开标结果。</w:t>
      </w:r>
    </w:p>
    <w:p w14:paraId="23ED23BF">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14.投标文件可远程解密，</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无需到达开标现场。招标文件“</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须知”中另有规定的，从其规定。</w:t>
      </w:r>
    </w:p>
    <w:p w14:paraId="21119758">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须按照招标文件的要求在投标文件递交截止时间前登录投标工具并保持在线，关注开标互动大厅消息直到项目评审结束。</w:t>
      </w:r>
    </w:p>
    <w:p w14:paraId="43A8C73D">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16.投标文件解密时限为投标文件递交截止时间后30分钟（招标文件“</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须知”中另有规定的，从其规定）。潜在</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须在投标文件解密时限内完成投标文件解密，未能成功解密的视为放弃投标。招标文件“</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须知”中对投标文件解密设有线下补救方案的，执行该补救方案。</w:t>
      </w:r>
    </w:p>
    <w:p w14:paraId="23E30D09">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四、评审和询标</w:t>
      </w:r>
    </w:p>
    <w:p w14:paraId="5E61822C">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17.评审委员会通过优质采电子评审工具将需要澄清、说明或补正的内容以询标函的形式发送给</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应登录投标工具并保持在线状态，以便及时接收评审委员会可能发出的询标函，并在询标函载明的时间内回复，若</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4"/>
          <w:highlight w:val="none"/>
        </w:rPr>
        <w:t>未及时回复，视为放弃澄清。</w:t>
      </w:r>
    </w:p>
    <w:p w14:paraId="3642ADA6">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五、异常情形</w:t>
      </w:r>
    </w:p>
    <w:p w14:paraId="1F423FA7">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18.出现下列情形导致电子交易系统无法正常运行，影响招投标过程的公平、公正和信息安全，经第三方机构认定后，各方当事人免责：</w:t>
      </w:r>
    </w:p>
    <w:p w14:paraId="2E843713">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(1)网络、服务器、数据库发生故障造成无法访问或使用的；</w:t>
      </w:r>
    </w:p>
    <w:p w14:paraId="20B0B874">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(2)电力系统发生故障导致电子服务系统或电子交易系统无法运行；</w:t>
      </w:r>
    </w:p>
    <w:p w14:paraId="71A1C226">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(3)出现网络攻击、病毒入侵以及电子服务系统或电子交易系统安全漏洞导致无法正常提供服务的；</w:t>
      </w:r>
    </w:p>
    <w:p w14:paraId="4F7F3952">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(4)其他无法保证招投标过程公平、公正和信息安全的情形。</w:t>
      </w:r>
    </w:p>
    <w:p w14:paraId="15C08615">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六、异常情形处理</w:t>
      </w:r>
    </w:p>
    <w:p w14:paraId="32BB565B">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0C67E0A6">
      <w:pPr>
        <w:spacing w:line="400" w:lineRule="exact"/>
        <w:ind w:firstLine="480" w:firstLineChars="200"/>
        <w:rPr>
          <w:rFonts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（1）项目中止，中止期限由</w:t>
      </w:r>
      <w:r>
        <w:rPr>
          <w:rFonts w:hint="eastAsia" w:ascii="宋体" w:hAnsi="宋体" w:eastAsia="宋体" w:cstheme="minorBidi"/>
          <w:color w:val="auto"/>
          <w:kern w:val="0"/>
          <w:sz w:val="24"/>
          <w:szCs w:val="18"/>
          <w:highlight w:val="none"/>
        </w:rPr>
        <w:t>业主单位</w:t>
      </w:r>
      <w:r>
        <w:rPr>
          <w:rFonts w:hint="eastAsia" w:ascii="宋体" w:hAnsi="宋体" w:eastAsia="宋体" w:cs="宋体"/>
          <w:color w:val="auto"/>
          <w:kern w:val="0"/>
          <w:sz w:val="24"/>
          <w:szCs w:val="20"/>
          <w:highlight w:val="none"/>
        </w:rPr>
        <w:t>或代理机构根据项目具体情况确定。中止期限届满后中止情形尚未消除的，</w:t>
      </w:r>
      <w:r>
        <w:rPr>
          <w:rFonts w:hint="eastAsia" w:ascii="宋体" w:hAnsi="宋体" w:eastAsia="宋体" w:cstheme="minorBidi"/>
          <w:color w:val="auto"/>
          <w:kern w:val="0"/>
          <w:sz w:val="24"/>
          <w:szCs w:val="18"/>
          <w:highlight w:val="none"/>
        </w:rPr>
        <w:t>业主单位</w:t>
      </w:r>
      <w:r>
        <w:rPr>
          <w:rFonts w:hint="eastAsia" w:ascii="宋体" w:hAnsi="宋体" w:eastAsia="宋体" w:cs="宋体"/>
          <w:color w:val="auto"/>
          <w:kern w:val="0"/>
          <w:sz w:val="24"/>
          <w:szCs w:val="20"/>
          <w:highlight w:val="none"/>
        </w:rPr>
        <w:t>或代理机构可以根据实际情况决定延长中止期限。决定延长中止期限的，应向</w:t>
      </w:r>
      <w:r>
        <w:rPr>
          <w:rFonts w:hint="eastAsia" w:ascii="宋体" w:hAnsi="宋体" w:eastAsia="宋体" w:cstheme="minorBidi"/>
          <w:color w:val="auto"/>
          <w:kern w:val="0"/>
          <w:sz w:val="24"/>
          <w:szCs w:val="18"/>
          <w:highlight w:val="none"/>
          <w:lang w:eastAsia="zh-CN"/>
        </w:rPr>
        <w:t>投标人</w:t>
      </w:r>
      <w:r>
        <w:rPr>
          <w:rFonts w:hint="eastAsia" w:ascii="宋体" w:hAnsi="宋体" w:eastAsia="宋体" w:cs="宋体"/>
          <w:color w:val="auto"/>
          <w:kern w:val="0"/>
          <w:sz w:val="24"/>
          <w:szCs w:val="20"/>
          <w:highlight w:val="none"/>
        </w:rPr>
        <w:t>发出延长中止期限通知，并发布公布。</w:t>
      </w:r>
    </w:p>
    <w:p w14:paraId="5FEEC057">
      <w:pPr>
        <w:spacing w:line="400" w:lineRule="exact"/>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（2）项目恢复，导致项目中止的情形消除后，业主单位或代理机构应当尽快恢复招投标程序，向</w:t>
      </w:r>
      <w:r>
        <w:rPr>
          <w:rFonts w:hint="eastAsia" w:ascii="宋体" w:hAnsi="宋体" w:eastAsia="宋体" w:cs="宋体"/>
          <w:color w:val="auto"/>
          <w:kern w:val="0"/>
          <w:sz w:val="24"/>
          <w:szCs w:val="20"/>
          <w:highlight w:val="none"/>
          <w:lang w:eastAsia="zh-CN"/>
        </w:rPr>
        <w:t>投标人</w:t>
      </w:r>
      <w:r>
        <w:rPr>
          <w:rFonts w:hint="eastAsia" w:ascii="宋体" w:hAnsi="宋体" w:eastAsia="宋体" w:cs="宋体"/>
          <w:color w:val="auto"/>
          <w:kern w:val="0"/>
          <w:sz w:val="24"/>
          <w:szCs w:val="20"/>
          <w:highlight w:val="none"/>
        </w:rPr>
        <w:t>发出恢复交易通知，并发布公布；已发出延长中止期限通知的，按通知执行。</w:t>
      </w:r>
    </w:p>
    <w:sectPr>
      <w:footerReference r:id="rId14" w:type="default"/>
      <w:pgSz w:w="11907" w:h="16840"/>
      <w:pgMar w:top="1440" w:right="1247" w:bottom="1440" w:left="1247" w:header="851" w:footer="992" w:gutter="0"/>
      <w:pgNumType w:fmt="decimal"/>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1689700"/>
      <w:showingPlcHdr/>
      <w:docPartObj>
        <w:docPartGallery w:val="autotext"/>
      </w:docPartObj>
    </w:sdtPr>
    <w:sdtContent>
      <w:p w14:paraId="2F1F9685">
        <w:pPr>
          <w:pStyle w:val="14"/>
          <w:jc w:val="center"/>
        </w:pPr>
        <w:r>
          <w:rPr>
            <w:rFonts w:hint="eastAsia"/>
            <w:lang w:eastAsia="zh-CN"/>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DD9A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DCE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73F9">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306"/>
                            <w:docPartObj>
                              <w:docPartGallery w:val="autotext"/>
                            </w:docPartObj>
                          </w:sdtPr>
                          <w:sdtContent>
                            <w:p w14:paraId="4756C620">
                              <w:pPr>
                                <w:pStyle w:val="14"/>
                                <w:jc w:val="center"/>
                              </w:pPr>
                              <w:r>
                                <w:fldChar w:fldCharType="begin"/>
                              </w:r>
                              <w:r>
                                <w:instrText xml:space="preserve">PAGE   \* MERGEFORMAT</w:instrText>
                              </w:r>
                              <w:r>
                                <w:fldChar w:fldCharType="separate"/>
                              </w:r>
                              <w:r>
                                <w:rPr>
                                  <w:lang w:val="zh-CN"/>
                                </w:rPr>
                                <w:t>2</w:t>
                              </w:r>
                              <w:r>
                                <w:fldChar w:fldCharType="end"/>
                              </w:r>
                            </w:p>
                          </w:sdtContent>
                        </w:sdt>
                        <w:p w14:paraId="7D41DAF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47483306"/>
                      <w:docPartObj>
                        <w:docPartGallery w:val="autotext"/>
                      </w:docPartObj>
                    </w:sdtPr>
                    <w:sdtContent>
                      <w:p w14:paraId="4756C620">
                        <w:pPr>
                          <w:pStyle w:val="14"/>
                          <w:jc w:val="center"/>
                        </w:pPr>
                        <w:r>
                          <w:fldChar w:fldCharType="begin"/>
                        </w:r>
                        <w:r>
                          <w:instrText xml:space="preserve">PAGE   \* MERGEFORMAT</w:instrText>
                        </w:r>
                        <w:r>
                          <w:fldChar w:fldCharType="separate"/>
                        </w:r>
                        <w:r>
                          <w:rPr>
                            <w:lang w:val="zh-CN"/>
                          </w:rPr>
                          <w:t>2</w:t>
                        </w:r>
                        <w:r>
                          <w:fldChar w:fldCharType="end"/>
                        </w:r>
                      </w:p>
                    </w:sdtContent>
                  </w:sdt>
                  <w:p w14:paraId="7D41DAFB"/>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896F3">
    <w:pPr>
      <w:tabs>
        <w:tab w:val="left" w:pos="5241"/>
      </w:tabs>
      <w:spacing w:line="219" w:lineRule="auto"/>
      <w:ind w:firstLine="3724"/>
      <w:rPr>
        <w:rFonts w:hint="eastAsia" w:ascii="宋体" w:hAnsi="宋体" w:cs="宋体"/>
        <w:szCs w:val="2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BE7DB">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14BE7DB">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04F3">
    <w:pPr>
      <w:tabs>
        <w:tab w:val="left" w:pos="5441"/>
      </w:tabs>
      <w:spacing w:line="219" w:lineRule="auto"/>
      <w:ind w:firstLine="3724"/>
      <w:rPr>
        <w:rFonts w:hint="eastAsia" w:ascii="宋体" w:hAnsi="宋体" w:cs="宋体"/>
        <w:szCs w:val="2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95302">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0D95302">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7EC4">
    <w:pPr>
      <w:tabs>
        <w:tab w:val="left" w:pos="5441"/>
      </w:tabs>
      <w:spacing w:line="219" w:lineRule="auto"/>
      <w:ind w:firstLine="3724"/>
      <w:rPr>
        <w:rFonts w:hint="eastAsia" w:ascii="宋体" w:hAnsi="宋体" w:cs="宋体"/>
        <w:szCs w:val="24"/>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824CD">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7C824CD">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6C028C0">
      <w:pPr>
        <w:widowControl w:val="0"/>
        <w:snapToGrid w:val="0"/>
        <w:spacing w:line="360" w:lineRule="auto"/>
        <w:ind w:firstLine="480" w:firstLineChars="200"/>
        <w:jc w:val="left"/>
        <w:rPr>
          <w:rFonts w:ascii="Times New Roman" w:hAnsi="Times New Roman" w:eastAsia="宋体" w:cs="Times New Roman"/>
          <w:kern w:val="2"/>
          <w:sz w:val="18"/>
          <w:szCs w:val="18"/>
          <w:lang w:val="zh-CN" w:eastAsia="zh-CN" w:bidi="ar-SA"/>
        </w:rPr>
      </w:pPr>
      <w:r>
        <w:rPr>
          <w:rStyle w:val="30"/>
          <w:rFonts w:ascii="宋体" w:hAnsi="宋体" w:eastAsia="宋体" w:cstheme="minorBidi"/>
          <w:kern w:val="2"/>
          <w:sz w:val="24"/>
          <w:szCs w:val="18"/>
          <w:lang w:val="en-US" w:eastAsia="zh-CN" w:bidi="ar-SA"/>
        </w:rPr>
        <w:footnoteRef/>
      </w:r>
      <w:r>
        <w:rPr>
          <w:rFonts w:hint="eastAsia" w:ascii="Times New Roman" w:hAnsi="Times New Roman" w:eastAsia="宋体" w:cs="Times New Roman"/>
          <w:kern w:val="2"/>
          <w:sz w:val="18"/>
          <w:szCs w:val="18"/>
          <w:lang w:val="zh-CN" w:eastAsia="zh-CN" w:bidi="ar-S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8714">
    <w:pPr>
      <w:spacing w:line="218" w:lineRule="auto"/>
      <w:ind w:firstLine="36"/>
      <w:rPr>
        <w:rFonts w:hint="eastAsia" w:ascii="宋体" w:hAnsi="宋体" w:cs="宋体"/>
        <w:sz w:val="18"/>
        <w:szCs w:val="18"/>
      </w:rPr>
    </w:pPr>
    <w:r>
      <w:drawing>
        <wp:anchor distT="0" distB="0" distL="0" distR="0" simplePos="0" relativeHeight="251660288" behindDoc="0" locked="0" layoutInCell="0" allowOverlap="1">
          <wp:simplePos x="0" y="0"/>
          <wp:positionH relativeFrom="page">
            <wp:posOffset>774065</wp:posOffset>
          </wp:positionH>
          <wp:positionV relativeFrom="page">
            <wp:posOffset>702310</wp:posOffset>
          </wp:positionV>
          <wp:extent cx="6013450" cy="8890"/>
          <wp:effectExtent l="0" t="0" r="0" b="0"/>
          <wp:wrapNone/>
          <wp:docPr id="2120628000" name="IM 4"/>
          <wp:cNvGraphicFramePr/>
          <a:graphic xmlns:a="http://schemas.openxmlformats.org/drawingml/2006/main">
            <a:graphicData uri="http://schemas.openxmlformats.org/drawingml/2006/picture">
              <pic:pic xmlns:pic="http://schemas.openxmlformats.org/drawingml/2006/picture">
                <pic:nvPicPr>
                  <pic:cNvPr id="2120628000" name="IM 4"/>
                  <pic:cNvPicPr/>
                </pic:nvPicPr>
                <pic:blipFill>
                  <a:blip r:embed="rId1"/>
                  <a:stretch>
                    <a:fillRect/>
                  </a:stretch>
                </pic:blipFill>
                <pic:spPr>
                  <a:xfrm>
                    <a:off x="0" y="0"/>
                    <a:ext cx="6013450" cy="889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39002">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074B5">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75307">
    <w:pPr>
      <w:spacing w:line="218" w:lineRule="auto"/>
      <w:ind w:firstLine="36"/>
      <w:rPr>
        <w:rFonts w:hint="eastAsia" w:ascii="宋体" w:hAnsi="宋体" w:cs="宋体"/>
        <w:sz w:val="18"/>
        <w:szCs w:val="18"/>
      </w:rPr>
    </w:pPr>
    <w:r>
      <w:drawing>
        <wp:anchor distT="0" distB="0" distL="0" distR="0" simplePos="0" relativeHeight="251659264" behindDoc="0" locked="0" layoutInCell="0" allowOverlap="1">
          <wp:simplePos x="0" y="0"/>
          <wp:positionH relativeFrom="page">
            <wp:posOffset>774065</wp:posOffset>
          </wp:positionH>
          <wp:positionV relativeFrom="page">
            <wp:posOffset>702310</wp:posOffset>
          </wp:positionV>
          <wp:extent cx="6013450" cy="8890"/>
          <wp:effectExtent l="0" t="0" r="0" b="0"/>
          <wp:wrapNone/>
          <wp:docPr id="1295352707" name="IM 23"/>
          <wp:cNvGraphicFramePr/>
          <a:graphic xmlns:a="http://schemas.openxmlformats.org/drawingml/2006/main">
            <a:graphicData uri="http://schemas.openxmlformats.org/drawingml/2006/picture">
              <pic:pic xmlns:pic="http://schemas.openxmlformats.org/drawingml/2006/picture">
                <pic:nvPicPr>
                  <pic:cNvPr id="1295352707" name="IM 23"/>
                  <pic:cNvPicPr/>
                </pic:nvPicPr>
                <pic:blipFill>
                  <a:blip r:embed="rId1"/>
                  <a:stretch>
                    <a:fillRect/>
                  </a:stretch>
                </pic:blipFill>
                <pic:spPr>
                  <a:xfrm>
                    <a:off x="0" y="0"/>
                    <a:ext cx="6013450" cy="8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8C702"/>
    <w:multiLevelType w:val="singleLevel"/>
    <w:tmpl w:val="9F58C702"/>
    <w:lvl w:ilvl="0" w:tentative="0">
      <w:start w:val="5"/>
      <w:numFmt w:val="decimal"/>
      <w:suff w:val="nothing"/>
      <w:lvlText w:val="%1）"/>
      <w:lvlJc w:val="left"/>
    </w:lvl>
  </w:abstractNum>
  <w:abstractNum w:abstractNumId="1">
    <w:nsid w:val="AA926BA6"/>
    <w:multiLevelType w:val="singleLevel"/>
    <w:tmpl w:val="AA926BA6"/>
    <w:lvl w:ilvl="0" w:tentative="0">
      <w:start w:val="11"/>
      <w:numFmt w:val="decimal"/>
      <w:lvlText w:val="%1."/>
      <w:lvlJc w:val="left"/>
      <w:pPr>
        <w:tabs>
          <w:tab w:val="left" w:pos="312"/>
        </w:tabs>
      </w:pPr>
    </w:lvl>
  </w:abstractNum>
  <w:abstractNum w:abstractNumId="2">
    <w:nsid w:val="7CC9E90E"/>
    <w:multiLevelType w:val="singleLevel"/>
    <w:tmpl w:val="7CC9E90E"/>
    <w:lvl w:ilvl="0" w:tentative="0">
      <w:start w:val="6"/>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YzBiMTk0MDMxNjFkNzA2Yzk4N2NhYjU3Y2ExZTQifQ=="/>
    <w:docVar w:name="KSO_WPS_MARK_KEY" w:val="43f14a72-8751-412d-9608-402ab1c54311"/>
  </w:docVars>
  <w:rsids>
    <w:rsidRoot w:val="107A79E5"/>
    <w:rsid w:val="0000498C"/>
    <w:rsid w:val="00016BF5"/>
    <w:rsid w:val="00023590"/>
    <w:rsid w:val="00044337"/>
    <w:rsid w:val="000D7FB8"/>
    <w:rsid w:val="00102948"/>
    <w:rsid w:val="00131EDD"/>
    <w:rsid w:val="00176841"/>
    <w:rsid w:val="00182E22"/>
    <w:rsid w:val="001A1CF0"/>
    <w:rsid w:val="001D3308"/>
    <w:rsid w:val="001D77EB"/>
    <w:rsid w:val="001F1A67"/>
    <w:rsid w:val="002124A0"/>
    <w:rsid w:val="002168B4"/>
    <w:rsid w:val="0021704E"/>
    <w:rsid w:val="00236367"/>
    <w:rsid w:val="00274B37"/>
    <w:rsid w:val="002874B2"/>
    <w:rsid w:val="002B2011"/>
    <w:rsid w:val="002C5406"/>
    <w:rsid w:val="002C5A30"/>
    <w:rsid w:val="002D0FD6"/>
    <w:rsid w:val="002E79B5"/>
    <w:rsid w:val="00343A02"/>
    <w:rsid w:val="00362945"/>
    <w:rsid w:val="003808D6"/>
    <w:rsid w:val="003A1912"/>
    <w:rsid w:val="003A5524"/>
    <w:rsid w:val="003C026E"/>
    <w:rsid w:val="003C03BA"/>
    <w:rsid w:val="003C2477"/>
    <w:rsid w:val="00416633"/>
    <w:rsid w:val="00421A1D"/>
    <w:rsid w:val="0046741F"/>
    <w:rsid w:val="00486C95"/>
    <w:rsid w:val="004E341A"/>
    <w:rsid w:val="004F5B7F"/>
    <w:rsid w:val="00504A35"/>
    <w:rsid w:val="0058605F"/>
    <w:rsid w:val="005D4282"/>
    <w:rsid w:val="005E60DD"/>
    <w:rsid w:val="005F32AB"/>
    <w:rsid w:val="00602297"/>
    <w:rsid w:val="00603B8A"/>
    <w:rsid w:val="006304DF"/>
    <w:rsid w:val="00652472"/>
    <w:rsid w:val="0067101F"/>
    <w:rsid w:val="006859AF"/>
    <w:rsid w:val="006878EB"/>
    <w:rsid w:val="00690EF5"/>
    <w:rsid w:val="006A4D3C"/>
    <w:rsid w:val="006B09F6"/>
    <w:rsid w:val="006F7D11"/>
    <w:rsid w:val="006F7F18"/>
    <w:rsid w:val="00711355"/>
    <w:rsid w:val="0073635D"/>
    <w:rsid w:val="00737889"/>
    <w:rsid w:val="00737F42"/>
    <w:rsid w:val="007D03A8"/>
    <w:rsid w:val="007E37D1"/>
    <w:rsid w:val="007F5A97"/>
    <w:rsid w:val="00830970"/>
    <w:rsid w:val="008502EA"/>
    <w:rsid w:val="00866DFD"/>
    <w:rsid w:val="0088247B"/>
    <w:rsid w:val="008B2277"/>
    <w:rsid w:val="008B6AD7"/>
    <w:rsid w:val="008C7885"/>
    <w:rsid w:val="008D4403"/>
    <w:rsid w:val="008D78DF"/>
    <w:rsid w:val="00905ABB"/>
    <w:rsid w:val="009466D0"/>
    <w:rsid w:val="00950946"/>
    <w:rsid w:val="0098180A"/>
    <w:rsid w:val="00996A9A"/>
    <w:rsid w:val="009B0165"/>
    <w:rsid w:val="009D5453"/>
    <w:rsid w:val="00A03A4A"/>
    <w:rsid w:val="00A20EE9"/>
    <w:rsid w:val="00A91034"/>
    <w:rsid w:val="00A921D4"/>
    <w:rsid w:val="00AA147E"/>
    <w:rsid w:val="00AB52EA"/>
    <w:rsid w:val="00AD6B36"/>
    <w:rsid w:val="00AE7CE1"/>
    <w:rsid w:val="00AF10A8"/>
    <w:rsid w:val="00AF4B48"/>
    <w:rsid w:val="00B149E0"/>
    <w:rsid w:val="00B15B3B"/>
    <w:rsid w:val="00B9166E"/>
    <w:rsid w:val="00BA7D71"/>
    <w:rsid w:val="00BD3E57"/>
    <w:rsid w:val="00BE050C"/>
    <w:rsid w:val="00C15261"/>
    <w:rsid w:val="00C2639F"/>
    <w:rsid w:val="00C3120F"/>
    <w:rsid w:val="00C84837"/>
    <w:rsid w:val="00C8565A"/>
    <w:rsid w:val="00CC1039"/>
    <w:rsid w:val="00D07589"/>
    <w:rsid w:val="00D1142A"/>
    <w:rsid w:val="00D15EF8"/>
    <w:rsid w:val="00D20C38"/>
    <w:rsid w:val="00D26C73"/>
    <w:rsid w:val="00D632D2"/>
    <w:rsid w:val="00D74FF7"/>
    <w:rsid w:val="00D82F88"/>
    <w:rsid w:val="00E06955"/>
    <w:rsid w:val="00E26096"/>
    <w:rsid w:val="00E34D87"/>
    <w:rsid w:val="00E36C84"/>
    <w:rsid w:val="00E73294"/>
    <w:rsid w:val="00E9115B"/>
    <w:rsid w:val="00EB6188"/>
    <w:rsid w:val="00ED3C3A"/>
    <w:rsid w:val="00EE2636"/>
    <w:rsid w:val="00EE39C4"/>
    <w:rsid w:val="00F806FF"/>
    <w:rsid w:val="00FB1F90"/>
    <w:rsid w:val="00FD0E53"/>
    <w:rsid w:val="00FD64ED"/>
    <w:rsid w:val="00FE3DEB"/>
    <w:rsid w:val="010607C8"/>
    <w:rsid w:val="01BA2E34"/>
    <w:rsid w:val="01BB5A85"/>
    <w:rsid w:val="0213290D"/>
    <w:rsid w:val="029F53A6"/>
    <w:rsid w:val="02F310BD"/>
    <w:rsid w:val="03127926"/>
    <w:rsid w:val="031969C5"/>
    <w:rsid w:val="03E07A24"/>
    <w:rsid w:val="03EA08A3"/>
    <w:rsid w:val="04A22F2C"/>
    <w:rsid w:val="04EA7BD9"/>
    <w:rsid w:val="051500F2"/>
    <w:rsid w:val="05364797"/>
    <w:rsid w:val="05634469"/>
    <w:rsid w:val="05804B74"/>
    <w:rsid w:val="05B35F9E"/>
    <w:rsid w:val="06C606D0"/>
    <w:rsid w:val="083C3DA2"/>
    <w:rsid w:val="088766E6"/>
    <w:rsid w:val="0895349E"/>
    <w:rsid w:val="08C23B9D"/>
    <w:rsid w:val="0A2E0844"/>
    <w:rsid w:val="0A3E36F7"/>
    <w:rsid w:val="0A5371A2"/>
    <w:rsid w:val="0A6C6872"/>
    <w:rsid w:val="0ADE6C30"/>
    <w:rsid w:val="0AE438C8"/>
    <w:rsid w:val="0AF81557"/>
    <w:rsid w:val="0B1E389B"/>
    <w:rsid w:val="0B8140A7"/>
    <w:rsid w:val="0BA61553"/>
    <w:rsid w:val="0C160487"/>
    <w:rsid w:val="0C403756"/>
    <w:rsid w:val="0C62191E"/>
    <w:rsid w:val="0C837505"/>
    <w:rsid w:val="0C943AA2"/>
    <w:rsid w:val="0CB61E20"/>
    <w:rsid w:val="0D1150F2"/>
    <w:rsid w:val="0D166265"/>
    <w:rsid w:val="0D1A2F49"/>
    <w:rsid w:val="0D335069"/>
    <w:rsid w:val="0DA8152E"/>
    <w:rsid w:val="0DBE0DD6"/>
    <w:rsid w:val="0DC96A91"/>
    <w:rsid w:val="0E6D0B77"/>
    <w:rsid w:val="0EEE4C39"/>
    <w:rsid w:val="0F0071CD"/>
    <w:rsid w:val="0F1467D4"/>
    <w:rsid w:val="0F841BAC"/>
    <w:rsid w:val="0F895414"/>
    <w:rsid w:val="101A2A83"/>
    <w:rsid w:val="107A79E5"/>
    <w:rsid w:val="10F03AB3"/>
    <w:rsid w:val="117B00BB"/>
    <w:rsid w:val="120B0362"/>
    <w:rsid w:val="129C0FBA"/>
    <w:rsid w:val="13545D39"/>
    <w:rsid w:val="1356560D"/>
    <w:rsid w:val="13AE5449"/>
    <w:rsid w:val="13E96481"/>
    <w:rsid w:val="14860174"/>
    <w:rsid w:val="15475B55"/>
    <w:rsid w:val="15537FE9"/>
    <w:rsid w:val="156F7E69"/>
    <w:rsid w:val="15AE0B77"/>
    <w:rsid w:val="15F42192"/>
    <w:rsid w:val="160904C2"/>
    <w:rsid w:val="163C6D3C"/>
    <w:rsid w:val="168F17FA"/>
    <w:rsid w:val="16F61409"/>
    <w:rsid w:val="173D43EC"/>
    <w:rsid w:val="17403757"/>
    <w:rsid w:val="18020FAC"/>
    <w:rsid w:val="18133ACD"/>
    <w:rsid w:val="18FF4051"/>
    <w:rsid w:val="192B3098"/>
    <w:rsid w:val="197467ED"/>
    <w:rsid w:val="19750FE0"/>
    <w:rsid w:val="19B1359D"/>
    <w:rsid w:val="1A156547"/>
    <w:rsid w:val="1A626F8D"/>
    <w:rsid w:val="1A85136E"/>
    <w:rsid w:val="1A907657"/>
    <w:rsid w:val="1AB36AD5"/>
    <w:rsid w:val="1AFF4613"/>
    <w:rsid w:val="1B08646C"/>
    <w:rsid w:val="1B3F2E2B"/>
    <w:rsid w:val="1B7C407F"/>
    <w:rsid w:val="1B862808"/>
    <w:rsid w:val="1BAF61FB"/>
    <w:rsid w:val="1BFB594B"/>
    <w:rsid w:val="1C054074"/>
    <w:rsid w:val="1C5103F0"/>
    <w:rsid w:val="1C7C24C7"/>
    <w:rsid w:val="1D3A7FDA"/>
    <w:rsid w:val="1D7274E7"/>
    <w:rsid w:val="1D9F5592"/>
    <w:rsid w:val="1E0839A8"/>
    <w:rsid w:val="1E33581C"/>
    <w:rsid w:val="1E732E33"/>
    <w:rsid w:val="1F3B124C"/>
    <w:rsid w:val="1F8A5A67"/>
    <w:rsid w:val="1F974BB8"/>
    <w:rsid w:val="1F9A0F77"/>
    <w:rsid w:val="20221AB5"/>
    <w:rsid w:val="203211B0"/>
    <w:rsid w:val="205667A3"/>
    <w:rsid w:val="207812B9"/>
    <w:rsid w:val="20D858B3"/>
    <w:rsid w:val="21250680"/>
    <w:rsid w:val="21C81DCC"/>
    <w:rsid w:val="228850B7"/>
    <w:rsid w:val="22DD3655"/>
    <w:rsid w:val="232B2612"/>
    <w:rsid w:val="237A0137"/>
    <w:rsid w:val="23B92478"/>
    <w:rsid w:val="23CC4C5E"/>
    <w:rsid w:val="243F5C4A"/>
    <w:rsid w:val="24C26FA6"/>
    <w:rsid w:val="24E83D03"/>
    <w:rsid w:val="24EA2059"/>
    <w:rsid w:val="250074DE"/>
    <w:rsid w:val="25FF0F81"/>
    <w:rsid w:val="25FF7D86"/>
    <w:rsid w:val="26064C51"/>
    <w:rsid w:val="26091CD3"/>
    <w:rsid w:val="264B6B28"/>
    <w:rsid w:val="2673766D"/>
    <w:rsid w:val="268F4733"/>
    <w:rsid w:val="26EA363F"/>
    <w:rsid w:val="27691B9F"/>
    <w:rsid w:val="27A96197"/>
    <w:rsid w:val="27C923FA"/>
    <w:rsid w:val="28212236"/>
    <w:rsid w:val="28991779"/>
    <w:rsid w:val="29C0782D"/>
    <w:rsid w:val="29C56BF1"/>
    <w:rsid w:val="29CD2766"/>
    <w:rsid w:val="2A182051"/>
    <w:rsid w:val="2AA44A58"/>
    <w:rsid w:val="2ACB6489"/>
    <w:rsid w:val="2ACD5C73"/>
    <w:rsid w:val="2B5869C9"/>
    <w:rsid w:val="2B936FA7"/>
    <w:rsid w:val="2BC730F4"/>
    <w:rsid w:val="2BEE242F"/>
    <w:rsid w:val="2C3F192C"/>
    <w:rsid w:val="2C856CA2"/>
    <w:rsid w:val="2C955A3E"/>
    <w:rsid w:val="2D895C4C"/>
    <w:rsid w:val="2DEE4968"/>
    <w:rsid w:val="2DF13843"/>
    <w:rsid w:val="2E0C51EB"/>
    <w:rsid w:val="2EA1530C"/>
    <w:rsid w:val="2EB53543"/>
    <w:rsid w:val="2EC41B6D"/>
    <w:rsid w:val="2F2B399A"/>
    <w:rsid w:val="2F6B3D97"/>
    <w:rsid w:val="2FC82819"/>
    <w:rsid w:val="304D711C"/>
    <w:rsid w:val="30E10156"/>
    <w:rsid w:val="30E262DA"/>
    <w:rsid w:val="31193949"/>
    <w:rsid w:val="31257061"/>
    <w:rsid w:val="31347487"/>
    <w:rsid w:val="31A1649A"/>
    <w:rsid w:val="31B83338"/>
    <w:rsid w:val="31BB2DB3"/>
    <w:rsid w:val="31BD5F71"/>
    <w:rsid w:val="321321F3"/>
    <w:rsid w:val="32323A5A"/>
    <w:rsid w:val="323963CE"/>
    <w:rsid w:val="32456B21"/>
    <w:rsid w:val="32556D28"/>
    <w:rsid w:val="32BE3837"/>
    <w:rsid w:val="33346C46"/>
    <w:rsid w:val="33A87367"/>
    <w:rsid w:val="33D026E7"/>
    <w:rsid w:val="343B70D4"/>
    <w:rsid w:val="34A84E6C"/>
    <w:rsid w:val="34EC597A"/>
    <w:rsid w:val="34F87471"/>
    <w:rsid w:val="350847A9"/>
    <w:rsid w:val="35147C22"/>
    <w:rsid w:val="355846B0"/>
    <w:rsid w:val="35683252"/>
    <w:rsid w:val="35956011"/>
    <w:rsid w:val="359C38CB"/>
    <w:rsid w:val="35B446E9"/>
    <w:rsid w:val="36015455"/>
    <w:rsid w:val="36195880"/>
    <w:rsid w:val="36527819"/>
    <w:rsid w:val="36700A4C"/>
    <w:rsid w:val="369F2331"/>
    <w:rsid w:val="36B9188B"/>
    <w:rsid w:val="36D466C5"/>
    <w:rsid w:val="375241BA"/>
    <w:rsid w:val="37FE1342"/>
    <w:rsid w:val="38166895"/>
    <w:rsid w:val="38832151"/>
    <w:rsid w:val="38B71438"/>
    <w:rsid w:val="392D2A81"/>
    <w:rsid w:val="394668D6"/>
    <w:rsid w:val="39B21AF3"/>
    <w:rsid w:val="39D92970"/>
    <w:rsid w:val="39F10BD1"/>
    <w:rsid w:val="39FD12DB"/>
    <w:rsid w:val="3A505686"/>
    <w:rsid w:val="3A5E17E2"/>
    <w:rsid w:val="3AD62A0C"/>
    <w:rsid w:val="3AEF3ACE"/>
    <w:rsid w:val="3B6F4C0F"/>
    <w:rsid w:val="3BBF5B96"/>
    <w:rsid w:val="3BE617FF"/>
    <w:rsid w:val="3C4D4F50"/>
    <w:rsid w:val="3DD75F10"/>
    <w:rsid w:val="3E2E2B5F"/>
    <w:rsid w:val="3EEC3AA3"/>
    <w:rsid w:val="3F21637D"/>
    <w:rsid w:val="3F60143E"/>
    <w:rsid w:val="3F9609BC"/>
    <w:rsid w:val="3FCA68B7"/>
    <w:rsid w:val="4012657D"/>
    <w:rsid w:val="406121DF"/>
    <w:rsid w:val="40BC0BA9"/>
    <w:rsid w:val="40F64D19"/>
    <w:rsid w:val="4151103E"/>
    <w:rsid w:val="4186654E"/>
    <w:rsid w:val="41CF6407"/>
    <w:rsid w:val="420A5691"/>
    <w:rsid w:val="42172893"/>
    <w:rsid w:val="42220C2D"/>
    <w:rsid w:val="428D6C68"/>
    <w:rsid w:val="42DE2DA6"/>
    <w:rsid w:val="43340C18"/>
    <w:rsid w:val="435272F0"/>
    <w:rsid w:val="43723C54"/>
    <w:rsid w:val="43864E1C"/>
    <w:rsid w:val="442073EE"/>
    <w:rsid w:val="451E0CB6"/>
    <w:rsid w:val="45612FB5"/>
    <w:rsid w:val="456F14C8"/>
    <w:rsid w:val="45891C1C"/>
    <w:rsid w:val="45A858ED"/>
    <w:rsid w:val="45BD3146"/>
    <w:rsid w:val="45E91400"/>
    <w:rsid w:val="462C207A"/>
    <w:rsid w:val="47C70084"/>
    <w:rsid w:val="47D239BC"/>
    <w:rsid w:val="487356C8"/>
    <w:rsid w:val="48D569F9"/>
    <w:rsid w:val="48F77C20"/>
    <w:rsid w:val="4900334A"/>
    <w:rsid w:val="49973CAE"/>
    <w:rsid w:val="499F00AF"/>
    <w:rsid w:val="49B26D3A"/>
    <w:rsid w:val="4A6F4C2B"/>
    <w:rsid w:val="4A883874"/>
    <w:rsid w:val="4ACA1E61"/>
    <w:rsid w:val="4B071F90"/>
    <w:rsid w:val="4BE86A43"/>
    <w:rsid w:val="4BFA0DE1"/>
    <w:rsid w:val="4C6D519A"/>
    <w:rsid w:val="4D292E6F"/>
    <w:rsid w:val="4D752558"/>
    <w:rsid w:val="4DDB2A7B"/>
    <w:rsid w:val="4E4D7031"/>
    <w:rsid w:val="4EF1130B"/>
    <w:rsid w:val="4F10658D"/>
    <w:rsid w:val="4F4422E5"/>
    <w:rsid w:val="4F895E47"/>
    <w:rsid w:val="4F9A62A6"/>
    <w:rsid w:val="5070507C"/>
    <w:rsid w:val="50FB611D"/>
    <w:rsid w:val="51227146"/>
    <w:rsid w:val="5149325D"/>
    <w:rsid w:val="51905BB3"/>
    <w:rsid w:val="525E35BB"/>
    <w:rsid w:val="526F3A1A"/>
    <w:rsid w:val="527E7795"/>
    <w:rsid w:val="527F3531"/>
    <w:rsid w:val="52B633F7"/>
    <w:rsid w:val="53031B15"/>
    <w:rsid w:val="53034E06"/>
    <w:rsid w:val="532B5264"/>
    <w:rsid w:val="53CC109A"/>
    <w:rsid w:val="53D81227"/>
    <w:rsid w:val="53E15798"/>
    <w:rsid w:val="548412D3"/>
    <w:rsid w:val="54DC4C6B"/>
    <w:rsid w:val="54EB3100"/>
    <w:rsid w:val="55036B77"/>
    <w:rsid w:val="551D59AF"/>
    <w:rsid w:val="56C67981"/>
    <w:rsid w:val="57281B1B"/>
    <w:rsid w:val="58572220"/>
    <w:rsid w:val="586E02D0"/>
    <w:rsid w:val="58ED38EB"/>
    <w:rsid w:val="5945652B"/>
    <w:rsid w:val="5988716F"/>
    <w:rsid w:val="59981AA8"/>
    <w:rsid w:val="59A45D48"/>
    <w:rsid w:val="59B9557B"/>
    <w:rsid w:val="59BB7545"/>
    <w:rsid w:val="59BE0DE3"/>
    <w:rsid w:val="5AE91E90"/>
    <w:rsid w:val="5C496667"/>
    <w:rsid w:val="5CB36BF9"/>
    <w:rsid w:val="5D3452F9"/>
    <w:rsid w:val="5D5201C0"/>
    <w:rsid w:val="5D78495C"/>
    <w:rsid w:val="5DB077C4"/>
    <w:rsid w:val="5E5B4E53"/>
    <w:rsid w:val="5F2D2C93"/>
    <w:rsid w:val="5F2D46F6"/>
    <w:rsid w:val="5F69359F"/>
    <w:rsid w:val="5F7B12D5"/>
    <w:rsid w:val="5FDB59F9"/>
    <w:rsid w:val="60B62B7B"/>
    <w:rsid w:val="6142054C"/>
    <w:rsid w:val="616F1A8B"/>
    <w:rsid w:val="617945FC"/>
    <w:rsid w:val="61F165EA"/>
    <w:rsid w:val="6220308F"/>
    <w:rsid w:val="62326B29"/>
    <w:rsid w:val="627A35A1"/>
    <w:rsid w:val="62943029"/>
    <w:rsid w:val="62BF638B"/>
    <w:rsid w:val="63185A08"/>
    <w:rsid w:val="639A2453"/>
    <w:rsid w:val="63A66B70"/>
    <w:rsid w:val="63AB23D8"/>
    <w:rsid w:val="646F486F"/>
    <w:rsid w:val="64A70DF2"/>
    <w:rsid w:val="64A75ABD"/>
    <w:rsid w:val="64C149A9"/>
    <w:rsid w:val="64F25DE5"/>
    <w:rsid w:val="654D6C87"/>
    <w:rsid w:val="65CB0B10"/>
    <w:rsid w:val="65D60BB3"/>
    <w:rsid w:val="65EB40BB"/>
    <w:rsid w:val="665A79B2"/>
    <w:rsid w:val="66646E77"/>
    <w:rsid w:val="667629E0"/>
    <w:rsid w:val="66951AA9"/>
    <w:rsid w:val="66F620CC"/>
    <w:rsid w:val="67162BAF"/>
    <w:rsid w:val="673D6EF3"/>
    <w:rsid w:val="67504193"/>
    <w:rsid w:val="676065E1"/>
    <w:rsid w:val="67627252"/>
    <w:rsid w:val="678B4015"/>
    <w:rsid w:val="67B87DC5"/>
    <w:rsid w:val="680B5B3B"/>
    <w:rsid w:val="68A22EA6"/>
    <w:rsid w:val="69BA58B0"/>
    <w:rsid w:val="6A181642"/>
    <w:rsid w:val="6A526F9D"/>
    <w:rsid w:val="6A732D7C"/>
    <w:rsid w:val="6AE306AA"/>
    <w:rsid w:val="6B4553A7"/>
    <w:rsid w:val="6BF07522"/>
    <w:rsid w:val="6BFA214F"/>
    <w:rsid w:val="6C172D01"/>
    <w:rsid w:val="6D396CA7"/>
    <w:rsid w:val="6D836174"/>
    <w:rsid w:val="6DE90B62"/>
    <w:rsid w:val="6DEB0BE0"/>
    <w:rsid w:val="6DF11BA6"/>
    <w:rsid w:val="6E330ED9"/>
    <w:rsid w:val="6E3A4A84"/>
    <w:rsid w:val="6E407BC1"/>
    <w:rsid w:val="6E9028F6"/>
    <w:rsid w:val="6ED70525"/>
    <w:rsid w:val="6F1352D6"/>
    <w:rsid w:val="6F176B74"/>
    <w:rsid w:val="6F451933"/>
    <w:rsid w:val="6F4831D1"/>
    <w:rsid w:val="6F7A7103"/>
    <w:rsid w:val="6F83245B"/>
    <w:rsid w:val="6FBE7937"/>
    <w:rsid w:val="6FC00FB9"/>
    <w:rsid w:val="6FF56C1B"/>
    <w:rsid w:val="70025A76"/>
    <w:rsid w:val="70C60851"/>
    <w:rsid w:val="70DD5B9B"/>
    <w:rsid w:val="71750972"/>
    <w:rsid w:val="719C0F62"/>
    <w:rsid w:val="71E271B5"/>
    <w:rsid w:val="72255807"/>
    <w:rsid w:val="72464B3F"/>
    <w:rsid w:val="733A0CC2"/>
    <w:rsid w:val="73D414D7"/>
    <w:rsid w:val="73DD68D6"/>
    <w:rsid w:val="74251D33"/>
    <w:rsid w:val="744C5512"/>
    <w:rsid w:val="74AA6D4F"/>
    <w:rsid w:val="75361984"/>
    <w:rsid w:val="75377F70"/>
    <w:rsid w:val="754C32EF"/>
    <w:rsid w:val="75E34465"/>
    <w:rsid w:val="760D71EE"/>
    <w:rsid w:val="76642F9D"/>
    <w:rsid w:val="767E1BCE"/>
    <w:rsid w:val="76C24204"/>
    <w:rsid w:val="76FC25CF"/>
    <w:rsid w:val="77013D2B"/>
    <w:rsid w:val="77A135DF"/>
    <w:rsid w:val="77EF5926"/>
    <w:rsid w:val="78EA4902"/>
    <w:rsid w:val="79F11505"/>
    <w:rsid w:val="7A513882"/>
    <w:rsid w:val="7A545120"/>
    <w:rsid w:val="7AA31C03"/>
    <w:rsid w:val="7AFE6E3A"/>
    <w:rsid w:val="7BF22E42"/>
    <w:rsid w:val="7C2F7BF3"/>
    <w:rsid w:val="7C715C38"/>
    <w:rsid w:val="7CB352BD"/>
    <w:rsid w:val="7D553689"/>
    <w:rsid w:val="7D8E6B9B"/>
    <w:rsid w:val="7DBA7717"/>
    <w:rsid w:val="7DEC1B4E"/>
    <w:rsid w:val="7E2D0162"/>
    <w:rsid w:val="7FA06711"/>
    <w:rsid w:val="7FB273CA"/>
    <w:rsid w:val="7FDE4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3"/>
    <w:autoRedefine/>
    <w:qFormat/>
    <w:uiPriority w:val="9"/>
    <w:pPr>
      <w:keepNext/>
      <w:keepLines/>
      <w:spacing w:before="100" w:beforeLines="100" w:after="100" w:afterLines="100"/>
      <w:jc w:val="center"/>
      <w:outlineLvl w:val="0"/>
    </w:pPr>
    <w:rPr>
      <w:b/>
      <w:bCs/>
      <w:kern w:val="44"/>
      <w:sz w:val="28"/>
      <w:szCs w:val="44"/>
    </w:rPr>
  </w:style>
  <w:style w:type="paragraph" w:styleId="4">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unhideWhenUsed/>
    <w:qFormat/>
    <w:uiPriority w:val="9"/>
    <w:pPr>
      <w:keepNext/>
      <w:keepLines/>
      <w:spacing w:before="80" w:after="40"/>
      <w:outlineLvl w:val="3"/>
    </w:pPr>
    <w:rPr>
      <w:rFonts w:ascii="宋体" w:cstheme="majorBidi"/>
      <w:b/>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autoRedefine/>
    <w:qFormat/>
    <w:uiPriority w:val="0"/>
    <w:pPr>
      <w:spacing w:before="0" w:after="0" w:line="360" w:lineRule="auto"/>
      <w:jc w:val="center"/>
    </w:pPr>
    <w:rPr>
      <w:rFonts w:ascii="宋体" w:hAnsi="宋体" w:eastAsia="黑体"/>
      <w:bCs/>
      <w:smallCaps/>
      <w:snapToGrid w:val="0"/>
      <w:sz w:val="44"/>
      <w:szCs w:val="24"/>
    </w:rPr>
  </w:style>
  <w:style w:type="paragraph" w:styleId="7">
    <w:name w:val="toc 7"/>
    <w:basedOn w:val="1"/>
    <w:next w:val="1"/>
    <w:autoRedefine/>
    <w:unhideWhenUsed/>
    <w:qFormat/>
    <w:uiPriority w:val="39"/>
    <w:pPr>
      <w:ind w:left="2520" w:leftChars="1200"/>
    </w:pPr>
  </w:style>
  <w:style w:type="paragraph" w:styleId="8">
    <w:name w:val="annotation text"/>
    <w:basedOn w:val="1"/>
    <w:link w:val="42"/>
    <w:autoRedefine/>
    <w:qFormat/>
    <w:uiPriority w:val="0"/>
    <w:pPr>
      <w:jc w:val="left"/>
    </w:pPr>
  </w:style>
  <w:style w:type="paragraph" w:styleId="9">
    <w:name w:val="Body Text"/>
    <w:basedOn w:val="1"/>
    <w:next w:val="10"/>
    <w:autoRedefine/>
    <w:qFormat/>
    <w:uiPriority w:val="0"/>
    <w:rPr>
      <w:rFonts w:ascii="宋体" w:hAnsi="Arial"/>
      <w:sz w:val="28"/>
    </w:rPr>
  </w:style>
  <w:style w:type="paragraph" w:styleId="10">
    <w:name w:val="Date"/>
    <w:basedOn w:val="1"/>
    <w:next w:val="1"/>
    <w:autoRedefine/>
    <w:qFormat/>
    <w:uiPriority w:val="0"/>
    <w:rPr>
      <w:b/>
      <w:sz w:val="28"/>
    </w:rPr>
  </w:style>
  <w:style w:type="paragraph" w:styleId="11">
    <w:name w:val="Body Text Indent"/>
    <w:basedOn w:val="1"/>
    <w:autoRedefine/>
    <w:qFormat/>
    <w:uiPriority w:val="0"/>
    <w:pPr>
      <w:ind w:firstLine="645"/>
    </w:pPr>
    <w:rPr>
      <w:rFonts w:ascii="楷体_GB2312" w:eastAsia="楷体_GB2312"/>
      <w:sz w:val="32"/>
    </w:rPr>
  </w:style>
  <w:style w:type="paragraph" w:styleId="12">
    <w:name w:val="toc 3"/>
    <w:basedOn w:val="1"/>
    <w:next w:val="1"/>
    <w:autoRedefine/>
    <w:qFormat/>
    <w:uiPriority w:val="39"/>
    <w:pPr>
      <w:ind w:left="840" w:leftChars="400"/>
    </w:pPr>
  </w:style>
  <w:style w:type="paragraph" w:styleId="13">
    <w:name w:val="Plain Text"/>
    <w:basedOn w:val="1"/>
    <w:autoRedefine/>
    <w:qFormat/>
    <w:uiPriority w:val="0"/>
    <w:rPr>
      <w:rFonts w:ascii="宋体" w:hAnsi="Courier New"/>
    </w:rPr>
  </w:style>
  <w:style w:type="paragraph" w:styleId="14">
    <w:name w:val="footer"/>
    <w:basedOn w:val="1"/>
    <w:link w:val="44"/>
    <w:autoRedefine/>
    <w:qFormat/>
    <w:uiPriority w:val="99"/>
    <w:pPr>
      <w:tabs>
        <w:tab w:val="center" w:pos="4153"/>
        <w:tab w:val="right" w:pos="8306"/>
      </w:tabs>
      <w:snapToGrid w:val="0"/>
      <w:jc w:val="left"/>
    </w:pPr>
    <w:rPr>
      <w:sz w:val="18"/>
    </w:rPr>
  </w:style>
  <w:style w:type="paragraph" w:styleId="15">
    <w:name w:val="envelope return"/>
    <w:basedOn w:val="1"/>
    <w:autoRedefine/>
    <w:qFormat/>
    <w:uiPriority w:val="0"/>
    <w:pPr>
      <w:snapToGrid w:val="0"/>
    </w:pPr>
    <w:rPr>
      <w:rFonts w:ascii="Arial" w:hAnsi="Arial"/>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0"/>
  </w:style>
  <w:style w:type="paragraph" w:styleId="18">
    <w:name w:val="List"/>
    <w:basedOn w:val="1"/>
    <w:autoRedefine/>
    <w:qFormat/>
    <w:uiPriority w:val="0"/>
    <w:pPr>
      <w:ind w:left="200" w:hanging="200" w:hangingChars="200"/>
    </w:pPr>
    <w:rPr>
      <w:rFonts w:ascii="Calibri" w:hAnsi="Calibri" w:cs="Times New Roman"/>
      <w:kern w:val="2"/>
      <w:sz w:val="21"/>
      <w:szCs w:val="22"/>
    </w:rPr>
  </w:style>
  <w:style w:type="paragraph" w:styleId="19">
    <w:name w:val="toc 2"/>
    <w:basedOn w:val="1"/>
    <w:next w:val="1"/>
    <w:autoRedefine/>
    <w:qFormat/>
    <w:uiPriority w:val="39"/>
    <w:pPr>
      <w:ind w:left="210"/>
      <w:jc w:val="left"/>
    </w:pPr>
    <w:rPr>
      <w:smallCaps/>
      <w:sz w:val="28"/>
      <w:szCs w:val="24"/>
    </w:rPr>
  </w:style>
  <w:style w:type="paragraph" w:styleId="2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21">
    <w:name w:val="annotation subject"/>
    <w:basedOn w:val="8"/>
    <w:next w:val="8"/>
    <w:link w:val="43"/>
    <w:autoRedefine/>
    <w:qFormat/>
    <w:uiPriority w:val="0"/>
    <w:rPr>
      <w:b/>
      <w:bCs/>
    </w:rPr>
  </w:style>
  <w:style w:type="paragraph" w:styleId="22">
    <w:name w:val="Body Text First Indent"/>
    <w:basedOn w:val="9"/>
    <w:autoRedefine/>
    <w:qFormat/>
    <w:uiPriority w:val="0"/>
    <w:pPr>
      <w:autoSpaceDE w:val="0"/>
      <w:autoSpaceDN w:val="0"/>
      <w:adjustRightInd w:val="0"/>
      <w:spacing w:line="360" w:lineRule="auto"/>
      <w:ind w:right="-24" w:rightChars="-10" w:firstLine="425" w:firstLineChars="225"/>
    </w:pPr>
    <w:rPr>
      <w:rFonts w:ascii="Arial" w:eastAsia="仿宋_GB2312" w:cs="Arial"/>
      <w:kern w:val="0"/>
      <w:sz w:val="24"/>
      <w:szCs w:val="32"/>
    </w:rPr>
  </w:style>
  <w:style w:type="paragraph" w:styleId="23">
    <w:name w:val="Body Text First Indent 2"/>
    <w:basedOn w:val="11"/>
    <w:autoRedefine/>
    <w:qFormat/>
    <w:uiPriority w:val="0"/>
    <w:pPr>
      <w:spacing w:after="120"/>
      <w:ind w:left="420" w:leftChars="200" w:firstLine="420" w:firstLineChars="200"/>
    </w:pPr>
    <w:rPr>
      <w:sz w:val="21"/>
    </w:r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Hyperlink"/>
    <w:basedOn w:val="26"/>
    <w:autoRedefine/>
    <w:qFormat/>
    <w:uiPriority w:val="99"/>
    <w:rPr>
      <w:color w:val="0000FF"/>
      <w:u w:val="none"/>
    </w:rPr>
  </w:style>
  <w:style w:type="character" w:styleId="29">
    <w:name w:val="annotation reference"/>
    <w:basedOn w:val="26"/>
    <w:autoRedefine/>
    <w:qFormat/>
    <w:uiPriority w:val="0"/>
    <w:rPr>
      <w:sz w:val="21"/>
      <w:szCs w:val="21"/>
    </w:rPr>
  </w:style>
  <w:style w:type="character" w:styleId="30">
    <w:name w:val="footnote reference"/>
    <w:autoRedefine/>
    <w:unhideWhenUsed/>
    <w:qFormat/>
    <w:uiPriority w:val="0"/>
    <w:rPr>
      <w:vertAlign w:val="superscript"/>
    </w:rPr>
  </w:style>
  <w:style w:type="paragraph" w:customStyle="1" w:styleId="31">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正文（缩进）"/>
    <w:basedOn w:val="1"/>
    <w:autoRedefine/>
    <w:qFormat/>
    <w:uiPriority w:val="0"/>
    <w:pPr>
      <w:widowControl/>
      <w:spacing w:before="156" w:after="156"/>
      <w:ind w:firstLine="480" w:firstLineChars="200"/>
      <w:jc w:val="left"/>
    </w:pPr>
    <w:rPr>
      <w:rFonts w:ascii="仿宋_GB2312" w:eastAsia="仿宋_GB2312"/>
      <w:kern w:val="0"/>
      <w:szCs w:val="24"/>
    </w:rPr>
  </w:style>
  <w:style w:type="paragraph" w:customStyle="1" w:styleId="33">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34">
    <w:name w:val="D&amp;L"/>
    <w:basedOn w:val="16"/>
    <w:autoRedefine/>
    <w:qFormat/>
    <w:uiPriority w:val="99"/>
    <w:pPr>
      <w:pBdr>
        <w:bottom w:val="thinThickSmallGap" w:color="auto" w:sz="18" w:space="1"/>
      </w:pBdr>
      <w:adjustRightInd w:val="0"/>
      <w:snapToGrid/>
      <w:spacing w:line="240" w:lineRule="atLeast"/>
      <w:textAlignment w:val="baseline"/>
    </w:pPr>
    <w:rPr>
      <w:kern w:val="0"/>
      <w:sz w:val="24"/>
    </w:rPr>
  </w:style>
  <w:style w:type="paragraph" w:customStyle="1" w:styleId="35">
    <w:name w:val="Char Char Char Char Char Char Char1 Char"/>
    <w:basedOn w:val="1"/>
    <w:autoRedefine/>
    <w:qFormat/>
    <w:uiPriority w:val="0"/>
    <w:rPr>
      <w:rFonts w:ascii="Tahoma" w:hAnsi="Tahoma"/>
    </w:rPr>
  </w:style>
  <w:style w:type="paragraph" w:customStyle="1" w:styleId="36">
    <w:name w:val="正文_0"/>
    <w:autoRedefine/>
    <w:qFormat/>
    <w:uiPriority w:val="0"/>
    <w:pPr>
      <w:widowControl w:val="0"/>
      <w:jc w:val="both"/>
    </w:pPr>
    <w:rPr>
      <w:rFonts w:ascii="Tahoma" w:hAnsi="Tahoma" w:eastAsia="宋体" w:cs="Tahoma"/>
      <w:kern w:val="2"/>
      <w:sz w:val="21"/>
      <w:szCs w:val="22"/>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Table Text"/>
    <w:basedOn w:val="1"/>
    <w:autoRedefine/>
    <w:semiHidden/>
    <w:qFormat/>
    <w:uiPriority w:val="0"/>
    <w:pPr>
      <w:autoSpaceDE w:val="0"/>
      <w:autoSpaceDN w:val="0"/>
      <w:spacing w:line="360" w:lineRule="auto"/>
      <w:jc w:val="left"/>
    </w:pPr>
    <w:rPr>
      <w:rFonts w:cs="宋体" w:asciiTheme="minorEastAsia" w:hAnsiTheme="minorEastAsia" w:eastAsiaTheme="minorEastAsia"/>
      <w:szCs w:val="24"/>
      <w:lang w:eastAsia="en-US"/>
    </w:rPr>
  </w:style>
  <w:style w:type="paragraph" w:customStyle="1" w:styleId="39">
    <w:name w:val="Table Paragraph"/>
    <w:basedOn w:val="1"/>
    <w:autoRedefine/>
    <w:qFormat/>
    <w:uiPriority w:val="1"/>
    <w:pPr>
      <w:autoSpaceDE w:val="0"/>
      <w:autoSpaceDN w:val="0"/>
      <w:jc w:val="left"/>
    </w:pPr>
    <w:rPr>
      <w:rFonts w:ascii="宋体" w:hAnsi="宋体" w:cs="宋体"/>
      <w:kern w:val="0"/>
      <w:sz w:val="22"/>
      <w:lang w:val="zh-CN" w:bidi="zh-CN"/>
    </w:rPr>
  </w:style>
  <w:style w:type="paragraph" w:customStyle="1" w:styleId="40">
    <w:name w:val="列出段落1"/>
    <w:basedOn w:val="1"/>
    <w:autoRedefine/>
    <w:qFormat/>
    <w:uiPriority w:val="0"/>
    <w:pPr>
      <w:ind w:firstLine="420" w:firstLineChars="200"/>
    </w:pPr>
  </w:style>
  <w:style w:type="paragraph" w:styleId="41">
    <w:name w:val="List Paragraph"/>
    <w:basedOn w:val="1"/>
    <w:autoRedefine/>
    <w:qFormat/>
    <w:uiPriority w:val="0"/>
    <w:pPr>
      <w:ind w:firstLine="420" w:firstLineChars="200"/>
    </w:pPr>
    <w:rPr>
      <w:rFonts w:ascii="Calibri" w:hAnsi="Calibri"/>
      <w:sz w:val="21"/>
      <w:szCs w:val="24"/>
    </w:rPr>
  </w:style>
  <w:style w:type="character" w:customStyle="1" w:styleId="42">
    <w:name w:val="批注文字 字符"/>
    <w:basedOn w:val="26"/>
    <w:link w:val="8"/>
    <w:autoRedefine/>
    <w:qFormat/>
    <w:uiPriority w:val="0"/>
    <w:rPr>
      <w:rFonts w:ascii="Times New Roman" w:hAnsi="Times New Roman" w:eastAsia="宋体" w:cs="Times New Roman"/>
      <w:kern w:val="2"/>
      <w:sz w:val="24"/>
    </w:rPr>
  </w:style>
  <w:style w:type="character" w:customStyle="1" w:styleId="43">
    <w:name w:val="批注主题 字符"/>
    <w:basedOn w:val="42"/>
    <w:link w:val="21"/>
    <w:autoRedefine/>
    <w:qFormat/>
    <w:uiPriority w:val="0"/>
    <w:rPr>
      <w:rFonts w:ascii="Times New Roman" w:hAnsi="Times New Roman" w:eastAsia="宋体" w:cs="Times New Roman"/>
      <w:b/>
      <w:bCs/>
      <w:kern w:val="2"/>
      <w:sz w:val="24"/>
    </w:rPr>
  </w:style>
  <w:style w:type="character" w:customStyle="1" w:styleId="44">
    <w:name w:val="页脚 字符"/>
    <w:basedOn w:val="26"/>
    <w:link w:val="14"/>
    <w:autoRedefine/>
    <w:qFormat/>
    <w:uiPriority w:val="99"/>
    <w:rPr>
      <w:rFonts w:ascii="Times New Roman" w:hAnsi="Times New Roman" w:eastAsia="宋体" w:cs="Times New Roman"/>
      <w:kern w:val="2"/>
      <w:sz w:val="18"/>
    </w:rPr>
  </w:style>
  <w:style w:type="paragraph" w:customStyle="1" w:styleId="45">
    <w:name w:val="WPSOffice手动目录 1"/>
    <w:autoRedefine/>
    <w:qFormat/>
    <w:uiPriority w:val="0"/>
    <w:pPr>
      <w:ind w:leftChars="0"/>
    </w:pPr>
    <w:rPr>
      <w:rFonts w:ascii="Times New Roman" w:hAnsi="Times New Roman" w:eastAsia="宋体" w:cs="Times New Roman"/>
      <w:sz w:val="20"/>
      <w:szCs w:val="20"/>
    </w:rPr>
  </w:style>
  <w:style w:type="paragraph" w:customStyle="1" w:styleId="46">
    <w:name w:val="文本"/>
    <w:basedOn w:val="1"/>
    <w:autoRedefine/>
    <w:qFormat/>
    <w:uiPriority w:val="0"/>
    <w:pPr>
      <w:adjustRightInd w:val="0"/>
      <w:snapToGrid w:val="0"/>
      <w:spacing w:line="360" w:lineRule="auto"/>
      <w:ind w:firstLine="720" w:firstLineChars="200"/>
    </w:pPr>
  </w:style>
  <w:style w:type="character" w:customStyle="1" w:styleId="47">
    <w:name w:val="font61"/>
    <w:basedOn w:val="26"/>
    <w:autoRedefine/>
    <w:qFormat/>
    <w:uiPriority w:val="0"/>
    <w:rPr>
      <w:rFonts w:ascii="宋体" w:hAnsi="宋体" w:eastAsia="宋体" w:cs="宋体"/>
      <w:color w:val="000000"/>
      <w:sz w:val="24"/>
      <w:szCs w:val="24"/>
      <w:u w:val="none"/>
    </w:rPr>
  </w:style>
  <w:style w:type="character" w:customStyle="1" w:styleId="48">
    <w:name w:val="font71"/>
    <w:basedOn w:val="26"/>
    <w:autoRedefine/>
    <w:qFormat/>
    <w:uiPriority w:val="0"/>
    <w:rPr>
      <w:rFonts w:hint="default" w:ascii="Arial" w:hAnsi="Arial" w:cs="Arial"/>
      <w:color w:val="000000"/>
      <w:sz w:val="12"/>
      <w:szCs w:val="12"/>
      <w:u w:val="none"/>
    </w:rPr>
  </w:style>
  <w:style w:type="character" w:customStyle="1" w:styleId="49">
    <w:name w:val="font41"/>
    <w:basedOn w:val="26"/>
    <w:autoRedefine/>
    <w:qFormat/>
    <w:uiPriority w:val="0"/>
    <w:rPr>
      <w:rFonts w:ascii="宋体" w:hAnsi="宋体" w:eastAsia="宋体" w:cs="宋体"/>
      <w:b/>
      <w:bCs/>
      <w:color w:val="000000"/>
      <w:sz w:val="24"/>
      <w:szCs w:val="24"/>
      <w:u w:val="none"/>
    </w:rPr>
  </w:style>
  <w:style w:type="paragraph" w:customStyle="1" w:styleId="50">
    <w:name w:val="BodyText1I"/>
    <w:basedOn w:val="51"/>
    <w:autoRedefine/>
    <w:qFormat/>
    <w:uiPriority w:val="0"/>
    <w:pPr>
      <w:widowControl/>
      <w:snapToGrid w:val="0"/>
      <w:spacing w:line="240" w:lineRule="auto"/>
      <w:ind w:firstLine="420" w:firstLineChars="100"/>
      <w:jc w:val="left"/>
      <w:textAlignment w:val="baseline"/>
    </w:pPr>
  </w:style>
  <w:style w:type="paragraph" w:customStyle="1" w:styleId="51">
    <w:name w:val="BodyText"/>
    <w:basedOn w:val="1"/>
    <w:next w:val="52"/>
    <w:autoRedefine/>
    <w:qFormat/>
    <w:uiPriority w:val="0"/>
    <w:pPr>
      <w:widowControl/>
      <w:snapToGrid w:val="0"/>
      <w:spacing w:line="240" w:lineRule="auto"/>
      <w:jc w:val="left"/>
      <w:textAlignment w:val="baseline"/>
    </w:pPr>
    <w:rPr>
      <w:rFonts w:ascii="宋体" w:hAnsi="宋体" w:eastAsia="宋体"/>
      <w:color w:val="000000"/>
      <w:kern w:val="0"/>
      <w:sz w:val="24"/>
      <w:szCs w:val="24"/>
      <w:lang w:val="zh-CN" w:eastAsia="zh-CN" w:bidi="zh-CN"/>
    </w:rPr>
  </w:style>
  <w:style w:type="paragraph" w:customStyle="1" w:styleId="52">
    <w:name w:val="Acetate"/>
    <w:basedOn w:val="1"/>
    <w:autoRedefine/>
    <w:qFormat/>
    <w:uiPriority w:val="0"/>
    <w:pPr>
      <w:widowControl/>
      <w:snapToGrid w:val="0"/>
      <w:spacing w:line="240" w:lineRule="auto"/>
      <w:jc w:val="left"/>
      <w:textAlignment w:val="baseline"/>
    </w:pPr>
    <w:rPr>
      <w:rFonts w:ascii="Times New Roman" w:hAnsi="Times New Roman" w:eastAsia="Arial"/>
      <w:color w:val="000000"/>
      <w:kern w:val="0"/>
      <w:sz w:val="18"/>
      <w:szCs w:val="18"/>
    </w:rPr>
  </w:style>
  <w:style w:type="paragraph" w:customStyle="1" w:styleId="53">
    <w:name w:val="表格"/>
    <w:basedOn w:val="1"/>
    <w:qFormat/>
    <w:uiPriority w:val="0"/>
    <w:pPr>
      <w:ind w:firstLine="0" w:firstLineChars="0"/>
      <w:jc w:val="center"/>
    </w:pPr>
    <w:rPr>
      <w:rFonts w:hint="eastAsia" w:ascii="仿宋" w:hAnsi="仿宋" w:cs="仿宋"/>
      <w:b/>
      <w:bCs/>
      <w:color w:val="FF000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A668C6-B4E5-4177-9301-E77BA932BE5D}">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45565</Words>
  <Characters>48545</Characters>
  <Lines>2286</Lines>
  <Paragraphs>1781</Paragraphs>
  <TotalTime>73</TotalTime>
  <ScaleCrop>false</ScaleCrop>
  <LinksUpToDate>false</LinksUpToDate>
  <CharactersWithSpaces>49891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2025-04-01T07:14:00Z</dcterms:created>
  <dc:creator>龚舒杰</dc:creator>
  <cp:lastModifiedBy>谭丽君</cp:lastModifiedBy>
  <cp:lastPrinted>2026-04-27T02:03:00Z</cp:lastPrinted>
  <dcterms:modified xsi:type="dcterms:W3CDTF">2026-06-18T08:12:31Z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27AC834DF985436CBC32284A52492371_13</vt:lpwstr>
  </property>
  <property fmtid="{D5CDD505-2E9C-101B-9397-08002B2CF9AE}" pid="4" name="KSOTemplateDocerSaveRecord">
    <vt:lpwstr>eyJoZGlkIjoiNGUzNTRkZTA3NzRhZjA4ZDA4NWU3ZjQ0NjNhZWUzZjkiLCJ1c2VySWQiOiIxNTcwOTkzNjIwIn0=</vt:lpwstr>
  </property>
</Properties>
</file>