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62247">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6957C100">
      <w:pPr>
        <w:tabs>
          <w:tab w:val="left" w:pos="315"/>
          <w:tab w:val="left" w:pos="8820"/>
        </w:tabs>
        <w:spacing w:before="240" w:beforeLines="100" w:after="120" w:afterLines="50" w:line="500" w:lineRule="exact"/>
        <w:ind w:right="254" w:rightChars="127"/>
        <w:jc w:val="center"/>
        <w:rPr>
          <w:b/>
          <w:bCs/>
          <w:color w:val="auto"/>
          <w:sz w:val="52"/>
          <w:szCs w:val="52"/>
          <w:highlight w:val="none"/>
        </w:rPr>
      </w:pPr>
      <w:bookmarkStart w:id="0" w:name="_Hlk9544796"/>
      <w:r>
        <w:rPr>
          <w:rFonts w:hint="eastAsia"/>
          <w:b/>
          <w:bCs/>
          <w:color w:val="auto"/>
          <w:sz w:val="52"/>
          <w:szCs w:val="52"/>
          <w:highlight w:val="none"/>
        </w:rPr>
        <w:t>服务类项目</w:t>
      </w:r>
    </w:p>
    <w:p w14:paraId="145DB74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lang w:eastAsia="zh-CN"/>
        </w:rPr>
        <w:t>比选</w:t>
      </w:r>
      <w:r>
        <w:rPr>
          <w:rFonts w:hint="eastAsia"/>
          <w:b/>
          <w:bCs/>
          <w:color w:val="auto"/>
          <w:sz w:val="52"/>
          <w:szCs w:val="52"/>
          <w:highlight w:val="none"/>
        </w:rPr>
        <w:t>文件</w:t>
      </w:r>
    </w:p>
    <w:p w14:paraId="0897DB04">
      <w:pPr>
        <w:pStyle w:val="6"/>
        <w:rPr>
          <w:color w:val="auto"/>
          <w:highlight w:val="none"/>
        </w:rPr>
      </w:pPr>
      <w:r>
        <w:rPr>
          <w:rFonts w:hint="eastAsia" w:cs="宋体"/>
          <w:color w:val="auto"/>
          <w:highlight w:val="none"/>
        </w:rPr>
        <w:drawing>
          <wp:anchor distT="0" distB="0" distL="114300" distR="114300" simplePos="0" relativeHeight="251660288" behindDoc="0" locked="0" layoutInCell="1" allowOverlap="1">
            <wp:simplePos x="0" y="0"/>
            <wp:positionH relativeFrom="column">
              <wp:posOffset>1899285</wp:posOffset>
            </wp:positionH>
            <wp:positionV relativeFrom="paragraph">
              <wp:posOffset>1385570</wp:posOffset>
            </wp:positionV>
            <wp:extent cx="1733550" cy="1743075"/>
            <wp:effectExtent l="0" t="0" r="381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p>
    <w:bookmarkEnd w:id="0"/>
    <w:p w14:paraId="70567EAD">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50E98334">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A30A69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A04BB34">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9D0DE5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DF2E5CA">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8F53AC9">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4BA851B">
      <w:pPr>
        <w:tabs>
          <w:tab w:val="left" w:pos="2410"/>
        </w:tabs>
        <w:autoSpaceDE w:val="0"/>
        <w:autoSpaceDN w:val="0"/>
        <w:adjustRightInd w:val="0"/>
        <w:snapToGrid w:val="0"/>
        <w:spacing w:line="360" w:lineRule="auto"/>
        <w:rPr>
          <w:b/>
          <w:color w:val="auto"/>
          <w:spacing w:val="20"/>
          <w:sz w:val="32"/>
          <w:szCs w:val="32"/>
          <w:highlight w:val="none"/>
        </w:rPr>
      </w:pPr>
    </w:p>
    <w:p w14:paraId="62A8F979">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项目名称：</w:t>
      </w:r>
      <w:bookmarkStart w:id="1" w:name="OLE_LINK1"/>
      <w:bookmarkStart w:id="26" w:name="_GoBack"/>
      <w:r>
        <w:rPr>
          <w:rFonts w:hint="eastAsia"/>
          <w:b/>
          <w:color w:val="auto"/>
          <w:spacing w:val="20"/>
          <w:sz w:val="32"/>
          <w:szCs w:val="32"/>
          <w:highlight w:val="none"/>
          <w:u w:val="single"/>
          <w:lang w:eastAsia="zh-CN"/>
        </w:rPr>
        <w:t>桃花镇机关食堂服务外包</w:t>
      </w:r>
      <w:bookmarkEnd w:id="26"/>
    </w:p>
    <w:bookmarkEnd w:id="1"/>
    <w:p w14:paraId="388DC181">
      <w:pPr>
        <w:tabs>
          <w:tab w:val="left" w:pos="2410"/>
        </w:tabs>
        <w:autoSpaceDE w:val="0"/>
        <w:autoSpaceDN w:val="0"/>
        <w:adjustRightInd w:val="0"/>
        <w:snapToGrid w:val="0"/>
        <w:spacing w:line="360" w:lineRule="auto"/>
        <w:rPr>
          <w:rFonts w:hint="eastAsia"/>
          <w:b/>
          <w:color w:val="auto"/>
          <w:spacing w:val="20"/>
          <w:sz w:val="32"/>
          <w:szCs w:val="32"/>
          <w:highlight w:val="none"/>
          <w:u w:val="single"/>
        </w:rPr>
      </w:pPr>
      <w:r>
        <w:rPr>
          <w:rFonts w:hint="eastAsia"/>
          <w:b/>
          <w:color w:val="auto"/>
          <w:spacing w:val="20"/>
          <w:sz w:val="32"/>
          <w:szCs w:val="32"/>
          <w:highlight w:val="none"/>
          <w:lang w:eastAsia="zh-CN"/>
        </w:rPr>
        <w:t>项目编号：</w:t>
      </w:r>
      <w:r>
        <w:rPr>
          <w:rFonts w:hint="eastAsia"/>
          <w:b/>
          <w:color w:val="auto"/>
          <w:spacing w:val="20"/>
          <w:sz w:val="32"/>
          <w:szCs w:val="32"/>
          <w:highlight w:val="none"/>
          <w:u w:val="single"/>
          <w:lang w:eastAsia="zh-CN"/>
        </w:rPr>
        <w:t>2026PHBQ126</w:t>
      </w:r>
    </w:p>
    <w:p w14:paraId="34DB97D5">
      <w:pPr>
        <w:tabs>
          <w:tab w:val="left" w:pos="2410"/>
        </w:tabs>
        <w:autoSpaceDE w:val="0"/>
        <w:autoSpaceDN w:val="0"/>
        <w:adjustRightInd w:val="0"/>
        <w:snapToGrid w:val="0"/>
        <w:spacing w:line="360" w:lineRule="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业主单位：</w:t>
      </w:r>
      <w:r>
        <w:rPr>
          <w:rFonts w:hint="eastAsia"/>
          <w:b/>
          <w:color w:val="auto"/>
          <w:spacing w:val="20"/>
          <w:sz w:val="32"/>
          <w:szCs w:val="32"/>
          <w:highlight w:val="none"/>
          <w:u w:val="single"/>
          <w:lang w:val="en-US" w:eastAsia="zh-CN"/>
        </w:rPr>
        <w:t>肥西县桃花镇人民政府</w:t>
      </w:r>
    </w:p>
    <w:p w14:paraId="69F4B8C2">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代理机构：</w:t>
      </w:r>
      <w:r>
        <w:rPr>
          <w:rFonts w:hint="eastAsia"/>
          <w:b/>
          <w:color w:val="auto"/>
          <w:spacing w:val="20"/>
          <w:sz w:val="32"/>
          <w:szCs w:val="32"/>
          <w:highlight w:val="none"/>
          <w:u w:val="single"/>
          <w:lang w:eastAsia="zh-CN"/>
        </w:rPr>
        <w:t>肥西县公共资源交易有限责任公司</w:t>
      </w:r>
    </w:p>
    <w:p w14:paraId="3A9E70A6">
      <w:pPr>
        <w:tabs>
          <w:tab w:val="left" w:pos="2410"/>
        </w:tabs>
        <w:autoSpaceDE w:val="0"/>
        <w:autoSpaceDN w:val="0"/>
        <w:adjustRightInd w:val="0"/>
        <w:snapToGrid w:val="0"/>
        <w:spacing w:line="360" w:lineRule="auto"/>
        <w:jc w:val="center"/>
        <w:rPr>
          <w:b/>
          <w:color w:val="auto"/>
          <w:sz w:val="36"/>
          <w:highlight w:val="none"/>
        </w:rPr>
      </w:pPr>
    </w:p>
    <w:p w14:paraId="29FD045A">
      <w:pPr>
        <w:tabs>
          <w:tab w:val="left" w:pos="2410"/>
        </w:tabs>
        <w:autoSpaceDE w:val="0"/>
        <w:autoSpaceDN w:val="0"/>
        <w:adjustRightInd w:val="0"/>
        <w:snapToGrid w:val="0"/>
        <w:spacing w:line="360" w:lineRule="auto"/>
        <w:jc w:val="center"/>
        <w:rPr>
          <w:b/>
          <w:color w:val="auto"/>
          <w:sz w:val="36"/>
          <w:highlight w:val="none"/>
        </w:rPr>
        <w:sectPr>
          <w:headerReference r:id="rId6" w:type="first"/>
          <w:footerReference r:id="rId9" w:type="first"/>
          <w:headerReference r:id="rId4" w:type="default"/>
          <w:footerReference r:id="rId7" w:type="default"/>
          <w:headerReference r:id="rId5" w:type="even"/>
          <w:footerReference r:id="rId8" w:type="even"/>
          <w:pgSz w:w="11907" w:h="16840"/>
          <w:pgMar w:top="1440" w:right="1519" w:bottom="1440" w:left="1519" w:header="851" w:footer="992" w:gutter="0"/>
          <w:cols w:space="720" w:num="1"/>
          <w:docGrid w:linePitch="462" w:charSpace="0"/>
        </w:sectPr>
      </w:pPr>
      <w:r>
        <w:rPr>
          <w:rFonts w:hint="eastAsia"/>
          <w:b/>
          <w:color w:val="auto"/>
          <w:sz w:val="36"/>
          <w:highlight w:val="none"/>
        </w:rPr>
        <w:t>202</w:t>
      </w:r>
      <w:r>
        <w:rPr>
          <w:rFonts w:hint="eastAsia"/>
          <w:b/>
          <w:color w:val="auto"/>
          <w:sz w:val="36"/>
          <w:highlight w:val="none"/>
          <w:lang w:val="en-US" w:eastAsia="zh-CN"/>
        </w:rPr>
        <w:t>6</w:t>
      </w:r>
      <w:r>
        <w:rPr>
          <w:rFonts w:hint="eastAsia"/>
          <w:b/>
          <w:color w:val="auto"/>
          <w:sz w:val="36"/>
          <w:highlight w:val="none"/>
        </w:rPr>
        <w:t>年</w:t>
      </w:r>
      <w:r>
        <w:rPr>
          <w:rFonts w:hint="eastAsia"/>
          <w:b/>
          <w:color w:val="auto"/>
          <w:sz w:val="36"/>
          <w:highlight w:val="none"/>
          <w:lang w:val="en-US" w:eastAsia="zh-CN"/>
        </w:rPr>
        <w:t>3</w:t>
      </w:r>
      <w:r>
        <w:rPr>
          <w:rFonts w:hint="eastAsia"/>
          <w:b/>
          <w:color w:val="auto"/>
          <w:sz w:val="36"/>
          <w:highlight w:val="none"/>
        </w:rPr>
        <w:t>月</w:t>
      </w:r>
    </w:p>
    <w:p w14:paraId="4A7B1637">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49C1B6F5">
      <w:pPr>
        <w:tabs>
          <w:tab w:val="left" w:pos="2410"/>
        </w:tabs>
        <w:autoSpaceDE w:val="0"/>
        <w:autoSpaceDN w:val="0"/>
        <w:adjustRightInd w:val="0"/>
        <w:snapToGrid w:val="0"/>
        <w:spacing w:line="360" w:lineRule="auto"/>
        <w:jc w:val="center"/>
        <w:rPr>
          <w:b/>
          <w:color w:val="auto"/>
          <w:sz w:val="28"/>
          <w:highlight w:val="none"/>
        </w:rPr>
      </w:pPr>
    </w:p>
    <w:p w14:paraId="3F17040B">
      <w:pPr>
        <w:pStyle w:val="13"/>
        <w:tabs>
          <w:tab w:val="right" w:leader="dot" w:pos="8869"/>
        </w:tabs>
        <w:rPr>
          <w:rFonts w:hint="eastAsia" w:ascii="黑体" w:hAnsi="黑体" w:eastAsia="黑体" w:cs="黑体"/>
          <w:sz w:val="24"/>
          <w:szCs w:val="24"/>
          <w:highlight w:val="none"/>
        </w:rPr>
      </w:pPr>
      <w:r>
        <w:rPr>
          <w:rFonts w:hint="eastAsia" w:ascii="黑体" w:hAnsi="黑体" w:eastAsia="黑体" w:cs="黑体"/>
          <w:b/>
          <w:color w:val="auto"/>
          <w:sz w:val="24"/>
          <w:szCs w:val="24"/>
          <w:highlight w:val="none"/>
        </w:rPr>
        <w:fldChar w:fldCharType="begin"/>
      </w:r>
      <w:r>
        <w:rPr>
          <w:rFonts w:hint="eastAsia" w:ascii="黑体" w:hAnsi="黑体" w:eastAsia="黑体" w:cs="黑体"/>
          <w:b/>
          <w:color w:val="auto"/>
          <w:sz w:val="24"/>
          <w:szCs w:val="24"/>
          <w:highlight w:val="none"/>
        </w:rPr>
        <w:instrText xml:space="preserve"> TOC \o "1-2" \h \z \u </w:instrText>
      </w:r>
      <w:r>
        <w:rPr>
          <w:rFonts w:hint="eastAsia" w:ascii="黑体" w:hAnsi="黑体" w:eastAsia="黑体" w:cs="黑体"/>
          <w:b/>
          <w:color w:val="auto"/>
          <w:sz w:val="24"/>
          <w:szCs w:val="24"/>
          <w:highlight w:val="none"/>
        </w:rPr>
        <w:fldChar w:fldCharType="separate"/>
      </w:r>
      <w:r>
        <w:rPr>
          <w:rFonts w:hint="eastAsia" w:ascii="黑体" w:hAnsi="黑体" w:eastAsia="黑体" w:cs="黑体"/>
          <w:color w:val="auto"/>
          <w:sz w:val="24"/>
          <w:szCs w:val="24"/>
          <w:highlight w:val="none"/>
        </w:rPr>
        <w:fldChar w:fldCharType="begin"/>
      </w:r>
      <w:r>
        <w:rPr>
          <w:rFonts w:hint="eastAsia" w:ascii="黑体" w:hAnsi="黑体" w:eastAsia="黑体" w:cs="黑体"/>
          <w:sz w:val="24"/>
          <w:szCs w:val="24"/>
          <w:highlight w:val="none"/>
        </w:rPr>
        <w:instrText xml:space="preserve"> HYPERLINK \l _Toc2282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 xml:space="preserve">第一章 </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highlight w:val="none"/>
          <w:lang w:eastAsia="zh-CN"/>
        </w:rPr>
        <w:t>比选</w:t>
      </w:r>
      <w:r>
        <w:rPr>
          <w:rFonts w:hint="eastAsia" w:ascii="黑体" w:hAnsi="黑体" w:eastAsia="黑体" w:cs="黑体"/>
          <w:sz w:val="24"/>
          <w:szCs w:val="24"/>
          <w:highlight w:val="none"/>
        </w:rPr>
        <w:t>公告</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_Toc2282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2</w:t>
      </w:r>
      <w:r>
        <w:rPr>
          <w:rFonts w:hint="eastAsia" w:ascii="黑体" w:hAnsi="黑体" w:eastAsia="黑体" w:cs="黑体"/>
          <w:sz w:val="24"/>
          <w:szCs w:val="24"/>
          <w:highlight w:val="none"/>
        </w:rPr>
        <w:fldChar w:fldCharType="end"/>
      </w:r>
      <w:r>
        <w:rPr>
          <w:rFonts w:hint="eastAsia" w:ascii="黑体" w:hAnsi="黑体" w:eastAsia="黑体" w:cs="黑体"/>
          <w:color w:val="auto"/>
          <w:sz w:val="24"/>
          <w:szCs w:val="24"/>
          <w:highlight w:val="none"/>
        </w:rPr>
        <w:fldChar w:fldCharType="end"/>
      </w:r>
    </w:p>
    <w:p w14:paraId="5572C552">
      <w:pPr>
        <w:pStyle w:val="13"/>
        <w:tabs>
          <w:tab w:val="right" w:leader="dot" w:pos="8869"/>
        </w:tabs>
        <w:rPr>
          <w:rFonts w:hint="eastAsia" w:ascii="黑体" w:hAnsi="黑体" w:eastAsia="黑体" w:cs="黑体"/>
          <w:sz w:val="24"/>
          <w:szCs w:val="24"/>
          <w:highlight w:val="none"/>
        </w:rPr>
      </w:pPr>
      <w:r>
        <w:rPr>
          <w:rFonts w:hint="eastAsia" w:ascii="黑体" w:hAnsi="黑体" w:eastAsia="黑体" w:cs="黑体"/>
          <w:color w:val="auto"/>
          <w:sz w:val="24"/>
          <w:szCs w:val="24"/>
          <w:highlight w:val="none"/>
        </w:rPr>
        <w:fldChar w:fldCharType="begin"/>
      </w:r>
      <w:r>
        <w:rPr>
          <w:rFonts w:hint="eastAsia" w:ascii="黑体" w:hAnsi="黑体" w:eastAsia="黑体" w:cs="黑体"/>
          <w:sz w:val="24"/>
          <w:szCs w:val="24"/>
          <w:highlight w:val="none"/>
        </w:rPr>
        <w:instrText xml:space="preserve"> HYPERLINK \l _Toc605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第二章  供应商须知</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_Toc605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5</w:t>
      </w:r>
      <w:r>
        <w:rPr>
          <w:rFonts w:hint="eastAsia" w:ascii="黑体" w:hAnsi="黑体" w:eastAsia="黑体" w:cs="黑体"/>
          <w:sz w:val="24"/>
          <w:szCs w:val="24"/>
          <w:highlight w:val="none"/>
        </w:rPr>
        <w:fldChar w:fldCharType="end"/>
      </w:r>
      <w:r>
        <w:rPr>
          <w:rFonts w:hint="eastAsia" w:ascii="黑体" w:hAnsi="黑体" w:eastAsia="黑体" w:cs="黑体"/>
          <w:color w:val="auto"/>
          <w:sz w:val="24"/>
          <w:szCs w:val="24"/>
          <w:highlight w:val="none"/>
        </w:rPr>
        <w:fldChar w:fldCharType="end"/>
      </w:r>
    </w:p>
    <w:p w14:paraId="4AD8ED20">
      <w:pPr>
        <w:pStyle w:val="13"/>
        <w:tabs>
          <w:tab w:val="right" w:leader="dot" w:pos="8869"/>
        </w:tabs>
        <w:rPr>
          <w:rFonts w:hint="eastAsia" w:ascii="黑体" w:hAnsi="黑体" w:eastAsia="黑体" w:cs="黑体"/>
          <w:sz w:val="24"/>
          <w:szCs w:val="24"/>
          <w:highlight w:val="none"/>
        </w:rPr>
      </w:pPr>
      <w:r>
        <w:rPr>
          <w:rFonts w:hint="eastAsia" w:ascii="黑体" w:hAnsi="黑体" w:eastAsia="黑体" w:cs="黑体"/>
          <w:color w:val="auto"/>
          <w:sz w:val="24"/>
          <w:szCs w:val="24"/>
          <w:highlight w:val="none"/>
        </w:rPr>
        <w:fldChar w:fldCharType="begin"/>
      </w:r>
      <w:r>
        <w:rPr>
          <w:rFonts w:hint="eastAsia" w:ascii="黑体" w:hAnsi="黑体" w:eastAsia="黑体" w:cs="黑体"/>
          <w:sz w:val="24"/>
          <w:szCs w:val="24"/>
          <w:highlight w:val="none"/>
        </w:rPr>
        <w:instrText xml:space="preserve"> HYPERLINK \l _Toc28369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第三章  业主单位要求</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_Toc28369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22</w:t>
      </w:r>
      <w:r>
        <w:rPr>
          <w:rFonts w:hint="eastAsia" w:ascii="黑体" w:hAnsi="黑体" w:eastAsia="黑体" w:cs="黑体"/>
          <w:sz w:val="24"/>
          <w:szCs w:val="24"/>
          <w:highlight w:val="none"/>
        </w:rPr>
        <w:fldChar w:fldCharType="end"/>
      </w:r>
      <w:r>
        <w:rPr>
          <w:rFonts w:hint="eastAsia" w:ascii="黑体" w:hAnsi="黑体" w:eastAsia="黑体" w:cs="黑体"/>
          <w:color w:val="auto"/>
          <w:sz w:val="24"/>
          <w:szCs w:val="24"/>
          <w:highlight w:val="none"/>
        </w:rPr>
        <w:fldChar w:fldCharType="end"/>
      </w:r>
    </w:p>
    <w:p w14:paraId="01E47880">
      <w:pPr>
        <w:pStyle w:val="13"/>
        <w:tabs>
          <w:tab w:val="right" w:leader="dot" w:pos="8869"/>
        </w:tabs>
        <w:rPr>
          <w:rFonts w:hint="eastAsia" w:ascii="黑体" w:hAnsi="黑体" w:eastAsia="黑体" w:cs="黑体"/>
          <w:sz w:val="24"/>
          <w:szCs w:val="24"/>
          <w:highlight w:val="none"/>
        </w:rPr>
      </w:pPr>
      <w:r>
        <w:rPr>
          <w:rFonts w:hint="eastAsia" w:ascii="黑体" w:hAnsi="黑体" w:eastAsia="黑体" w:cs="黑体"/>
          <w:color w:val="auto"/>
          <w:sz w:val="24"/>
          <w:szCs w:val="24"/>
          <w:highlight w:val="none"/>
        </w:rPr>
        <w:fldChar w:fldCharType="begin"/>
      </w:r>
      <w:r>
        <w:rPr>
          <w:rFonts w:hint="eastAsia" w:ascii="黑体" w:hAnsi="黑体" w:eastAsia="黑体" w:cs="黑体"/>
          <w:sz w:val="24"/>
          <w:szCs w:val="24"/>
          <w:highlight w:val="none"/>
        </w:rPr>
        <w:instrText xml:space="preserve"> HYPERLINK \l _Toc18029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第四章  评审方法和标准</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_Toc18029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36</w:t>
      </w:r>
      <w:r>
        <w:rPr>
          <w:rFonts w:hint="eastAsia" w:ascii="黑体" w:hAnsi="黑体" w:eastAsia="黑体" w:cs="黑体"/>
          <w:sz w:val="24"/>
          <w:szCs w:val="24"/>
          <w:highlight w:val="none"/>
        </w:rPr>
        <w:fldChar w:fldCharType="end"/>
      </w:r>
      <w:r>
        <w:rPr>
          <w:rFonts w:hint="eastAsia" w:ascii="黑体" w:hAnsi="黑体" w:eastAsia="黑体" w:cs="黑体"/>
          <w:color w:val="auto"/>
          <w:sz w:val="24"/>
          <w:szCs w:val="24"/>
          <w:highlight w:val="none"/>
        </w:rPr>
        <w:fldChar w:fldCharType="end"/>
      </w:r>
    </w:p>
    <w:p w14:paraId="17BAAA2E">
      <w:pPr>
        <w:pStyle w:val="13"/>
        <w:tabs>
          <w:tab w:val="right" w:leader="dot" w:pos="8869"/>
        </w:tabs>
        <w:rPr>
          <w:rFonts w:hint="eastAsia" w:ascii="黑体" w:hAnsi="黑体" w:eastAsia="黑体" w:cs="黑体"/>
          <w:sz w:val="24"/>
          <w:szCs w:val="24"/>
          <w:highlight w:val="none"/>
        </w:rPr>
      </w:pPr>
      <w:r>
        <w:rPr>
          <w:rFonts w:hint="eastAsia" w:ascii="黑体" w:hAnsi="黑体" w:eastAsia="黑体" w:cs="黑体"/>
          <w:color w:val="auto"/>
          <w:sz w:val="24"/>
          <w:szCs w:val="24"/>
          <w:highlight w:val="none"/>
        </w:rPr>
        <w:fldChar w:fldCharType="begin"/>
      </w:r>
      <w:r>
        <w:rPr>
          <w:rFonts w:hint="eastAsia" w:ascii="黑体" w:hAnsi="黑体" w:eastAsia="黑体" w:cs="黑体"/>
          <w:sz w:val="24"/>
          <w:szCs w:val="24"/>
          <w:highlight w:val="none"/>
        </w:rPr>
        <w:instrText xml:space="preserve"> HYPERLINK \l _Toc22321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第五章  合同</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_Toc22321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42</w:t>
      </w:r>
      <w:r>
        <w:rPr>
          <w:rFonts w:hint="eastAsia" w:ascii="黑体" w:hAnsi="黑体" w:eastAsia="黑体" w:cs="黑体"/>
          <w:sz w:val="24"/>
          <w:szCs w:val="24"/>
          <w:highlight w:val="none"/>
        </w:rPr>
        <w:fldChar w:fldCharType="end"/>
      </w:r>
      <w:r>
        <w:rPr>
          <w:rFonts w:hint="eastAsia" w:ascii="黑体" w:hAnsi="黑体" w:eastAsia="黑体" w:cs="黑体"/>
          <w:color w:val="auto"/>
          <w:sz w:val="24"/>
          <w:szCs w:val="24"/>
          <w:highlight w:val="none"/>
        </w:rPr>
        <w:fldChar w:fldCharType="end"/>
      </w:r>
    </w:p>
    <w:p w14:paraId="00143F8B">
      <w:pPr>
        <w:pStyle w:val="13"/>
        <w:tabs>
          <w:tab w:val="right" w:leader="dot" w:pos="8869"/>
        </w:tabs>
        <w:rPr>
          <w:rFonts w:hint="eastAsia" w:ascii="黑体" w:hAnsi="黑体" w:eastAsia="黑体" w:cs="黑体"/>
          <w:sz w:val="24"/>
          <w:szCs w:val="24"/>
          <w:highlight w:val="none"/>
        </w:rPr>
      </w:pPr>
      <w:r>
        <w:rPr>
          <w:rFonts w:hint="eastAsia" w:ascii="黑体" w:hAnsi="黑体" w:eastAsia="黑体" w:cs="黑体"/>
          <w:color w:val="auto"/>
          <w:sz w:val="24"/>
          <w:szCs w:val="24"/>
          <w:highlight w:val="none"/>
        </w:rPr>
        <w:fldChar w:fldCharType="begin"/>
      </w:r>
      <w:r>
        <w:rPr>
          <w:rFonts w:hint="eastAsia" w:ascii="黑体" w:hAnsi="黑体" w:eastAsia="黑体" w:cs="黑体"/>
          <w:sz w:val="24"/>
          <w:szCs w:val="24"/>
          <w:highlight w:val="none"/>
        </w:rPr>
        <w:instrText xml:space="preserve"> HYPERLINK \l _Toc20460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第六章  响应文件格式</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_Toc20460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43</w:t>
      </w:r>
      <w:r>
        <w:rPr>
          <w:rFonts w:hint="eastAsia" w:ascii="黑体" w:hAnsi="黑体" w:eastAsia="黑体" w:cs="黑体"/>
          <w:sz w:val="24"/>
          <w:szCs w:val="24"/>
          <w:highlight w:val="none"/>
        </w:rPr>
        <w:fldChar w:fldCharType="end"/>
      </w:r>
      <w:r>
        <w:rPr>
          <w:rFonts w:hint="eastAsia" w:ascii="黑体" w:hAnsi="黑体" w:eastAsia="黑体" w:cs="黑体"/>
          <w:color w:val="auto"/>
          <w:sz w:val="24"/>
          <w:szCs w:val="24"/>
          <w:highlight w:val="none"/>
        </w:rPr>
        <w:fldChar w:fldCharType="end"/>
      </w:r>
    </w:p>
    <w:p w14:paraId="1B35DD8B">
      <w:pPr>
        <w:pStyle w:val="13"/>
        <w:tabs>
          <w:tab w:val="right" w:leader="dot" w:pos="8296"/>
        </w:tabs>
        <w:rPr>
          <w:rFonts w:asciiTheme="minorEastAsia" w:hAnsiTheme="minorEastAsia"/>
          <w:color w:val="auto"/>
          <w:szCs w:val="24"/>
          <w:highlight w:val="none"/>
        </w:rPr>
      </w:pPr>
      <w:r>
        <w:rPr>
          <w:rFonts w:hint="eastAsia" w:ascii="黑体" w:hAnsi="黑体" w:eastAsia="黑体" w:cs="黑体"/>
          <w:color w:val="auto"/>
          <w:sz w:val="24"/>
          <w:szCs w:val="24"/>
          <w:highlight w:val="none"/>
        </w:rPr>
        <w:fldChar w:fldCharType="end"/>
      </w:r>
    </w:p>
    <w:p w14:paraId="5D9D4A25">
      <w:pPr>
        <w:pStyle w:val="22"/>
        <w:ind w:leftChars="75"/>
        <w:rPr>
          <w:rFonts w:asciiTheme="minorEastAsia" w:hAnsiTheme="minorEastAsia" w:eastAsiaTheme="minorEastAsia"/>
          <w:color w:val="auto"/>
          <w:sz w:val="28"/>
          <w:highlight w:val="none"/>
        </w:rPr>
        <w:sectPr>
          <w:footerReference r:id="rId10" w:type="default"/>
          <w:pgSz w:w="11907" w:h="16840"/>
          <w:pgMar w:top="1440" w:right="1519" w:bottom="1440" w:left="1519" w:header="851" w:footer="992" w:gutter="0"/>
          <w:pgNumType w:start="1"/>
          <w:cols w:space="720" w:num="1"/>
          <w:docGrid w:linePitch="462" w:charSpace="0"/>
        </w:sectPr>
      </w:pPr>
      <w:r>
        <w:rPr>
          <w:rFonts w:hint="eastAsia"/>
          <w:color w:val="auto"/>
          <w:highlight w:val="none"/>
        </w:rPr>
        <w:br w:type="page"/>
      </w:r>
    </w:p>
    <w:p w14:paraId="2F481FE5">
      <w:pPr>
        <w:numPr>
          <w:ilvl w:val="0"/>
          <w:numId w:val="1"/>
        </w:numPr>
        <w:spacing w:line="360" w:lineRule="auto"/>
        <w:jc w:val="center"/>
        <w:outlineLvl w:val="1"/>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2" w:name="_Toc2282"/>
      <w:r>
        <w:rPr>
          <w:rFonts w:hint="eastAsia" w:asciiTheme="minorEastAsia" w:hAnsiTheme="minorEastAsia" w:eastAsiaTheme="minorEastAsia"/>
          <w:b/>
          <w:color w:val="auto"/>
          <w:sz w:val="28"/>
          <w:highlight w:val="none"/>
          <w:lang w:eastAsia="zh-CN"/>
        </w:rPr>
        <w:t>比选</w:t>
      </w:r>
      <w:r>
        <w:rPr>
          <w:rFonts w:hint="eastAsia" w:asciiTheme="minorEastAsia" w:hAnsiTheme="minorEastAsia" w:eastAsiaTheme="minorEastAsia"/>
          <w:b/>
          <w:color w:val="auto"/>
          <w:sz w:val="28"/>
          <w:highlight w:val="none"/>
        </w:rPr>
        <w:t>公告</w:t>
      </w:r>
      <w:bookmarkEnd w:id="2"/>
    </w:p>
    <w:p w14:paraId="6E6E614E">
      <w:pPr>
        <w:pStyle w:val="23"/>
        <w:widowControl w:val="0"/>
        <w:autoSpaceDE w:val="0"/>
        <w:autoSpaceDN w:val="0"/>
        <w:adjustRightInd w:val="0"/>
        <w:spacing w:before="93" w:beforeLines="30" w:after="93" w:afterLines="30" w:line="360" w:lineRule="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2"/>
          <w:highlight w:val="none"/>
          <w:lang w:eastAsia="zh-CN"/>
        </w:rPr>
        <w:t>肥西县公共资源交易有限责任公司</w:t>
      </w:r>
      <w:r>
        <w:rPr>
          <w:rFonts w:hint="eastAsia" w:asciiTheme="majorEastAsia" w:hAnsiTheme="majorEastAsia" w:eastAsiaTheme="majorEastAsia" w:cstheme="majorEastAsia"/>
          <w:color w:val="auto"/>
          <w:kern w:val="2"/>
          <w:highlight w:val="none"/>
        </w:rPr>
        <w:t>受</w:t>
      </w:r>
      <w:r>
        <w:rPr>
          <w:rFonts w:hint="eastAsia" w:asciiTheme="majorEastAsia" w:hAnsiTheme="majorEastAsia" w:eastAsiaTheme="majorEastAsia" w:cstheme="majorEastAsia"/>
          <w:color w:val="auto"/>
          <w:kern w:val="2"/>
          <w:highlight w:val="none"/>
          <w:u w:val="single"/>
          <w:lang w:eastAsia="zh-CN"/>
        </w:rPr>
        <w:t>肥西县桃花镇人民政府</w:t>
      </w:r>
      <w:r>
        <w:rPr>
          <w:rFonts w:hint="eastAsia" w:asciiTheme="majorEastAsia" w:hAnsiTheme="majorEastAsia" w:eastAsiaTheme="majorEastAsia" w:cstheme="majorEastAsia"/>
          <w:color w:val="auto"/>
          <w:kern w:val="2"/>
          <w:highlight w:val="none"/>
        </w:rPr>
        <w:t>委托，现对</w:t>
      </w:r>
      <w:r>
        <w:rPr>
          <w:rFonts w:hint="eastAsia" w:asciiTheme="majorEastAsia" w:hAnsiTheme="majorEastAsia" w:eastAsiaTheme="majorEastAsia" w:cstheme="majorEastAsia"/>
          <w:color w:val="auto"/>
          <w:kern w:val="2"/>
          <w:highlight w:val="none"/>
          <w:u w:val="single"/>
          <w:lang w:eastAsia="zh-CN"/>
        </w:rPr>
        <w:t>肥西县桃花镇人民政府</w:t>
      </w:r>
      <w:r>
        <w:rPr>
          <w:rFonts w:hint="eastAsia" w:asciiTheme="majorEastAsia" w:hAnsiTheme="majorEastAsia" w:eastAsiaTheme="majorEastAsia" w:cstheme="majorEastAsia"/>
          <w:color w:val="auto"/>
          <w:kern w:val="2"/>
          <w:highlight w:val="none"/>
          <w:u w:val="single"/>
          <w:lang w:val="en-US" w:eastAsia="zh-CN"/>
        </w:rPr>
        <w:t>管辖的</w:t>
      </w:r>
      <w:r>
        <w:rPr>
          <w:rFonts w:hint="eastAsia" w:asciiTheme="majorEastAsia" w:hAnsiTheme="majorEastAsia" w:eastAsiaTheme="majorEastAsia" w:cstheme="majorEastAsia"/>
          <w:color w:val="auto"/>
          <w:kern w:val="2"/>
          <w:highlight w:val="none"/>
          <w:u w:val="single"/>
          <w:lang w:eastAsia="zh-CN"/>
        </w:rPr>
        <w:t>桃花镇机关食堂服务外包</w:t>
      </w:r>
      <w:r>
        <w:rPr>
          <w:rFonts w:hint="eastAsia" w:asciiTheme="majorEastAsia" w:hAnsiTheme="majorEastAsia" w:eastAsiaTheme="majorEastAsia" w:cstheme="majorEastAsia"/>
          <w:color w:val="auto"/>
          <w:kern w:val="2"/>
          <w:highlight w:val="none"/>
        </w:rPr>
        <w:t>进行</w:t>
      </w:r>
      <w:r>
        <w:rPr>
          <w:rFonts w:hint="eastAsia" w:asciiTheme="majorEastAsia" w:hAnsiTheme="majorEastAsia" w:eastAsiaTheme="majorEastAsia" w:cstheme="majorEastAsia"/>
          <w:color w:val="auto"/>
          <w:kern w:val="2"/>
          <w:highlight w:val="none"/>
          <w:lang w:eastAsia="zh-CN"/>
        </w:rPr>
        <w:t>比选</w:t>
      </w:r>
      <w:r>
        <w:rPr>
          <w:rFonts w:hint="eastAsia" w:asciiTheme="majorEastAsia" w:hAnsiTheme="majorEastAsia" w:eastAsiaTheme="majorEastAsia" w:cstheme="majorEastAsia"/>
          <w:color w:val="auto"/>
          <w:kern w:val="2"/>
          <w:highlight w:val="none"/>
        </w:rPr>
        <w:t>，欢迎具备条件的供应商参加</w:t>
      </w:r>
      <w:r>
        <w:rPr>
          <w:rFonts w:hint="eastAsia" w:asciiTheme="majorEastAsia" w:hAnsiTheme="majorEastAsia" w:eastAsiaTheme="majorEastAsia" w:cstheme="majorEastAsia"/>
          <w:color w:val="auto"/>
          <w:kern w:val="2"/>
          <w:highlight w:val="none"/>
          <w:lang w:eastAsia="zh-CN"/>
        </w:rPr>
        <w:t>比选</w:t>
      </w:r>
      <w:r>
        <w:rPr>
          <w:rFonts w:hint="eastAsia" w:asciiTheme="majorEastAsia" w:hAnsiTheme="majorEastAsia" w:eastAsiaTheme="majorEastAsia" w:cstheme="majorEastAsia"/>
          <w:color w:val="auto"/>
          <w:kern w:val="2"/>
          <w:highlight w:val="none"/>
        </w:rPr>
        <w:t>。</w:t>
      </w:r>
    </w:p>
    <w:p w14:paraId="7610115B">
      <w:pPr>
        <w:spacing w:before="93" w:beforeLines="30" w:after="93" w:afterLines="30" w:line="360" w:lineRule="auto"/>
        <w:ind w:firstLine="482" w:firstLineChars="200"/>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1.项目名称及内容</w:t>
      </w:r>
    </w:p>
    <w:p w14:paraId="1BBDCA30">
      <w:pPr>
        <w:autoSpaceDE w:val="0"/>
        <w:autoSpaceDN w:val="0"/>
        <w:adjustRightInd w:val="0"/>
        <w:spacing w:before="93" w:beforeLines="30" w:after="93" w:afterLines="30" w:line="360" w:lineRule="auto"/>
        <w:ind w:firstLine="480" w:firstLineChars="200"/>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 xml:space="preserve">1.1 </w:t>
      </w:r>
      <w:r>
        <w:rPr>
          <w:rFonts w:hint="eastAsia" w:asciiTheme="majorEastAsia" w:hAnsiTheme="majorEastAsia" w:eastAsiaTheme="majorEastAsia" w:cstheme="majorEastAsia"/>
          <w:color w:val="auto"/>
          <w:sz w:val="24"/>
          <w:szCs w:val="24"/>
          <w:highlight w:val="none"/>
          <w:lang w:eastAsia="zh-CN"/>
        </w:rPr>
        <w:t>项目编号：2026PHBQ126</w:t>
      </w:r>
    </w:p>
    <w:p w14:paraId="338F72B7">
      <w:pPr>
        <w:autoSpaceDE w:val="0"/>
        <w:autoSpaceDN w:val="0"/>
        <w:adjustRightInd w:val="0"/>
        <w:spacing w:before="93" w:beforeLines="30" w:after="93" w:afterLines="30" w:line="360" w:lineRule="auto"/>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 项目名称：</w:t>
      </w:r>
      <w:r>
        <w:rPr>
          <w:rFonts w:hint="eastAsia" w:asciiTheme="majorEastAsia" w:hAnsiTheme="majorEastAsia" w:eastAsiaTheme="majorEastAsia" w:cstheme="majorEastAsia"/>
          <w:color w:val="auto"/>
          <w:sz w:val="24"/>
          <w:szCs w:val="24"/>
          <w:highlight w:val="none"/>
          <w:u w:val="none"/>
          <w:lang w:eastAsia="zh-CN"/>
        </w:rPr>
        <w:t>桃花镇机关食堂服务外包</w:t>
      </w:r>
      <w:r>
        <w:rPr>
          <w:rFonts w:hint="eastAsia" w:asciiTheme="majorEastAsia" w:hAnsiTheme="majorEastAsia" w:eastAsiaTheme="majorEastAsia" w:cstheme="majorEastAsia"/>
          <w:color w:val="auto"/>
          <w:sz w:val="24"/>
          <w:szCs w:val="24"/>
          <w:highlight w:val="none"/>
          <w:u w:val="none"/>
        </w:rPr>
        <w:t xml:space="preserve"> </w:t>
      </w:r>
    </w:p>
    <w:p w14:paraId="610F5FB8">
      <w:pPr>
        <w:autoSpaceDE w:val="0"/>
        <w:autoSpaceDN w:val="0"/>
        <w:adjustRightInd w:val="0"/>
        <w:spacing w:before="93" w:beforeLines="30" w:after="93" w:afterLines="30" w:line="360" w:lineRule="auto"/>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 项目地点：肥西县</w:t>
      </w:r>
    </w:p>
    <w:p w14:paraId="6BCB8801">
      <w:pPr>
        <w:autoSpaceDE w:val="0"/>
        <w:autoSpaceDN w:val="0"/>
        <w:adjustRightInd w:val="0"/>
        <w:spacing w:before="93" w:beforeLines="30" w:after="93" w:afterLines="30" w:line="360" w:lineRule="auto"/>
        <w:ind w:firstLine="480" w:firstLineChars="200"/>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1.4 项目单位：</w:t>
      </w:r>
      <w:r>
        <w:rPr>
          <w:rFonts w:hint="eastAsia" w:asciiTheme="majorEastAsia" w:hAnsiTheme="majorEastAsia" w:eastAsiaTheme="majorEastAsia" w:cstheme="majorEastAsia"/>
          <w:color w:val="auto"/>
          <w:sz w:val="24"/>
          <w:szCs w:val="24"/>
          <w:highlight w:val="none"/>
          <w:u w:val="none"/>
          <w:lang w:eastAsia="zh-CN"/>
        </w:rPr>
        <w:t>肥西县桃花镇人民政府</w:t>
      </w:r>
    </w:p>
    <w:p w14:paraId="62C3B2E4">
      <w:pPr>
        <w:autoSpaceDE w:val="0"/>
        <w:autoSpaceDN w:val="0"/>
        <w:adjustRightInd w:val="0"/>
        <w:spacing w:before="93" w:beforeLines="30" w:after="93" w:afterLines="30" w:line="360" w:lineRule="auto"/>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 项目概况：本项目为</w:t>
      </w:r>
      <w:r>
        <w:rPr>
          <w:rFonts w:hint="eastAsia" w:asciiTheme="majorEastAsia" w:hAnsiTheme="majorEastAsia" w:eastAsiaTheme="majorEastAsia" w:cstheme="majorEastAsia"/>
          <w:color w:val="auto"/>
          <w:sz w:val="24"/>
          <w:szCs w:val="24"/>
          <w:highlight w:val="none"/>
          <w:lang w:eastAsia="zh-CN"/>
        </w:rPr>
        <w:t>桃花镇机关食堂服务外包</w:t>
      </w:r>
      <w:r>
        <w:rPr>
          <w:rFonts w:hint="eastAsia" w:asciiTheme="majorEastAsia" w:hAnsiTheme="majorEastAsia" w:eastAsiaTheme="majorEastAsia" w:cstheme="majorEastAsia"/>
          <w:color w:val="auto"/>
          <w:sz w:val="24"/>
          <w:szCs w:val="24"/>
          <w:highlight w:val="none"/>
          <w:lang w:val="en-US" w:eastAsia="zh-CN"/>
        </w:rPr>
        <w:t>项目</w:t>
      </w:r>
      <w:r>
        <w:rPr>
          <w:rFonts w:hint="eastAsia" w:asciiTheme="majorEastAsia" w:hAnsiTheme="majorEastAsia" w:eastAsiaTheme="majorEastAsia" w:cstheme="majorEastAsia"/>
          <w:color w:val="auto"/>
          <w:sz w:val="24"/>
          <w:szCs w:val="24"/>
          <w:highlight w:val="none"/>
        </w:rPr>
        <w:t>。详见业主单位要求。</w:t>
      </w:r>
    </w:p>
    <w:p w14:paraId="6A346359">
      <w:pPr>
        <w:autoSpaceDE w:val="0"/>
        <w:autoSpaceDN w:val="0"/>
        <w:adjustRightInd w:val="0"/>
        <w:spacing w:before="93" w:beforeLines="30" w:after="93" w:afterLines="30" w:line="360" w:lineRule="auto"/>
        <w:ind w:firstLine="480" w:firstLineChars="200"/>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1.6 资金来源：</w:t>
      </w:r>
      <w:r>
        <w:rPr>
          <w:rFonts w:hint="eastAsia" w:asciiTheme="majorEastAsia" w:hAnsiTheme="majorEastAsia" w:eastAsiaTheme="majorEastAsia" w:cstheme="majorEastAsia"/>
          <w:color w:val="auto"/>
          <w:sz w:val="24"/>
          <w:szCs w:val="24"/>
          <w:highlight w:val="none"/>
          <w:lang w:val="en-US" w:eastAsia="zh-CN"/>
        </w:rPr>
        <w:t>财政资金</w:t>
      </w:r>
    </w:p>
    <w:p w14:paraId="0FBEDF18">
      <w:pPr>
        <w:autoSpaceDE w:val="0"/>
        <w:autoSpaceDN w:val="0"/>
        <w:adjustRightInd w:val="0"/>
        <w:spacing w:before="93" w:beforeLines="30" w:after="93" w:afterLines="30" w:line="360" w:lineRule="auto"/>
        <w:ind w:firstLine="480" w:firstLineChars="200"/>
        <w:jc w:val="left"/>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1.7 项目预算：</w:t>
      </w:r>
      <w:r>
        <w:rPr>
          <w:rFonts w:hint="eastAsia" w:asciiTheme="majorEastAsia" w:hAnsiTheme="majorEastAsia" w:eastAsiaTheme="majorEastAsia" w:cstheme="majorEastAsia"/>
          <w:color w:val="auto"/>
          <w:sz w:val="24"/>
          <w:szCs w:val="24"/>
          <w:highlight w:val="none"/>
          <w:lang w:val="en-US" w:eastAsia="zh-CN"/>
        </w:rPr>
        <w:t>26万/年</w:t>
      </w:r>
    </w:p>
    <w:p w14:paraId="2FEE35BF">
      <w:pPr>
        <w:autoSpaceDE w:val="0"/>
        <w:autoSpaceDN w:val="0"/>
        <w:adjustRightInd w:val="0"/>
        <w:spacing w:before="93" w:beforeLines="30" w:after="93" w:afterLines="30" w:line="360" w:lineRule="auto"/>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 项目类别：服务类</w:t>
      </w:r>
    </w:p>
    <w:p w14:paraId="33C5E9A8">
      <w:pPr>
        <w:autoSpaceDE w:val="0"/>
        <w:autoSpaceDN w:val="0"/>
        <w:adjustRightInd w:val="0"/>
        <w:spacing w:before="93" w:beforeLines="30" w:after="93" w:afterLines="30" w:line="360" w:lineRule="auto"/>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 包别划分：本次</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不分包。</w:t>
      </w:r>
    </w:p>
    <w:p w14:paraId="007982D3">
      <w:pPr>
        <w:spacing w:before="93" w:beforeLines="30" w:after="93" w:afterLines="30" w:line="360" w:lineRule="auto"/>
        <w:ind w:firstLine="482"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sz w:val="24"/>
          <w:szCs w:val="24"/>
          <w:highlight w:val="none"/>
        </w:rPr>
        <w:t xml:space="preserve">2.供应商资格要求 </w:t>
      </w:r>
    </w:p>
    <w:p w14:paraId="579C4606">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2.1 具有</w:t>
      </w:r>
      <w:r>
        <w:rPr>
          <w:rFonts w:hint="eastAsia" w:asciiTheme="majorEastAsia" w:hAnsiTheme="majorEastAsia" w:eastAsiaTheme="majorEastAsia" w:cstheme="majorEastAsia"/>
          <w:color w:val="auto"/>
          <w:sz w:val="24"/>
          <w:szCs w:val="24"/>
          <w:highlight w:val="none"/>
          <w:lang w:val="en-US" w:eastAsia="zh-CN"/>
        </w:rPr>
        <w:t>独立承担民事责任的能力</w:t>
      </w:r>
      <w:r>
        <w:rPr>
          <w:rFonts w:hint="eastAsia" w:asciiTheme="majorEastAsia" w:hAnsiTheme="majorEastAsia" w:eastAsiaTheme="majorEastAsia" w:cstheme="majorEastAsia"/>
          <w:color w:val="auto"/>
          <w:sz w:val="24"/>
          <w:szCs w:val="24"/>
          <w:highlight w:val="none"/>
        </w:rPr>
        <w:t>，营业执照合格有效（提供营业执照扫描件）</w:t>
      </w:r>
      <w:r>
        <w:rPr>
          <w:rFonts w:hint="eastAsia" w:asciiTheme="majorEastAsia" w:hAnsiTheme="majorEastAsia" w:eastAsiaTheme="majorEastAsia" w:cstheme="majorEastAsia"/>
          <w:color w:val="auto"/>
          <w:sz w:val="24"/>
          <w:szCs w:val="24"/>
          <w:highlight w:val="none"/>
          <w:lang w:eastAsia="zh-CN"/>
        </w:rPr>
        <w:t>。</w:t>
      </w:r>
    </w:p>
    <w:p w14:paraId="56F72B83">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2.2 供应商须具有有效的食品经营许可证或食品生产许可证</w:t>
      </w:r>
      <w:r>
        <w:rPr>
          <w:rFonts w:hint="eastAsia" w:asciiTheme="majorEastAsia" w:hAnsiTheme="majorEastAsia" w:eastAsiaTheme="majorEastAsia" w:cstheme="majorEastAsia"/>
          <w:color w:val="auto"/>
          <w:sz w:val="24"/>
          <w:szCs w:val="24"/>
          <w:highlight w:val="none"/>
          <w:lang w:eastAsia="zh-CN"/>
        </w:rPr>
        <w:t>。</w:t>
      </w:r>
    </w:p>
    <w:p w14:paraId="6D51D15A">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2.3项目负责人资格要求：无</w:t>
      </w:r>
      <w:r>
        <w:rPr>
          <w:rFonts w:hint="eastAsia" w:asciiTheme="majorEastAsia" w:hAnsiTheme="majorEastAsia" w:eastAsiaTheme="majorEastAsia" w:cstheme="majorEastAsia"/>
          <w:color w:val="auto"/>
          <w:sz w:val="24"/>
          <w:szCs w:val="24"/>
          <w:highlight w:val="none"/>
          <w:lang w:eastAsia="zh-CN"/>
        </w:rPr>
        <w:t>。</w:t>
      </w:r>
    </w:p>
    <w:p w14:paraId="643C4EE6">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 本项目不接受联合体参与</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w:t>
      </w:r>
    </w:p>
    <w:p w14:paraId="7D57D73A">
      <w:pPr>
        <w:spacing w:before="93" w:beforeLines="30" w:after="93" w:afterLines="30" w:line="360" w:lineRule="auto"/>
        <w:ind w:firstLine="482" w:firstLineChars="200"/>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3.</w:t>
      </w:r>
      <w:r>
        <w:rPr>
          <w:rFonts w:hint="eastAsia" w:asciiTheme="majorEastAsia" w:hAnsiTheme="majorEastAsia" w:eastAsiaTheme="majorEastAsia" w:cstheme="majorEastAsia"/>
          <w:b/>
          <w:bCs/>
          <w:color w:val="auto"/>
          <w:sz w:val="24"/>
          <w:szCs w:val="24"/>
          <w:highlight w:val="none"/>
          <w:lang w:eastAsia="zh-CN"/>
        </w:rPr>
        <w:t>比选</w:t>
      </w:r>
      <w:r>
        <w:rPr>
          <w:rFonts w:hint="eastAsia" w:asciiTheme="majorEastAsia" w:hAnsiTheme="majorEastAsia" w:eastAsiaTheme="majorEastAsia" w:cstheme="majorEastAsia"/>
          <w:b/>
          <w:bCs/>
          <w:color w:val="auto"/>
          <w:sz w:val="24"/>
          <w:szCs w:val="24"/>
          <w:highlight w:val="none"/>
        </w:rPr>
        <w:t>文件的获取</w:t>
      </w:r>
    </w:p>
    <w:p w14:paraId="280BCA10">
      <w:pPr>
        <w:adjustRightInd w:val="0"/>
        <w:snapToGrid w:val="0"/>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 获取时间：202</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lang w:val="en-US" w:eastAsia="zh-CN"/>
        </w:rPr>
        <w:t>03</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23</w:t>
      </w:r>
      <w:r>
        <w:rPr>
          <w:rFonts w:hint="eastAsia" w:asciiTheme="majorEastAsia" w:hAnsiTheme="majorEastAsia" w:eastAsiaTheme="majorEastAsia" w:cstheme="majorEastAsia"/>
          <w:color w:val="auto"/>
          <w:sz w:val="24"/>
          <w:szCs w:val="24"/>
          <w:highlight w:val="none"/>
        </w:rPr>
        <w:t>日至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时间。</w:t>
      </w:r>
    </w:p>
    <w:p w14:paraId="2F59C3A1">
      <w:pPr>
        <w:adjustRightInd w:val="0"/>
        <w:snapToGrid w:val="0"/>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 获取地点：优质采云采购平台（http://www.youzhicai.com/）</w:t>
      </w:r>
    </w:p>
    <w:p w14:paraId="5282CE97">
      <w:pPr>
        <w:adjustRightInd w:val="0"/>
        <w:snapToGrid w:val="0"/>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 获取方式：在线下载</w:t>
      </w:r>
    </w:p>
    <w:p w14:paraId="5144B8B2">
      <w:pPr>
        <w:spacing w:before="93" w:beforeLines="30" w:after="93" w:afterLines="30" w:line="360" w:lineRule="auto"/>
        <w:ind w:firstLine="482" w:firstLineChars="200"/>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4.响应文件提交截止时间</w:t>
      </w:r>
    </w:p>
    <w:p w14:paraId="16A41195">
      <w:pPr>
        <w:adjustRightInd w:val="0"/>
        <w:snapToGrid w:val="0"/>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同</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时间。</w:t>
      </w:r>
    </w:p>
    <w:p w14:paraId="68B03BBB">
      <w:pPr>
        <w:spacing w:before="93" w:beforeLines="30" w:after="93" w:afterLines="30" w:line="360" w:lineRule="auto"/>
        <w:ind w:firstLine="482" w:firstLineChars="200"/>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5.</w:t>
      </w:r>
      <w:r>
        <w:rPr>
          <w:rFonts w:hint="eastAsia" w:asciiTheme="majorEastAsia" w:hAnsiTheme="majorEastAsia" w:eastAsiaTheme="majorEastAsia" w:cstheme="majorEastAsia"/>
          <w:b/>
          <w:bCs/>
          <w:color w:val="auto"/>
          <w:sz w:val="24"/>
          <w:szCs w:val="24"/>
          <w:highlight w:val="none"/>
          <w:lang w:eastAsia="zh-CN"/>
        </w:rPr>
        <w:t>比选</w:t>
      </w:r>
      <w:r>
        <w:rPr>
          <w:rFonts w:hint="eastAsia" w:asciiTheme="majorEastAsia" w:hAnsiTheme="majorEastAsia" w:eastAsiaTheme="majorEastAsia" w:cstheme="majorEastAsia"/>
          <w:b/>
          <w:bCs/>
          <w:color w:val="auto"/>
          <w:sz w:val="24"/>
          <w:szCs w:val="24"/>
          <w:highlight w:val="none"/>
        </w:rPr>
        <w:t>时间及地点</w:t>
      </w:r>
    </w:p>
    <w:p w14:paraId="70F7138B">
      <w:pPr>
        <w:adjustRightInd w:val="0"/>
        <w:snapToGrid w:val="0"/>
        <w:spacing w:before="93" w:beforeLines="30" w:after="93" w:afterLines="30" w:line="360" w:lineRule="auto"/>
        <w:ind w:firstLine="480" w:firstLineChars="200"/>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 xml:space="preserve">5.1 </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时间：202</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lang w:val="en-US" w:eastAsia="zh-CN"/>
        </w:rPr>
        <w:t>03</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31</w:t>
      </w:r>
      <w:r>
        <w:rPr>
          <w:rFonts w:hint="eastAsia" w:asciiTheme="majorEastAsia" w:hAnsiTheme="majorEastAsia" w:eastAsiaTheme="majorEastAsia" w:cstheme="majorEastAsia"/>
          <w:color w:val="auto"/>
          <w:sz w:val="24"/>
          <w:szCs w:val="24"/>
          <w:highlight w:val="none"/>
        </w:rPr>
        <w:t>日</w:t>
      </w: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00</w:t>
      </w:r>
    </w:p>
    <w:p w14:paraId="78447EA0">
      <w:pPr>
        <w:adjustRightInd w:val="0"/>
        <w:snapToGrid w:val="0"/>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5.2 </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地点：优质采云采购平台（http://www.youzhicai.com/）</w:t>
      </w:r>
    </w:p>
    <w:p w14:paraId="1E99315B">
      <w:pPr>
        <w:spacing w:before="93" w:beforeLines="30" w:after="93" w:afterLines="30" w:line="360" w:lineRule="auto"/>
        <w:ind w:firstLine="482" w:firstLineChars="200"/>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6.发布公告的媒介</w:t>
      </w:r>
    </w:p>
    <w:p w14:paraId="76130E2C">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公告同时在肥西县公共资源交易有限责任公司、优质采云采购平台、安徽省招标投标信息网、中国采购与招标网上发布。</w:t>
      </w:r>
    </w:p>
    <w:p w14:paraId="35BF513E">
      <w:pPr>
        <w:spacing w:before="93" w:beforeLines="30" w:after="93" w:afterLines="30" w:line="360" w:lineRule="auto"/>
        <w:ind w:firstLine="482" w:firstLineChars="200"/>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7.联系方式</w:t>
      </w:r>
    </w:p>
    <w:p w14:paraId="5E65FB4E">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7.1 业主单位</w:t>
      </w:r>
    </w:p>
    <w:p w14:paraId="53242CAC">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rPr>
        <w:t>业主单位名称：</w:t>
      </w:r>
      <w:r>
        <w:rPr>
          <w:rFonts w:hint="eastAsia" w:asciiTheme="majorEastAsia" w:hAnsiTheme="majorEastAsia" w:eastAsiaTheme="majorEastAsia" w:cstheme="majorEastAsia"/>
          <w:color w:val="auto"/>
          <w:sz w:val="24"/>
          <w:szCs w:val="24"/>
          <w:highlight w:val="none"/>
          <w:u w:val="none"/>
          <w:lang w:eastAsia="zh-CN"/>
        </w:rPr>
        <w:t>肥西县桃花镇人民政府</w:t>
      </w:r>
    </w:p>
    <w:p w14:paraId="495D4900">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eastAsia="zh-CN"/>
        </w:rPr>
        <w:t>地址：肥西县玉兰大道40号</w:t>
      </w:r>
    </w:p>
    <w:p w14:paraId="3EFF174D">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eastAsia="zh-CN"/>
        </w:rPr>
        <w:t>联系人：张工</w:t>
      </w:r>
    </w:p>
    <w:p w14:paraId="33BBA935">
      <w:pPr>
        <w:spacing w:before="93" w:beforeLines="30" w:after="93" w:afterLines="30" w:line="360" w:lineRule="auto"/>
        <w:ind w:firstLine="480" w:firstLineChars="200"/>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eastAsia="zh-CN"/>
        </w:rPr>
        <w:t>电话：18005604939</w:t>
      </w:r>
    </w:p>
    <w:p w14:paraId="492BF0E7">
      <w:pPr>
        <w:spacing w:before="93" w:beforeLines="30" w:after="93" w:afterLines="30" w:line="360" w:lineRule="auto"/>
        <w:ind w:firstLine="480" w:firstLineChars="200"/>
        <w:rPr>
          <w:rFonts w:asciiTheme="majorEastAsia" w:hAnsiTheme="majorEastAsia" w:eastAsiaTheme="majorEastAsia" w:cstheme="majorEastAsia"/>
          <w:b/>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7.2 代理机构</w:t>
      </w:r>
    </w:p>
    <w:p w14:paraId="6C5638F8">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rPr>
        <w:t>代理机构名称：</w:t>
      </w:r>
      <w:r>
        <w:rPr>
          <w:rFonts w:hint="eastAsia" w:asciiTheme="majorEastAsia" w:hAnsiTheme="majorEastAsia" w:eastAsiaTheme="majorEastAsia" w:cstheme="majorEastAsia"/>
          <w:color w:val="auto"/>
          <w:sz w:val="24"/>
          <w:szCs w:val="24"/>
          <w:highlight w:val="none"/>
          <w:u w:val="none"/>
          <w:lang w:eastAsia="zh-CN"/>
        </w:rPr>
        <w:t>肥西县公共资源交易有限责任公司</w:t>
      </w:r>
    </w:p>
    <w:p w14:paraId="0DA6062D">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地址：肥西县上派镇紫石路与佛光路交叉口肥光办公区3号楼2楼</w:t>
      </w:r>
    </w:p>
    <w:p w14:paraId="4DD090AB">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联系人：</w:t>
      </w:r>
      <w:r>
        <w:rPr>
          <w:rFonts w:hint="eastAsia" w:asciiTheme="majorEastAsia" w:hAnsiTheme="majorEastAsia" w:eastAsiaTheme="majorEastAsia" w:cstheme="majorEastAsia"/>
          <w:color w:val="auto"/>
          <w:sz w:val="24"/>
          <w:szCs w:val="24"/>
          <w:highlight w:val="none"/>
          <w:u w:val="none"/>
          <w:lang w:val="en-US" w:eastAsia="zh-CN"/>
        </w:rPr>
        <w:t>徐</w:t>
      </w:r>
      <w:r>
        <w:rPr>
          <w:rFonts w:hint="eastAsia" w:asciiTheme="majorEastAsia" w:hAnsiTheme="majorEastAsia" w:eastAsiaTheme="majorEastAsia" w:cstheme="majorEastAsia"/>
          <w:color w:val="auto"/>
          <w:sz w:val="24"/>
          <w:szCs w:val="24"/>
          <w:highlight w:val="none"/>
          <w:u w:val="none"/>
        </w:rPr>
        <w:t>工</w:t>
      </w:r>
    </w:p>
    <w:p w14:paraId="568542F7">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电话：0551-68825</w:t>
      </w:r>
      <w:r>
        <w:rPr>
          <w:rFonts w:hint="eastAsia" w:asciiTheme="majorEastAsia" w:hAnsiTheme="majorEastAsia" w:eastAsiaTheme="majorEastAsia" w:cstheme="majorEastAsia"/>
          <w:color w:val="auto"/>
          <w:sz w:val="24"/>
          <w:szCs w:val="24"/>
          <w:highlight w:val="none"/>
          <w:u w:val="none"/>
          <w:lang w:val="en-US" w:eastAsia="zh-CN"/>
        </w:rPr>
        <w:t>00</w:t>
      </w:r>
      <w:r>
        <w:rPr>
          <w:rFonts w:hint="eastAsia" w:asciiTheme="majorEastAsia" w:hAnsiTheme="majorEastAsia" w:eastAsiaTheme="majorEastAsia" w:cstheme="majorEastAsia"/>
          <w:color w:val="auto"/>
          <w:sz w:val="24"/>
          <w:szCs w:val="24"/>
          <w:highlight w:val="none"/>
          <w:u w:val="none"/>
        </w:rPr>
        <w:t>7</w:t>
      </w:r>
    </w:p>
    <w:p w14:paraId="6945E43D">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7.3 监督机构</w:t>
      </w:r>
    </w:p>
    <w:p w14:paraId="08F4B70E">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rPr>
        <w:t>业主单位名称：</w:t>
      </w:r>
      <w:r>
        <w:rPr>
          <w:rFonts w:hint="eastAsia" w:asciiTheme="majorEastAsia" w:hAnsiTheme="majorEastAsia" w:eastAsiaTheme="majorEastAsia" w:cstheme="majorEastAsia"/>
          <w:color w:val="auto"/>
          <w:sz w:val="24"/>
          <w:szCs w:val="24"/>
          <w:highlight w:val="none"/>
          <w:u w:val="none"/>
          <w:lang w:eastAsia="zh-CN"/>
        </w:rPr>
        <w:t>肥西县桃花镇人民政府纪委</w:t>
      </w:r>
    </w:p>
    <w:p w14:paraId="4104B442">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rPr>
        <w:t>地址：</w:t>
      </w:r>
      <w:r>
        <w:rPr>
          <w:rFonts w:hint="eastAsia" w:asciiTheme="majorEastAsia" w:hAnsiTheme="majorEastAsia" w:eastAsiaTheme="majorEastAsia" w:cstheme="majorEastAsia"/>
          <w:color w:val="auto"/>
          <w:sz w:val="24"/>
          <w:szCs w:val="24"/>
          <w:highlight w:val="none"/>
          <w:u w:val="none"/>
          <w:lang w:eastAsia="zh-CN"/>
        </w:rPr>
        <w:t>肥西县玉兰大道40号</w:t>
      </w:r>
    </w:p>
    <w:p w14:paraId="6B691272">
      <w:pPr>
        <w:spacing w:before="93" w:beforeLines="30" w:after="93" w:afterLines="30" w:line="360" w:lineRule="auto"/>
        <w:ind w:firstLine="480" w:firstLineChars="200"/>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rPr>
        <w:t>电话：</w:t>
      </w:r>
      <w:r>
        <w:rPr>
          <w:rFonts w:hint="eastAsia" w:asciiTheme="majorEastAsia" w:hAnsiTheme="majorEastAsia" w:eastAsiaTheme="majorEastAsia" w:cstheme="majorEastAsia"/>
          <w:color w:val="auto"/>
          <w:sz w:val="24"/>
          <w:szCs w:val="24"/>
          <w:highlight w:val="none"/>
          <w:u w:val="none"/>
          <w:lang w:val="en-US" w:eastAsia="zh-CN"/>
        </w:rPr>
        <w:t>0551-63846918</w:t>
      </w:r>
    </w:p>
    <w:p w14:paraId="1BE1CA82">
      <w:pPr>
        <w:spacing w:before="93" w:beforeLines="30" w:after="93" w:afterLines="30" w:line="360" w:lineRule="auto"/>
        <w:ind w:firstLine="482"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rPr>
        <w:t>8.其他事项说明</w:t>
      </w:r>
    </w:p>
    <w:p w14:paraId="0AC35154">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8.1 电子化交易要求：</w:t>
      </w:r>
    </w:p>
    <w:p w14:paraId="4136AF9D">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（1）潜在供应商须登录“优质采云采购平台”（网址：http://www.youzhicai.com/，以下称“优质采平台”）参与本项目</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活动。首次登录须办理注册手续，请务必选择注册为“投标人角色”类型。注册流程见优质采平台“用户注册”栏目，咨询电话：400-0099-555。因未及时办理注册手续影响参加</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活动的，责任自负。</w:t>
      </w:r>
    </w:p>
    <w:p w14:paraId="3F1CE747">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（2）已注册的潜在供应商可登录优质采平台获取</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文件，本项目的</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文件及其他资料（含澄清、答疑及相关补充文件）通过优质采平台发布，业主单位/代理机构不再另行书面通知，潜在供应商应及时关注、查阅优质采平台。因未及时查看导致不利后果的，责任自负。</w:t>
      </w:r>
    </w:p>
    <w:p w14:paraId="47E29C9B">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（3）已注册的潜在供应商若注册信息发生变更（如：与初始注册信息不一致），应及时网上提交变更申请。因未及时变更导致不利后果的，责任自负。</w:t>
      </w:r>
    </w:p>
    <w:p w14:paraId="5729BBD0">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3C614CC1">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（5）响应文件必须使用“优质采投标文件制作工具”制作生成并上传。下载地址：http://toolcdn.youzhicai.com/tools/BidderTools.zip，使用说明书及视频教程下载地址：http://file.youzhicai.com/files/BidderHelp.rar。</w:t>
      </w:r>
    </w:p>
    <w:p w14:paraId="52A120DF">
      <w:pPr>
        <w:spacing w:before="93" w:beforeLines="30" w:after="93" w:afterLines="30"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8.2 供应商应合理安排</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文件获取，责任自负。</w:t>
      </w:r>
      <w:r>
        <w:rPr>
          <w:rFonts w:hint="eastAsia" w:asciiTheme="majorEastAsia" w:hAnsiTheme="majorEastAsia" w:eastAsiaTheme="majorEastAsia" w:cstheme="majorEastAsia"/>
          <w:color w:val="auto"/>
          <w:sz w:val="24"/>
          <w:szCs w:val="24"/>
          <w:highlight w:val="none"/>
        </w:rPr>
        <w:br w:type="page"/>
      </w:r>
    </w:p>
    <w:p w14:paraId="2B4B68EF">
      <w:pPr>
        <w:spacing w:line="360" w:lineRule="auto"/>
        <w:jc w:val="center"/>
        <w:outlineLvl w:val="1"/>
        <w:rPr>
          <w:rFonts w:asciiTheme="minorEastAsia" w:hAnsiTheme="minorEastAsia" w:eastAsiaTheme="minorEastAsia"/>
          <w:b/>
          <w:color w:val="auto"/>
          <w:sz w:val="28"/>
          <w:highlight w:val="none"/>
        </w:rPr>
      </w:pPr>
      <w:bookmarkStart w:id="3" w:name="_Toc60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
    </w:p>
    <w:p w14:paraId="54DFE50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w:t>
      </w:r>
      <w:r>
        <w:rPr>
          <w:rFonts w:asciiTheme="minorEastAsia" w:hAnsiTheme="minorEastAsia" w:eastAsiaTheme="minorEastAsia"/>
          <w:b/>
          <w:color w:val="auto"/>
          <w:sz w:val="24"/>
          <w:highlight w:val="none"/>
        </w:rPr>
        <w:t>须</w:t>
      </w:r>
      <w:r>
        <w:rPr>
          <w:rFonts w:hint="eastAsia" w:asciiTheme="minorEastAsia" w:hAnsiTheme="minorEastAsia" w:eastAsiaTheme="minorEastAsia"/>
          <w:b/>
          <w:color w:val="auto"/>
          <w:sz w:val="24"/>
          <w:highlight w:val="none"/>
        </w:rPr>
        <w:t>知前附表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395"/>
        <w:gridCol w:w="6175"/>
      </w:tblGrid>
      <w:tr w14:paraId="2E91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7CEE39F">
            <w:pPr>
              <w:pStyle w:val="24"/>
              <w:widowControl w:val="0"/>
              <w:spacing w:before="0" w:beforeAutospacing="0" w:after="0" w:afterAutospacing="0" w:line="360" w:lineRule="auto"/>
              <w:rPr>
                <w:rFonts w:cs="宋体"/>
                <w:bCs w:val="0"/>
                <w:color w:val="auto"/>
                <w:kern w:val="2"/>
                <w:sz w:val="24"/>
                <w:szCs w:val="24"/>
                <w:highlight w:val="none"/>
              </w:rPr>
            </w:pPr>
            <w:r>
              <w:rPr>
                <w:rFonts w:hint="eastAsia" w:cs="宋体"/>
                <w:bCs w:val="0"/>
                <w:color w:val="auto"/>
                <w:kern w:val="2"/>
                <w:sz w:val="24"/>
                <w:szCs w:val="24"/>
                <w:highlight w:val="none"/>
              </w:rPr>
              <w:t>条款号</w:t>
            </w:r>
          </w:p>
        </w:tc>
        <w:tc>
          <w:tcPr>
            <w:tcW w:w="818" w:type="pct"/>
            <w:vAlign w:val="center"/>
          </w:tcPr>
          <w:p w14:paraId="2AC2E0BF">
            <w:pPr>
              <w:pStyle w:val="24"/>
              <w:widowControl w:val="0"/>
              <w:spacing w:before="0" w:beforeAutospacing="0" w:after="0" w:afterAutospacing="0" w:line="360" w:lineRule="auto"/>
              <w:rPr>
                <w:rFonts w:cs="宋体"/>
                <w:bCs w:val="0"/>
                <w:color w:val="auto"/>
                <w:kern w:val="2"/>
                <w:sz w:val="24"/>
                <w:szCs w:val="24"/>
                <w:highlight w:val="none"/>
              </w:rPr>
            </w:pPr>
            <w:r>
              <w:rPr>
                <w:rFonts w:hint="eastAsia" w:cs="宋体"/>
                <w:bCs w:val="0"/>
                <w:color w:val="auto"/>
                <w:kern w:val="2"/>
                <w:sz w:val="24"/>
                <w:szCs w:val="24"/>
                <w:highlight w:val="none"/>
              </w:rPr>
              <w:t>条款名称</w:t>
            </w:r>
          </w:p>
        </w:tc>
        <w:tc>
          <w:tcPr>
            <w:tcW w:w="3622" w:type="pct"/>
            <w:vAlign w:val="center"/>
          </w:tcPr>
          <w:p w14:paraId="09AC8B14">
            <w:pPr>
              <w:pStyle w:val="24"/>
              <w:widowControl w:val="0"/>
              <w:spacing w:before="0" w:beforeAutospacing="0" w:after="0" w:afterAutospacing="0" w:line="360" w:lineRule="auto"/>
              <w:rPr>
                <w:rFonts w:cs="宋体"/>
                <w:bCs w:val="0"/>
                <w:color w:val="auto"/>
                <w:kern w:val="2"/>
                <w:sz w:val="24"/>
                <w:szCs w:val="24"/>
                <w:highlight w:val="none"/>
              </w:rPr>
            </w:pPr>
            <w:r>
              <w:rPr>
                <w:rFonts w:hint="eastAsia" w:cs="宋体"/>
                <w:bCs w:val="0"/>
                <w:color w:val="auto"/>
                <w:kern w:val="2"/>
                <w:sz w:val="24"/>
                <w:szCs w:val="24"/>
                <w:highlight w:val="none"/>
              </w:rPr>
              <w:t>内容、说明与要求</w:t>
            </w:r>
          </w:p>
        </w:tc>
      </w:tr>
      <w:tr w14:paraId="20E5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59" w:type="pct"/>
            <w:vAlign w:val="center"/>
          </w:tcPr>
          <w:p w14:paraId="1CC374FD">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w:t>
            </w:r>
          </w:p>
        </w:tc>
        <w:tc>
          <w:tcPr>
            <w:tcW w:w="818" w:type="pct"/>
            <w:vAlign w:val="center"/>
          </w:tcPr>
          <w:p w14:paraId="624EA354">
            <w:pPr>
              <w:pStyle w:val="24"/>
              <w:widowControl w:val="0"/>
              <w:spacing w:before="0" w:beforeAutospacing="0" w:after="0" w:afterAutospacing="0" w:line="360" w:lineRule="auto"/>
              <w:rPr>
                <w:rFonts w:cs="宋体"/>
                <w:b w:val="0"/>
                <w:color w:val="auto"/>
                <w:sz w:val="24"/>
                <w:szCs w:val="24"/>
                <w:highlight w:val="none"/>
              </w:rPr>
            </w:pPr>
            <w:r>
              <w:rPr>
                <w:rFonts w:hint="eastAsia" w:cs="宋体"/>
                <w:b w:val="0"/>
                <w:color w:val="auto"/>
                <w:sz w:val="24"/>
                <w:szCs w:val="24"/>
                <w:highlight w:val="none"/>
              </w:rPr>
              <w:t>服务地点</w:t>
            </w:r>
          </w:p>
        </w:tc>
        <w:tc>
          <w:tcPr>
            <w:tcW w:w="3622" w:type="pct"/>
            <w:vAlign w:val="center"/>
          </w:tcPr>
          <w:p w14:paraId="2B3F2823">
            <w:pPr>
              <w:pStyle w:val="24"/>
              <w:widowControl w:val="0"/>
              <w:spacing w:before="0" w:beforeAutospacing="0" w:after="0" w:afterAutospacing="0" w:line="360" w:lineRule="auto"/>
              <w:jc w:val="both"/>
              <w:rPr>
                <w:rFonts w:cs="宋体"/>
                <w:b w:val="0"/>
                <w:strike/>
                <w:color w:val="auto"/>
                <w:sz w:val="24"/>
                <w:szCs w:val="24"/>
                <w:highlight w:val="none"/>
              </w:rPr>
            </w:pPr>
            <w:r>
              <w:rPr>
                <w:rFonts w:hint="eastAsia" w:cs="宋体"/>
                <w:b w:val="0"/>
                <w:color w:val="auto"/>
                <w:sz w:val="24"/>
                <w:szCs w:val="24"/>
                <w:highlight w:val="none"/>
              </w:rPr>
              <w:t>肥西县</w:t>
            </w:r>
          </w:p>
        </w:tc>
      </w:tr>
      <w:tr w14:paraId="4152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B85FBCE">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2</w:t>
            </w:r>
          </w:p>
        </w:tc>
        <w:tc>
          <w:tcPr>
            <w:tcW w:w="818" w:type="pct"/>
            <w:vAlign w:val="center"/>
          </w:tcPr>
          <w:p w14:paraId="287BA6D6">
            <w:pPr>
              <w:pStyle w:val="24"/>
              <w:widowControl w:val="0"/>
              <w:spacing w:before="0" w:beforeAutospacing="0" w:after="0" w:afterAutospacing="0" w:line="360" w:lineRule="auto"/>
              <w:rPr>
                <w:rFonts w:cs="宋体"/>
                <w:b w:val="0"/>
                <w:color w:val="auto"/>
                <w:sz w:val="24"/>
                <w:szCs w:val="24"/>
                <w:highlight w:val="none"/>
              </w:rPr>
            </w:pPr>
            <w:r>
              <w:rPr>
                <w:rFonts w:hint="eastAsia" w:cs="宋体"/>
                <w:b w:val="0"/>
                <w:color w:val="auto"/>
                <w:sz w:val="24"/>
                <w:szCs w:val="24"/>
                <w:highlight w:val="none"/>
              </w:rPr>
              <w:t>服务期限</w:t>
            </w:r>
          </w:p>
        </w:tc>
        <w:tc>
          <w:tcPr>
            <w:tcW w:w="3622" w:type="pct"/>
            <w:vAlign w:val="center"/>
          </w:tcPr>
          <w:p w14:paraId="466F4513">
            <w:pPr>
              <w:pStyle w:val="26"/>
              <w:tabs>
                <w:tab w:val="left" w:pos="1152"/>
              </w:tabs>
              <w:spacing w:before="0" w:beforeAutospacing="0" w:after="0" w:afterAutospacing="0" w:line="360" w:lineRule="auto"/>
              <w:rPr>
                <w:rFonts w:cs="宋体"/>
                <w:b/>
                <w:strike/>
                <w:color w:val="auto"/>
                <w:highlight w:val="none"/>
              </w:rPr>
            </w:pPr>
            <w:r>
              <w:rPr>
                <w:rFonts w:hint="eastAsia" w:cs="宋体"/>
                <w:b/>
                <w:color w:val="auto"/>
                <w:highlight w:val="none"/>
                <w:lang w:val="en-US" w:eastAsia="zh-CN"/>
              </w:rPr>
              <w:t>服务期一年。合同到期前，经考核合格后，在年度预算能够保障的前提下，可续签累计不超过3年的采购合同，最多续签2次，合同一年一签。</w:t>
            </w:r>
            <w:r>
              <w:rPr>
                <w:rFonts w:hint="eastAsia" w:cs="宋体"/>
                <w:b/>
                <w:color w:val="auto"/>
                <w:highlight w:val="none"/>
              </w:rPr>
              <w:t xml:space="preserve">                                                                                                                                                                                                                                                                                                                                                                                                                                                                                                                                                                                                                                                                                                                                                                                                                                                                                                                                                                                                                                                                                                                                                                                                                                                                                                                                                                                                                                                                                                                                                                                                                                                                                                                                                                                                                                                                                                                                                                                                                                                                                                                                                                                                                                                                                                                                                                                                                                                                                                                                                     </w:t>
            </w:r>
          </w:p>
        </w:tc>
      </w:tr>
      <w:tr w14:paraId="62A3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B77CD4B">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3</w:t>
            </w:r>
          </w:p>
        </w:tc>
        <w:tc>
          <w:tcPr>
            <w:tcW w:w="818" w:type="pct"/>
            <w:vAlign w:val="center"/>
          </w:tcPr>
          <w:p w14:paraId="391491CC">
            <w:pPr>
              <w:pStyle w:val="24"/>
              <w:widowControl w:val="0"/>
              <w:spacing w:before="0" w:beforeAutospacing="0" w:after="0" w:afterAutospacing="0" w:line="360" w:lineRule="auto"/>
              <w:rPr>
                <w:rFonts w:cs="宋体"/>
                <w:b w:val="0"/>
                <w:color w:val="auto"/>
                <w:sz w:val="24"/>
                <w:szCs w:val="24"/>
                <w:highlight w:val="none"/>
              </w:rPr>
            </w:pPr>
            <w:r>
              <w:rPr>
                <w:rFonts w:hint="eastAsia" w:cs="宋体"/>
                <w:b w:val="0"/>
                <w:color w:val="auto"/>
                <w:sz w:val="24"/>
                <w:szCs w:val="24"/>
                <w:highlight w:val="none"/>
              </w:rPr>
              <w:t>现场踏勘</w:t>
            </w:r>
          </w:p>
        </w:tc>
        <w:tc>
          <w:tcPr>
            <w:tcW w:w="3622" w:type="pct"/>
            <w:vAlign w:val="center"/>
          </w:tcPr>
          <w:p w14:paraId="2F4D7846">
            <w:pPr>
              <w:spacing w:line="360" w:lineRule="auto"/>
              <w:rPr>
                <w:rFonts w:cs="宋体"/>
                <w:bCs/>
                <w:color w:val="auto"/>
                <w:kern w:val="2"/>
                <w:sz w:val="24"/>
                <w:szCs w:val="24"/>
                <w:highlight w:val="none"/>
              </w:rPr>
            </w:pPr>
            <w:r>
              <w:rPr>
                <w:rFonts w:hint="eastAsia" w:cs="宋体"/>
                <w:color w:val="auto"/>
                <w:kern w:val="2"/>
                <w:sz w:val="24"/>
                <w:szCs w:val="24"/>
                <w:highlight w:val="none"/>
              </w:rPr>
              <w:t>☑</w:t>
            </w:r>
            <w:r>
              <w:rPr>
                <w:rFonts w:hint="eastAsia" w:cs="宋体"/>
                <w:bCs/>
                <w:color w:val="auto"/>
                <w:kern w:val="2"/>
                <w:sz w:val="24"/>
                <w:szCs w:val="24"/>
                <w:highlight w:val="none"/>
              </w:rPr>
              <w:t>自行踏勘</w:t>
            </w:r>
          </w:p>
          <w:p w14:paraId="4B6A1C01">
            <w:pPr>
              <w:spacing w:line="360" w:lineRule="auto"/>
              <w:rPr>
                <w:rFonts w:cs="宋体"/>
                <w:bCs/>
                <w:color w:val="auto"/>
                <w:kern w:val="2"/>
                <w:sz w:val="24"/>
                <w:szCs w:val="24"/>
                <w:highlight w:val="none"/>
              </w:rPr>
            </w:pPr>
            <w:r>
              <w:rPr>
                <w:rFonts w:hint="eastAsia" w:cs="宋体"/>
                <w:color w:val="auto"/>
                <w:kern w:val="2"/>
                <w:sz w:val="24"/>
                <w:szCs w:val="24"/>
                <w:highlight w:val="none"/>
              </w:rPr>
              <w:t>□</w:t>
            </w:r>
            <w:r>
              <w:rPr>
                <w:rFonts w:hint="eastAsia" w:cs="宋体"/>
                <w:bCs/>
                <w:color w:val="auto"/>
                <w:kern w:val="2"/>
                <w:sz w:val="24"/>
                <w:szCs w:val="24"/>
                <w:highlight w:val="none"/>
              </w:rPr>
              <w:t>集中组织</w:t>
            </w:r>
          </w:p>
          <w:p w14:paraId="06339196">
            <w:pPr>
              <w:spacing w:line="360" w:lineRule="auto"/>
              <w:rPr>
                <w:rFonts w:cs="宋体"/>
                <w:bCs/>
                <w:color w:val="auto"/>
                <w:kern w:val="2"/>
                <w:sz w:val="24"/>
                <w:szCs w:val="24"/>
                <w:highlight w:val="none"/>
                <w:u w:val="single"/>
              </w:rPr>
            </w:pPr>
            <w:r>
              <w:rPr>
                <w:rFonts w:hint="eastAsia" w:cs="宋体"/>
                <w:bCs/>
                <w:color w:val="auto"/>
                <w:kern w:val="2"/>
                <w:sz w:val="24"/>
                <w:szCs w:val="24"/>
                <w:highlight w:val="none"/>
              </w:rPr>
              <w:t>时间：</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年</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月</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日</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时</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分</w:t>
            </w:r>
          </w:p>
          <w:p w14:paraId="5A659BB2">
            <w:pPr>
              <w:spacing w:line="360" w:lineRule="auto"/>
              <w:rPr>
                <w:rFonts w:cs="宋体"/>
                <w:bCs/>
                <w:color w:val="auto"/>
                <w:kern w:val="2"/>
                <w:sz w:val="24"/>
                <w:szCs w:val="24"/>
                <w:highlight w:val="none"/>
                <w:u w:val="single"/>
              </w:rPr>
            </w:pPr>
            <w:r>
              <w:rPr>
                <w:rFonts w:hint="eastAsia" w:cs="宋体"/>
                <w:bCs/>
                <w:color w:val="auto"/>
                <w:kern w:val="2"/>
                <w:sz w:val="24"/>
                <w:szCs w:val="24"/>
                <w:highlight w:val="none"/>
              </w:rPr>
              <w:t>现场踏勘联系人及联系电话：</w:t>
            </w:r>
            <w:r>
              <w:rPr>
                <w:rFonts w:hint="eastAsia" w:cs="宋体"/>
                <w:b/>
                <w:bCs w:val="0"/>
                <w:color w:val="auto"/>
                <w:kern w:val="2"/>
                <w:sz w:val="24"/>
                <w:szCs w:val="24"/>
                <w:highlight w:val="none"/>
                <w:u w:val="single"/>
                <w:lang w:val="en-US" w:eastAsia="zh-CN"/>
              </w:rPr>
              <w:t xml:space="preserve">  </w:t>
            </w:r>
            <w:r>
              <w:rPr>
                <w:rFonts w:hint="eastAsia" w:cs="宋体"/>
                <w:bCs/>
                <w:color w:val="auto"/>
                <w:kern w:val="2"/>
                <w:sz w:val="24"/>
                <w:szCs w:val="24"/>
                <w:highlight w:val="none"/>
                <w:u w:val="single"/>
              </w:rPr>
              <w:t xml:space="preserve">        </w:t>
            </w:r>
          </w:p>
          <w:p w14:paraId="415D9396">
            <w:pPr>
              <w:pStyle w:val="24"/>
              <w:widowControl w:val="0"/>
              <w:spacing w:before="0" w:beforeAutospacing="0" w:after="0" w:afterAutospacing="0" w:line="360" w:lineRule="auto"/>
              <w:jc w:val="both"/>
              <w:rPr>
                <w:rFonts w:cs="宋体"/>
                <w:color w:val="auto"/>
                <w:sz w:val="24"/>
                <w:szCs w:val="24"/>
                <w:highlight w:val="none"/>
              </w:rPr>
            </w:pPr>
            <w:r>
              <w:rPr>
                <w:rFonts w:hint="eastAsia" w:cs="宋体"/>
                <w:bCs w:val="0"/>
                <w:color w:val="auto"/>
                <w:kern w:val="2"/>
                <w:sz w:val="24"/>
                <w:szCs w:val="24"/>
                <w:highlight w:val="none"/>
              </w:rPr>
              <w:t>备注：</w:t>
            </w:r>
            <w:r>
              <w:rPr>
                <w:rFonts w:hint="eastAsia" w:cs="宋体"/>
                <w:bCs w:val="0"/>
                <w:color w:val="auto"/>
                <w:kern w:val="2"/>
                <w:sz w:val="24"/>
                <w:szCs w:val="24"/>
                <w:highlight w:val="none"/>
                <w:lang w:val="en-US" w:eastAsia="zh-CN"/>
              </w:rPr>
              <w:t>本项目必须由供应商自行联系业主单位进行现场踏勘</w:t>
            </w:r>
            <w:r>
              <w:rPr>
                <w:rFonts w:hint="eastAsia" w:cs="宋体"/>
                <w:bCs w:val="0"/>
                <w:color w:val="auto"/>
                <w:kern w:val="2"/>
                <w:sz w:val="24"/>
                <w:szCs w:val="24"/>
                <w:highlight w:val="none"/>
              </w:rPr>
              <w:t>，</w:t>
            </w:r>
            <w:r>
              <w:rPr>
                <w:rFonts w:hint="eastAsia" w:cs="宋体"/>
                <w:bCs w:val="0"/>
                <w:color w:val="auto"/>
                <w:kern w:val="2"/>
                <w:sz w:val="24"/>
                <w:szCs w:val="24"/>
                <w:highlight w:val="none"/>
                <w:lang w:val="en-US" w:eastAsia="zh-CN"/>
              </w:rPr>
              <w:t>签署现场踏勘表（详见附件）并上传扫描件或影印件至投标文件中，如若供应商未按要求进行现场踏勘，</w:t>
            </w:r>
            <w:r>
              <w:rPr>
                <w:rFonts w:hint="eastAsia" w:cs="宋体"/>
                <w:bCs w:val="0"/>
                <w:color w:val="auto"/>
                <w:kern w:val="2"/>
                <w:sz w:val="24"/>
                <w:szCs w:val="24"/>
                <w:highlight w:val="none"/>
              </w:rPr>
              <w:t>由此引起的一切责任由供应商自行承担。</w:t>
            </w:r>
          </w:p>
        </w:tc>
      </w:tr>
      <w:tr w14:paraId="56EB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2D95AC9">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4</w:t>
            </w:r>
          </w:p>
        </w:tc>
        <w:tc>
          <w:tcPr>
            <w:tcW w:w="818" w:type="pct"/>
            <w:vAlign w:val="center"/>
          </w:tcPr>
          <w:p w14:paraId="0A8AA6DC">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关于联合体参加</w:t>
            </w:r>
            <w:r>
              <w:rPr>
                <w:rFonts w:hint="eastAsia" w:cs="宋体"/>
                <w:bCs/>
                <w:color w:val="auto"/>
                <w:kern w:val="2"/>
                <w:szCs w:val="24"/>
                <w:highlight w:val="none"/>
                <w:lang w:eastAsia="zh-CN"/>
              </w:rPr>
              <w:t>比选</w:t>
            </w:r>
            <w:r>
              <w:rPr>
                <w:rFonts w:hint="eastAsia" w:cs="宋体"/>
                <w:bCs/>
                <w:color w:val="auto"/>
                <w:kern w:val="2"/>
                <w:szCs w:val="24"/>
                <w:highlight w:val="none"/>
              </w:rPr>
              <w:t>的相关约定（如允许联合体）</w:t>
            </w:r>
          </w:p>
        </w:tc>
        <w:tc>
          <w:tcPr>
            <w:tcW w:w="3622" w:type="pct"/>
            <w:vAlign w:val="center"/>
          </w:tcPr>
          <w:p w14:paraId="037EA498">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t>（1）联合体参加</w:t>
            </w:r>
            <w:r>
              <w:rPr>
                <w:rFonts w:hint="eastAsia" w:cs="宋体"/>
                <w:b w:val="0"/>
                <w:color w:val="auto"/>
                <w:sz w:val="24"/>
                <w:szCs w:val="24"/>
                <w:highlight w:val="none"/>
                <w:lang w:eastAsia="zh-CN"/>
              </w:rPr>
              <w:t>比选</w:t>
            </w:r>
            <w:r>
              <w:rPr>
                <w:rFonts w:hint="eastAsia" w:cs="宋体"/>
                <w:b w:val="0"/>
                <w:color w:val="auto"/>
                <w:sz w:val="24"/>
                <w:szCs w:val="24"/>
                <w:highlight w:val="none"/>
              </w:rPr>
              <w:t>的，</w:t>
            </w:r>
            <w:r>
              <w:rPr>
                <w:rFonts w:hint="eastAsia" w:cs="宋体"/>
                <w:b w:val="0"/>
                <w:color w:val="auto"/>
                <w:sz w:val="24"/>
                <w:szCs w:val="24"/>
                <w:highlight w:val="none"/>
                <w:lang w:eastAsia="zh-CN"/>
              </w:rPr>
              <w:t>比选</w:t>
            </w:r>
            <w:r>
              <w:rPr>
                <w:rFonts w:hint="eastAsia" w:cs="宋体"/>
                <w:b w:val="0"/>
                <w:color w:val="auto"/>
                <w:sz w:val="24"/>
                <w:szCs w:val="24"/>
                <w:highlight w:val="none"/>
              </w:rPr>
              <w:t>文件获取信息填写，由联合体中任一成员单位完成均可。</w:t>
            </w:r>
          </w:p>
          <w:p w14:paraId="53FF0803">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t>（2）联合体参加</w:t>
            </w:r>
            <w:r>
              <w:rPr>
                <w:rFonts w:hint="eastAsia" w:cs="宋体"/>
                <w:b w:val="0"/>
                <w:color w:val="auto"/>
                <w:sz w:val="24"/>
                <w:szCs w:val="24"/>
                <w:highlight w:val="none"/>
                <w:lang w:eastAsia="zh-CN"/>
              </w:rPr>
              <w:t>比选</w:t>
            </w:r>
            <w:r>
              <w:rPr>
                <w:rFonts w:hint="eastAsia" w:cs="宋体"/>
                <w:b w:val="0"/>
                <w:color w:val="auto"/>
                <w:sz w:val="24"/>
                <w:szCs w:val="24"/>
                <w:highlight w:val="none"/>
              </w:rPr>
              <w:t>的须提供联合协议（见响应文件格式），相关证明材料由供应商根据联合协议分工情况及</w:t>
            </w:r>
            <w:r>
              <w:rPr>
                <w:rFonts w:hint="eastAsia" w:cs="宋体"/>
                <w:b w:val="0"/>
                <w:color w:val="auto"/>
                <w:sz w:val="24"/>
                <w:szCs w:val="24"/>
                <w:highlight w:val="none"/>
                <w:lang w:eastAsia="zh-CN"/>
              </w:rPr>
              <w:t>比选</w:t>
            </w:r>
            <w:r>
              <w:rPr>
                <w:rFonts w:hint="eastAsia" w:cs="宋体"/>
                <w:b w:val="0"/>
                <w:color w:val="auto"/>
                <w:sz w:val="24"/>
                <w:szCs w:val="24"/>
                <w:highlight w:val="none"/>
              </w:rPr>
              <w:t>文件要求提供。</w:t>
            </w:r>
          </w:p>
          <w:p w14:paraId="39FD181F">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t>（3）......</w:t>
            </w:r>
          </w:p>
        </w:tc>
      </w:tr>
      <w:tr w14:paraId="6342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EE6B6E5">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5</w:t>
            </w:r>
          </w:p>
        </w:tc>
        <w:tc>
          <w:tcPr>
            <w:tcW w:w="818" w:type="pct"/>
            <w:vAlign w:val="center"/>
          </w:tcPr>
          <w:p w14:paraId="5692B992">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初审业绩要求（如有）</w:t>
            </w:r>
          </w:p>
        </w:tc>
        <w:tc>
          <w:tcPr>
            <w:tcW w:w="3622" w:type="pct"/>
            <w:vAlign w:val="center"/>
          </w:tcPr>
          <w:p w14:paraId="34E404A0">
            <w:pPr>
              <w:spacing w:line="360" w:lineRule="auto"/>
              <w:rPr>
                <w:color w:val="auto"/>
                <w:sz w:val="24"/>
                <w:szCs w:val="24"/>
                <w:highlight w:val="none"/>
              </w:rPr>
            </w:pPr>
            <w:r>
              <w:rPr>
                <w:rFonts w:hint="eastAsia"/>
                <w:color w:val="auto"/>
                <w:sz w:val="24"/>
                <w:szCs w:val="24"/>
                <w:highlight w:val="none"/>
              </w:rPr>
              <w:t>供应商应按下列规定提供业绩证明资料：</w:t>
            </w:r>
          </w:p>
          <w:p w14:paraId="56104CEA">
            <w:pPr>
              <w:spacing w:line="360" w:lineRule="auto"/>
              <w:rPr>
                <w:color w:val="auto"/>
                <w:sz w:val="24"/>
                <w:szCs w:val="24"/>
                <w:highlight w:val="none"/>
              </w:rPr>
            </w:pPr>
            <w:r>
              <w:rPr>
                <w:rFonts w:hint="eastAsia"/>
                <w:color w:val="auto"/>
                <w:sz w:val="24"/>
                <w:szCs w:val="24"/>
                <w:highlight w:val="none"/>
              </w:rPr>
              <w:t>□已完成的业绩：响应文件中须同时提供以下业绩证明材料：</w:t>
            </w:r>
          </w:p>
          <w:p w14:paraId="18D82F85">
            <w:pPr>
              <w:spacing w:line="360" w:lineRule="auto"/>
              <w:rPr>
                <w:color w:val="auto"/>
                <w:sz w:val="24"/>
                <w:szCs w:val="24"/>
                <w:highlight w:val="none"/>
              </w:rPr>
            </w:pPr>
            <w:r>
              <w:rPr>
                <w:rFonts w:hint="eastAsia"/>
                <w:color w:val="auto"/>
                <w:sz w:val="24"/>
                <w:szCs w:val="24"/>
                <w:highlight w:val="none"/>
              </w:rPr>
              <w:t>（1）业绩合同扫描件；</w:t>
            </w:r>
          </w:p>
          <w:p w14:paraId="00EABD67">
            <w:pPr>
              <w:spacing w:line="360" w:lineRule="auto"/>
              <w:rPr>
                <w:color w:val="auto"/>
                <w:highlight w:val="none"/>
              </w:rPr>
            </w:pPr>
            <w:r>
              <w:rPr>
                <w:rFonts w:hint="eastAsia"/>
                <w:color w:val="auto"/>
                <w:sz w:val="24"/>
                <w:szCs w:val="24"/>
                <w:highlight w:val="none"/>
              </w:rPr>
              <w:t>（2）与该业绩对应的项目已完成的证明材料（如验收报告或业主（或合同甲方）证明）。</w:t>
            </w:r>
          </w:p>
          <w:p w14:paraId="5C8EE624">
            <w:pPr>
              <w:spacing w:line="360" w:lineRule="auto"/>
              <w:rPr>
                <w:color w:val="auto"/>
                <w:sz w:val="24"/>
                <w:szCs w:val="24"/>
                <w:highlight w:val="none"/>
              </w:rPr>
            </w:pPr>
            <w:r>
              <w:rPr>
                <w:rFonts w:hint="eastAsia"/>
                <w:color w:val="auto"/>
                <w:sz w:val="24"/>
                <w:szCs w:val="24"/>
                <w:highlight w:val="none"/>
              </w:rPr>
              <w:t>□正在履约或已完成的业绩：响应文件中须同时提供以下业绩证明材料：</w:t>
            </w:r>
          </w:p>
          <w:p w14:paraId="069D1940">
            <w:pPr>
              <w:spacing w:line="360" w:lineRule="auto"/>
              <w:rPr>
                <w:color w:val="auto"/>
                <w:sz w:val="24"/>
                <w:szCs w:val="24"/>
                <w:highlight w:val="none"/>
              </w:rPr>
            </w:pPr>
            <w:r>
              <w:rPr>
                <w:rFonts w:hint="eastAsia"/>
                <w:color w:val="auto"/>
                <w:sz w:val="24"/>
                <w:szCs w:val="24"/>
                <w:highlight w:val="none"/>
              </w:rPr>
              <w:t>（1）业绩合同扫描件；</w:t>
            </w:r>
          </w:p>
          <w:p w14:paraId="2939B4F9">
            <w:pPr>
              <w:spacing w:line="360" w:lineRule="auto"/>
              <w:rPr>
                <w:color w:val="auto"/>
                <w:sz w:val="24"/>
                <w:szCs w:val="24"/>
                <w:highlight w:val="none"/>
              </w:rPr>
            </w:pPr>
            <w:r>
              <w:rPr>
                <w:rFonts w:hint="eastAsia"/>
                <w:color w:val="auto"/>
                <w:sz w:val="24"/>
                <w:szCs w:val="24"/>
                <w:highlight w:val="none"/>
              </w:rPr>
              <w:t>（2）与该业绩对应的项目正在履约或已完成的证明材料（如验收报告或业主（或合同甲方）证明）。</w:t>
            </w:r>
          </w:p>
          <w:p w14:paraId="0E9C3B5E">
            <w:pPr>
              <w:spacing w:line="360" w:lineRule="auto"/>
              <w:rPr>
                <w:color w:val="auto"/>
                <w:sz w:val="24"/>
                <w:szCs w:val="24"/>
                <w:highlight w:val="none"/>
              </w:rPr>
            </w:pPr>
            <w:r>
              <w:rPr>
                <w:rFonts w:hint="eastAsia"/>
                <w:color w:val="auto"/>
                <w:sz w:val="24"/>
                <w:szCs w:val="24"/>
                <w:highlight w:val="none"/>
              </w:rPr>
              <w:t>已签订合同但尚未实施的业绩不予认可。即截至</w:t>
            </w:r>
            <w:r>
              <w:rPr>
                <w:rFonts w:hint="eastAsia"/>
                <w:color w:val="auto"/>
                <w:sz w:val="24"/>
                <w:szCs w:val="24"/>
                <w:highlight w:val="none"/>
                <w:lang w:eastAsia="zh-CN"/>
              </w:rPr>
              <w:t>比选</w:t>
            </w:r>
            <w:r>
              <w:rPr>
                <w:rFonts w:hint="eastAsia"/>
                <w:color w:val="auto"/>
                <w:sz w:val="24"/>
                <w:szCs w:val="24"/>
                <w:highlight w:val="none"/>
              </w:rPr>
              <w:t>时间，项目如存在目前尚未开始履约、人员进场但尚未实质性开展、处于暂停等情况的，该业绩不予认可。</w:t>
            </w:r>
          </w:p>
          <w:p w14:paraId="790324C3">
            <w:pPr>
              <w:spacing w:line="360" w:lineRule="auto"/>
              <w:rPr>
                <w:color w:val="auto"/>
                <w:sz w:val="24"/>
                <w:szCs w:val="24"/>
                <w:highlight w:val="none"/>
              </w:rPr>
            </w:pPr>
            <w:r>
              <w:rPr>
                <w:rFonts w:hint="eastAsia"/>
                <w:color w:val="auto"/>
                <w:sz w:val="24"/>
                <w:szCs w:val="24"/>
                <w:highlight w:val="none"/>
              </w:rPr>
              <w:t>注：（1）正在履约或已完成的证明材料须加盖项目业主单位或合同甲方公章(证明材料已有项目业主单位或合同甲方公章的除外)，否则评审委员会不予认可。</w:t>
            </w:r>
          </w:p>
          <w:p w14:paraId="56C2D52F">
            <w:pPr>
              <w:spacing w:line="360" w:lineRule="auto"/>
              <w:rPr>
                <w:color w:val="auto"/>
                <w:sz w:val="24"/>
                <w:szCs w:val="24"/>
                <w:highlight w:val="none"/>
              </w:rPr>
            </w:pPr>
            <w:r>
              <w:rPr>
                <w:rFonts w:hint="eastAsia"/>
                <w:color w:val="auto"/>
                <w:sz w:val="24"/>
                <w:szCs w:val="24"/>
                <w:highlight w:val="none"/>
              </w:rPr>
              <w:t>（2）如果业绩合同和项目已完成（或正在履约）的证明材料中的合同金额、建筑面积等合同要素不一致的，以项目已完成（或正在履约）的证明材料为准。</w:t>
            </w:r>
          </w:p>
          <w:p w14:paraId="4B69610B">
            <w:pPr>
              <w:spacing w:line="360" w:lineRule="auto"/>
              <w:rPr>
                <w:color w:val="auto"/>
                <w:highlight w:val="none"/>
              </w:rPr>
            </w:pPr>
            <w:r>
              <w:rPr>
                <w:rFonts w:hint="eastAsia"/>
                <w:color w:val="auto"/>
                <w:sz w:val="24"/>
                <w:szCs w:val="24"/>
                <w:highlight w:val="none"/>
              </w:rPr>
              <w:t>（3）以上涉及到的证明资料信息应完整或能充分反映评审因素。如未能明确反映评审因素的（如合同总金额、面积等），应另附业主（或合同甲方）证明材料予以明确说明，须加盖项目业主单位或合同甲方公章，否则评审委员会不予认可。</w:t>
            </w:r>
          </w:p>
        </w:tc>
      </w:tr>
      <w:tr w14:paraId="5C91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A92313B">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6</w:t>
            </w:r>
          </w:p>
        </w:tc>
        <w:tc>
          <w:tcPr>
            <w:tcW w:w="818" w:type="pct"/>
            <w:vAlign w:val="center"/>
          </w:tcPr>
          <w:p w14:paraId="0126D18A">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供应商提出疑问截止时间</w:t>
            </w:r>
          </w:p>
        </w:tc>
        <w:tc>
          <w:tcPr>
            <w:tcW w:w="3622" w:type="pct"/>
          </w:tcPr>
          <w:p w14:paraId="424F9014">
            <w:pPr>
              <w:spacing w:line="440" w:lineRule="exact"/>
              <w:rPr>
                <w:rFonts w:cs="宋体"/>
                <w:bCs/>
                <w:color w:val="auto"/>
                <w:sz w:val="24"/>
                <w:szCs w:val="24"/>
                <w:highlight w:val="none"/>
              </w:rPr>
            </w:pPr>
            <w:r>
              <w:rPr>
                <w:rFonts w:hint="eastAsia" w:cs="宋体"/>
                <w:bCs/>
                <w:color w:val="auto"/>
                <w:sz w:val="24"/>
                <w:szCs w:val="24"/>
                <w:highlight w:val="none"/>
              </w:rPr>
              <w:t>（1）时间：</w:t>
            </w:r>
            <w:r>
              <w:rPr>
                <w:rFonts w:hint="eastAsia" w:cs="宋体"/>
                <w:bCs/>
                <w:color w:val="auto"/>
                <w:kern w:val="2"/>
                <w:sz w:val="24"/>
                <w:szCs w:val="24"/>
                <w:highlight w:val="none"/>
                <w:u w:val="single"/>
              </w:rPr>
              <w:t>202</w:t>
            </w:r>
            <w:r>
              <w:rPr>
                <w:rFonts w:hint="eastAsia" w:cs="宋体"/>
                <w:bCs/>
                <w:color w:val="auto"/>
                <w:kern w:val="2"/>
                <w:sz w:val="24"/>
                <w:szCs w:val="24"/>
                <w:highlight w:val="none"/>
                <w:u w:val="single"/>
                <w:lang w:val="en-US" w:eastAsia="zh-CN"/>
              </w:rPr>
              <w:t>6</w:t>
            </w:r>
            <w:r>
              <w:rPr>
                <w:rFonts w:hint="eastAsia" w:cs="宋体"/>
                <w:bCs/>
                <w:color w:val="auto"/>
                <w:kern w:val="2"/>
                <w:sz w:val="24"/>
                <w:szCs w:val="24"/>
                <w:highlight w:val="none"/>
              </w:rPr>
              <w:t>年</w:t>
            </w:r>
            <w:r>
              <w:rPr>
                <w:rFonts w:hint="eastAsia" w:cs="宋体"/>
                <w:bCs/>
                <w:color w:val="auto"/>
                <w:kern w:val="2"/>
                <w:sz w:val="24"/>
                <w:szCs w:val="24"/>
                <w:highlight w:val="none"/>
                <w:u w:val="single"/>
                <w:lang w:val="en-US" w:eastAsia="zh-CN"/>
              </w:rPr>
              <w:t>03</w:t>
            </w:r>
            <w:r>
              <w:rPr>
                <w:rFonts w:hint="eastAsia" w:cs="宋体"/>
                <w:bCs/>
                <w:color w:val="auto"/>
                <w:kern w:val="2"/>
                <w:sz w:val="24"/>
                <w:szCs w:val="24"/>
                <w:highlight w:val="none"/>
              </w:rPr>
              <w:t>月</w:t>
            </w:r>
            <w:r>
              <w:rPr>
                <w:rFonts w:hint="eastAsia" w:cs="宋体"/>
                <w:bCs/>
                <w:color w:val="auto"/>
                <w:kern w:val="2"/>
                <w:sz w:val="24"/>
                <w:szCs w:val="24"/>
                <w:highlight w:val="none"/>
                <w:u w:val="single"/>
                <w:lang w:val="en-US" w:eastAsia="zh-CN"/>
              </w:rPr>
              <w:t>29</w:t>
            </w:r>
            <w:r>
              <w:rPr>
                <w:rFonts w:hint="eastAsia" w:cs="宋体"/>
                <w:bCs/>
                <w:color w:val="auto"/>
                <w:kern w:val="2"/>
                <w:sz w:val="24"/>
                <w:szCs w:val="24"/>
                <w:highlight w:val="none"/>
              </w:rPr>
              <w:t>日</w:t>
            </w:r>
            <w:r>
              <w:rPr>
                <w:rFonts w:hint="eastAsia" w:cs="宋体"/>
                <w:bCs/>
                <w:color w:val="auto"/>
                <w:kern w:val="2"/>
                <w:sz w:val="24"/>
                <w:szCs w:val="24"/>
                <w:highlight w:val="none"/>
                <w:u w:val="single"/>
              </w:rPr>
              <w:t>17</w:t>
            </w:r>
            <w:r>
              <w:rPr>
                <w:rFonts w:hint="eastAsia" w:cs="宋体"/>
                <w:bCs/>
                <w:color w:val="auto"/>
                <w:kern w:val="2"/>
                <w:sz w:val="24"/>
                <w:szCs w:val="24"/>
                <w:highlight w:val="none"/>
              </w:rPr>
              <w:t>时</w:t>
            </w:r>
            <w:r>
              <w:rPr>
                <w:rFonts w:hint="eastAsia" w:cs="宋体"/>
                <w:bCs/>
                <w:color w:val="auto"/>
                <w:kern w:val="2"/>
                <w:sz w:val="24"/>
                <w:szCs w:val="24"/>
                <w:highlight w:val="none"/>
                <w:u w:val="single"/>
              </w:rPr>
              <w:t>30</w:t>
            </w:r>
            <w:r>
              <w:rPr>
                <w:rFonts w:hint="eastAsia" w:cs="宋体"/>
                <w:bCs/>
                <w:color w:val="auto"/>
                <w:kern w:val="2"/>
                <w:sz w:val="24"/>
                <w:szCs w:val="24"/>
                <w:highlight w:val="none"/>
              </w:rPr>
              <w:t>分。</w:t>
            </w:r>
          </w:p>
          <w:p w14:paraId="627BFD5E">
            <w:pPr>
              <w:spacing w:line="440" w:lineRule="exact"/>
              <w:rPr>
                <w:rFonts w:cs="宋体"/>
                <w:bCs/>
                <w:color w:val="auto"/>
                <w:sz w:val="24"/>
                <w:szCs w:val="24"/>
                <w:highlight w:val="none"/>
              </w:rPr>
            </w:pPr>
            <w:r>
              <w:rPr>
                <w:rFonts w:hint="eastAsia" w:cs="宋体"/>
                <w:bCs/>
                <w:color w:val="auto"/>
                <w:sz w:val="24"/>
                <w:szCs w:val="24"/>
                <w:highlight w:val="none"/>
              </w:rPr>
              <w:t>（2）形式：通过</w:t>
            </w:r>
            <w:r>
              <w:rPr>
                <w:rFonts w:hint="eastAsia" w:asciiTheme="majorEastAsia" w:hAnsiTheme="majorEastAsia" w:eastAsiaTheme="majorEastAsia" w:cstheme="majorEastAsia"/>
                <w:color w:val="auto"/>
                <w:sz w:val="24"/>
                <w:szCs w:val="24"/>
                <w:highlight w:val="none"/>
              </w:rPr>
              <w:t>优质采云采购平台</w:t>
            </w:r>
            <w:r>
              <w:rPr>
                <w:rFonts w:hint="eastAsia" w:cs="宋体"/>
                <w:bCs/>
                <w:color w:val="auto"/>
                <w:sz w:val="24"/>
                <w:szCs w:val="24"/>
                <w:highlight w:val="none"/>
              </w:rPr>
              <w:t>提交。</w:t>
            </w:r>
          </w:p>
          <w:p w14:paraId="29DAD2DA">
            <w:pPr>
              <w:spacing w:line="440" w:lineRule="exact"/>
              <w:rPr>
                <w:color w:val="auto"/>
                <w:highlight w:val="none"/>
              </w:rPr>
            </w:pPr>
            <w:r>
              <w:rPr>
                <w:rFonts w:hint="eastAsia"/>
                <w:color w:val="auto"/>
                <w:sz w:val="24"/>
                <w:szCs w:val="24"/>
                <w:highlight w:val="none"/>
              </w:rPr>
              <w:t>（3）供应商请注意：</w:t>
            </w:r>
            <w:r>
              <w:rPr>
                <w:rFonts w:hint="eastAsia"/>
                <w:color w:val="auto"/>
                <w:sz w:val="24"/>
                <w:szCs w:val="24"/>
                <w:highlight w:val="none"/>
                <w:lang w:eastAsia="zh-CN"/>
              </w:rPr>
              <w:t>肥西县公共资源交易有限责任公司</w:t>
            </w:r>
            <w:r>
              <w:rPr>
                <w:rFonts w:hint="eastAsia"/>
                <w:color w:val="auto"/>
                <w:sz w:val="24"/>
                <w:szCs w:val="24"/>
                <w:highlight w:val="none"/>
              </w:rPr>
              <w:t>对</w:t>
            </w:r>
            <w:r>
              <w:rPr>
                <w:rFonts w:hint="eastAsia"/>
                <w:color w:val="auto"/>
                <w:sz w:val="24"/>
                <w:szCs w:val="24"/>
                <w:highlight w:val="none"/>
                <w:lang w:eastAsia="zh-CN"/>
              </w:rPr>
              <w:t>比选</w:t>
            </w:r>
            <w:r>
              <w:rPr>
                <w:rFonts w:hint="eastAsia"/>
                <w:color w:val="auto"/>
                <w:sz w:val="24"/>
                <w:szCs w:val="24"/>
                <w:highlight w:val="none"/>
              </w:rPr>
              <w:t>文件进行的澄清、更正或更改，将在网站上及时发布，该公告内容为</w:t>
            </w:r>
            <w:r>
              <w:rPr>
                <w:rFonts w:hint="eastAsia"/>
                <w:color w:val="auto"/>
                <w:sz w:val="24"/>
                <w:szCs w:val="24"/>
                <w:highlight w:val="none"/>
                <w:lang w:eastAsia="zh-CN"/>
              </w:rPr>
              <w:t>比选</w:t>
            </w:r>
            <w:r>
              <w:rPr>
                <w:rFonts w:hint="eastAsia"/>
                <w:color w:val="auto"/>
                <w:sz w:val="24"/>
                <w:szCs w:val="24"/>
                <w:highlight w:val="none"/>
              </w:rPr>
              <w:t>文件的组成部分，对供应商具有同样约束力效力。供应商应主动上网查询。</w:t>
            </w:r>
            <w:r>
              <w:rPr>
                <w:rFonts w:hint="eastAsia"/>
                <w:color w:val="auto"/>
                <w:sz w:val="24"/>
                <w:szCs w:val="24"/>
                <w:highlight w:val="none"/>
                <w:lang w:eastAsia="zh-CN"/>
              </w:rPr>
              <w:t>肥西县公共资源交易有限责任公司</w:t>
            </w:r>
            <w:r>
              <w:rPr>
                <w:rFonts w:hint="eastAsia"/>
                <w:color w:val="auto"/>
                <w:sz w:val="24"/>
                <w:szCs w:val="24"/>
                <w:highlight w:val="none"/>
              </w:rPr>
              <w:t>不承担供应商未及时关注相关信息引发的相关责任。</w:t>
            </w:r>
          </w:p>
        </w:tc>
      </w:tr>
      <w:tr w14:paraId="7DA2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7199FF0">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7</w:t>
            </w:r>
          </w:p>
        </w:tc>
        <w:tc>
          <w:tcPr>
            <w:tcW w:w="818" w:type="pct"/>
            <w:vAlign w:val="center"/>
          </w:tcPr>
          <w:p w14:paraId="74B7C29F">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构成</w:t>
            </w:r>
            <w:r>
              <w:rPr>
                <w:rFonts w:hint="eastAsia" w:cs="宋体"/>
                <w:bCs/>
                <w:color w:val="auto"/>
                <w:kern w:val="2"/>
                <w:szCs w:val="24"/>
                <w:highlight w:val="none"/>
                <w:lang w:eastAsia="zh-CN"/>
              </w:rPr>
              <w:t>比选</w:t>
            </w:r>
            <w:r>
              <w:rPr>
                <w:rFonts w:hint="eastAsia" w:cs="宋体"/>
                <w:bCs/>
                <w:color w:val="auto"/>
                <w:kern w:val="2"/>
                <w:szCs w:val="24"/>
                <w:highlight w:val="none"/>
              </w:rPr>
              <w:t>的其他材料</w:t>
            </w:r>
          </w:p>
        </w:tc>
        <w:tc>
          <w:tcPr>
            <w:tcW w:w="3622" w:type="pct"/>
            <w:vAlign w:val="center"/>
          </w:tcPr>
          <w:p w14:paraId="510817D1">
            <w:pPr>
              <w:adjustRightInd w:val="0"/>
              <w:snapToGrid w:val="0"/>
              <w:spacing w:line="360" w:lineRule="auto"/>
              <w:jc w:val="left"/>
              <w:rPr>
                <w:rFonts w:cs="宋体"/>
                <w:bCs/>
                <w:color w:val="auto"/>
                <w:sz w:val="24"/>
                <w:szCs w:val="24"/>
                <w:highlight w:val="none"/>
              </w:rPr>
            </w:pPr>
            <w:r>
              <w:rPr>
                <w:rFonts w:hint="eastAsia" w:cs="宋体"/>
                <w:bCs/>
                <w:color w:val="auto"/>
                <w:sz w:val="24"/>
                <w:szCs w:val="24"/>
                <w:highlight w:val="none"/>
              </w:rPr>
              <w:t>☑</w:t>
            </w:r>
            <w:r>
              <w:rPr>
                <w:rFonts w:hint="eastAsia" w:asciiTheme="minorEastAsia" w:hAnsiTheme="minorEastAsia" w:eastAsiaTheme="minorEastAsia"/>
                <w:color w:val="auto"/>
                <w:sz w:val="24"/>
                <w:highlight w:val="none"/>
              </w:rPr>
              <w:t xml:space="preserve">无  </w:t>
            </w:r>
            <w:r>
              <w:rPr>
                <w:rFonts w:hint="eastAsia" w:cs="宋体"/>
                <w:bCs/>
                <w:color w:val="auto"/>
                <w:sz w:val="24"/>
                <w:szCs w:val="24"/>
                <w:highlight w:val="none"/>
              </w:rPr>
              <w:t>□图纸  □其他：</w:t>
            </w:r>
            <w:r>
              <w:rPr>
                <w:rFonts w:hint="eastAsia" w:cs="宋体"/>
                <w:bCs/>
                <w:color w:val="auto"/>
                <w:sz w:val="24"/>
                <w:szCs w:val="24"/>
                <w:highlight w:val="none"/>
                <w:u w:val="single"/>
              </w:rPr>
              <w:t xml:space="preserve">        </w:t>
            </w:r>
          </w:p>
          <w:p w14:paraId="4BFA2218">
            <w:pPr>
              <w:adjustRightInd w:val="0"/>
              <w:snapToGrid w:val="0"/>
              <w:spacing w:line="360" w:lineRule="auto"/>
              <w:jc w:val="left"/>
              <w:rPr>
                <w:rFonts w:cs="宋体"/>
                <w:bCs/>
                <w:color w:val="auto"/>
                <w:sz w:val="24"/>
                <w:szCs w:val="24"/>
                <w:highlight w:val="none"/>
              </w:rPr>
            </w:pPr>
            <w:r>
              <w:rPr>
                <w:rFonts w:hint="eastAsia" w:cs="宋体"/>
                <w:bCs/>
                <w:color w:val="auto"/>
                <w:sz w:val="24"/>
                <w:szCs w:val="24"/>
                <w:highlight w:val="none"/>
              </w:rPr>
              <w:t>获得方式：</w:t>
            </w:r>
          </w:p>
          <w:p w14:paraId="6EAB4136">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color w:val="auto"/>
                <w:sz w:val="24"/>
                <w:szCs w:val="24"/>
                <w:highlight w:val="none"/>
              </w:rPr>
              <w:t>上述资料请供应商在获取</w:t>
            </w:r>
            <w:r>
              <w:rPr>
                <w:rFonts w:hint="eastAsia" w:cs="宋体"/>
                <w:color w:val="auto"/>
                <w:sz w:val="24"/>
                <w:szCs w:val="24"/>
                <w:highlight w:val="none"/>
                <w:lang w:eastAsia="zh-CN"/>
              </w:rPr>
              <w:t>比选</w:t>
            </w:r>
            <w:r>
              <w:rPr>
                <w:rFonts w:hint="eastAsia" w:cs="宋体"/>
                <w:color w:val="auto"/>
                <w:sz w:val="24"/>
                <w:szCs w:val="24"/>
                <w:highlight w:val="none"/>
              </w:rPr>
              <w:t>文件后，自行登录电子交易系统下载本项目附件。</w:t>
            </w:r>
          </w:p>
        </w:tc>
      </w:tr>
      <w:tr w14:paraId="095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EF889AA">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8</w:t>
            </w:r>
          </w:p>
        </w:tc>
        <w:tc>
          <w:tcPr>
            <w:tcW w:w="818" w:type="pct"/>
            <w:vAlign w:val="center"/>
          </w:tcPr>
          <w:p w14:paraId="122EF159">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lang w:eastAsia="zh-CN"/>
              </w:rPr>
              <w:t>比选</w:t>
            </w:r>
            <w:r>
              <w:rPr>
                <w:rFonts w:hint="eastAsia" w:cs="宋体"/>
                <w:bCs/>
                <w:color w:val="auto"/>
                <w:kern w:val="2"/>
                <w:szCs w:val="24"/>
                <w:highlight w:val="none"/>
              </w:rPr>
              <w:t>保证金</w:t>
            </w:r>
          </w:p>
        </w:tc>
        <w:tc>
          <w:tcPr>
            <w:tcW w:w="3622" w:type="pct"/>
            <w:vAlign w:val="center"/>
          </w:tcPr>
          <w:p w14:paraId="6B8116E6">
            <w:pPr>
              <w:spacing w:line="360" w:lineRule="auto"/>
              <w:jc w:val="left"/>
              <w:rPr>
                <w:rFonts w:cs="宋体"/>
                <w:color w:val="auto"/>
                <w:sz w:val="24"/>
                <w:highlight w:val="none"/>
              </w:rPr>
            </w:pPr>
            <w:r>
              <w:rPr>
                <w:rFonts w:hint="eastAsia" w:cs="宋体"/>
                <w:color w:val="auto"/>
                <w:sz w:val="24"/>
                <w:highlight w:val="none"/>
              </w:rPr>
              <w:t>是否要求</w:t>
            </w:r>
            <w:r>
              <w:rPr>
                <w:rFonts w:hint="eastAsia"/>
                <w:color w:val="auto"/>
                <w:sz w:val="24"/>
                <w:szCs w:val="18"/>
                <w:highlight w:val="none"/>
              </w:rPr>
              <w:t>供应商</w:t>
            </w:r>
            <w:r>
              <w:rPr>
                <w:rFonts w:hint="eastAsia" w:cs="宋体"/>
                <w:color w:val="auto"/>
                <w:sz w:val="24"/>
                <w:highlight w:val="none"/>
              </w:rPr>
              <w:t>递交</w:t>
            </w:r>
            <w:r>
              <w:rPr>
                <w:rFonts w:hint="eastAsia" w:cs="宋体"/>
                <w:color w:val="auto"/>
                <w:sz w:val="24"/>
                <w:highlight w:val="none"/>
                <w:lang w:eastAsia="zh-CN"/>
              </w:rPr>
              <w:t>比选</w:t>
            </w:r>
            <w:r>
              <w:rPr>
                <w:rFonts w:hint="eastAsia" w:cs="宋体"/>
                <w:color w:val="auto"/>
                <w:sz w:val="24"/>
                <w:highlight w:val="none"/>
              </w:rPr>
              <w:t>保证金：</w:t>
            </w:r>
          </w:p>
          <w:p w14:paraId="5EAC5DDA">
            <w:pPr>
              <w:spacing w:line="360" w:lineRule="auto"/>
              <w:jc w:val="left"/>
              <w:rPr>
                <w:rFonts w:cs="宋体"/>
                <w:color w:val="auto"/>
                <w:sz w:val="24"/>
                <w:szCs w:val="24"/>
                <w:highlight w:val="none"/>
              </w:rPr>
            </w:pPr>
            <w:r>
              <w:rPr>
                <w:rFonts w:hint="eastAsia" w:cs="宋体"/>
                <w:color w:val="auto"/>
                <w:sz w:val="24"/>
                <w:highlight w:val="none"/>
              </w:rPr>
              <w:sym w:font="Wingdings 2" w:char="0052"/>
            </w:r>
            <w:r>
              <w:rPr>
                <w:rFonts w:hint="eastAsia" w:cs="宋体"/>
                <w:color w:val="auto"/>
                <w:sz w:val="24"/>
                <w:highlight w:val="none"/>
              </w:rPr>
              <w:t xml:space="preserve">不要求  </w:t>
            </w:r>
            <w:r>
              <w:rPr>
                <w:rFonts w:hint="eastAsia" w:ascii="Segoe UI Symbol" w:hAnsi="Segoe UI Symbol" w:cs="Segoe UI Symbol"/>
                <w:b/>
                <w:bCs/>
                <w:color w:val="auto"/>
                <w:sz w:val="24"/>
                <w:highlight w:val="none"/>
              </w:rPr>
              <w:t>□</w:t>
            </w:r>
            <w:r>
              <w:rPr>
                <w:rFonts w:hint="eastAsia" w:cs="宋体"/>
                <w:b/>
                <w:bCs/>
                <w:color w:val="auto"/>
                <w:sz w:val="24"/>
                <w:highlight w:val="none"/>
              </w:rPr>
              <w:t>要求</w:t>
            </w:r>
          </w:p>
        </w:tc>
      </w:tr>
      <w:tr w14:paraId="145D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781117D">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9</w:t>
            </w:r>
          </w:p>
        </w:tc>
        <w:tc>
          <w:tcPr>
            <w:tcW w:w="818" w:type="pct"/>
            <w:vAlign w:val="center"/>
          </w:tcPr>
          <w:p w14:paraId="5F92C868">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电子交易服务费</w:t>
            </w:r>
          </w:p>
        </w:tc>
        <w:tc>
          <w:tcPr>
            <w:tcW w:w="3622" w:type="pct"/>
            <w:vAlign w:val="center"/>
          </w:tcPr>
          <w:p w14:paraId="3A2B48F3">
            <w:pPr>
              <w:spacing w:line="440" w:lineRule="exact"/>
              <w:rPr>
                <w:rFonts w:hint="eastAsia"/>
                <w:color w:val="auto"/>
                <w:sz w:val="24"/>
                <w:szCs w:val="24"/>
                <w:highlight w:val="none"/>
              </w:rPr>
            </w:pPr>
            <w:r>
              <w:rPr>
                <w:rFonts w:hint="eastAsia"/>
                <w:color w:val="auto"/>
                <w:sz w:val="24"/>
                <w:szCs w:val="24"/>
                <w:highlight w:val="none"/>
              </w:rPr>
              <w:t>金额：人民币200元，售后不退</w:t>
            </w:r>
          </w:p>
          <w:p w14:paraId="17DA8F6B">
            <w:pPr>
              <w:spacing w:line="440" w:lineRule="exact"/>
              <w:rPr>
                <w:rFonts w:hint="eastAsia"/>
                <w:color w:val="auto"/>
                <w:sz w:val="24"/>
                <w:szCs w:val="24"/>
                <w:highlight w:val="none"/>
              </w:rPr>
            </w:pPr>
            <w:r>
              <w:rPr>
                <w:rFonts w:hint="eastAsia"/>
                <w:color w:val="auto"/>
                <w:sz w:val="24"/>
                <w:szCs w:val="24"/>
                <w:highlight w:val="none"/>
              </w:rPr>
              <w:t>递交要求：</w:t>
            </w:r>
          </w:p>
          <w:p w14:paraId="6B0351AE">
            <w:pPr>
              <w:spacing w:line="440" w:lineRule="exact"/>
              <w:rPr>
                <w:rFonts w:hint="eastAsia"/>
                <w:color w:val="auto"/>
                <w:sz w:val="24"/>
                <w:szCs w:val="24"/>
                <w:highlight w:val="none"/>
              </w:rPr>
            </w:pPr>
            <w:r>
              <w:rPr>
                <w:rFonts w:hint="eastAsia"/>
                <w:color w:val="auto"/>
                <w:sz w:val="24"/>
                <w:szCs w:val="24"/>
                <w:highlight w:val="none"/>
              </w:rPr>
              <w:t>（1）电子交易服务费的到账截止时间：</w:t>
            </w:r>
            <w:r>
              <w:rPr>
                <w:rFonts w:hint="eastAsia"/>
                <w:color w:val="auto"/>
                <w:sz w:val="24"/>
                <w:szCs w:val="24"/>
                <w:highlight w:val="none"/>
                <w:lang w:eastAsia="zh-CN"/>
              </w:rPr>
              <w:t>比选</w:t>
            </w:r>
            <w:r>
              <w:rPr>
                <w:rFonts w:hint="eastAsia"/>
                <w:color w:val="auto"/>
                <w:sz w:val="24"/>
                <w:szCs w:val="24"/>
                <w:highlight w:val="none"/>
              </w:rPr>
              <w:t>截止时间。</w:t>
            </w:r>
          </w:p>
          <w:p w14:paraId="5408F05C">
            <w:pPr>
              <w:spacing w:line="440" w:lineRule="exact"/>
              <w:rPr>
                <w:rFonts w:hint="eastAsia"/>
                <w:color w:val="auto"/>
                <w:sz w:val="24"/>
                <w:szCs w:val="24"/>
                <w:highlight w:val="none"/>
              </w:rPr>
            </w:pPr>
            <w:r>
              <w:rPr>
                <w:rFonts w:hint="eastAsia"/>
                <w:color w:val="auto"/>
                <w:sz w:val="24"/>
                <w:szCs w:val="24"/>
                <w:highlight w:val="none"/>
              </w:rPr>
              <w:t>（2）电子交易服务费应当从供应商账户转出。</w:t>
            </w:r>
          </w:p>
          <w:p w14:paraId="62418469">
            <w:pPr>
              <w:spacing w:line="440" w:lineRule="exact"/>
              <w:rPr>
                <w:rFonts w:hint="eastAsia"/>
                <w:color w:val="auto"/>
                <w:sz w:val="24"/>
                <w:szCs w:val="24"/>
                <w:highlight w:val="none"/>
              </w:rPr>
            </w:pPr>
            <w:r>
              <w:rPr>
                <w:rFonts w:hint="eastAsia"/>
                <w:color w:val="auto"/>
                <w:sz w:val="24"/>
                <w:szCs w:val="24"/>
                <w:highlight w:val="none"/>
              </w:rPr>
              <w:t>（3）转入的开户银行及账号：</w:t>
            </w:r>
          </w:p>
          <w:p w14:paraId="6B66C037">
            <w:pPr>
              <w:spacing w:line="440" w:lineRule="exact"/>
              <w:rPr>
                <w:rFonts w:hint="eastAsia"/>
                <w:color w:val="auto"/>
                <w:sz w:val="24"/>
                <w:szCs w:val="24"/>
                <w:highlight w:val="none"/>
              </w:rPr>
            </w:pPr>
            <w:r>
              <w:rPr>
                <w:rFonts w:hint="eastAsia"/>
                <w:color w:val="auto"/>
                <w:sz w:val="24"/>
                <w:szCs w:val="24"/>
                <w:highlight w:val="none"/>
              </w:rPr>
              <w:t>开户银行：广发银行合肥肥西支行</w:t>
            </w:r>
          </w:p>
          <w:p w14:paraId="2F466664">
            <w:pPr>
              <w:spacing w:line="440" w:lineRule="exact"/>
              <w:rPr>
                <w:rFonts w:hint="eastAsia"/>
                <w:color w:val="auto"/>
                <w:sz w:val="24"/>
                <w:szCs w:val="24"/>
                <w:highlight w:val="none"/>
                <w:lang w:eastAsia="zh-CN"/>
              </w:rPr>
            </w:pPr>
            <w:r>
              <w:rPr>
                <w:rFonts w:hint="eastAsia"/>
                <w:color w:val="auto"/>
                <w:sz w:val="24"/>
                <w:szCs w:val="24"/>
                <w:highlight w:val="none"/>
              </w:rPr>
              <w:t>开户名：</w:t>
            </w:r>
            <w:r>
              <w:rPr>
                <w:rFonts w:hint="eastAsia"/>
                <w:color w:val="auto"/>
                <w:sz w:val="24"/>
                <w:szCs w:val="24"/>
                <w:highlight w:val="none"/>
                <w:lang w:eastAsia="zh-CN"/>
              </w:rPr>
              <w:t>肥西县公共资源交易有限责任公司</w:t>
            </w:r>
          </w:p>
          <w:p w14:paraId="3B7A43BC">
            <w:pPr>
              <w:spacing w:line="440" w:lineRule="exact"/>
              <w:rPr>
                <w:rFonts w:hint="eastAsia"/>
                <w:color w:val="auto"/>
                <w:sz w:val="24"/>
                <w:szCs w:val="24"/>
                <w:highlight w:val="none"/>
              </w:rPr>
            </w:pPr>
            <w:r>
              <w:rPr>
                <w:rFonts w:hint="eastAsia"/>
                <w:color w:val="auto"/>
                <w:sz w:val="24"/>
                <w:szCs w:val="24"/>
                <w:highlight w:val="none"/>
              </w:rPr>
              <w:t>账号：6232594999000546067</w:t>
            </w:r>
          </w:p>
          <w:p w14:paraId="2C892610">
            <w:pPr>
              <w:spacing w:line="440" w:lineRule="exact"/>
              <w:rPr>
                <w:rFonts w:hint="eastAsia"/>
                <w:color w:val="auto"/>
                <w:sz w:val="24"/>
                <w:szCs w:val="24"/>
                <w:highlight w:val="none"/>
              </w:rPr>
            </w:pPr>
            <w:r>
              <w:rPr>
                <w:rFonts w:hint="eastAsia"/>
                <w:color w:val="auto"/>
                <w:sz w:val="24"/>
                <w:szCs w:val="24"/>
                <w:highlight w:val="none"/>
              </w:rPr>
              <w:t>（4）注意事项：</w:t>
            </w:r>
          </w:p>
          <w:p w14:paraId="2DB80A5B">
            <w:pPr>
              <w:spacing w:line="440" w:lineRule="exact"/>
              <w:rPr>
                <w:rFonts w:hint="eastAsia"/>
                <w:color w:val="auto"/>
                <w:sz w:val="24"/>
                <w:szCs w:val="24"/>
                <w:highlight w:val="none"/>
                <w:lang w:val="en-US"/>
              </w:rPr>
            </w:pPr>
            <w:r>
              <w:rPr>
                <w:rFonts w:hint="eastAsia"/>
                <w:color w:val="auto"/>
                <w:sz w:val="24"/>
                <w:szCs w:val="24"/>
                <w:highlight w:val="none"/>
                <w:lang w:val="en-US"/>
              </w:rPr>
              <w:t>①电子交易服务费采用虚拟账号，项目</w:t>
            </w:r>
            <w:r>
              <w:rPr>
                <w:rFonts w:hint="eastAsia"/>
                <w:color w:val="auto"/>
                <w:sz w:val="24"/>
                <w:szCs w:val="24"/>
                <w:highlight w:val="none"/>
                <w:lang w:val="en-US" w:eastAsia="zh-CN"/>
              </w:rPr>
              <w:t>比选</w:t>
            </w:r>
            <w:r>
              <w:rPr>
                <w:rFonts w:hint="eastAsia"/>
                <w:color w:val="auto"/>
                <w:sz w:val="24"/>
                <w:szCs w:val="24"/>
                <w:highlight w:val="none"/>
                <w:lang w:val="en-US"/>
              </w:rPr>
              <w:t>失败后，电子交易服务费交纳账号将会发生变化，请供应商参与后续</w:t>
            </w:r>
            <w:r>
              <w:rPr>
                <w:rFonts w:hint="eastAsia"/>
                <w:color w:val="auto"/>
                <w:sz w:val="24"/>
                <w:szCs w:val="24"/>
                <w:highlight w:val="none"/>
                <w:lang w:val="en-US" w:eastAsia="zh-CN"/>
              </w:rPr>
              <w:t>比选</w:t>
            </w:r>
            <w:r>
              <w:rPr>
                <w:rFonts w:hint="eastAsia"/>
                <w:color w:val="auto"/>
                <w:sz w:val="24"/>
                <w:szCs w:val="24"/>
                <w:highlight w:val="none"/>
                <w:lang w:val="en-US"/>
              </w:rPr>
              <w:t xml:space="preserve">时，注意勿将电子交易服务费错交至其他项目账号或前次公告账号。 </w:t>
            </w:r>
          </w:p>
          <w:p w14:paraId="1626FC48">
            <w:pPr>
              <w:spacing w:line="440" w:lineRule="exact"/>
              <w:rPr>
                <w:rFonts w:hint="eastAsia"/>
                <w:color w:val="auto"/>
                <w:sz w:val="24"/>
                <w:szCs w:val="24"/>
                <w:highlight w:val="none"/>
                <w:lang w:val="en-US"/>
              </w:rPr>
            </w:pPr>
            <w:r>
              <w:rPr>
                <w:rFonts w:hint="eastAsia"/>
                <w:color w:val="auto"/>
                <w:sz w:val="24"/>
                <w:szCs w:val="24"/>
                <w:highlight w:val="none"/>
                <w:lang w:val="en-US"/>
              </w:rPr>
              <w:t xml:space="preserve">②凡转账到其他项目账户或本项目前次公告账户的，电子交易服务费无效。 </w:t>
            </w:r>
          </w:p>
          <w:p w14:paraId="58D65ABA">
            <w:pPr>
              <w:spacing w:line="440" w:lineRule="exact"/>
              <w:rPr>
                <w:rFonts w:hint="eastAsia"/>
                <w:color w:val="auto"/>
                <w:sz w:val="24"/>
                <w:szCs w:val="24"/>
                <w:highlight w:val="none"/>
                <w:lang w:val="en-US"/>
              </w:rPr>
            </w:pPr>
            <w:r>
              <w:rPr>
                <w:rFonts w:hint="eastAsia"/>
                <w:color w:val="auto"/>
                <w:sz w:val="24"/>
                <w:szCs w:val="24"/>
                <w:highlight w:val="none"/>
                <w:lang w:val="en-US"/>
              </w:rPr>
              <w:t>③供应商参与本项目多个包别</w:t>
            </w:r>
            <w:r>
              <w:rPr>
                <w:rFonts w:hint="eastAsia"/>
                <w:color w:val="auto"/>
                <w:sz w:val="24"/>
                <w:szCs w:val="24"/>
                <w:highlight w:val="none"/>
                <w:lang w:val="en-US" w:eastAsia="zh-CN"/>
              </w:rPr>
              <w:t>比选</w:t>
            </w:r>
            <w:r>
              <w:rPr>
                <w:rFonts w:hint="eastAsia"/>
                <w:color w:val="auto"/>
                <w:sz w:val="24"/>
                <w:szCs w:val="24"/>
                <w:highlight w:val="none"/>
                <w:lang w:val="en-US"/>
              </w:rPr>
              <w:t>的（如分多包别的），应该按包别分别递交电子交易服务费。未递交电子交易服务费的包别，其响应无效。</w:t>
            </w:r>
          </w:p>
          <w:p w14:paraId="1E00BED1">
            <w:pPr>
              <w:spacing w:line="440" w:lineRule="exact"/>
              <w:rPr>
                <w:rFonts w:hint="eastAsia"/>
                <w:color w:val="auto"/>
                <w:sz w:val="24"/>
                <w:szCs w:val="24"/>
                <w:highlight w:val="none"/>
              </w:rPr>
            </w:pPr>
            <w:r>
              <w:rPr>
                <w:rFonts w:hint="eastAsia"/>
                <w:color w:val="auto"/>
                <w:sz w:val="24"/>
                <w:szCs w:val="24"/>
                <w:highlight w:val="none"/>
                <w:lang w:val="en-US"/>
              </w:rPr>
              <w:t>④由于优质采云采购平台端口限制，供应商在优质采云采购平台看到的保证金（200元），其费用及效力等同于</w:t>
            </w:r>
            <w:r>
              <w:rPr>
                <w:rFonts w:hint="eastAsia"/>
                <w:color w:val="auto"/>
                <w:sz w:val="24"/>
                <w:szCs w:val="24"/>
                <w:highlight w:val="none"/>
                <w:lang w:val="en-US" w:eastAsia="zh-CN"/>
              </w:rPr>
              <w:t>比选</w:t>
            </w:r>
            <w:r>
              <w:rPr>
                <w:rFonts w:hint="eastAsia"/>
                <w:color w:val="auto"/>
                <w:sz w:val="24"/>
                <w:szCs w:val="24"/>
                <w:highlight w:val="none"/>
                <w:lang w:val="en-US"/>
              </w:rPr>
              <w:t>文件的电子交易服务费。</w:t>
            </w:r>
          </w:p>
        </w:tc>
      </w:tr>
      <w:tr w14:paraId="04DF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559" w:type="pct"/>
            <w:vAlign w:val="center"/>
          </w:tcPr>
          <w:p w14:paraId="3C1A1DE9">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10</w:t>
            </w:r>
          </w:p>
        </w:tc>
        <w:tc>
          <w:tcPr>
            <w:tcW w:w="818" w:type="pct"/>
            <w:vAlign w:val="center"/>
          </w:tcPr>
          <w:p w14:paraId="63E3FD15">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lang w:eastAsia="zh-CN"/>
              </w:rPr>
              <w:t>比选</w:t>
            </w:r>
            <w:r>
              <w:rPr>
                <w:rFonts w:hint="eastAsia" w:cs="宋体"/>
                <w:bCs/>
                <w:color w:val="auto"/>
                <w:kern w:val="2"/>
                <w:szCs w:val="24"/>
                <w:highlight w:val="none"/>
              </w:rPr>
              <w:t>现场提交的其他材料要求</w:t>
            </w:r>
          </w:p>
        </w:tc>
        <w:tc>
          <w:tcPr>
            <w:tcW w:w="3622" w:type="pct"/>
            <w:vAlign w:val="center"/>
          </w:tcPr>
          <w:p w14:paraId="41B9614B">
            <w:pPr>
              <w:pStyle w:val="24"/>
              <w:widowControl w:val="0"/>
              <w:spacing w:before="0" w:beforeAutospacing="0" w:after="0" w:afterAutospacing="0" w:line="360" w:lineRule="auto"/>
              <w:jc w:val="both"/>
              <w:rPr>
                <w:rFonts w:cs="宋体"/>
                <w:b w:val="0"/>
                <w:color w:val="auto"/>
                <w:sz w:val="24"/>
                <w:szCs w:val="24"/>
                <w:highlight w:val="none"/>
                <w:u w:val="single"/>
              </w:rPr>
            </w:pPr>
            <w:r>
              <w:rPr>
                <w:rFonts w:hint="eastAsia" w:cs="宋体"/>
                <w:b w:val="0"/>
                <w:color w:val="auto"/>
                <w:sz w:val="24"/>
                <w:szCs w:val="24"/>
                <w:highlight w:val="none"/>
                <w:u w:val="single"/>
              </w:rPr>
              <w:t>无</w:t>
            </w:r>
          </w:p>
        </w:tc>
      </w:tr>
      <w:tr w14:paraId="69CA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AF7669A">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11</w:t>
            </w:r>
          </w:p>
        </w:tc>
        <w:tc>
          <w:tcPr>
            <w:tcW w:w="818" w:type="pct"/>
            <w:vAlign w:val="center"/>
          </w:tcPr>
          <w:p w14:paraId="313C7BEC">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响应文件解密时间</w:t>
            </w:r>
          </w:p>
        </w:tc>
        <w:tc>
          <w:tcPr>
            <w:tcW w:w="3622" w:type="pct"/>
            <w:vAlign w:val="center"/>
          </w:tcPr>
          <w:p w14:paraId="4190C957">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t>响应文件提交截止时间后30分钟内（以系统解密倒计时为准）</w:t>
            </w:r>
          </w:p>
        </w:tc>
      </w:tr>
      <w:tr w14:paraId="404F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restart"/>
            <w:vAlign w:val="center"/>
          </w:tcPr>
          <w:p w14:paraId="6D60770C">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12</w:t>
            </w:r>
          </w:p>
        </w:tc>
        <w:tc>
          <w:tcPr>
            <w:tcW w:w="818" w:type="pct"/>
            <w:vMerge w:val="restart"/>
            <w:vAlign w:val="center"/>
          </w:tcPr>
          <w:p w14:paraId="5CE5F295">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确定成交候选人和成交人</w:t>
            </w:r>
          </w:p>
        </w:tc>
        <w:tc>
          <w:tcPr>
            <w:tcW w:w="3622" w:type="pct"/>
            <w:vAlign w:val="center"/>
          </w:tcPr>
          <w:p w14:paraId="69BB98F9">
            <w:pPr>
              <w:pStyle w:val="24"/>
              <w:widowControl w:val="0"/>
              <w:spacing w:before="0" w:beforeAutospacing="0" w:after="0" w:afterAutospacing="0" w:line="360" w:lineRule="auto"/>
              <w:jc w:val="both"/>
              <w:rPr>
                <w:rFonts w:cs="宋体"/>
                <w:b w:val="0"/>
                <w:color w:val="auto"/>
                <w:sz w:val="24"/>
                <w:szCs w:val="24"/>
                <w:highlight w:val="none"/>
                <w:u w:val="single"/>
              </w:rPr>
            </w:pPr>
            <w:r>
              <w:rPr>
                <w:rFonts w:hint="eastAsia" w:cs="宋体"/>
                <w:b w:val="0"/>
                <w:color w:val="auto"/>
                <w:sz w:val="24"/>
                <w:szCs w:val="24"/>
                <w:highlight w:val="none"/>
              </w:rPr>
              <w:t>评审委员会推荐成交候选人的数量：</w:t>
            </w:r>
            <w:r>
              <w:rPr>
                <w:rFonts w:hint="eastAsia" w:cs="宋体"/>
                <w:b w:val="0"/>
                <w:color w:val="auto"/>
                <w:sz w:val="24"/>
                <w:szCs w:val="24"/>
                <w:highlight w:val="none"/>
                <w:u w:val="single"/>
              </w:rPr>
              <w:t>1家</w:t>
            </w:r>
          </w:p>
        </w:tc>
      </w:tr>
      <w:tr w14:paraId="6A4B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continue"/>
            <w:vAlign w:val="center"/>
          </w:tcPr>
          <w:p w14:paraId="1F6ECA4B">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p>
        </w:tc>
        <w:tc>
          <w:tcPr>
            <w:tcW w:w="818" w:type="pct"/>
            <w:vMerge w:val="continue"/>
            <w:vAlign w:val="center"/>
          </w:tcPr>
          <w:p w14:paraId="16F6B35C">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p>
        </w:tc>
        <w:tc>
          <w:tcPr>
            <w:tcW w:w="3622" w:type="pct"/>
            <w:vAlign w:val="center"/>
          </w:tcPr>
          <w:p w14:paraId="1EAA60A9">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t>确定成交人：</w:t>
            </w:r>
          </w:p>
          <w:p w14:paraId="3E359E88">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sym w:font="Wingdings 2" w:char="0052"/>
            </w:r>
            <w:r>
              <w:rPr>
                <w:rFonts w:hint="eastAsia" w:cs="宋体"/>
                <w:b w:val="0"/>
                <w:color w:val="auto"/>
                <w:sz w:val="24"/>
                <w:szCs w:val="24"/>
                <w:highlight w:val="none"/>
              </w:rPr>
              <w:t xml:space="preserve">业主单位委托评审委员会确定     </w:t>
            </w:r>
          </w:p>
          <w:p w14:paraId="347F481C">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sym w:font="Wingdings 2" w:char="00A3"/>
            </w:r>
            <w:r>
              <w:rPr>
                <w:rFonts w:hint="eastAsia" w:cs="宋体"/>
                <w:b w:val="0"/>
                <w:color w:val="auto"/>
                <w:sz w:val="24"/>
                <w:szCs w:val="24"/>
                <w:highlight w:val="none"/>
              </w:rPr>
              <w:t>业主单位确定</w:t>
            </w:r>
          </w:p>
        </w:tc>
      </w:tr>
      <w:tr w14:paraId="7FE3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D17929C">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13</w:t>
            </w:r>
          </w:p>
        </w:tc>
        <w:tc>
          <w:tcPr>
            <w:tcW w:w="818" w:type="pct"/>
            <w:vAlign w:val="center"/>
          </w:tcPr>
          <w:p w14:paraId="28B62C78">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成交通知书发出的形式</w:t>
            </w:r>
          </w:p>
        </w:tc>
        <w:tc>
          <w:tcPr>
            <w:tcW w:w="3622" w:type="pct"/>
            <w:vAlign w:val="center"/>
          </w:tcPr>
          <w:p w14:paraId="056F8739">
            <w:pPr>
              <w:pStyle w:val="24"/>
              <w:widowControl w:val="0"/>
              <w:spacing w:before="0" w:beforeAutospacing="0" w:after="0" w:afterAutospacing="0" w:line="360" w:lineRule="auto"/>
              <w:jc w:val="both"/>
              <w:rPr>
                <w:rFonts w:cs="宋体"/>
                <w:b w:val="0"/>
                <w:color w:val="auto"/>
                <w:sz w:val="24"/>
                <w:szCs w:val="24"/>
                <w:highlight w:val="none"/>
              </w:rPr>
            </w:pPr>
            <w:r>
              <w:rPr>
                <w:rFonts w:ascii="Segoe UI Symbol" w:hAnsi="Segoe UI Symbol" w:cs="Segoe UI Symbol"/>
                <w:b w:val="0"/>
                <w:color w:val="auto"/>
                <w:sz w:val="24"/>
                <w:szCs w:val="24"/>
                <w:highlight w:val="none"/>
              </w:rPr>
              <w:t>☑</w:t>
            </w:r>
            <w:r>
              <w:rPr>
                <w:rFonts w:hint="eastAsia" w:cs="宋体"/>
                <w:b w:val="0"/>
                <w:color w:val="auto"/>
                <w:sz w:val="24"/>
                <w:szCs w:val="24"/>
                <w:highlight w:val="none"/>
              </w:rPr>
              <w:t xml:space="preserve">书面     </w:t>
            </w:r>
            <w:r>
              <w:rPr>
                <w:rFonts w:hint="eastAsia" w:cs="宋体"/>
                <w:b w:val="0"/>
                <w:color w:val="auto"/>
                <w:sz w:val="24"/>
                <w:szCs w:val="24"/>
                <w:highlight w:val="none"/>
              </w:rPr>
              <w:sym w:font="Wingdings" w:char="00A8"/>
            </w:r>
            <w:r>
              <w:rPr>
                <w:rFonts w:hint="eastAsia" w:cs="宋体"/>
                <w:b w:val="0"/>
                <w:color w:val="auto"/>
                <w:sz w:val="24"/>
                <w:szCs w:val="24"/>
                <w:highlight w:val="none"/>
              </w:rPr>
              <w:t>数据电文</w:t>
            </w:r>
          </w:p>
        </w:tc>
      </w:tr>
      <w:tr w14:paraId="785E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11F11A9">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14</w:t>
            </w:r>
          </w:p>
        </w:tc>
        <w:tc>
          <w:tcPr>
            <w:tcW w:w="818" w:type="pct"/>
            <w:vAlign w:val="center"/>
          </w:tcPr>
          <w:p w14:paraId="395D8635">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告知</w:t>
            </w:r>
            <w:r>
              <w:rPr>
                <w:rFonts w:hint="eastAsia" w:cs="宋体"/>
                <w:bCs/>
                <w:color w:val="auto"/>
                <w:kern w:val="2"/>
                <w:szCs w:val="24"/>
                <w:highlight w:val="none"/>
                <w:lang w:eastAsia="zh-CN"/>
              </w:rPr>
              <w:t>比选</w:t>
            </w:r>
            <w:r>
              <w:rPr>
                <w:rFonts w:hint="eastAsia" w:cs="宋体"/>
                <w:bCs/>
                <w:color w:val="auto"/>
                <w:kern w:val="2"/>
                <w:szCs w:val="24"/>
                <w:highlight w:val="none"/>
              </w:rPr>
              <w:t>结果的形式</w:t>
            </w:r>
          </w:p>
        </w:tc>
        <w:tc>
          <w:tcPr>
            <w:tcW w:w="3622" w:type="pct"/>
            <w:vAlign w:val="center"/>
          </w:tcPr>
          <w:p w14:paraId="172BEF14">
            <w:pPr>
              <w:pStyle w:val="24"/>
              <w:widowControl w:val="0"/>
              <w:spacing w:before="0" w:beforeAutospacing="0" w:after="0" w:afterAutospacing="0" w:line="360" w:lineRule="auto"/>
              <w:jc w:val="both"/>
              <w:rPr>
                <w:rFonts w:cs="宋体"/>
                <w:b w:val="0"/>
                <w:bCs w:val="0"/>
                <w:color w:val="auto"/>
                <w:sz w:val="24"/>
                <w:szCs w:val="24"/>
                <w:highlight w:val="none"/>
              </w:rPr>
            </w:pPr>
            <w:r>
              <w:rPr>
                <w:rFonts w:hint="eastAsia" w:cs="宋体"/>
                <w:b w:val="0"/>
                <w:color w:val="auto"/>
                <w:sz w:val="24"/>
                <w:szCs w:val="24"/>
                <w:highlight w:val="none"/>
              </w:rPr>
              <w:sym w:font="Wingdings" w:char="F0FE"/>
            </w:r>
            <w:r>
              <w:rPr>
                <w:rFonts w:hint="eastAsia" w:cs="宋体"/>
                <w:b w:val="0"/>
                <w:bCs w:val="0"/>
                <w:color w:val="auto"/>
                <w:sz w:val="24"/>
                <w:szCs w:val="24"/>
                <w:highlight w:val="none"/>
              </w:rPr>
              <w:t>供应商自行登录系统查看</w:t>
            </w:r>
          </w:p>
          <w:p w14:paraId="56420B6F">
            <w:pPr>
              <w:pStyle w:val="24"/>
              <w:widowControl w:val="0"/>
              <w:spacing w:before="0" w:beforeAutospacing="0" w:after="0" w:afterAutospacing="0" w:line="360" w:lineRule="auto"/>
              <w:jc w:val="both"/>
              <w:rPr>
                <w:rFonts w:cs="宋体"/>
                <w:b w:val="0"/>
                <w:bCs w:val="0"/>
                <w:color w:val="auto"/>
                <w:sz w:val="24"/>
                <w:szCs w:val="24"/>
                <w:highlight w:val="none"/>
              </w:rPr>
            </w:pPr>
            <w:r>
              <w:rPr>
                <w:rFonts w:hint="eastAsia" w:cs="宋体"/>
                <w:b w:val="0"/>
                <w:color w:val="auto"/>
                <w:sz w:val="24"/>
                <w:szCs w:val="24"/>
                <w:highlight w:val="none"/>
              </w:rPr>
              <w:t>□</w:t>
            </w:r>
            <w:r>
              <w:rPr>
                <w:rFonts w:hint="eastAsia" w:cs="宋体"/>
                <w:b w:val="0"/>
                <w:color w:val="auto"/>
                <w:sz w:val="24"/>
                <w:szCs w:val="24"/>
                <w:highlight w:val="none"/>
                <w:lang w:eastAsia="zh-CN"/>
              </w:rPr>
              <w:t>比选</w:t>
            </w:r>
            <w:r>
              <w:rPr>
                <w:rFonts w:hint="eastAsia" w:cs="宋体"/>
                <w:b w:val="0"/>
                <w:color w:val="auto"/>
                <w:sz w:val="24"/>
                <w:szCs w:val="24"/>
                <w:highlight w:val="none"/>
              </w:rPr>
              <w:t>现场告知</w:t>
            </w:r>
          </w:p>
        </w:tc>
      </w:tr>
      <w:tr w14:paraId="152A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C0639FD">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15</w:t>
            </w:r>
          </w:p>
        </w:tc>
        <w:tc>
          <w:tcPr>
            <w:tcW w:w="818" w:type="pct"/>
            <w:vAlign w:val="center"/>
          </w:tcPr>
          <w:p w14:paraId="3F1F7B7D">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履约保证金</w:t>
            </w:r>
          </w:p>
        </w:tc>
        <w:tc>
          <w:tcPr>
            <w:tcW w:w="3622" w:type="pct"/>
          </w:tcPr>
          <w:p w14:paraId="4691CA27">
            <w:pPr>
              <w:snapToGrid w:val="0"/>
              <w:spacing w:line="360" w:lineRule="auto"/>
              <w:rPr>
                <w:rFonts w:cs="宋体"/>
                <w:snapToGrid w:val="0"/>
                <w:color w:val="auto"/>
                <w:sz w:val="24"/>
                <w:szCs w:val="24"/>
                <w:highlight w:val="none"/>
              </w:rPr>
            </w:pPr>
            <w:r>
              <w:rPr>
                <w:rFonts w:hint="eastAsia" w:cs="宋体"/>
                <w:color w:val="auto"/>
                <w:sz w:val="24"/>
                <w:szCs w:val="24"/>
                <w:highlight w:val="none"/>
              </w:rPr>
              <w:t xml:space="preserve">□收取     </w:t>
            </w:r>
            <w:r>
              <w:rPr>
                <w:rFonts w:hint="eastAsia" w:cs="宋体"/>
                <w:color w:val="auto"/>
                <w:sz w:val="24"/>
                <w:szCs w:val="24"/>
                <w:highlight w:val="none"/>
              </w:rPr>
              <w:sym w:font="Wingdings" w:char="00FE"/>
            </w:r>
            <w:r>
              <w:rPr>
                <w:rFonts w:hint="eastAsia" w:cs="宋体"/>
                <w:color w:val="auto"/>
                <w:sz w:val="24"/>
                <w:szCs w:val="24"/>
                <w:highlight w:val="none"/>
              </w:rPr>
              <w:t>不收取</w:t>
            </w:r>
          </w:p>
          <w:p w14:paraId="32964501">
            <w:pPr>
              <w:snapToGrid w:val="0"/>
              <w:spacing w:line="360" w:lineRule="auto"/>
              <w:rPr>
                <w:rFonts w:cs="宋体"/>
                <w:bCs/>
                <w:snapToGrid w:val="0"/>
                <w:color w:val="auto"/>
                <w:sz w:val="24"/>
                <w:szCs w:val="24"/>
                <w:highlight w:val="none"/>
              </w:rPr>
            </w:pPr>
            <w:r>
              <w:rPr>
                <w:rFonts w:hint="eastAsia" w:cs="宋体"/>
                <w:snapToGrid w:val="0"/>
                <w:color w:val="auto"/>
                <w:sz w:val="24"/>
                <w:szCs w:val="24"/>
                <w:highlight w:val="none"/>
              </w:rPr>
              <w:t>（1）金额：</w:t>
            </w:r>
          </w:p>
          <w:p w14:paraId="182C377A">
            <w:pPr>
              <w:snapToGrid w:val="0"/>
              <w:spacing w:line="360" w:lineRule="auto"/>
              <w:rPr>
                <w:rFonts w:cs="宋体"/>
                <w:color w:val="auto"/>
                <w:sz w:val="24"/>
                <w:szCs w:val="24"/>
                <w:highlight w:val="none"/>
              </w:rPr>
            </w:pPr>
            <w:r>
              <w:rPr>
                <w:rFonts w:hint="eastAsia" w:cs="宋体"/>
                <w:bCs/>
                <w:snapToGrid w:val="0"/>
                <w:color w:val="auto"/>
                <w:sz w:val="24"/>
                <w:szCs w:val="24"/>
                <w:highlight w:val="none"/>
              </w:rPr>
              <w:t>（2）缴纳形式</w:t>
            </w:r>
            <w:r>
              <w:rPr>
                <w:rFonts w:hint="eastAsia" w:cs="宋体"/>
                <w:color w:val="auto"/>
                <w:sz w:val="24"/>
                <w:szCs w:val="24"/>
                <w:highlight w:val="none"/>
              </w:rPr>
              <w:t>：</w:t>
            </w:r>
            <w:r>
              <w:rPr>
                <w:rFonts w:hint="eastAsia" w:cs="宋体"/>
                <w:color w:val="auto"/>
                <w:sz w:val="24"/>
                <w:szCs w:val="24"/>
                <w:highlight w:val="none"/>
              </w:rPr>
              <w:sym w:font="Wingdings 2" w:char="00A3"/>
            </w:r>
            <w:r>
              <w:rPr>
                <w:rFonts w:hint="eastAsia" w:cs="宋体"/>
                <w:color w:val="auto"/>
                <w:sz w:val="24"/>
                <w:szCs w:val="24"/>
                <w:highlight w:val="none"/>
              </w:rPr>
              <w:t xml:space="preserve">银行转账  </w:t>
            </w:r>
            <w:r>
              <w:rPr>
                <w:rFonts w:hint="eastAsia" w:cs="宋体"/>
                <w:color w:val="auto"/>
                <w:sz w:val="24"/>
                <w:szCs w:val="24"/>
                <w:highlight w:val="none"/>
              </w:rPr>
              <w:sym w:font="Wingdings 2" w:char="00A3"/>
            </w:r>
            <w:r>
              <w:rPr>
                <w:rFonts w:hint="eastAsia" w:cs="宋体"/>
                <w:color w:val="auto"/>
                <w:sz w:val="24"/>
                <w:szCs w:val="24"/>
                <w:highlight w:val="none"/>
              </w:rPr>
              <w:t xml:space="preserve">银行电汇  </w:t>
            </w:r>
            <w:r>
              <w:rPr>
                <w:rFonts w:hint="eastAsia" w:cs="宋体"/>
                <w:color w:val="auto"/>
                <w:sz w:val="24"/>
                <w:szCs w:val="24"/>
                <w:highlight w:val="none"/>
              </w:rPr>
              <w:sym w:font="Wingdings 2" w:char="00A3"/>
            </w:r>
            <w:r>
              <w:rPr>
                <w:rFonts w:hint="eastAsia" w:cs="宋体"/>
                <w:color w:val="auto"/>
                <w:sz w:val="24"/>
                <w:szCs w:val="24"/>
                <w:highlight w:val="none"/>
              </w:rPr>
              <w:t>银行保函</w:t>
            </w:r>
          </w:p>
          <w:p w14:paraId="4242F9CC">
            <w:pPr>
              <w:snapToGrid w:val="0"/>
              <w:spacing w:line="360" w:lineRule="auto"/>
              <w:rPr>
                <w:rFonts w:cs="宋体"/>
                <w:b/>
                <w:bCs/>
                <w:snapToGrid w:val="0"/>
                <w:color w:val="auto"/>
                <w:sz w:val="24"/>
                <w:szCs w:val="24"/>
                <w:highlight w:val="none"/>
              </w:rPr>
            </w:pPr>
            <w:r>
              <w:rPr>
                <w:rFonts w:hint="eastAsia" w:cs="宋体"/>
                <w:color w:val="auto"/>
                <w:sz w:val="24"/>
                <w:szCs w:val="24"/>
                <w:highlight w:val="none"/>
              </w:rPr>
              <w:t>（3）具体要求：采用银行保函的，应为不可撤销、不可转让的见索即付独立保函。</w:t>
            </w:r>
          </w:p>
          <w:p w14:paraId="109E7501">
            <w:pPr>
              <w:pStyle w:val="24"/>
              <w:widowControl w:val="0"/>
              <w:spacing w:before="0" w:beforeAutospacing="0" w:after="0" w:afterAutospacing="0" w:line="360" w:lineRule="auto"/>
              <w:jc w:val="both"/>
              <w:rPr>
                <w:rFonts w:hint="eastAsia" w:eastAsia="宋体" w:cs="宋体"/>
                <w:b w:val="0"/>
                <w:bCs w:val="0"/>
                <w:color w:val="auto"/>
                <w:sz w:val="24"/>
                <w:szCs w:val="24"/>
                <w:highlight w:val="none"/>
                <w:u w:val="single"/>
                <w:lang w:val="en-US" w:eastAsia="zh-CN"/>
              </w:rPr>
            </w:pPr>
            <w:r>
              <w:rPr>
                <w:rFonts w:hint="eastAsia" w:cs="宋体"/>
                <w:b w:val="0"/>
                <w:bCs w:val="0"/>
                <w:color w:val="auto"/>
                <w:sz w:val="24"/>
                <w:szCs w:val="24"/>
                <w:highlight w:val="none"/>
              </w:rPr>
              <w:t>（4）收取单位：</w:t>
            </w:r>
            <w:r>
              <w:rPr>
                <w:rFonts w:hint="eastAsia" w:cs="宋体"/>
                <w:b w:val="0"/>
                <w:bCs w:val="0"/>
                <w:color w:val="auto"/>
                <w:sz w:val="24"/>
                <w:szCs w:val="24"/>
                <w:highlight w:val="none"/>
                <w:lang w:val="en-US" w:eastAsia="zh-CN"/>
              </w:rPr>
              <w:t>/</w:t>
            </w:r>
          </w:p>
          <w:p w14:paraId="4063FC42">
            <w:pPr>
              <w:pStyle w:val="24"/>
              <w:widowControl w:val="0"/>
              <w:spacing w:before="0" w:beforeAutospacing="0" w:after="0" w:afterAutospacing="0" w:line="360" w:lineRule="auto"/>
              <w:jc w:val="both"/>
              <w:rPr>
                <w:rFonts w:hint="eastAsia" w:eastAsia="宋体" w:cs="宋体"/>
                <w:b w:val="0"/>
                <w:color w:val="auto"/>
                <w:sz w:val="24"/>
                <w:highlight w:val="none"/>
                <w:u w:val="single"/>
                <w:lang w:val="en-US" w:eastAsia="zh-CN"/>
              </w:rPr>
            </w:pPr>
            <w:r>
              <w:rPr>
                <w:rFonts w:hint="eastAsia" w:cs="宋体"/>
                <w:b w:val="0"/>
                <w:color w:val="auto"/>
                <w:sz w:val="24"/>
                <w:highlight w:val="none"/>
              </w:rPr>
              <w:t>（5）缴纳时间：</w:t>
            </w:r>
            <w:r>
              <w:rPr>
                <w:rFonts w:hint="eastAsia" w:cs="宋体"/>
                <w:b w:val="0"/>
                <w:color w:val="auto"/>
                <w:sz w:val="24"/>
                <w:highlight w:val="none"/>
                <w:lang w:val="en-US" w:eastAsia="zh-CN"/>
              </w:rPr>
              <w:t>/</w:t>
            </w:r>
          </w:p>
          <w:p w14:paraId="0A986E20">
            <w:pPr>
              <w:pStyle w:val="24"/>
              <w:widowControl w:val="0"/>
              <w:spacing w:before="0" w:beforeAutospacing="0" w:after="0" w:afterAutospacing="0" w:line="360" w:lineRule="auto"/>
              <w:jc w:val="both"/>
              <w:rPr>
                <w:rFonts w:cs="宋体"/>
                <w:b w:val="0"/>
                <w:bCs w:val="0"/>
                <w:color w:val="auto"/>
                <w:sz w:val="24"/>
                <w:szCs w:val="24"/>
                <w:highlight w:val="none"/>
                <w:u w:val="single"/>
              </w:rPr>
            </w:pPr>
            <w:r>
              <w:rPr>
                <w:rFonts w:hint="eastAsia" w:cs="宋体"/>
                <w:b w:val="0"/>
                <w:color w:val="auto"/>
                <w:sz w:val="24"/>
                <w:highlight w:val="none"/>
              </w:rPr>
              <w:t>（6）退还时间：如乙方运营期间无违约情况发生，履约保证金在合同期满后退还乙方,详见合同。</w:t>
            </w:r>
          </w:p>
        </w:tc>
      </w:tr>
      <w:tr w14:paraId="2325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F7742F0">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16</w:t>
            </w:r>
          </w:p>
        </w:tc>
        <w:tc>
          <w:tcPr>
            <w:tcW w:w="818" w:type="pct"/>
            <w:vAlign w:val="center"/>
          </w:tcPr>
          <w:p w14:paraId="01FC5DB7">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楷体"/>
                <w:bCs/>
                <w:snapToGrid w:val="0"/>
                <w:color w:val="auto"/>
                <w:szCs w:val="24"/>
                <w:highlight w:val="none"/>
              </w:rPr>
              <w:t>代理服务费</w:t>
            </w:r>
          </w:p>
        </w:tc>
        <w:tc>
          <w:tcPr>
            <w:tcW w:w="3622" w:type="pct"/>
            <w:vAlign w:val="center"/>
          </w:tcPr>
          <w:p w14:paraId="2E493592">
            <w:pPr>
              <w:pStyle w:val="24"/>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（1）金额：</w:t>
            </w:r>
          </w:p>
          <w:p w14:paraId="3D3860EB">
            <w:pPr>
              <w:pStyle w:val="24"/>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w:t>
            </w:r>
            <w:r>
              <w:rPr>
                <w:rFonts w:hint="eastAsia"/>
                <w:b w:val="0"/>
                <w:color w:val="auto"/>
                <w:sz w:val="24"/>
                <w:highlight w:val="none"/>
              </w:rPr>
              <w:t>定额收取：人民币</w:t>
            </w:r>
            <w:r>
              <w:rPr>
                <w:rFonts w:hint="eastAsia"/>
                <w:b w:val="0"/>
                <w:color w:val="auto"/>
                <w:sz w:val="24"/>
                <w:highlight w:val="none"/>
                <w:lang w:val="en-US" w:eastAsia="zh-CN"/>
              </w:rPr>
              <w:t xml:space="preserve"> </w:t>
            </w:r>
            <w:r>
              <w:rPr>
                <w:rFonts w:hint="eastAsia"/>
                <w:b w:val="0"/>
                <w:color w:val="auto"/>
                <w:sz w:val="24"/>
                <w:highlight w:val="none"/>
              </w:rPr>
              <w:t>元</w:t>
            </w:r>
          </w:p>
          <w:p w14:paraId="5670104B">
            <w:pPr>
              <w:pStyle w:val="24"/>
              <w:widowControl w:val="0"/>
              <w:spacing w:before="0" w:beforeAutospacing="0" w:after="0" w:afterAutospacing="0" w:line="360" w:lineRule="auto"/>
              <w:jc w:val="both"/>
              <w:rPr>
                <w:rFonts w:hint="default" w:eastAsia="宋体"/>
                <w:color w:val="auto"/>
                <w:sz w:val="24"/>
                <w:highlight w:val="none"/>
                <w:lang w:val="en-US" w:eastAsia="zh-CN"/>
              </w:rPr>
            </w:pPr>
            <w:r>
              <w:rPr>
                <w:rFonts w:hint="eastAsia" w:ascii="Segoe UI Symbol" w:hAnsi="Segoe UI Symbol" w:cs="Segoe UI Symbol"/>
                <w:bCs w:val="0"/>
                <w:color w:val="auto"/>
                <w:sz w:val="24"/>
                <w:highlight w:val="none"/>
                <w:lang w:eastAsia="zh-CN"/>
              </w:rPr>
              <w:t>☑</w:t>
            </w:r>
            <w:r>
              <w:rPr>
                <w:rFonts w:hint="eastAsia"/>
                <w:b w:val="0"/>
                <w:color w:val="auto"/>
                <w:sz w:val="24"/>
                <w:highlight w:val="none"/>
              </w:rPr>
              <w:t>按下列标准收取：</w:t>
            </w:r>
            <w:r>
              <w:rPr>
                <w:rFonts w:hint="eastAsia"/>
                <w:b w:val="0"/>
                <w:color w:val="auto"/>
                <w:sz w:val="24"/>
                <w:highlight w:val="none"/>
                <w:u w:val="single"/>
              </w:rPr>
              <w:t>详见附件1《代理服务费收费标准》，不足4000元按4000元收取。</w:t>
            </w:r>
            <w:r>
              <w:rPr>
                <w:rFonts w:hint="eastAsia"/>
                <w:b w:val="0"/>
                <w:color w:val="auto"/>
                <w:sz w:val="24"/>
                <w:highlight w:val="none"/>
                <w:u w:val="single"/>
                <w:lang w:val="en-US" w:eastAsia="zh-CN"/>
              </w:rPr>
              <w:t>本项目代理费按成交金额（即X元/年*3年)计取。</w:t>
            </w:r>
          </w:p>
          <w:p w14:paraId="6A9EEB9E">
            <w:pPr>
              <w:pStyle w:val="24"/>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（2）支付方式：☑</w:t>
            </w:r>
            <w:r>
              <w:rPr>
                <w:b w:val="0"/>
                <w:color w:val="auto"/>
                <w:sz w:val="24"/>
                <w:highlight w:val="none"/>
              </w:rPr>
              <w:t>转账/电汇</w:t>
            </w:r>
          </w:p>
          <w:p w14:paraId="4C964CF0">
            <w:pPr>
              <w:spacing w:line="360" w:lineRule="auto"/>
              <w:rPr>
                <w:rFonts w:cs="宋体"/>
                <w:color w:val="auto"/>
                <w:sz w:val="24"/>
                <w:szCs w:val="24"/>
                <w:highlight w:val="none"/>
              </w:rPr>
            </w:pPr>
            <w:r>
              <w:rPr>
                <w:rFonts w:hint="eastAsia" w:cs="楷体"/>
                <w:bCs/>
                <w:snapToGrid w:val="0"/>
                <w:color w:val="auto"/>
                <w:sz w:val="24"/>
                <w:szCs w:val="24"/>
                <w:highlight w:val="none"/>
              </w:rPr>
              <w:t>备注：以上相关费用，供应商在报价单中不单列，包含在报价中，业主单位不再单独计量支付。</w:t>
            </w:r>
          </w:p>
        </w:tc>
      </w:tr>
      <w:tr w14:paraId="5C01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BD182CA">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17</w:t>
            </w:r>
          </w:p>
        </w:tc>
        <w:tc>
          <w:tcPr>
            <w:tcW w:w="818" w:type="pct"/>
            <w:vAlign w:val="center"/>
          </w:tcPr>
          <w:p w14:paraId="1BC33C6B">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补充约定</w:t>
            </w:r>
          </w:p>
        </w:tc>
        <w:tc>
          <w:tcPr>
            <w:tcW w:w="3622" w:type="pct"/>
            <w:vAlign w:val="center"/>
          </w:tcPr>
          <w:p w14:paraId="2D512E1C">
            <w:pPr>
              <w:numPr>
                <w:ilvl w:val="255"/>
                <w:numId w:val="0"/>
              </w:numPr>
              <w:adjustRightInd w:val="0"/>
              <w:snapToGrid w:val="0"/>
              <w:spacing w:line="360" w:lineRule="auto"/>
              <w:rPr>
                <w:rFonts w:cs="宋体"/>
                <w:color w:val="auto"/>
                <w:sz w:val="24"/>
                <w:szCs w:val="24"/>
                <w:highlight w:val="none"/>
              </w:rPr>
            </w:pPr>
            <w:r>
              <w:rPr>
                <w:rFonts w:hint="eastAsia" w:cs="宋体"/>
                <w:color w:val="auto"/>
                <w:sz w:val="24"/>
                <w:szCs w:val="24"/>
                <w:highlight w:val="none"/>
              </w:rPr>
              <w:t>（1）通过初审的供应商为3家及以上的，按</w:t>
            </w:r>
            <w:r>
              <w:rPr>
                <w:rFonts w:hint="eastAsia" w:cs="宋体"/>
                <w:color w:val="auto"/>
                <w:sz w:val="24"/>
                <w:szCs w:val="24"/>
                <w:highlight w:val="none"/>
                <w:lang w:eastAsia="zh-CN"/>
              </w:rPr>
              <w:t>比选</w:t>
            </w:r>
            <w:r>
              <w:rPr>
                <w:rFonts w:hint="eastAsia" w:cs="宋体"/>
                <w:color w:val="auto"/>
                <w:sz w:val="24"/>
                <w:szCs w:val="24"/>
                <w:highlight w:val="none"/>
              </w:rPr>
              <w:t>文件约定进行评审并确定结果；</w:t>
            </w:r>
          </w:p>
          <w:p w14:paraId="24B184E7">
            <w:pPr>
              <w:adjustRightInd w:val="0"/>
              <w:snapToGrid w:val="0"/>
              <w:spacing w:line="360" w:lineRule="auto"/>
              <w:rPr>
                <w:color w:val="auto"/>
                <w:highlight w:val="none"/>
              </w:rPr>
            </w:pPr>
            <w:r>
              <w:rPr>
                <w:rFonts w:hint="eastAsia" w:cs="宋体"/>
                <w:color w:val="auto"/>
                <w:sz w:val="24"/>
                <w:szCs w:val="24"/>
                <w:highlight w:val="none"/>
              </w:rPr>
              <w:t>（2）通过初审的供应商不足3家的，项目</w:t>
            </w:r>
            <w:r>
              <w:rPr>
                <w:rFonts w:hint="eastAsia" w:cs="宋体"/>
                <w:color w:val="auto"/>
                <w:sz w:val="24"/>
                <w:szCs w:val="24"/>
                <w:highlight w:val="none"/>
                <w:lang w:eastAsia="zh-CN"/>
              </w:rPr>
              <w:t>比选</w:t>
            </w:r>
            <w:r>
              <w:rPr>
                <w:rFonts w:hint="eastAsia" w:cs="宋体"/>
                <w:color w:val="auto"/>
                <w:sz w:val="24"/>
                <w:szCs w:val="24"/>
                <w:highlight w:val="none"/>
              </w:rPr>
              <w:t>失败。</w:t>
            </w:r>
          </w:p>
        </w:tc>
      </w:tr>
      <w:tr w14:paraId="10A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E900FA2">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18</w:t>
            </w:r>
          </w:p>
        </w:tc>
        <w:tc>
          <w:tcPr>
            <w:tcW w:w="818" w:type="pct"/>
            <w:vAlign w:val="center"/>
          </w:tcPr>
          <w:p w14:paraId="22FF9941">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报价须知</w:t>
            </w:r>
          </w:p>
        </w:tc>
        <w:tc>
          <w:tcPr>
            <w:tcW w:w="3622" w:type="pct"/>
            <w:vAlign w:val="center"/>
          </w:tcPr>
          <w:p w14:paraId="0735C3DE">
            <w:pPr>
              <w:spacing w:line="360" w:lineRule="auto"/>
              <w:rPr>
                <w:rFonts w:cs="宋体"/>
                <w:color w:val="auto"/>
                <w:sz w:val="24"/>
                <w:szCs w:val="24"/>
                <w:highlight w:val="none"/>
              </w:rPr>
            </w:pPr>
            <w:r>
              <w:rPr>
                <w:rFonts w:hint="eastAsia" w:cs="宋体"/>
                <w:bCs/>
                <w:color w:val="auto"/>
                <w:kern w:val="2"/>
                <w:sz w:val="24"/>
                <w:szCs w:val="24"/>
                <w:highlight w:val="none"/>
              </w:rPr>
              <w:t>供应商最终报价不得高于</w:t>
            </w:r>
            <w:r>
              <w:rPr>
                <w:rFonts w:hint="eastAsia" w:cs="宋体"/>
                <w:bCs/>
                <w:color w:val="auto"/>
                <w:kern w:val="2"/>
                <w:sz w:val="24"/>
                <w:szCs w:val="24"/>
                <w:highlight w:val="none"/>
                <w:lang w:eastAsia="zh-CN"/>
              </w:rPr>
              <w:t>比选</w:t>
            </w:r>
            <w:r>
              <w:rPr>
                <w:rFonts w:hint="eastAsia" w:cs="宋体"/>
                <w:bCs/>
                <w:color w:val="auto"/>
                <w:kern w:val="2"/>
                <w:sz w:val="24"/>
                <w:szCs w:val="24"/>
                <w:highlight w:val="none"/>
              </w:rPr>
              <w:t>文件（公告）列明的项目预算、最高限价，否则其响应文件将被否决。</w:t>
            </w:r>
          </w:p>
        </w:tc>
      </w:tr>
      <w:tr w14:paraId="5C8E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EB8FD64">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19</w:t>
            </w:r>
          </w:p>
        </w:tc>
        <w:tc>
          <w:tcPr>
            <w:tcW w:w="818" w:type="pct"/>
            <w:vAlign w:val="center"/>
          </w:tcPr>
          <w:p w14:paraId="3E9B3004">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重要说明</w:t>
            </w:r>
          </w:p>
        </w:tc>
        <w:tc>
          <w:tcPr>
            <w:tcW w:w="3622" w:type="pct"/>
            <w:vAlign w:val="center"/>
          </w:tcPr>
          <w:p w14:paraId="331F04F5">
            <w:pPr>
              <w:spacing w:line="360" w:lineRule="auto"/>
              <w:rPr>
                <w:rFonts w:cs="宋体"/>
                <w:color w:val="auto"/>
                <w:sz w:val="24"/>
                <w:szCs w:val="24"/>
                <w:highlight w:val="none"/>
              </w:rPr>
            </w:pPr>
            <w:r>
              <w:rPr>
                <w:rFonts w:hint="eastAsia" w:cs="宋体"/>
                <w:color w:val="auto"/>
                <w:sz w:val="24"/>
                <w:szCs w:val="24"/>
                <w:highlight w:val="none"/>
              </w:rPr>
              <w:t>（1）成交人应在规定期限内提交履约保证金并与业主单位签订合同，若成交人未能在规定期限内提交履约保证金或签订合同，业主单位有权取消成交人成交资格；</w:t>
            </w:r>
          </w:p>
          <w:p w14:paraId="4DB01329">
            <w:pPr>
              <w:spacing w:line="360" w:lineRule="auto"/>
              <w:rPr>
                <w:rFonts w:cs="宋体"/>
                <w:color w:val="auto"/>
                <w:sz w:val="24"/>
                <w:szCs w:val="24"/>
                <w:highlight w:val="none"/>
              </w:rPr>
            </w:pPr>
            <w:r>
              <w:rPr>
                <w:rFonts w:hint="eastAsia" w:cs="宋体"/>
                <w:color w:val="auto"/>
                <w:sz w:val="24"/>
                <w:szCs w:val="24"/>
                <w:highlight w:val="none"/>
              </w:rPr>
              <w:t>（2）合同签订后，成交人存在规定时间内不组织人员进场开工，不履行合同义务等情况，业主单位有权解除合同，并追究违约责任；</w:t>
            </w:r>
          </w:p>
          <w:p w14:paraId="3246CF9B">
            <w:pPr>
              <w:spacing w:line="360" w:lineRule="auto"/>
              <w:rPr>
                <w:rFonts w:cs="宋体"/>
                <w:color w:val="auto"/>
                <w:sz w:val="24"/>
                <w:szCs w:val="24"/>
                <w:highlight w:val="none"/>
              </w:rPr>
            </w:pPr>
            <w:r>
              <w:rPr>
                <w:rFonts w:hint="eastAsia" w:cs="宋体"/>
                <w:color w:val="auto"/>
                <w:sz w:val="24"/>
                <w:szCs w:val="24"/>
                <w:highlight w:val="none"/>
              </w:rPr>
              <w:t>（3）成交人在成交项目发生投诉、信访举报案件、履约存在争议时，拒绝协助配合有关部门调查案件的，业主单位可以取消其成交资格或解除合同，并追究其违约责任。</w:t>
            </w:r>
          </w:p>
          <w:p w14:paraId="682D2DB6">
            <w:pPr>
              <w:pStyle w:val="6"/>
              <w:spacing w:before="0" w:after="0" w:line="360" w:lineRule="auto"/>
              <w:rPr>
                <w:rFonts w:cs="宋体"/>
                <w:b w:val="0"/>
                <w:bCs w:val="0"/>
                <w:color w:val="auto"/>
                <w:sz w:val="24"/>
                <w:szCs w:val="24"/>
                <w:highlight w:val="none"/>
              </w:rPr>
            </w:pPr>
            <w:r>
              <w:rPr>
                <w:rFonts w:hint="eastAsia" w:cs="宋体"/>
                <w:b w:val="0"/>
                <w:bCs w:val="0"/>
                <w:color w:val="auto"/>
                <w:sz w:val="24"/>
                <w:szCs w:val="24"/>
                <w:highlight w:val="none"/>
              </w:rPr>
              <w:t>（4）供应商参与</w:t>
            </w:r>
            <w:r>
              <w:rPr>
                <w:rFonts w:hint="eastAsia" w:cs="宋体"/>
                <w:b w:val="0"/>
                <w:bCs w:val="0"/>
                <w:color w:val="auto"/>
                <w:sz w:val="24"/>
                <w:szCs w:val="24"/>
                <w:highlight w:val="none"/>
                <w:lang w:eastAsia="zh-CN"/>
              </w:rPr>
              <w:t>比选</w:t>
            </w:r>
            <w:r>
              <w:rPr>
                <w:rFonts w:hint="eastAsia" w:cs="宋体"/>
                <w:b w:val="0"/>
                <w:bCs w:val="0"/>
                <w:color w:val="auto"/>
                <w:sz w:val="24"/>
                <w:szCs w:val="24"/>
                <w:highlight w:val="none"/>
              </w:rPr>
              <w:t>，应当诚信守法、公平竞争。如有以提供虚假材料（包括但不限于虚假技术参数响应、虚假业绩、虚假证书、虚假检测报告等）、串通参与</w:t>
            </w:r>
            <w:r>
              <w:rPr>
                <w:rFonts w:hint="eastAsia" w:cs="宋体"/>
                <w:b w:val="0"/>
                <w:bCs w:val="0"/>
                <w:color w:val="auto"/>
                <w:sz w:val="24"/>
                <w:szCs w:val="24"/>
                <w:highlight w:val="none"/>
                <w:lang w:eastAsia="zh-CN"/>
              </w:rPr>
              <w:t>比选</w:t>
            </w:r>
            <w:r>
              <w:rPr>
                <w:rFonts w:hint="eastAsia" w:cs="宋体"/>
                <w:b w:val="0"/>
                <w:bCs w:val="0"/>
                <w:color w:val="auto"/>
                <w:sz w:val="24"/>
                <w:szCs w:val="24"/>
                <w:highlight w:val="none"/>
              </w:rPr>
              <w:t>、隐瞒失信信息等谋取成交的行为，一经发现，业主单位可以取消其成交资格或解除合同，并追究其违约责任。</w:t>
            </w:r>
          </w:p>
        </w:tc>
      </w:tr>
      <w:tr w14:paraId="7BF6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497BEB1">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20</w:t>
            </w:r>
          </w:p>
        </w:tc>
        <w:tc>
          <w:tcPr>
            <w:tcW w:w="818" w:type="pct"/>
            <w:vAlign w:val="center"/>
          </w:tcPr>
          <w:p w14:paraId="36818233">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电子交易</w:t>
            </w:r>
          </w:p>
        </w:tc>
        <w:tc>
          <w:tcPr>
            <w:tcW w:w="3622" w:type="pct"/>
            <w:vAlign w:val="center"/>
          </w:tcPr>
          <w:p w14:paraId="67583E08">
            <w:pPr>
              <w:widowControl/>
              <w:snapToGrid w:val="0"/>
              <w:spacing w:line="360" w:lineRule="auto"/>
              <w:jc w:val="left"/>
              <w:rPr>
                <w:rFonts w:cs="宋体"/>
                <w:bCs/>
                <w:color w:val="auto"/>
                <w:sz w:val="24"/>
                <w:szCs w:val="24"/>
                <w:highlight w:val="none"/>
              </w:rPr>
            </w:pPr>
            <w:r>
              <w:rPr>
                <w:rFonts w:hint="eastAsia" w:cs="宋体"/>
                <w:bCs/>
                <w:color w:val="auto"/>
                <w:sz w:val="24"/>
                <w:szCs w:val="24"/>
                <w:highlight w:val="none"/>
              </w:rPr>
              <w:t>本</w:t>
            </w:r>
            <w:r>
              <w:rPr>
                <w:rFonts w:hint="eastAsia" w:cs="宋体"/>
                <w:bCs/>
                <w:color w:val="auto"/>
                <w:sz w:val="24"/>
                <w:szCs w:val="24"/>
                <w:highlight w:val="none"/>
                <w:lang w:eastAsia="zh-CN"/>
              </w:rPr>
              <w:t>比选</w:t>
            </w:r>
            <w:r>
              <w:rPr>
                <w:rFonts w:hint="eastAsia" w:cs="宋体"/>
                <w:bCs/>
                <w:color w:val="auto"/>
                <w:sz w:val="24"/>
                <w:szCs w:val="24"/>
                <w:highlight w:val="none"/>
              </w:rPr>
              <w:t>项目实行全流程电子化交易，除</w:t>
            </w:r>
            <w:r>
              <w:rPr>
                <w:rFonts w:hint="eastAsia" w:cs="宋体"/>
                <w:bCs/>
                <w:color w:val="auto"/>
                <w:sz w:val="24"/>
                <w:szCs w:val="24"/>
                <w:highlight w:val="none"/>
                <w:lang w:eastAsia="zh-CN"/>
              </w:rPr>
              <w:t>比选</w:t>
            </w:r>
            <w:r>
              <w:rPr>
                <w:rFonts w:hint="eastAsia" w:cs="宋体"/>
                <w:bCs/>
                <w:color w:val="auto"/>
                <w:sz w:val="24"/>
                <w:szCs w:val="24"/>
                <w:highlight w:val="none"/>
              </w:rPr>
              <w:t>文件另有规定外，电子交易操作要求见附件《全流程电子招标采购具体要求》。</w:t>
            </w:r>
          </w:p>
        </w:tc>
      </w:tr>
      <w:tr w14:paraId="6A83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EFE4922">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21</w:t>
            </w:r>
          </w:p>
        </w:tc>
        <w:tc>
          <w:tcPr>
            <w:tcW w:w="818" w:type="pct"/>
            <w:vAlign w:val="center"/>
          </w:tcPr>
          <w:p w14:paraId="415D4603">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解释权</w:t>
            </w:r>
          </w:p>
        </w:tc>
        <w:tc>
          <w:tcPr>
            <w:tcW w:w="3622" w:type="pct"/>
            <w:vAlign w:val="center"/>
          </w:tcPr>
          <w:p w14:paraId="377C3A39">
            <w:pPr>
              <w:spacing w:line="360" w:lineRule="auto"/>
              <w:rPr>
                <w:rFonts w:cs="宋体"/>
                <w:bCs/>
                <w:color w:val="auto"/>
                <w:sz w:val="24"/>
                <w:szCs w:val="24"/>
                <w:highlight w:val="none"/>
              </w:rPr>
            </w:pPr>
            <w:r>
              <w:rPr>
                <w:rFonts w:hint="eastAsia" w:cs="宋体"/>
                <w:bCs/>
                <w:color w:val="auto"/>
                <w:sz w:val="24"/>
                <w:szCs w:val="24"/>
                <w:highlight w:val="none"/>
              </w:rPr>
              <w:t>（1）构成本</w:t>
            </w:r>
            <w:r>
              <w:rPr>
                <w:rFonts w:hint="eastAsia" w:cs="宋体"/>
                <w:bCs/>
                <w:color w:val="auto"/>
                <w:sz w:val="24"/>
                <w:szCs w:val="24"/>
                <w:highlight w:val="none"/>
                <w:lang w:eastAsia="zh-CN"/>
              </w:rPr>
              <w:t>比选</w:t>
            </w:r>
            <w:r>
              <w:rPr>
                <w:rFonts w:hint="eastAsia" w:cs="宋体"/>
                <w:bCs/>
                <w:color w:val="auto"/>
                <w:sz w:val="24"/>
                <w:szCs w:val="24"/>
                <w:highlight w:val="none"/>
              </w:rPr>
              <w:t>文件的各个组成文件应互为解释，互为说明；</w:t>
            </w:r>
          </w:p>
          <w:p w14:paraId="1592244C">
            <w:pPr>
              <w:spacing w:line="360" w:lineRule="auto"/>
              <w:rPr>
                <w:rFonts w:cs="宋体"/>
                <w:bCs/>
                <w:color w:val="auto"/>
                <w:sz w:val="24"/>
                <w:szCs w:val="24"/>
                <w:highlight w:val="none"/>
              </w:rPr>
            </w:pPr>
            <w:r>
              <w:rPr>
                <w:rFonts w:hint="eastAsia" w:cs="宋体"/>
                <w:bCs/>
                <w:color w:val="auto"/>
                <w:sz w:val="24"/>
                <w:szCs w:val="24"/>
                <w:highlight w:val="none"/>
              </w:rPr>
              <w:t>（2）同一组成文件中就同一事项的规定或约定不一致的，以编排顺序在后者为准；</w:t>
            </w:r>
          </w:p>
          <w:p w14:paraId="18836B3E">
            <w:pPr>
              <w:spacing w:line="360" w:lineRule="auto"/>
              <w:rPr>
                <w:rFonts w:cs="宋体"/>
                <w:bCs/>
                <w:color w:val="auto"/>
                <w:sz w:val="24"/>
                <w:szCs w:val="24"/>
                <w:highlight w:val="none"/>
              </w:rPr>
            </w:pPr>
            <w:r>
              <w:rPr>
                <w:rFonts w:hint="eastAsia" w:cs="宋体"/>
                <w:bCs/>
                <w:color w:val="auto"/>
                <w:sz w:val="24"/>
                <w:szCs w:val="24"/>
                <w:highlight w:val="none"/>
              </w:rPr>
              <w:t>（3）如有不明确或不一致，构成合同文件组成内容的，以合同文件约定内容为准，且以专用合同条款约定的合同文件优先顺序解释；</w:t>
            </w:r>
          </w:p>
          <w:p w14:paraId="37E66044">
            <w:pPr>
              <w:spacing w:line="360" w:lineRule="auto"/>
              <w:rPr>
                <w:rFonts w:cs="宋体"/>
                <w:bCs/>
                <w:color w:val="auto"/>
                <w:sz w:val="24"/>
                <w:szCs w:val="24"/>
                <w:highlight w:val="none"/>
              </w:rPr>
            </w:pPr>
            <w:r>
              <w:rPr>
                <w:rFonts w:hint="eastAsia" w:cs="宋体"/>
                <w:bCs/>
                <w:color w:val="auto"/>
                <w:sz w:val="24"/>
                <w:szCs w:val="24"/>
                <w:highlight w:val="none"/>
              </w:rPr>
              <w:t>（4）除</w:t>
            </w:r>
            <w:r>
              <w:rPr>
                <w:rFonts w:hint="eastAsia" w:cs="宋体"/>
                <w:bCs/>
                <w:color w:val="auto"/>
                <w:sz w:val="24"/>
                <w:szCs w:val="24"/>
                <w:highlight w:val="none"/>
                <w:lang w:eastAsia="zh-CN"/>
              </w:rPr>
              <w:t>比选</w:t>
            </w:r>
            <w:r>
              <w:rPr>
                <w:rFonts w:hint="eastAsia" w:cs="宋体"/>
                <w:bCs/>
                <w:color w:val="auto"/>
                <w:sz w:val="24"/>
                <w:szCs w:val="24"/>
                <w:highlight w:val="none"/>
              </w:rPr>
              <w:t>文件中有特别规定外，仅适用于</w:t>
            </w:r>
            <w:r>
              <w:rPr>
                <w:rFonts w:hint="eastAsia" w:cs="宋体"/>
                <w:bCs/>
                <w:color w:val="auto"/>
                <w:sz w:val="24"/>
                <w:szCs w:val="24"/>
                <w:highlight w:val="none"/>
                <w:lang w:eastAsia="zh-CN"/>
              </w:rPr>
              <w:t>比选</w:t>
            </w:r>
            <w:r>
              <w:rPr>
                <w:rFonts w:hint="eastAsia" w:cs="宋体"/>
                <w:bCs/>
                <w:color w:val="auto"/>
                <w:sz w:val="24"/>
                <w:szCs w:val="24"/>
                <w:highlight w:val="none"/>
              </w:rPr>
              <w:t>及响应文件提交阶段的规定，按</w:t>
            </w:r>
            <w:r>
              <w:rPr>
                <w:rFonts w:hint="eastAsia" w:cs="宋体"/>
                <w:bCs/>
                <w:color w:val="auto"/>
                <w:sz w:val="24"/>
                <w:szCs w:val="24"/>
                <w:highlight w:val="none"/>
                <w:lang w:eastAsia="zh-CN"/>
              </w:rPr>
              <w:t>比选</w:t>
            </w:r>
            <w:r>
              <w:rPr>
                <w:rFonts w:hint="eastAsia" w:cs="宋体"/>
                <w:bCs/>
                <w:color w:val="auto"/>
                <w:sz w:val="24"/>
                <w:szCs w:val="24"/>
                <w:highlight w:val="none"/>
              </w:rPr>
              <w:t>公告、供应商须知前附表、供应商须知正文、评审方法和标准、响应文件格式的先后顺序解释；</w:t>
            </w:r>
          </w:p>
          <w:p w14:paraId="3021DB15">
            <w:pPr>
              <w:spacing w:line="360" w:lineRule="auto"/>
              <w:rPr>
                <w:rFonts w:cs="宋体"/>
                <w:color w:val="auto"/>
                <w:sz w:val="24"/>
                <w:szCs w:val="24"/>
                <w:highlight w:val="none"/>
              </w:rPr>
            </w:pPr>
            <w:r>
              <w:rPr>
                <w:rFonts w:hint="eastAsia" w:cs="宋体"/>
                <w:bCs/>
                <w:color w:val="auto"/>
                <w:sz w:val="24"/>
                <w:szCs w:val="24"/>
                <w:highlight w:val="none"/>
              </w:rPr>
              <w:t>（5）</w:t>
            </w:r>
            <w:r>
              <w:rPr>
                <w:rFonts w:hint="eastAsia" w:cs="宋体"/>
                <w:color w:val="auto"/>
                <w:sz w:val="24"/>
                <w:szCs w:val="24"/>
                <w:highlight w:val="none"/>
              </w:rPr>
              <w:t>有澄清的部分以最终的澄清更正内容为准；</w:t>
            </w:r>
          </w:p>
          <w:p w14:paraId="1E63EC7B">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t>（6）按本款前述规定仍不能形成结论的，由业主单位负责解释。</w:t>
            </w:r>
          </w:p>
        </w:tc>
      </w:tr>
      <w:tr w14:paraId="461F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72FDF1D">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22</w:t>
            </w:r>
          </w:p>
        </w:tc>
        <w:tc>
          <w:tcPr>
            <w:tcW w:w="818" w:type="pct"/>
            <w:vAlign w:val="center"/>
          </w:tcPr>
          <w:p w14:paraId="5EA2781C">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其他补充</w:t>
            </w:r>
          </w:p>
          <w:p w14:paraId="56FA03F0">
            <w:pPr>
              <w:pStyle w:val="25"/>
              <w:pBdr>
                <w:bottom w:val="none" w:color="auto" w:sz="0" w:space="0"/>
              </w:pBdr>
              <w:tabs>
                <w:tab w:val="clear" w:pos="4153"/>
                <w:tab w:val="clear" w:pos="8306"/>
              </w:tabs>
              <w:adjustRightInd/>
              <w:spacing w:line="360" w:lineRule="auto"/>
              <w:textAlignment w:val="auto"/>
              <w:rPr>
                <w:rFonts w:cs="宋体"/>
                <w:bCs/>
                <w:color w:val="auto"/>
                <w:kern w:val="2"/>
                <w:szCs w:val="24"/>
                <w:highlight w:val="none"/>
              </w:rPr>
            </w:pPr>
            <w:r>
              <w:rPr>
                <w:rFonts w:hint="eastAsia" w:cs="宋体"/>
                <w:bCs/>
                <w:color w:val="auto"/>
                <w:kern w:val="2"/>
                <w:szCs w:val="24"/>
                <w:highlight w:val="none"/>
              </w:rPr>
              <w:t>说明</w:t>
            </w:r>
          </w:p>
        </w:tc>
        <w:tc>
          <w:tcPr>
            <w:tcW w:w="3622" w:type="pct"/>
            <w:vAlign w:val="center"/>
          </w:tcPr>
          <w:p w14:paraId="094B6282">
            <w:pPr>
              <w:pStyle w:val="24"/>
              <w:widowControl w:val="0"/>
              <w:spacing w:before="0" w:beforeAutospacing="0" w:after="0" w:afterAutospacing="0" w:line="360" w:lineRule="auto"/>
              <w:jc w:val="both"/>
              <w:rPr>
                <w:rFonts w:cs="宋体"/>
                <w:b w:val="0"/>
                <w:color w:val="auto"/>
                <w:sz w:val="24"/>
                <w:szCs w:val="24"/>
                <w:highlight w:val="none"/>
              </w:rPr>
            </w:pPr>
            <w:r>
              <w:rPr>
                <w:rFonts w:hint="eastAsia" w:cs="宋体"/>
                <w:color w:val="auto"/>
                <w:sz w:val="24"/>
                <w:szCs w:val="24"/>
                <w:highlight w:val="none"/>
              </w:rPr>
              <w:t>供应商不得与</w:t>
            </w:r>
            <w:r>
              <w:rPr>
                <w:rFonts w:hint="eastAsia" w:cs="宋体"/>
                <w:color w:val="auto"/>
                <w:sz w:val="24"/>
                <w:szCs w:val="24"/>
                <w:highlight w:val="none"/>
                <w:lang w:val="zh-CN"/>
              </w:rPr>
              <w:t>本</w:t>
            </w:r>
            <w:r>
              <w:rPr>
                <w:rFonts w:hint="eastAsia" w:cs="宋体"/>
                <w:color w:val="auto"/>
                <w:sz w:val="24"/>
                <w:szCs w:val="24"/>
                <w:highlight w:val="none"/>
              </w:rPr>
              <w:t>包</w:t>
            </w:r>
            <w:r>
              <w:rPr>
                <w:rFonts w:hint="eastAsia" w:cs="宋体"/>
                <w:color w:val="auto"/>
                <w:sz w:val="24"/>
                <w:szCs w:val="24"/>
                <w:highlight w:val="none"/>
                <w:lang w:val="zh-CN"/>
              </w:rPr>
              <w:t>的其他供应商存在</w:t>
            </w:r>
            <w:r>
              <w:rPr>
                <w:rFonts w:hint="eastAsia" w:cs="宋体"/>
                <w:color w:val="auto"/>
                <w:sz w:val="24"/>
                <w:szCs w:val="24"/>
                <w:highlight w:val="none"/>
              </w:rPr>
              <w:t>单位负责人为同一人或者存在直接控股、管理关系的情形</w:t>
            </w:r>
            <w:r>
              <w:rPr>
                <w:rFonts w:hint="eastAsia" w:cs="宋体"/>
                <w:color w:val="auto"/>
                <w:sz w:val="24"/>
                <w:szCs w:val="24"/>
                <w:highlight w:val="none"/>
                <w:lang w:val="zh-CN"/>
              </w:rPr>
              <w:t>。</w:t>
            </w:r>
          </w:p>
        </w:tc>
      </w:tr>
    </w:tbl>
    <w:p w14:paraId="031647CD">
      <w:pPr>
        <w:pStyle w:val="22"/>
        <w:ind w:left="300"/>
        <w:rPr>
          <w:color w:val="auto"/>
          <w:highlight w:val="none"/>
        </w:rPr>
      </w:pPr>
      <w:bookmarkStart w:id="4" w:name="_Toc14925"/>
      <w:bookmarkStart w:id="5" w:name="_Toc4558"/>
      <w:r>
        <w:rPr>
          <w:rFonts w:hint="eastAsia"/>
          <w:color w:val="auto"/>
          <w:highlight w:val="none"/>
        </w:rPr>
        <w:br w:type="page"/>
      </w:r>
    </w:p>
    <w:p w14:paraId="79E624DA">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附件1 代理服务费</w:t>
      </w:r>
      <w:bookmarkEnd w:id="4"/>
      <w:r>
        <w:rPr>
          <w:rFonts w:hint="eastAsia" w:asciiTheme="minorEastAsia" w:hAnsiTheme="minorEastAsia" w:eastAsiaTheme="minorEastAsia"/>
          <w:b/>
          <w:color w:val="auto"/>
          <w:sz w:val="24"/>
          <w:highlight w:val="none"/>
        </w:rPr>
        <w:t xml:space="preserve">收费标准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72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CE295DF">
            <w:pPr>
              <w:spacing w:line="460" w:lineRule="exact"/>
              <w:rPr>
                <w:rFonts w:asciiTheme="minorEastAsia" w:hAnsiTheme="minorEastAsia" w:eastAsiaTheme="minorEastAsia" w:cstheme="minorEastAsia"/>
                <w:color w:val="auto"/>
                <w:sz w:val="24"/>
                <w:szCs w:val="24"/>
                <w:highlight w:val="none"/>
              </w:rPr>
            </w:pPr>
          </w:p>
          <w:tbl>
            <w:tblPr>
              <w:tblStyle w:val="1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4B31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15707E3">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成交金额（万元）</w:t>
                  </w:r>
                </w:p>
              </w:tc>
              <w:tc>
                <w:tcPr>
                  <w:tcW w:w="2025" w:type="dxa"/>
                  <w:vAlign w:val="center"/>
                </w:tcPr>
                <w:p w14:paraId="70B33F2C">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w:t>
                  </w:r>
                </w:p>
              </w:tc>
              <w:tc>
                <w:tcPr>
                  <w:tcW w:w="1888" w:type="dxa"/>
                  <w:vAlign w:val="center"/>
                </w:tcPr>
                <w:p w14:paraId="0DAFFBE7">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w:t>
                  </w:r>
                </w:p>
              </w:tc>
              <w:tc>
                <w:tcPr>
                  <w:tcW w:w="2287" w:type="dxa"/>
                  <w:vAlign w:val="center"/>
                </w:tcPr>
                <w:p w14:paraId="5A43CF89">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工程施工/总承包</w:t>
                  </w:r>
                </w:p>
              </w:tc>
            </w:tr>
            <w:tr w14:paraId="412D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3944324">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100以下</w:t>
                  </w:r>
                </w:p>
              </w:tc>
              <w:tc>
                <w:tcPr>
                  <w:tcW w:w="2025" w:type="dxa"/>
                  <w:vAlign w:val="center"/>
                </w:tcPr>
                <w:p w14:paraId="7CA3722B">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888" w:type="dxa"/>
                  <w:vAlign w:val="center"/>
                </w:tcPr>
                <w:p w14:paraId="0E12F8CB">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2287" w:type="dxa"/>
                  <w:vAlign w:val="center"/>
                </w:tcPr>
                <w:p w14:paraId="25B5BF48">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r>
            <w:tr w14:paraId="2DF3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5AF77DA">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100-500</w:t>
                  </w:r>
                </w:p>
              </w:tc>
              <w:tc>
                <w:tcPr>
                  <w:tcW w:w="2025" w:type="dxa"/>
                  <w:vAlign w:val="center"/>
                </w:tcPr>
                <w:p w14:paraId="416A4F18">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888" w:type="dxa"/>
                  <w:vAlign w:val="center"/>
                </w:tcPr>
                <w:p w14:paraId="1B5242B5">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0.8%</w:t>
                  </w:r>
                </w:p>
              </w:tc>
              <w:tc>
                <w:tcPr>
                  <w:tcW w:w="2287" w:type="dxa"/>
                  <w:vAlign w:val="center"/>
                </w:tcPr>
                <w:p w14:paraId="666B46CE">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0.7%</w:t>
                  </w:r>
                </w:p>
              </w:tc>
            </w:tr>
            <w:tr w14:paraId="60EC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5475891">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500-1000</w:t>
                  </w:r>
                </w:p>
              </w:tc>
              <w:tc>
                <w:tcPr>
                  <w:tcW w:w="2025" w:type="dxa"/>
                  <w:vAlign w:val="center"/>
                </w:tcPr>
                <w:p w14:paraId="573F39B8">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0.8%</w:t>
                  </w:r>
                </w:p>
              </w:tc>
              <w:tc>
                <w:tcPr>
                  <w:tcW w:w="1888" w:type="dxa"/>
                  <w:vAlign w:val="center"/>
                </w:tcPr>
                <w:p w14:paraId="0651BDFD">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0.45%</w:t>
                  </w:r>
                </w:p>
              </w:tc>
              <w:tc>
                <w:tcPr>
                  <w:tcW w:w="2287" w:type="dxa"/>
                  <w:vAlign w:val="center"/>
                </w:tcPr>
                <w:p w14:paraId="5C391CF1">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0.55%</w:t>
                  </w:r>
                </w:p>
              </w:tc>
            </w:tr>
            <w:tr w14:paraId="5E49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E207018">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1000-5000</w:t>
                  </w:r>
                </w:p>
              </w:tc>
              <w:tc>
                <w:tcPr>
                  <w:tcW w:w="2025" w:type="dxa"/>
                  <w:vAlign w:val="center"/>
                </w:tcPr>
                <w:p w14:paraId="1030823A">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w:t>
                  </w:r>
                </w:p>
              </w:tc>
              <w:tc>
                <w:tcPr>
                  <w:tcW w:w="1888" w:type="dxa"/>
                  <w:vAlign w:val="center"/>
                </w:tcPr>
                <w:p w14:paraId="3098B2B2">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0.25%</w:t>
                  </w:r>
                </w:p>
              </w:tc>
              <w:tc>
                <w:tcPr>
                  <w:tcW w:w="2287" w:type="dxa"/>
                  <w:vAlign w:val="center"/>
                </w:tcPr>
                <w:p w14:paraId="62CD414B">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0.35%</w:t>
                  </w:r>
                </w:p>
              </w:tc>
            </w:tr>
            <w:tr w14:paraId="6212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04D0070">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5000-10000</w:t>
                  </w:r>
                </w:p>
              </w:tc>
              <w:tc>
                <w:tcPr>
                  <w:tcW w:w="2025" w:type="dxa"/>
                  <w:vAlign w:val="center"/>
                </w:tcPr>
                <w:p w14:paraId="67504551">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0.25%</w:t>
                  </w:r>
                </w:p>
              </w:tc>
              <w:tc>
                <w:tcPr>
                  <w:tcW w:w="1888" w:type="dxa"/>
                  <w:vAlign w:val="center"/>
                </w:tcPr>
                <w:p w14:paraId="1ED22A29">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0.1%</w:t>
                  </w:r>
                </w:p>
              </w:tc>
              <w:tc>
                <w:tcPr>
                  <w:tcW w:w="2287" w:type="dxa"/>
                  <w:vAlign w:val="center"/>
                </w:tcPr>
                <w:p w14:paraId="2433BD0E">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0.2%</w:t>
                  </w:r>
                </w:p>
              </w:tc>
            </w:tr>
            <w:tr w14:paraId="129B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92BA98A">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10000-100000</w:t>
                  </w:r>
                </w:p>
              </w:tc>
              <w:tc>
                <w:tcPr>
                  <w:tcW w:w="2025" w:type="dxa"/>
                  <w:vAlign w:val="center"/>
                </w:tcPr>
                <w:p w14:paraId="6DA9317B">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0.05%</w:t>
                  </w:r>
                </w:p>
              </w:tc>
              <w:tc>
                <w:tcPr>
                  <w:tcW w:w="1888" w:type="dxa"/>
                  <w:vAlign w:val="center"/>
                </w:tcPr>
                <w:p w14:paraId="4CBDC322">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0.05%</w:t>
                  </w:r>
                </w:p>
              </w:tc>
              <w:tc>
                <w:tcPr>
                  <w:tcW w:w="2287" w:type="dxa"/>
                  <w:vAlign w:val="center"/>
                </w:tcPr>
                <w:p w14:paraId="6EFCAFE6">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0.05%</w:t>
                  </w:r>
                </w:p>
              </w:tc>
            </w:tr>
            <w:tr w14:paraId="0AFF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9F5736B">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100000以上</w:t>
                  </w:r>
                </w:p>
              </w:tc>
              <w:tc>
                <w:tcPr>
                  <w:tcW w:w="2025" w:type="dxa"/>
                  <w:vAlign w:val="center"/>
                </w:tcPr>
                <w:p w14:paraId="6DD489CC">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0.01%</w:t>
                  </w:r>
                </w:p>
              </w:tc>
              <w:tc>
                <w:tcPr>
                  <w:tcW w:w="1888" w:type="dxa"/>
                  <w:vAlign w:val="center"/>
                </w:tcPr>
                <w:p w14:paraId="15551380">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0.01%</w:t>
                  </w:r>
                </w:p>
              </w:tc>
              <w:tc>
                <w:tcPr>
                  <w:tcW w:w="2287" w:type="dxa"/>
                  <w:vAlign w:val="center"/>
                </w:tcPr>
                <w:p w14:paraId="04159AA8">
                  <w:pPr>
                    <w:spacing w:line="4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0.01%</w:t>
                  </w:r>
                </w:p>
              </w:tc>
            </w:tr>
          </w:tbl>
          <w:p w14:paraId="1922DEC3">
            <w:pPr>
              <w:spacing w:line="4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注：代理服务收费按差额定率累进法计算，成交金额含本数。例如：某服务项目代理业务成交金额为6000万元（1000万/年乘6年服务期），</w:t>
            </w:r>
            <w:r>
              <w:rPr>
                <w:rFonts w:hint="eastAsia" w:asciiTheme="minorEastAsia" w:hAnsiTheme="minorEastAsia" w:eastAsiaTheme="minorEastAsia" w:cstheme="minorEastAsia"/>
                <w:bCs/>
                <w:color w:val="auto"/>
                <w:sz w:val="24"/>
                <w:szCs w:val="24"/>
                <w:highlight w:val="none"/>
              </w:rPr>
              <w:t>具体收取金额为上表（代理服务费收费标准）相应项目类别收费标准*100%，</w:t>
            </w:r>
            <w:r>
              <w:rPr>
                <w:rFonts w:hint="eastAsia" w:asciiTheme="minorEastAsia" w:hAnsiTheme="minorEastAsia" w:eastAsiaTheme="minorEastAsia" w:cstheme="minorEastAsia"/>
                <w:color w:val="auto"/>
                <w:sz w:val="24"/>
                <w:szCs w:val="24"/>
                <w:highlight w:val="none"/>
              </w:rPr>
              <w:t>计算代理服务费收取金额如下：</w:t>
            </w:r>
          </w:p>
          <w:p w14:paraId="7647578F">
            <w:pPr>
              <w:spacing w:line="4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100万元×1.5％＝1.5万元</w:t>
            </w:r>
          </w:p>
          <w:p w14:paraId="721CF729">
            <w:pPr>
              <w:spacing w:line="4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（500－100）万元×0.8％＝3.2万元</w:t>
            </w:r>
          </w:p>
          <w:p w14:paraId="3ADB1634">
            <w:pPr>
              <w:spacing w:line="4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（1000－500）万元×0.45％＝2.25万元</w:t>
            </w:r>
          </w:p>
          <w:p w14:paraId="015C4BC5">
            <w:pPr>
              <w:spacing w:line="4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（5000－1000）万元×0.25％＝10万元</w:t>
            </w:r>
          </w:p>
          <w:p w14:paraId="24EE5618">
            <w:pPr>
              <w:spacing w:line="4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（6000－5000）万元×0.1％＝1万元</w:t>
            </w:r>
          </w:p>
          <w:p w14:paraId="136AE800">
            <w:pPr>
              <w:spacing w:line="4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合计收费＝1.5＋3.2＋2.25＋10＋1＝17.95(万元)</w:t>
            </w:r>
          </w:p>
          <w:p w14:paraId="0D1064D6">
            <w:pPr>
              <w:pStyle w:val="27"/>
              <w:adjustRightInd w:val="0"/>
              <w:snapToGrid w:val="0"/>
              <w:rPr>
                <w:rFonts w:asciiTheme="minorEastAsia" w:hAnsiTheme="minorEastAsia" w:eastAsiaTheme="minorEastAsia" w:cstheme="minorEastAsia"/>
                <w:color w:val="auto"/>
                <w:sz w:val="24"/>
                <w:szCs w:val="24"/>
                <w:highlight w:val="none"/>
              </w:rPr>
            </w:pPr>
          </w:p>
        </w:tc>
      </w:tr>
    </w:tbl>
    <w:p w14:paraId="0927AC00">
      <w:pPr>
        <w:jc w:val="center"/>
        <w:rPr>
          <w:rFonts w:asciiTheme="minorEastAsia" w:hAnsiTheme="minorEastAsia" w:eastAsiaTheme="minorEastAsia"/>
          <w:b/>
          <w:color w:val="auto"/>
          <w:sz w:val="24"/>
          <w:highlight w:val="none"/>
        </w:rPr>
      </w:pPr>
      <w:r>
        <w:rPr>
          <w:rFonts w:hint="eastAsia"/>
          <w:b/>
          <w:color w:val="auto"/>
          <w:sz w:val="24"/>
          <w:szCs w:val="24"/>
          <w:highlight w:val="none"/>
        </w:rPr>
        <w:br w:type="page"/>
      </w:r>
      <w:bookmarkEnd w:id="5"/>
      <w:r>
        <w:rPr>
          <w:rFonts w:hint="eastAsia" w:asciiTheme="minorEastAsia" w:hAnsiTheme="minorEastAsia" w:eastAsiaTheme="minorEastAsia"/>
          <w:b/>
          <w:color w:val="auto"/>
          <w:sz w:val="24"/>
          <w:highlight w:val="none"/>
        </w:rPr>
        <w:t>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14:paraId="5CBDA8BA">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1.有关定义</w:t>
      </w:r>
    </w:p>
    <w:p w14:paraId="52E43680">
      <w:pPr>
        <w:spacing w:line="360" w:lineRule="auto"/>
        <w:ind w:firstLine="437"/>
        <w:outlineLvl w:val="3"/>
        <w:rPr>
          <w:rFonts w:asciiTheme="minorEastAsia" w:hAnsiTheme="minorEastAsia" w:eastAsiaTheme="minorEastAsia" w:cstheme="minorEastAsia"/>
          <w:bCs/>
          <w:color w:val="auto"/>
          <w:sz w:val="24"/>
          <w:szCs w:val="22"/>
          <w:highlight w:val="none"/>
        </w:rPr>
      </w:pPr>
      <w:r>
        <w:rPr>
          <w:rFonts w:hint="eastAsia" w:asciiTheme="minorEastAsia" w:hAnsiTheme="minorEastAsia" w:eastAsiaTheme="minorEastAsia" w:cstheme="minorEastAsia"/>
          <w:bCs/>
          <w:color w:val="auto"/>
          <w:sz w:val="24"/>
          <w:szCs w:val="22"/>
          <w:highlight w:val="none"/>
        </w:rPr>
        <w:t>本项目的交易方式为</w:t>
      </w:r>
      <w:r>
        <w:rPr>
          <w:rFonts w:hint="eastAsia" w:asciiTheme="minorEastAsia" w:hAnsiTheme="minorEastAsia" w:eastAsiaTheme="minorEastAsia" w:cstheme="minorEastAsia"/>
          <w:bCs/>
          <w:color w:val="auto"/>
          <w:sz w:val="24"/>
          <w:szCs w:val="22"/>
          <w:highlight w:val="none"/>
          <w:lang w:eastAsia="zh-CN"/>
        </w:rPr>
        <w:t>比选</w:t>
      </w:r>
      <w:r>
        <w:rPr>
          <w:rFonts w:hint="eastAsia" w:asciiTheme="minorEastAsia" w:hAnsiTheme="minorEastAsia" w:eastAsiaTheme="minorEastAsia" w:cstheme="minorEastAsia"/>
          <w:bCs/>
          <w:color w:val="auto"/>
          <w:sz w:val="24"/>
          <w:szCs w:val="22"/>
          <w:highlight w:val="none"/>
        </w:rPr>
        <w:t>，业主单位为项目实施建设的发包人（甲方），供应商为参与</w:t>
      </w:r>
      <w:r>
        <w:rPr>
          <w:rFonts w:hint="eastAsia" w:asciiTheme="minorEastAsia" w:hAnsiTheme="minorEastAsia" w:eastAsiaTheme="minorEastAsia" w:cstheme="minorEastAsia"/>
          <w:bCs/>
          <w:color w:val="auto"/>
          <w:sz w:val="24"/>
          <w:szCs w:val="22"/>
          <w:highlight w:val="none"/>
          <w:lang w:eastAsia="zh-CN"/>
        </w:rPr>
        <w:t>比选</w:t>
      </w:r>
      <w:r>
        <w:rPr>
          <w:rFonts w:hint="eastAsia" w:asciiTheme="minorEastAsia" w:hAnsiTheme="minorEastAsia" w:eastAsiaTheme="minorEastAsia" w:cstheme="minorEastAsia"/>
          <w:bCs/>
          <w:color w:val="auto"/>
          <w:sz w:val="24"/>
          <w:szCs w:val="22"/>
          <w:highlight w:val="none"/>
        </w:rPr>
        <w:t>的主体，成交人为参与</w:t>
      </w:r>
      <w:r>
        <w:rPr>
          <w:rFonts w:hint="eastAsia" w:asciiTheme="minorEastAsia" w:hAnsiTheme="minorEastAsia" w:eastAsiaTheme="minorEastAsia" w:cstheme="minorEastAsia"/>
          <w:bCs/>
          <w:color w:val="auto"/>
          <w:sz w:val="24"/>
          <w:szCs w:val="22"/>
          <w:highlight w:val="none"/>
          <w:lang w:eastAsia="zh-CN"/>
        </w:rPr>
        <w:t>比选</w:t>
      </w:r>
      <w:r>
        <w:rPr>
          <w:rFonts w:hint="eastAsia" w:asciiTheme="minorEastAsia" w:hAnsiTheme="minorEastAsia" w:eastAsiaTheme="minorEastAsia" w:cstheme="minorEastAsia"/>
          <w:bCs/>
          <w:color w:val="auto"/>
          <w:sz w:val="24"/>
          <w:szCs w:val="22"/>
          <w:highlight w:val="none"/>
        </w:rPr>
        <w:t>，并获得项目实施的承包人（乙方）。</w:t>
      </w:r>
    </w:p>
    <w:p w14:paraId="6B1793AD">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2.资金来源</w:t>
      </w:r>
    </w:p>
    <w:p w14:paraId="29A5A106">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本项目的业主单位已获得足以支付本次</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后所签订的合同项下的资金。</w:t>
      </w:r>
    </w:p>
    <w:p w14:paraId="0DEE199E">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eastAsia="zh-CN"/>
        </w:rPr>
        <w:t>比选</w:t>
      </w:r>
      <w:r>
        <w:rPr>
          <w:rFonts w:hint="eastAsia" w:asciiTheme="minorEastAsia" w:hAnsiTheme="minorEastAsia" w:eastAsiaTheme="minorEastAsia" w:cstheme="minorEastAsia"/>
          <w:b/>
          <w:color w:val="auto"/>
          <w:sz w:val="24"/>
          <w:highlight w:val="none"/>
        </w:rPr>
        <w:t>费用</w:t>
      </w:r>
    </w:p>
    <w:p w14:paraId="27C9016E">
      <w:pPr>
        <w:spacing w:line="360" w:lineRule="auto"/>
        <w:ind w:firstLine="437"/>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不论</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的结果如何，供应商应承担其所有与准备和参加</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有关的费用。</w:t>
      </w:r>
    </w:p>
    <w:p w14:paraId="4EDD7058">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w:t>
      </w:r>
      <w:r>
        <w:rPr>
          <w:rFonts w:hint="eastAsia" w:asciiTheme="minorEastAsia" w:hAnsiTheme="minorEastAsia" w:eastAsiaTheme="minorEastAsia" w:cstheme="minorEastAsia"/>
          <w:b/>
          <w:color w:val="auto"/>
          <w:sz w:val="24"/>
          <w:highlight w:val="none"/>
          <w:lang w:eastAsia="zh-CN"/>
        </w:rPr>
        <w:t>比选</w:t>
      </w:r>
      <w:r>
        <w:rPr>
          <w:rFonts w:hint="eastAsia" w:asciiTheme="minorEastAsia" w:hAnsiTheme="minorEastAsia" w:eastAsiaTheme="minorEastAsia" w:cstheme="minorEastAsia"/>
          <w:b/>
          <w:color w:val="auto"/>
          <w:sz w:val="24"/>
          <w:highlight w:val="none"/>
        </w:rPr>
        <w:t>文件的澄清与修改</w:t>
      </w:r>
    </w:p>
    <w:p w14:paraId="3574CC34">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4.1供应商如对</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文件内容有疑问，按供应商须知前附表规定提出。</w:t>
      </w:r>
    </w:p>
    <w:p w14:paraId="0F466822">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4.2业主单位可主动或在解答供应商提出的问题时对</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文件进行澄清或者修改。代理机构将在优质采云采购平台</w:t>
      </w:r>
      <w:r>
        <w:rPr>
          <w:rFonts w:hint="eastAsia" w:cs="宋体"/>
          <w:color w:val="auto"/>
          <w:sz w:val="24"/>
          <w:szCs w:val="18"/>
          <w:highlight w:val="none"/>
        </w:rPr>
        <w:t>（http://www.youzhicai.com/）</w:t>
      </w:r>
      <w:r>
        <w:rPr>
          <w:rFonts w:hint="eastAsia" w:asciiTheme="minorEastAsia" w:hAnsiTheme="minorEastAsia" w:eastAsiaTheme="minorEastAsia" w:cstheme="minorEastAsia"/>
          <w:color w:val="auto"/>
          <w:sz w:val="24"/>
          <w:highlight w:val="none"/>
        </w:rPr>
        <w:t>澄清或修改</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文件，供应商应主动上网查询。代理机构和业主单位不承担供应商未及时关注相关信息引发的相关责任。</w:t>
      </w:r>
    </w:p>
    <w:p w14:paraId="657618CC">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4.3任何人或任何组织向供应商提供的任何书面或口头资料，未经代理机构在网上发布或书面通知，均作无效处理，不得作为</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文件的组成部分。代理机构对供应商由此而做出的推论、理解和结论概不负责。</w:t>
      </w:r>
    </w:p>
    <w:p w14:paraId="02F1C204">
      <w:pPr>
        <w:spacing w:line="360" w:lineRule="auto"/>
        <w:ind w:firstLine="435"/>
        <w:rPr>
          <w:rFonts w:asciiTheme="minorEastAsia" w:hAnsiTheme="minorEastAsia" w:eastAsiaTheme="minorEastAsia" w:cstheme="minorEastAsia"/>
          <w:iCs/>
          <w:color w:val="auto"/>
          <w:sz w:val="24"/>
          <w:highlight w:val="none"/>
        </w:rPr>
      </w:pPr>
      <w:r>
        <w:rPr>
          <w:rFonts w:hint="eastAsia" w:asciiTheme="minorEastAsia" w:hAnsiTheme="minorEastAsia" w:eastAsiaTheme="minorEastAsia" w:cstheme="minorEastAsia"/>
          <w:color w:val="auto"/>
          <w:sz w:val="24"/>
          <w:highlight w:val="none"/>
        </w:rPr>
        <w:t>4.4对于没有提出疑问又参与了本项目</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的供应商将被视为完全认同本</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文件（含澄清、修改等内容）</w:t>
      </w:r>
      <w:r>
        <w:rPr>
          <w:rFonts w:hint="eastAsia" w:asciiTheme="minorEastAsia" w:hAnsiTheme="minorEastAsia" w:eastAsiaTheme="minorEastAsia" w:cstheme="minorEastAsia"/>
          <w:iCs/>
          <w:color w:val="auto"/>
          <w:sz w:val="24"/>
          <w:highlight w:val="none"/>
        </w:rPr>
        <w:t>。</w:t>
      </w:r>
    </w:p>
    <w:p w14:paraId="695893F4">
      <w:pPr>
        <w:numPr>
          <w:ilvl w:val="0"/>
          <w:numId w:val="2"/>
        </w:num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比选</w:t>
      </w:r>
      <w:r>
        <w:rPr>
          <w:rFonts w:hint="eastAsia" w:asciiTheme="minorEastAsia" w:hAnsiTheme="minorEastAsia" w:eastAsiaTheme="minorEastAsia" w:cstheme="minorEastAsia"/>
          <w:b/>
          <w:color w:val="auto"/>
          <w:sz w:val="24"/>
          <w:highlight w:val="none"/>
        </w:rPr>
        <w:t>范围及响应文件中标准和计量单位的使用</w:t>
      </w:r>
    </w:p>
    <w:p w14:paraId="504D74E4">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5.1项目有分包的，供应商可参与其中某一个或多个分包的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，成交包数详见供应商须知前附表中规定。</w:t>
      </w:r>
    </w:p>
    <w:p w14:paraId="6F68FB24">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5.2无论</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文件中是否要求，供应商所承担项目及伴随的货物和服务均应符合国家强制性标准。</w:t>
      </w:r>
    </w:p>
    <w:p w14:paraId="30AABCC8">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5.3供应商与代理机构之间与</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有关的所有往来通知、函件和响应文件均用中文表述。供应商随响应文件提供的证明文件和资料可以为其他语言，但必须附中文译文。翻译的中文资料与外文资料如果出现差异时，以中文为准。</w:t>
      </w:r>
    </w:p>
    <w:p w14:paraId="650BDFC7">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5.4除</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文件中有特殊要求外，响应文件中所使用的计量单位，应采用中华人民共和国法定计量单位。</w:t>
      </w:r>
    </w:p>
    <w:p w14:paraId="6B44DC84">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6.响应文件构成</w:t>
      </w:r>
    </w:p>
    <w:p w14:paraId="79041293">
      <w:pPr>
        <w:spacing w:line="360" w:lineRule="auto"/>
        <w:ind w:firstLine="437"/>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6.1供应商应完整地按</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文件提供的响应文件格式及</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文件评审要求编写响应文件，具体内容详见第六章响应文件格式的相关内容。</w:t>
      </w:r>
    </w:p>
    <w:p w14:paraId="3EDD55BC">
      <w:pPr>
        <w:spacing w:line="360" w:lineRule="auto"/>
        <w:ind w:firstLine="437"/>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6.2上述文件应按照</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文件规定的格式填写、签署和盖章。</w:t>
      </w:r>
    </w:p>
    <w:p w14:paraId="6C9FABD6">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7.报价</w:t>
      </w:r>
    </w:p>
    <w:p w14:paraId="7B31C861">
      <w:pPr>
        <w:spacing w:line="360" w:lineRule="auto"/>
        <w:ind w:firstLine="435"/>
        <w:rPr>
          <w:color w:val="auto"/>
          <w:sz w:val="24"/>
          <w:highlight w:val="none"/>
        </w:rPr>
      </w:pPr>
      <w:r>
        <w:rPr>
          <w:rFonts w:hint="eastAsia"/>
          <w:color w:val="auto"/>
          <w:sz w:val="24"/>
          <w:highlight w:val="none"/>
        </w:rPr>
        <w:t>7</w:t>
      </w:r>
      <w:r>
        <w:rPr>
          <w:color w:val="auto"/>
          <w:sz w:val="24"/>
          <w:highlight w:val="none"/>
        </w:rPr>
        <w:t>.1</w:t>
      </w:r>
      <w:r>
        <w:rPr>
          <w:rFonts w:hint="eastAsia"/>
          <w:color w:val="auto"/>
          <w:sz w:val="24"/>
          <w:szCs w:val="18"/>
          <w:highlight w:val="none"/>
        </w:rPr>
        <w:t>供应商</w:t>
      </w:r>
      <w:r>
        <w:rPr>
          <w:color w:val="auto"/>
          <w:sz w:val="24"/>
          <w:highlight w:val="none"/>
        </w:rPr>
        <w:t>的报价应当包括满足本次</w:t>
      </w:r>
      <w:r>
        <w:rPr>
          <w:rFonts w:hint="eastAsia"/>
          <w:color w:val="auto"/>
          <w:sz w:val="24"/>
          <w:highlight w:val="none"/>
          <w:lang w:eastAsia="zh-CN"/>
        </w:rPr>
        <w:t>比选</w:t>
      </w:r>
      <w:r>
        <w:rPr>
          <w:color w:val="auto"/>
          <w:sz w:val="24"/>
          <w:highlight w:val="none"/>
        </w:rPr>
        <w:t>全部</w:t>
      </w:r>
      <w:r>
        <w:rPr>
          <w:rFonts w:hint="eastAsia"/>
          <w:color w:val="auto"/>
          <w:sz w:val="24"/>
          <w:highlight w:val="none"/>
        </w:rPr>
        <w:t>内容。所有报价均应以人民币报价，</w:t>
      </w:r>
      <w:r>
        <w:rPr>
          <w:rFonts w:hint="eastAsia"/>
          <w:color w:val="auto"/>
          <w:sz w:val="24"/>
          <w:szCs w:val="18"/>
          <w:highlight w:val="none"/>
        </w:rPr>
        <w:t>供应商</w:t>
      </w:r>
      <w:r>
        <w:rPr>
          <w:rFonts w:hint="eastAsia"/>
          <w:color w:val="auto"/>
          <w:sz w:val="24"/>
          <w:highlight w:val="none"/>
        </w:rPr>
        <w:t>的</w:t>
      </w:r>
      <w:r>
        <w:rPr>
          <w:rFonts w:hint="eastAsia"/>
          <w:color w:val="auto"/>
          <w:sz w:val="24"/>
          <w:highlight w:val="none"/>
          <w:lang w:eastAsia="zh-CN"/>
        </w:rPr>
        <w:t>比选</w:t>
      </w:r>
      <w:r>
        <w:rPr>
          <w:rFonts w:hint="eastAsia"/>
          <w:color w:val="auto"/>
          <w:sz w:val="24"/>
          <w:highlight w:val="none"/>
        </w:rPr>
        <w:t>报价应遵守《中华人民共和国价格法》。</w:t>
      </w:r>
    </w:p>
    <w:p w14:paraId="0B26D31E">
      <w:pPr>
        <w:spacing w:line="360" w:lineRule="auto"/>
        <w:ind w:firstLine="435"/>
        <w:rPr>
          <w:color w:val="auto"/>
          <w:sz w:val="24"/>
          <w:highlight w:val="none"/>
        </w:rPr>
      </w:pPr>
      <w:r>
        <w:rPr>
          <w:rFonts w:hint="eastAsia"/>
          <w:color w:val="auto"/>
          <w:sz w:val="24"/>
          <w:highlight w:val="none"/>
        </w:rPr>
        <w:t>7</w:t>
      </w:r>
      <w:r>
        <w:rPr>
          <w:color w:val="auto"/>
          <w:sz w:val="24"/>
          <w:highlight w:val="none"/>
        </w:rPr>
        <w:t>.</w:t>
      </w:r>
      <w:r>
        <w:rPr>
          <w:rFonts w:hint="eastAsia"/>
          <w:color w:val="auto"/>
          <w:sz w:val="24"/>
          <w:highlight w:val="none"/>
        </w:rPr>
        <w:t>2</w:t>
      </w:r>
      <w:r>
        <w:rPr>
          <w:rFonts w:hint="eastAsia"/>
          <w:color w:val="auto"/>
          <w:sz w:val="24"/>
          <w:szCs w:val="18"/>
          <w:highlight w:val="none"/>
        </w:rPr>
        <w:t>供应商</w:t>
      </w:r>
      <w:r>
        <w:rPr>
          <w:rFonts w:hint="eastAsia"/>
          <w:color w:val="auto"/>
          <w:sz w:val="24"/>
          <w:highlight w:val="none"/>
        </w:rPr>
        <w:t>应在分项报价表上标明</w:t>
      </w:r>
      <w:r>
        <w:rPr>
          <w:rFonts w:hint="eastAsia"/>
          <w:color w:val="auto"/>
          <w:sz w:val="24"/>
          <w:highlight w:val="none"/>
          <w:lang w:eastAsia="zh-CN"/>
        </w:rPr>
        <w:t>比选</w:t>
      </w:r>
      <w:r>
        <w:rPr>
          <w:rFonts w:hint="eastAsia"/>
          <w:color w:val="auto"/>
          <w:sz w:val="24"/>
          <w:highlight w:val="none"/>
        </w:rPr>
        <w:t>工程的单价（如适用）和总价，未标明的视同包含在</w:t>
      </w:r>
      <w:r>
        <w:rPr>
          <w:rFonts w:hint="eastAsia"/>
          <w:color w:val="auto"/>
          <w:sz w:val="24"/>
          <w:highlight w:val="none"/>
          <w:lang w:eastAsia="zh-CN"/>
        </w:rPr>
        <w:t>比选</w:t>
      </w:r>
      <w:r>
        <w:rPr>
          <w:rFonts w:hint="eastAsia"/>
          <w:color w:val="auto"/>
          <w:sz w:val="24"/>
          <w:highlight w:val="none"/>
        </w:rPr>
        <w:t>报价中。</w:t>
      </w:r>
    </w:p>
    <w:p w14:paraId="1252A6FE">
      <w:pPr>
        <w:spacing w:line="360" w:lineRule="auto"/>
        <w:ind w:firstLine="435"/>
        <w:rPr>
          <w:color w:val="auto"/>
          <w:sz w:val="24"/>
          <w:highlight w:val="none"/>
        </w:rPr>
      </w:pPr>
      <w:r>
        <w:rPr>
          <w:rFonts w:hint="eastAsia"/>
          <w:color w:val="auto"/>
          <w:sz w:val="24"/>
          <w:highlight w:val="none"/>
        </w:rPr>
        <w:t>7</w:t>
      </w:r>
      <w:r>
        <w:rPr>
          <w:color w:val="auto"/>
          <w:sz w:val="24"/>
          <w:highlight w:val="none"/>
        </w:rPr>
        <w:t>.</w:t>
      </w:r>
      <w:r>
        <w:rPr>
          <w:rFonts w:hint="eastAsia"/>
          <w:color w:val="auto"/>
          <w:sz w:val="24"/>
          <w:highlight w:val="none"/>
        </w:rPr>
        <w:t>3</w:t>
      </w:r>
      <w:r>
        <w:rPr>
          <w:color w:val="auto"/>
          <w:sz w:val="24"/>
          <w:highlight w:val="none"/>
        </w:rPr>
        <w:t>报价不得高于</w:t>
      </w:r>
      <w:r>
        <w:rPr>
          <w:rFonts w:hint="eastAsia"/>
          <w:color w:val="auto"/>
          <w:sz w:val="24"/>
          <w:highlight w:val="none"/>
          <w:lang w:eastAsia="zh-CN"/>
        </w:rPr>
        <w:t>比选</w:t>
      </w:r>
      <w:r>
        <w:rPr>
          <w:color w:val="auto"/>
          <w:sz w:val="24"/>
          <w:highlight w:val="none"/>
        </w:rPr>
        <w:t>文件（公告）列明的项目预算</w:t>
      </w:r>
      <w:r>
        <w:rPr>
          <w:rFonts w:hint="eastAsia"/>
          <w:color w:val="auto"/>
          <w:sz w:val="24"/>
          <w:highlight w:val="none"/>
        </w:rPr>
        <w:t>、最高限价（控制价）</w:t>
      </w:r>
      <w:r>
        <w:rPr>
          <w:color w:val="auto"/>
          <w:sz w:val="24"/>
          <w:highlight w:val="none"/>
        </w:rPr>
        <w:t>，否则其响应文件将被认定为</w:t>
      </w:r>
      <w:r>
        <w:rPr>
          <w:b/>
          <w:color w:val="auto"/>
          <w:sz w:val="24"/>
          <w:highlight w:val="none"/>
        </w:rPr>
        <w:t>响应无效</w:t>
      </w:r>
      <w:r>
        <w:rPr>
          <w:color w:val="auto"/>
          <w:sz w:val="24"/>
          <w:highlight w:val="none"/>
        </w:rPr>
        <w:t>。</w:t>
      </w:r>
    </w:p>
    <w:p w14:paraId="40C12936">
      <w:pPr>
        <w:spacing w:line="360" w:lineRule="auto"/>
        <w:ind w:firstLine="435"/>
        <w:rPr>
          <w:color w:val="auto"/>
          <w:sz w:val="24"/>
          <w:highlight w:val="none"/>
        </w:rPr>
      </w:pPr>
      <w:r>
        <w:rPr>
          <w:rFonts w:hint="eastAsia"/>
          <w:color w:val="auto"/>
          <w:sz w:val="24"/>
          <w:highlight w:val="none"/>
        </w:rPr>
        <w:t>7</w:t>
      </w:r>
      <w:r>
        <w:rPr>
          <w:color w:val="auto"/>
          <w:sz w:val="24"/>
          <w:highlight w:val="none"/>
        </w:rPr>
        <w:t>.</w:t>
      </w:r>
      <w:r>
        <w:rPr>
          <w:rFonts w:hint="eastAsia"/>
          <w:color w:val="auto"/>
          <w:sz w:val="24"/>
          <w:highlight w:val="none"/>
        </w:rPr>
        <w:t>4报价</w:t>
      </w:r>
      <w:r>
        <w:rPr>
          <w:color w:val="auto"/>
          <w:sz w:val="24"/>
          <w:highlight w:val="none"/>
        </w:rPr>
        <w:t>在合同履行过程中是固定不变的，不得以任何理由予以变更。任何包含价格调整要求的</w:t>
      </w:r>
      <w:r>
        <w:rPr>
          <w:rFonts w:hint="eastAsia"/>
          <w:color w:val="auto"/>
          <w:sz w:val="24"/>
          <w:highlight w:val="none"/>
          <w:lang w:eastAsia="zh-CN"/>
        </w:rPr>
        <w:t>比选</w:t>
      </w:r>
      <w:r>
        <w:rPr>
          <w:color w:val="auto"/>
          <w:sz w:val="24"/>
          <w:highlight w:val="none"/>
        </w:rPr>
        <w:t>，其</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3898FC65">
      <w:pPr>
        <w:spacing w:line="360" w:lineRule="auto"/>
        <w:ind w:firstLine="435"/>
        <w:rPr>
          <w:color w:val="auto"/>
          <w:sz w:val="24"/>
          <w:highlight w:val="none"/>
        </w:rPr>
      </w:pPr>
      <w:r>
        <w:rPr>
          <w:rFonts w:hint="eastAsia"/>
          <w:color w:val="auto"/>
          <w:sz w:val="24"/>
          <w:highlight w:val="none"/>
        </w:rPr>
        <w:t>7</w:t>
      </w:r>
      <w:r>
        <w:rPr>
          <w:color w:val="auto"/>
          <w:sz w:val="24"/>
          <w:highlight w:val="none"/>
        </w:rPr>
        <w:t>.</w:t>
      </w:r>
      <w:r>
        <w:rPr>
          <w:rFonts w:hint="eastAsia"/>
          <w:color w:val="auto"/>
          <w:sz w:val="24"/>
          <w:highlight w:val="none"/>
        </w:rPr>
        <w:t>5</w:t>
      </w:r>
      <w:r>
        <w:rPr>
          <w:rFonts w:hint="eastAsia"/>
          <w:color w:val="auto"/>
          <w:sz w:val="24"/>
          <w:szCs w:val="18"/>
          <w:highlight w:val="none"/>
        </w:rPr>
        <w:t>业主单位</w:t>
      </w:r>
      <w:r>
        <w:rPr>
          <w:color w:val="auto"/>
          <w:sz w:val="24"/>
          <w:highlight w:val="none"/>
        </w:rPr>
        <w:t>不接受具有附加条件的报价。</w:t>
      </w:r>
    </w:p>
    <w:p w14:paraId="669E76B1">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w:t>
      </w:r>
      <w:r>
        <w:rPr>
          <w:rFonts w:hint="eastAsia" w:asciiTheme="minorEastAsia" w:hAnsiTheme="minorEastAsia" w:eastAsiaTheme="minorEastAsia" w:cstheme="minorEastAsia"/>
          <w:b/>
          <w:color w:val="auto"/>
          <w:sz w:val="24"/>
          <w:highlight w:val="none"/>
          <w:lang w:eastAsia="zh-CN"/>
        </w:rPr>
        <w:t>比选</w:t>
      </w:r>
      <w:r>
        <w:rPr>
          <w:rFonts w:hint="eastAsia" w:asciiTheme="minorEastAsia" w:hAnsiTheme="minorEastAsia" w:eastAsiaTheme="minorEastAsia" w:cstheme="minorEastAsia"/>
          <w:b/>
          <w:color w:val="auto"/>
          <w:sz w:val="24"/>
          <w:highlight w:val="none"/>
        </w:rPr>
        <w:t>有效期</w:t>
      </w:r>
    </w:p>
    <w:p w14:paraId="777D280F">
      <w:pPr>
        <w:spacing w:line="360" w:lineRule="auto"/>
        <w:ind w:firstLine="435"/>
        <w:rPr>
          <w:color w:val="auto"/>
          <w:sz w:val="24"/>
          <w:highlight w:val="none"/>
        </w:rPr>
      </w:pPr>
      <w:r>
        <w:rPr>
          <w:rFonts w:hint="eastAsia"/>
          <w:color w:val="auto"/>
          <w:sz w:val="24"/>
          <w:highlight w:val="none"/>
        </w:rPr>
        <w:t>8</w:t>
      </w:r>
      <w:r>
        <w:rPr>
          <w:color w:val="auto"/>
          <w:sz w:val="24"/>
          <w:highlight w:val="none"/>
        </w:rPr>
        <w:t>.1</w:t>
      </w:r>
      <w:r>
        <w:rPr>
          <w:rFonts w:hint="eastAsia"/>
          <w:color w:val="auto"/>
          <w:sz w:val="24"/>
          <w:highlight w:val="none"/>
          <w:lang w:eastAsia="zh-CN"/>
        </w:rPr>
        <w:t>比选</w:t>
      </w:r>
      <w:r>
        <w:rPr>
          <w:color w:val="auto"/>
          <w:sz w:val="24"/>
          <w:highlight w:val="none"/>
        </w:rPr>
        <w:t>有效期为从响应文件提交截止之日算起的日历天数，</w:t>
      </w:r>
      <w:r>
        <w:rPr>
          <w:rFonts w:hint="eastAsia"/>
          <w:color w:val="auto"/>
          <w:sz w:val="24"/>
          <w:highlight w:val="none"/>
          <w:lang w:eastAsia="zh-CN"/>
        </w:rPr>
        <w:t>比选</w:t>
      </w:r>
      <w:r>
        <w:rPr>
          <w:color w:val="auto"/>
          <w:sz w:val="24"/>
          <w:highlight w:val="none"/>
        </w:rPr>
        <w:t>有效期详见</w:t>
      </w:r>
      <w:r>
        <w:rPr>
          <w:rFonts w:hint="eastAsia"/>
          <w:color w:val="auto"/>
          <w:sz w:val="24"/>
          <w:szCs w:val="18"/>
          <w:highlight w:val="none"/>
        </w:rPr>
        <w:t>供应商</w:t>
      </w:r>
      <w:r>
        <w:rPr>
          <w:color w:val="auto"/>
          <w:sz w:val="24"/>
          <w:highlight w:val="none"/>
        </w:rPr>
        <w:t>须知前附表。</w:t>
      </w:r>
    </w:p>
    <w:p w14:paraId="6753D25B">
      <w:pPr>
        <w:spacing w:line="360" w:lineRule="auto"/>
        <w:ind w:firstLine="435"/>
        <w:rPr>
          <w:color w:val="auto"/>
          <w:sz w:val="24"/>
          <w:highlight w:val="none"/>
        </w:rPr>
      </w:pPr>
      <w:r>
        <w:rPr>
          <w:rFonts w:hint="eastAsia"/>
          <w:color w:val="auto"/>
          <w:sz w:val="24"/>
          <w:highlight w:val="none"/>
        </w:rPr>
        <w:t>8</w:t>
      </w:r>
      <w:r>
        <w:rPr>
          <w:color w:val="auto"/>
          <w:sz w:val="24"/>
          <w:highlight w:val="none"/>
        </w:rPr>
        <w:t>.2在</w:t>
      </w:r>
      <w:r>
        <w:rPr>
          <w:rFonts w:hint="eastAsia"/>
          <w:color w:val="auto"/>
          <w:sz w:val="24"/>
          <w:highlight w:val="none"/>
          <w:lang w:eastAsia="zh-CN"/>
        </w:rPr>
        <w:t>比选</w:t>
      </w:r>
      <w:r>
        <w:rPr>
          <w:color w:val="auto"/>
          <w:sz w:val="24"/>
          <w:highlight w:val="none"/>
        </w:rPr>
        <w:t>有效期内，</w:t>
      </w:r>
      <w:r>
        <w:rPr>
          <w:rFonts w:hint="eastAsia"/>
          <w:color w:val="auto"/>
          <w:sz w:val="24"/>
          <w:szCs w:val="18"/>
          <w:highlight w:val="none"/>
        </w:rPr>
        <w:t>供应商</w:t>
      </w:r>
      <w:r>
        <w:rPr>
          <w:color w:val="auto"/>
          <w:sz w:val="24"/>
          <w:highlight w:val="none"/>
        </w:rPr>
        <w:t>的</w:t>
      </w:r>
      <w:r>
        <w:rPr>
          <w:rFonts w:hint="eastAsia"/>
          <w:color w:val="auto"/>
          <w:sz w:val="24"/>
          <w:highlight w:val="none"/>
          <w:lang w:eastAsia="zh-CN"/>
        </w:rPr>
        <w:t>比选</w:t>
      </w:r>
      <w:r>
        <w:rPr>
          <w:color w:val="auto"/>
          <w:sz w:val="24"/>
          <w:highlight w:val="none"/>
        </w:rPr>
        <w:t>保持有效，</w:t>
      </w:r>
      <w:r>
        <w:rPr>
          <w:rFonts w:hint="eastAsia"/>
          <w:color w:val="auto"/>
          <w:sz w:val="24"/>
          <w:szCs w:val="18"/>
          <w:highlight w:val="none"/>
        </w:rPr>
        <w:t>供应商</w:t>
      </w:r>
      <w:r>
        <w:rPr>
          <w:color w:val="auto"/>
          <w:sz w:val="24"/>
          <w:highlight w:val="none"/>
        </w:rPr>
        <w:t>不得要求撤销或修改其响应文件。</w:t>
      </w:r>
      <w:r>
        <w:rPr>
          <w:rFonts w:hint="eastAsia"/>
          <w:color w:val="auto"/>
          <w:sz w:val="24"/>
          <w:highlight w:val="none"/>
          <w:lang w:eastAsia="zh-CN"/>
        </w:rPr>
        <w:t>比选</w:t>
      </w:r>
      <w:r>
        <w:rPr>
          <w:color w:val="auto"/>
          <w:sz w:val="24"/>
          <w:highlight w:val="none"/>
        </w:rPr>
        <w:t>有效期不满足要求的响应，其响应文件将被认定为</w:t>
      </w:r>
      <w:r>
        <w:rPr>
          <w:b/>
          <w:color w:val="auto"/>
          <w:sz w:val="24"/>
          <w:highlight w:val="none"/>
        </w:rPr>
        <w:t>响应无效</w:t>
      </w:r>
      <w:r>
        <w:rPr>
          <w:color w:val="auto"/>
          <w:sz w:val="24"/>
          <w:highlight w:val="none"/>
        </w:rPr>
        <w:t>。</w:t>
      </w:r>
    </w:p>
    <w:p w14:paraId="100A2BA7">
      <w:pPr>
        <w:spacing w:line="360" w:lineRule="auto"/>
        <w:ind w:firstLine="435"/>
        <w:rPr>
          <w:color w:val="auto"/>
          <w:sz w:val="24"/>
          <w:highlight w:val="none"/>
        </w:rPr>
      </w:pPr>
      <w:r>
        <w:rPr>
          <w:rFonts w:hint="eastAsia"/>
          <w:color w:val="auto"/>
          <w:sz w:val="24"/>
          <w:highlight w:val="none"/>
        </w:rPr>
        <w:t>8</w:t>
      </w:r>
      <w:r>
        <w:rPr>
          <w:color w:val="auto"/>
          <w:sz w:val="24"/>
          <w:highlight w:val="none"/>
        </w:rPr>
        <w:t>.3为保证有充分时间签订合同，</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可根据实际情况，在原</w:t>
      </w:r>
      <w:r>
        <w:rPr>
          <w:rFonts w:hint="eastAsia"/>
          <w:color w:val="auto"/>
          <w:sz w:val="24"/>
          <w:highlight w:val="none"/>
          <w:lang w:eastAsia="zh-CN"/>
        </w:rPr>
        <w:t>比选</w:t>
      </w:r>
      <w:r>
        <w:rPr>
          <w:color w:val="auto"/>
          <w:sz w:val="24"/>
          <w:highlight w:val="none"/>
        </w:rPr>
        <w:t>有效期截止之前，要求</w:t>
      </w:r>
      <w:r>
        <w:rPr>
          <w:rFonts w:hint="eastAsia"/>
          <w:color w:val="auto"/>
          <w:sz w:val="24"/>
          <w:szCs w:val="18"/>
          <w:highlight w:val="none"/>
        </w:rPr>
        <w:t>供应商</w:t>
      </w:r>
      <w:r>
        <w:rPr>
          <w:color w:val="auto"/>
          <w:sz w:val="24"/>
          <w:highlight w:val="none"/>
        </w:rPr>
        <w:t>延长</w:t>
      </w:r>
      <w:r>
        <w:rPr>
          <w:rFonts w:hint="eastAsia"/>
          <w:color w:val="auto"/>
          <w:sz w:val="24"/>
          <w:highlight w:val="none"/>
          <w:lang w:eastAsia="zh-CN"/>
        </w:rPr>
        <w:t>比选</w:t>
      </w:r>
      <w:r>
        <w:rPr>
          <w:color w:val="auto"/>
          <w:sz w:val="24"/>
          <w:highlight w:val="none"/>
        </w:rPr>
        <w:t>有效期。接受该要求的</w:t>
      </w:r>
      <w:r>
        <w:rPr>
          <w:rFonts w:hint="eastAsia"/>
          <w:color w:val="auto"/>
          <w:sz w:val="24"/>
          <w:szCs w:val="18"/>
          <w:highlight w:val="none"/>
        </w:rPr>
        <w:t>供应商</w:t>
      </w:r>
      <w:r>
        <w:rPr>
          <w:color w:val="auto"/>
          <w:sz w:val="24"/>
          <w:highlight w:val="none"/>
        </w:rPr>
        <w:t>将不会被要求和允许修正其响应文件。</w:t>
      </w:r>
      <w:r>
        <w:rPr>
          <w:rFonts w:hint="eastAsia"/>
          <w:color w:val="auto"/>
          <w:sz w:val="24"/>
          <w:szCs w:val="18"/>
          <w:highlight w:val="none"/>
        </w:rPr>
        <w:t>供应商</w:t>
      </w:r>
      <w:r>
        <w:rPr>
          <w:color w:val="auto"/>
          <w:sz w:val="24"/>
          <w:highlight w:val="none"/>
        </w:rPr>
        <w:t>可以拒绝延长</w:t>
      </w:r>
      <w:r>
        <w:rPr>
          <w:rFonts w:hint="eastAsia"/>
          <w:color w:val="auto"/>
          <w:sz w:val="24"/>
          <w:highlight w:val="none"/>
          <w:lang w:eastAsia="zh-CN"/>
        </w:rPr>
        <w:t>比选</w:t>
      </w:r>
      <w:r>
        <w:rPr>
          <w:color w:val="auto"/>
          <w:sz w:val="24"/>
          <w:highlight w:val="none"/>
        </w:rPr>
        <w:t>有效期的要求，且不承担任何责任。上述要求和答复都应以书面形式提交。</w:t>
      </w:r>
    </w:p>
    <w:p w14:paraId="261D1707">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9.响应文件的制作</w:t>
      </w:r>
    </w:p>
    <w:p w14:paraId="2AD8E3E3">
      <w:pPr>
        <w:spacing w:line="360" w:lineRule="auto"/>
        <w:ind w:firstLine="435"/>
        <w:rPr>
          <w:rFonts w:cs="宋体"/>
          <w:color w:val="auto"/>
          <w:sz w:val="24"/>
          <w:highlight w:val="none"/>
        </w:rPr>
      </w:pPr>
      <w:r>
        <w:rPr>
          <w:rFonts w:hint="eastAsia" w:cs="宋体"/>
          <w:color w:val="auto"/>
          <w:sz w:val="24"/>
          <w:highlight w:val="none"/>
        </w:rPr>
        <w:t>9.1.本项目采用全流程电子化方式，</w:t>
      </w:r>
      <w:r>
        <w:rPr>
          <w:rFonts w:hint="eastAsia"/>
          <w:color w:val="auto"/>
          <w:sz w:val="24"/>
          <w:szCs w:val="18"/>
          <w:highlight w:val="none"/>
        </w:rPr>
        <w:t>供应商</w:t>
      </w:r>
      <w:r>
        <w:rPr>
          <w:rFonts w:hint="eastAsia" w:cs="宋体"/>
          <w:color w:val="auto"/>
          <w:sz w:val="24"/>
          <w:highlight w:val="none"/>
        </w:rPr>
        <w:t>必须递交电子响应文件，并对电子响应文件进行电子签章并使用CA锁进行加密，在</w:t>
      </w:r>
      <w:r>
        <w:rPr>
          <w:rFonts w:hint="eastAsia" w:cs="宋体"/>
          <w:color w:val="auto"/>
          <w:sz w:val="24"/>
          <w:highlight w:val="none"/>
          <w:lang w:eastAsia="zh-CN"/>
        </w:rPr>
        <w:t>比选</w:t>
      </w:r>
      <w:r>
        <w:rPr>
          <w:rFonts w:hint="eastAsia" w:cs="宋体"/>
          <w:color w:val="auto"/>
          <w:sz w:val="24"/>
          <w:highlight w:val="none"/>
        </w:rPr>
        <w:t>文件规定的响应截止时间前使用“优质采投标工具客户端”完成上传。</w:t>
      </w:r>
    </w:p>
    <w:p w14:paraId="477AD70D">
      <w:pPr>
        <w:spacing w:line="360" w:lineRule="auto"/>
        <w:ind w:firstLine="435"/>
        <w:rPr>
          <w:rFonts w:cs="宋体"/>
          <w:color w:val="auto"/>
          <w:sz w:val="24"/>
          <w:highlight w:val="none"/>
        </w:rPr>
      </w:pPr>
      <w:r>
        <w:rPr>
          <w:rFonts w:hint="eastAsia" w:cs="宋体"/>
          <w:color w:val="auto"/>
          <w:sz w:val="24"/>
          <w:highlight w:val="none"/>
        </w:rPr>
        <w:t>9.2.全流程电</w:t>
      </w:r>
      <w:r>
        <w:rPr>
          <w:rFonts w:hint="eastAsia" w:cs="宋体"/>
          <w:color w:val="auto"/>
          <w:sz w:val="24"/>
          <w:highlight w:val="none"/>
          <w:lang w:eastAsia="zh-CN"/>
        </w:rPr>
        <w:t>比选</w:t>
      </w:r>
      <w:r>
        <w:rPr>
          <w:rFonts w:hint="eastAsia" w:cs="宋体"/>
          <w:color w:val="auto"/>
          <w:sz w:val="24"/>
          <w:highlight w:val="none"/>
        </w:rPr>
        <w:t>项目</w:t>
      </w:r>
      <w:r>
        <w:rPr>
          <w:rFonts w:hint="eastAsia"/>
          <w:color w:val="auto"/>
          <w:sz w:val="24"/>
          <w:szCs w:val="18"/>
          <w:highlight w:val="none"/>
        </w:rPr>
        <w:t>供应商</w:t>
      </w:r>
      <w:r>
        <w:rPr>
          <w:rFonts w:hint="eastAsia" w:cs="宋体"/>
          <w:color w:val="auto"/>
          <w:sz w:val="24"/>
          <w:highlight w:val="none"/>
        </w:rPr>
        <w:t>必须上传CA锁加密的电子响应文件，</w:t>
      </w:r>
      <w:r>
        <w:rPr>
          <w:rFonts w:hint="eastAsia"/>
          <w:color w:val="auto"/>
          <w:sz w:val="24"/>
          <w:szCs w:val="18"/>
          <w:highlight w:val="none"/>
        </w:rPr>
        <w:t>供应商</w:t>
      </w:r>
      <w:r>
        <w:rPr>
          <w:rFonts w:hint="eastAsia" w:cs="宋体"/>
          <w:color w:val="auto"/>
          <w:sz w:val="24"/>
          <w:highlight w:val="none"/>
        </w:rPr>
        <w:t>下载</w:t>
      </w:r>
      <w:r>
        <w:rPr>
          <w:rFonts w:hint="eastAsia" w:cs="宋体"/>
          <w:color w:val="auto"/>
          <w:sz w:val="24"/>
          <w:highlight w:val="none"/>
          <w:lang w:eastAsia="zh-CN"/>
        </w:rPr>
        <w:t>比选</w:t>
      </w:r>
      <w:r>
        <w:rPr>
          <w:rFonts w:hint="eastAsia" w:cs="宋体"/>
          <w:color w:val="auto"/>
          <w:sz w:val="24"/>
          <w:highlight w:val="none"/>
        </w:rPr>
        <w:t>文件后，如未在</w:t>
      </w:r>
      <w:r>
        <w:rPr>
          <w:rFonts w:hint="eastAsia" w:cs="宋体"/>
          <w:color w:val="auto"/>
          <w:sz w:val="24"/>
          <w:highlight w:val="none"/>
          <w:lang w:eastAsia="zh-CN"/>
        </w:rPr>
        <w:t>比选</w:t>
      </w:r>
      <w:r>
        <w:rPr>
          <w:rFonts w:hint="eastAsia" w:cs="宋体"/>
          <w:color w:val="auto"/>
          <w:sz w:val="24"/>
          <w:highlight w:val="none"/>
        </w:rPr>
        <w:t>文件规定的响应文件递交截止时间前上传电子响应文件，视为无效；</w:t>
      </w:r>
      <w:r>
        <w:rPr>
          <w:rFonts w:hint="eastAsia"/>
          <w:color w:val="auto"/>
          <w:sz w:val="24"/>
          <w:szCs w:val="18"/>
          <w:highlight w:val="none"/>
        </w:rPr>
        <w:t>供应商</w:t>
      </w:r>
      <w:r>
        <w:rPr>
          <w:rFonts w:hint="eastAsia" w:cs="宋体"/>
          <w:color w:val="auto"/>
          <w:sz w:val="24"/>
          <w:highlight w:val="none"/>
        </w:rPr>
        <w:t>在响应文件递交截止时间前，可以对其所递交的电子响应文件进行撤回，修改后重新上传（具体操作详见教程）；</w:t>
      </w:r>
    </w:p>
    <w:p w14:paraId="7EEEDB74">
      <w:pPr>
        <w:spacing w:line="360" w:lineRule="auto"/>
        <w:ind w:firstLine="435"/>
        <w:rPr>
          <w:rFonts w:cs="宋体"/>
          <w:color w:val="auto"/>
          <w:sz w:val="24"/>
          <w:highlight w:val="none"/>
        </w:rPr>
      </w:pPr>
      <w:r>
        <w:rPr>
          <w:rFonts w:hint="eastAsia" w:cs="宋体"/>
          <w:color w:val="auto"/>
          <w:sz w:val="24"/>
          <w:highlight w:val="none"/>
        </w:rPr>
        <w:t>9.3.响应文件递交截止时间以优质采云采购平台（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）系统的时间为准，逾期系统将自动关闭，电子响应文件未完成上传的，视为没有递交响应文件；</w:t>
      </w:r>
    </w:p>
    <w:p w14:paraId="5CAD7AE0">
      <w:pPr>
        <w:spacing w:line="360" w:lineRule="auto"/>
        <w:ind w:firstLine="435"/>
        <w:rPr>
          <w:rFonts w:cs="宋体"/>
          <w:color w:val="auto"/>
          <w:sz w:val="24"/>
          <w:highlight w:val="none"/>
        </w:rPr>
      </w:pPr>
      <w:r>
        <w:rPr>
          <w:rFonts w:hint="eastAsia" w:cs="宋体"/>
          <w:color w:val="auto"/>
          <w:sz w:val="24"/>
          <w:highlight w:val="none"/>
        </w:rPr>
        <w:t>9.4.响应文件可远程解密，</w:t>
      </w:r>
      <w:r>
        <w:rPr>
          <w:rFonts w:hint="eastAsia"/>
          <w:color w:val="auto"/>
          <w:sz w:val="24"/>
          <w:szCs w:val="18"/>
          <w:highlight w:val="none"/>
        </w:rPr>
        <w:t>供应商</w:t>
      </w:r>
      <w:r>
        <w:rPr>
          <w:rFonts w:hint="eastAsia" w:cs="宋体"/>
          <w:color w:val="auto"/>
          <w:sz w:val="24"/>
          <w:highlight w:val="none"/>
        </w:rPr>
        <w:t>无需到达</w:t>
      </w:r>
      <w:r>
        <w:rPr>
          <w:rFonts w:hint="eastAsia" w:cs="宋体"/>
          <w:color w:val="auto"/>
          <w:sz w:val="24"/>
          <w:highlight w:val="none"/>
          <w:lang w:eastAsia="zh-CN"/>
        </w:rPr>
        <w:t>比选</w:t>
      </w:r>
      <w:r>
        <w:rPr>
          <w:rFonts w:hint="eastAsia" w:cs="宋体"/>
          <w:color w:val="auto"/>
          <w:sz w:val="24"/>
          <w:highlight w:val="none"/>
        </w:rPr>
        <w:t>现场。</w:t>
      </w:r>
      <w:r>
        <w:rPr>
          <w:rFonts w:hint="eastAsia" w:cs="宋体"/>
          <w:color w:val="auto"/>
          <w:sz w:val="24"/>
          <w:highlight w:val="none"/>
          <w:lang w:eastAsia="zh-CN"/>
        </w:rPr>
        <w:t>比选</w:t>
      </w:r>
      <w:r>
        <w:rPr>
          <w:rFonts w:hint="eastAsia" w:cs="宋体"/>
          <w:color w:val="auto"/>
          <w:sz w:val="24"/>
          <w:highlight w:val="none"/>
        </w:rPr>
        <w:t>文件“</w:t>
      </w:r>
      <w:r>
        <w:rPr>
          <w:rFonts w:hint="eastAsia"/>
          <w:color w:val="auto"/>
          <w:sz w:val="24"/>
          <w:szCs w:val="18"/>
          <w:highlight w:val="none"/>
        </w:rPr>
        <w:t>供应商</w:t>
      </w:r>
      <w:r>
        <w:rPr>
          <w:rFonts w:hint="eastAsia" w:cs="宋体"/>
          <w:color w:val="auto"/>
          <w:sz w:val="24"/>
          <w:highlight w:val="none"/>
        </w:rPr>
        <w:t>须知”中另有规定的，从其规定。</w:t>
      </w:r>
    </w:p>
    <w:p w14:paraId="36A38606">
      <w:pPr>
        <w:spacing w:line="360" w:lineRule="auto"/>
        <w:ind w:firstLine="435"/>
        <w:rPr>
          <w:color w:val="auto"/>
          <w:sz w:val="24"/>
          <w:highlight w:val="none"/>
        </w:rPr>
      </w:pPr>
      <w:r>
        <w:rPr>
          <w:rFonts w:hint="eastAsia" w:cs="宋体"/>
          <w:color w:val="auto"/>
          <w:sz w:val="24"/>
          <w:highlight w:val="none"/>
        </w:rPr>
        <w:t>9.5.</w:t>
      </w:r>
      <w:r>
        <w:rPr>
          <w:rFonts w:hint="eastAsia"/>
          <w:color w:val="auto"/>
          <w:sz w:val="24"/>
          <w:szCs w:val="18"/>
          <w:highlight w:val="none"/>
        </w:rPr>
        <w:t xml:space="preserve"> 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p>
    <w:p w14:paraId="466D2319">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10.响应文件提交截止时间</w:t>
      </w:r>
    </w:p>
    <w:p w14:paraId="363FDED7">
      <w:pPr>
        <w:spacing w:line="360" w:lineRule="auto"/>
        <w:ind w:firstLine="437"/>
        <w:outlineLvl w:val="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10.1供应商应在供应商须知前附表中规定的响应文件提交截止时间前，在网上提交加密电子响应文件。</w:t>
      </w:r>
    </w:p>
    <w:p w14:paraId="591C85EA">
      <w:pPr>
        <w:spacing w:line="360" w:lineRule="auto"/>
        <w:ind w:firstLine="437"/>
        <w:outlineLvl w:val="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10.2供应商在</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文件规定的响应文件提交截止时间前上传了网上加密电子响应文件，但未在规定时间内进行解密的，响应无效。</w:t>
      </w:r>
    </w:p>
    <w:p w14:paraId="088525D1">
      <w:pPr>
        <w:spacing w:line="360" w:lineRule="auto"/>
        <w:ind w:firstLine="437"/>
        <w:outlineLvl w:val="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10.3业主单位和代理机构延迟响应文件提交截止时间的，在此情况下，业主单位、代理机构和供应商受响应文件提交截止时间制约的所有权利和义务均应延长至新的截止时间。</w:t>
      </w:r>
    </w:p>
    <w:p w14:paraId="0A03B93E">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11.响应文件的提交、修改与撤回</w:t>
      </w:r>
    </w:p>
    <w:p w14:paraId="4E032FC8">
      <w:pPr>
        <w:spacing w:line="360" w:lineRule="auto"/>
        <w:ind w:firstLine="437"/>
        <w:outlineLvl w:val="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11.1供应商应当在第一章“</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邀请”规定的响应文件提交截止时间前，将加密的响应文件在优质采云采购平台（http://www.youzhicai.com/）上传。</w:t>
      </w:r>
    </w:p>
    <w:p w14:paraId="39D0E729">
      <w:pPr>
        <w:spacing w:line="360" w:lineRule="auto"/>
        <w:ind w:firstLine="437"/>
        <w:outlineLvl w:val="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4456FAF9">
      <w:pPr>
        <w:spacing w:line="360" w:lineRule="auto"/>
        <w:ind w:firstLine="437"/>
        <w:outlineLvl w:val="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11.3供应商应在供应商须知前附表规定的解密时间前（以优质采云采购平台（http://www.youzhicai.com/）系统的解密倒计时为准）对本单位的响应文件进行解密，代理机构工作人员解密所有响应文件。</w:t>
      </w:r>
    </w:p>
    <w:p w14:paraId="58146446">
      <w:pPr>
        <w:spacing w:line="360" w:lineRule="auto"/>
        <w:ind w:firstLine="437"/>
        <w:outlineLvl w:val="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11.4在响应文件提交截止时间之后，供应商不得对其响应文件做任何修改。但属于评审委员会在评审中发现的计算错误并进行核实的修改、按照</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文件的变动情况和评审委员会的要求重新提交响应文件的，不在此列。</w:t>
      </w:r>
    </w:p>
    <w:p w14:paraId="34F9D2E3">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12.评审委员会</w:t>
      </w:r>
    </w:p>
    <w:p w14:paraId="59315A5B">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739DAECF">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12.2评审委员会根据</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文件规定的评审方法和标准对供应商提交的响应文件进行评审，从质量和服务均能满足</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文件实质性响应要求的供应商中推荐成交候选人，并编写评审报告。</w:t>
      </w:r>
    </w:p>
    <w:p w14:paraId="226BDEA7">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13</w:t>
      </w:r>
      <w:r>
        <w:rPr>
          <w:rFonts w:asciiTheme="minorEastAsia" w:hAnsiTheme="minorEastAsia" w:eastAsiaTheme="minorEastAsia" w:cstheme="minorEastAsia"/>
          <w:b/>
          <w:color w:val="auto"/>
          <w:sz w:val="24"/>
          <w:highlight w:val="none"/>
        </w:rPr>
        <w:t>.响应文件的评审与</w:t>
      </w:r>
      <w:r>
        <w:rPr>
          <w:rFonts w:hint="eastAsia" w:asciiTheme="minorEastAsia" w:hAnsiTheme="minorEastAsia" w:eastAsiaTheme="minorEastAsia" w:cstheme="minorEastAsia"/>
          <w:b/>
          <w:color w:val="auto"/>
          <w:sz w:val="24"/>
          <w:highlight w:val="none"/>
          <w:lang w:eastAsia="zh-CN"/>
        </w:rPr>
        <w:t>比选</w:t>
      </w:r>
    </w:p>
    <w:p w14:paraId="3FB98AFA">
      <w:pPr>
        <w:spacing w:line="360" w:lineRule="auto"/>
        <w:ind w:firstLine="435"/>
        <w:rPr>
          <w:color w:val="auto"/>
          <w:sz w:val="24"/>
          <w:highlight w:val="none"/>
        </w:rPr>
      </w:pPr>
      <w:r>
        <w:rPr>
          <w:rFonts w:hint="eastAsia"/>
          <w:color w:val="auto"/>
          <w:sz w:val="24"/>
          <w:highlight w:val="none"/>
        </w:rPr>
        <w:t>13</w:t>
      </w:r>
      <w:r>
        <w:rPr>
          <w:color w:val="auto"/>
          <w:sz w:val="24"/>
          <w:highlight w:val="none"/>
        </w:rPr>
        <w:t>.</w:t>
      </w:r>
      <w:r>
        <w:rPr>
          <w:rFonts w:hint="eastAsia"/>
          <w:color w:val="auto"/>
          <w:sz w:val="24"/>
          <w:highlight w:val="none"/>
        </w:rPr>
        <w:t>1</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szCs w:val="18"/>
          <w:highlight w:val="none"/>
          <w:u w:val="single"/>
        </w:rPr>
        <w:t>参审单位</w:t>
      </w:r>
      <w:r>
        <w:rPr>
          <w:color w:val="auto"/>
          <w:sz w:val="24"/>
          <w:highlight w:val="none"/>
          <w:u w:val="single"/>
        </w:rPr>
        <w:t>须知前附表</w:t>
      </w:r>
      <w:r>
        <w:rPr>
          <w:rFonts w:hint="eastAsia"/>
          <w:color w:val="auto"/>
          <w:sz w:val="24"/>
          <w:highlight w:val="none"/>
        </w:rPr>
        <w:t>规定的时间和地点组织</w:t>
      </w:r>
      <w:r>
        <w:rPr>
          <w:rFonts w:hint="eastAsia"/>
          <w:color w:val="auto"/>
          <w:sz w:val="24"/>
          <w:highlight w:val="none"/>
          <w:lang w:eastAsia="zh-CN"/>
        </w:rPr>
        <w:t>比选</w:t>
      </w:r>
      <w:r>
        <w:rPr>
          <w:rFonts w:hint="eastAsia"/>
          <w:color w:val="auto"/>
          <w:sz w:val="24"/>
          <w:highlight w:val="none"/>
        </w:rPr>
        <w:t>。</w:t>
      </w:r>
    </w:p>
    <w:p w14:paraId="19245AC4">
      <w:pPr>
        <w:spacing w:line="360" w:lineRule="auto"/>
        <w:ind w:firstLine="435"/>
        <w:rPr>
          <w:color w:val="auto"/>
          <w:sz w:val="24"/>
          <w:highlight w:val="none"/>
        </w:rPr>
      </w:pPr>
      <w:r>
        <w:rPr>
          <w:rFonts w:hint="eastAsia"/>
          <w:color w:val="auto"/>
          <w:sz w:val="24"/>
          <w:highlight w:val="none"/>
        </w:rPr>
        <w:t>13.2</w:t>
      </w:r>
      <w:r>
        <w:rPr>
          <w:rFonts w:hint="eastAsia"/>
          <w:color w:val="auto"/>
          <w:sz w:val="24"/>
          <w:highlight w:val="none"/>
          <w:lang w:eastAsia="zh-CN"/>
        </w:rPr>
        <w:t>比选</w:t>
      </w:r>
      <w:r>
        <w:rPr>
          <w:rFonts w:hint="eastAsia"/>
          <w:color w:val="auto"/>
          <w:sz w:val="24"/>
          <w:highlight w:val="none"/>
        </w:rPr>
        <w:t>活动采用综合评分法评审。</w:t>
      </w:r>
    </w:p>
    <w:p w14:paraId="3EA6EB90">
      <w:pPr>
        <w:spacing w:line="360" w:lineRule="auto"/>
        <w:ind w:firstLine="435"/>
        <w:rPr>
          <w:color w:val="auto"/>
          <w:sz w:val="24"/>
          <w:highlight w:val="none"/>
        </w:rPr>
      </w:pPr>
      <w:r>
        <w:rPr>
          <w:rFonts w:hint="eastAsia"/>
          <w:color w:val="auto"/>
          <w:sz w:val="24"/>
          <w:highlight w:val="none"/>
        </w:rPr>
        <w:t>综合评分法，是指响应文件满足</w:t>
      </w:r>
      <w:r>
        <w:rPr>
          <w:rFonts w:hint="eastAsia"/>
          <w:color w:val="auto"/>
          <w:sz w:val="24"/>
          <w:highlight w:val="none"/>
          <w:lang w:eastAsia="zh-CN"/>
        </w:rPr>
        <w:t>比选</w:t>
      </w:r>
      <w:r>
        <w:rPr>
          <w:rFonts w:hint="eastAsia"/>
          <w:color w:val="auto"/>
          <w:sz w:val="24"/>
          <w:highlight w:val="none"/>
        </w:rPr>
        <w:t>文件全部实质性要求且按评审因素的量化指标评审得分最高的</w:t>
      </w:r>
      <w:r>
        <w:rPr>
          <w:rFonts w:hint="eastAsia"/>
          <w:color w:val="auto"/>
          <w:sz w:val="24"/>
          <w:szCs w:val="18"/>
          <w:highlight w:val="none"/>
        </w:rPr>
        <w:t>参审单位</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5BDAD088">
      <w:pPr>
        <w:spacing w:line="360" w:lineRule="auto"/>
        <w:ind w:firstLine="435"/>
        <w:rPr>
          <w:color w:val="auto"/>
          <w:sz w:val="24"/>
          <w:highlight w:val="none"/>
        </w:rPr>
      </w:pPr>
      <w:r>
        <w:rPr>
          <w:rFonts w:hint="eastAsia"/>
          <w:color w:val="auto"/>
          <w:sz w:val="24"/>
          <w:highlight w:val="none"/>
        </w:rPr>
        <w:t>13.3</w:t>
      </w:r>
      <w:r>
        <w:rPr>
          <w:rFonts w:hint="eastAsia"/>
          <w:color w:val="auto"/>
          <w:sz w:val="24"/>
          <w:highlight w:val="none"/>
          <w:lang w:eastAsia="zh-CN"/>
        </w:rPr>
        <w:t>比选</w:t>
      </w:r>
      <w:r>
        <w:rPr>
          <w:rFonts w:hint="eastAsia"/>
          <w:color w:val="auto"/>
          <w:sz w:val="24"/>
          <w:highlight w:val="none"/>
        </w:rPr>
        <w:t>小组将按照</w:t>
      </w:r>
      <w:r>
        <w:rPr>
          <w:rFonts w:hint="eastAsia"/>
          <w:color w:val="auto"/>
          <w:sz w:val="24"/>
          <w:highlight w:val="none"/>
          <w:lang w:eastAsia="zh-CN"/>
        </w:rPr>
        <w:t>比选</w:t>
      </w:r>
      <w:r>
        <w:rPr>
          <w:rFonts w:hint="eastAsia"/>
          <w:color w:val="auto"/>
          <w:sz w:val="24"/>
          <w:highlight w:val="none"/>
        </w:rPr>
        <w:t>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rPr>
        <w:t>参审单位</w:t>
      </w:r>
      <w:r>
        <w:rPr>
          <w:rFonts w:hint="eastAsia"/>
          <w:color w:val="auto"/>
          <w:sz w:val="24"/>
          <w:highlight w:val="none"/>
        </w:rPr>
        <w:t>独立进行评审。评审程序如下：</w:t>
      </w:r>
    </w:p>
    <w:p w14:paraId="18D1F706">
      <w:pPr>
        <w:spacing w:line="360" w:lineRule="auto"/>
        <w:ind w:firstLine="435"/>
        <w:rPr>
          <w:color w:val="auto"/>
          <w:sz w:val="24"/>
          <w:highlight w:val="none"/>
        </w:rPr>
      </w:pPr>
      <w:r>
        <w:rPr>
          <w:rFonts w:hint="eastAsia"/>
          <w:color w:val="auto"/>
          <w:sz w:val="24"/>
          <w:highlight w:val="none"/>
        </w:rPr>
        <w:t>13.3.1</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比选</w:t>
      </w:r>
      <w:r>
        <w:rPr>
          <w:rFonts w:hint="eastAsia"/>
          <w:color w:val="auto"/>
          <w:sz w:val="24"/>
          <w:highlight w:val="none"/>
        </w:rPr>
        <w:t>小组对</w:t>
      </w:r>
      <w:r>
        <w:rPr>
          <w:rFonts w:hint="eastAsia"/>
          <w:color w:val="auto"/>
          <w:sz w:val="24"/>
          <w:szCs w:val="18"/>
          <w:highlight w:val="none"/>
        </w:rPr>
        <w:t>参审单位</w:t>
      </w:r>
      <w:r>
        <w:rPr>
          <w:rFonts w:hint="eastAsia"/>
          <w:color w:val="auto"/>
          <w:sz w:val="24"/>
          <w:highlight w:val="none"/>
        </w:rPr>
        <w:t>必须满足和实质性响应的内容进行评审，</w:t>
      </w:r>
      <w:r>
        <w:rPr>
          <w:rFonts w:hint="eastAsia"/>
          <w:color w:val="auto"/>
          <w:sz w:val="24"/>
          <w:szCs w:val="18"/>
          <w:highlight w:val="none"/>
        </w:rPr>
        <w:t>参审单位</w:t>
      </w:r>
      <w:r>
        <w:rPr>
          <w:rFonts w:hint="eastAsia"/>
          <w:color w:val="auto"/>
          <w:sz w:val="24"/>
          <w:highlight w:val="none"/>
        </w:rPr>
        <w:t>未实质性响应</w:t>
      </w:r>
      <w:r>
        <w:rPr>
          <w:rFonts w:hint="eastAsia"/>
          <w:color w:val="auto"/>
          <w:sz w:val="24"/>
          <w:highlight w:val="none"/>
          <w:lang w:eastAsia="zh-CN"/>
        </w:rPr>
        <w:t>比选</w:t>
      </w:r>
      <w:r>
        <w:rPr>
          <w:rFonts w:hint="eastAsia"/>
          <w:color w:val="auto"/>
          <w:sz w:val="24"/>
          <w:highlight w:val="none"/>
        </w:rPr>
        <w:t>文件要求导致响应无效的，</w:t>
      </w:r>
      <w:r>
        <w:rPr>
          <w:rFonts w:hint="eastAsia"/>
          <w:color w:val="auto"/>
          <w:sz w:val="24"/>
          <w:highlight w:val="none"/>
          <w:lang w:eastAsia="zh-CN"/>
        </w:rPr>
        <w:t>比选</w:t>
      </w:r>
      <w:r>
        <w:rPr>
          <w:rFonts w:hint="eastAsia"/>
          <w:color w:val="auto"/>
          <w:sz w:val="24"/>
          <w:highlight w:val="none"/>
        </w:rPr>
        <w:t>小组将以书面询问的方式告知有关</w:t>
      </w:r>
      <w:r>
        <w:rPr>
          <w:rFonts w:hint="eastAsia"/>
          <w:color w:val="auto"/>
          <w:sz w:val="24"/>
          <w:szCs w:val="18"/>
          <w:highlight w:val="none"/>
        </w:rPr>
        <w:t>参审单位</w:t>
      </w:r>
      <w:r>
        <w:rPr>
          <w:rFonts w:hint="eastAsia"/>
          <w:color w:val="auto"/>
          <w:sz w:val="24"/>
          <w:highlight w:val="none"/>
        </w:rPr>
        <w:t>。</w:t>
      </w:r>
    </w:p>
    <w:p w14:paraId="1DBB95F7">
      <w:pPr>
        <w:spacing w:line="360" w:lineRule="auto"/>
        <w:ind w:firstLine="480" w:firstLineChars="200"/>
        <w:jc w:val="left"/>
        <w:rPr>
          <w:rFonts w:cs="宋体"/>
          <w:color w:val="auto"/>
          <w:kern w:val="21"/>
          <w:sz w:val="24"/>
          <w:szCs w:val="24"/>
          <w:highlight w:val="none"/>
          <w:lang w:bidi="ar"/>
        </w:rPr>
      </w:pPr>
      <w:r>
        <w:rPr>
          <w:rFonts w:hint="eastAsia" w:cs="宋体"/>
          <w:color w:val="auto"/>
          <w:kern w:val="21"/>
          <w:sz w:val="24"/>
          <w:szCs w:val="24"/>
          <w:highlight w:val="none"/>
          <w:lang w:bidi="ar"/>
        </w:rPr>
        <w:t>13.3.1.2</w:t>
      </w:r>
      <w:r>
        <w:rPr>
          <w:rFonts w:cs="宋体"/>
          <w:color w:val="auto"/>
          <w:kern w:val="21"/>
          <w:sz w:val="24"/>
          <w:szCs w:val="24"/>
          <w:highlight w:val="none"/>
          <w:lang w:bidi="ar"/>
        </w:rPr>
        <w:t>参审单位不良信用记录以业主单位或代理机构查询结果为准</w:t>
      </w:r>
      <w:r>
        <w:rPr>
          <w:rFonts w:hint="eastAsia" w:cs="宋体"/>
          <w:color w:val="auto"/>
          <w:kern w:val="21"/>
          <w:sz w:val="24"/>
          <w:szCs w:val="24"/>
          <w:highlight w:val="none"/>
          <w:lang w:bidi="ar"/>
        </w:rPr>
        <w:t>。</w:t>
      </w:r>
    </w:p>
    <w:p w14:paraId="669A2310">
      <w:pPr>
        <w:spacing w:line="360" w:lineRule="auto"/>
        <w:ind w:firstLine="480" w:firstLineChars="200"/>
        <w:jc w:val="left"/>
        <w:rPr>
          <w:rFonts w:cs="宋体"/>
          <w:color w:val="auto"/>
          <w:sz w:val="24"/>
          <w:szCs w:val="24"/>
          <w:highlight w:val="none"/>
          <w:lang w:bidi="ar"/>
        </w:rPr>
      </w:pPr>
      <w:r>
        <w:rPr>
          <w:rFonts w:hint="eastAsia" w:cs="宋体"/>
          <w:color w:val="auto"/>
          <w:sz w:val="24"/>
          <w:szCs w:val="24"/>
          <w:highlight w:val="none"/>
          <w:lang w:bidi="ar"/>
        </w:rPr>
        <w:t>在本</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文件规定的查询时间之外，网站信息发生的任何变更均不作为初审依据。</w:t>
      </w:r>
    </w:p>
    <w:p w14:paraId="1DE25CF4">
      <w:pPr>
        <w:spacing w:line="360" w:lineRule="auto"/>
        <w:ind w:firstLine="480" w:firstLineChars="200"/>
        <w:jc w:val="left"/>
        <w:rPr>
          <w:color w:val="auto"/>
          <w:sz w:val="24"/>
          <w:highlight w:val="none"/>
        </w:rPr>
      </w:pPr>
      <w:r>
        <w:rPr>
          <w:rFonts w:hint="eastAsia"/>
          <w:color w:val="auto"/>
          <w:sz w:val="24"/>
          <w:szCs w:val="18"/>
          <w:highlight w:val="none"/>
        </w:rPr>
        <w:t>参审单位</w:t>
      </w:r>
      <w:r>
        <w:rPr>
          <w:rFonts w:hint="eastAsia" w:cs="宋体"/>
          <w:color w:val="auto"/>
          <w:sz w:val="24"/>
          <w:szCs w:val="24"/>
          <w:highlight w:val="none"/>
          <w:lang w:bidi="ar"/>
        </w:rPr>
        <w:t>自行提供的与网站信息不一致的其他证明材料亦不作为初审依据。</w:t>
      </w:r>
    </w:p>
    <w:p w14:paraId="030D2C0A">
      <w:pPr>
        <w:spacing w:line="360" w:lineRule="auto"/>
        <w:ind w:firstLine="435"/>
        <w:rPr>
          <w:color w:val="auto"/>
          <w:sz w:val="24"/>
          <w:highlight w:val="none"/>
        </w:rPr>
      </w:pPr>
      <w:r>
        <w:rPr>
          <w:rFonts w:hint="eastAsia"/>
          <w:color w:val="auto"/>
          <w:sz w:val="24"/>
          <w:highlight w:val="none"/>
        </w:rPr>
        <w:t>13.3.2</w:t>
      </w:r>
      <w:r>
        <w:rPr>
          <w:rFonts w:hint="eastAsia"/>
          <w:b/>
          <w:color w:val="auto"/>
          <w:sz w:val="24"/>
          <w:highlight w:val="none"/>
          <w:lang w:eastAsia="zh-CN"/>
        </w:rPr>
        <w:t>比选</w:t>
      </w:r>
      <w:r>
        <w:rPr>
          <w:rFonts w:hint="eastAsia"/>
          <w:color w:val="auto"/>
          <w:sz w:val="24"/>
          <w:highlight w:val="none"/>
        </w:rPr>
        <w:t>。初审合格后，</w:t>
      </w:r>
      <w:r>
        <w:rPr>
          <w:rFonts w:hint="eastAsia"/>
          <w:color w:val="auto"/>
          <w:sz w:val="24"/>
          <w:highlight w:val="none"/>
          <w:lang w:eastAsia="zh-CN"/>
        </w:rPr>
        <w:t>比选</w:t>
      </w:r>
      <w:r>
        <w:rPr>
          <w:rFonts w:hint="eastAsia"/>
          <w:color w:val="auto"/>
          <w:sz w:val="24"/>
          <w:highlight w:val="none"/>
        </w:rPr>
        <w:t>小组将按网上加密电子响应文件提交顺序集中与单一</w:t>
      </w:r>
      <w:r>
        <w:rPr>
          <w:rFonts w:hint="eastAsia"/>
          <w:color w:val="auto"/>
          <w:sz w:val="24"/>
          <w:szCs w:val="18"/>
          <w:highlight w:val="none"/>
        </w:rPr>
        <w:t>参审单位</w:t>
      </w:r>
      <w:r>
        <w:rPr>
          <w:rFonts w:hint="eastAsia"/>
          <w:color w:val="auto"/>
          <w:sz w:val="24"/>
          <w:highlight w:val="none"/>
        </w:rPr>
        <w:t>分别进行</w:t>
      </w:r>
      <w:r>
        <w:rPr>
          <w:rFonts w:hint="eastAsia"/>
          <w:color w:val="auto"/>
          <w:sz w:val="24"/>
          <w:highlight w:val="none"/>
          <w:lang w:eastAsia="zh-CN"/>
        </w:rPr>
        <w:t>比选</w:t>
      </w:r>
      <w:r>
        <w:rPr>
          <w:rFonts w:hint="eastAsia"/>
          <w:color w:val="auto"/>
          <w:sz w:val="24"/>
          <w:highlight w:val="none"/>
        </w:rPr>
        <w:t>，并给予所有参加</w:t>
      </w:r>
      <w:r>
        <w:rPr>
          <w:rFonts w:hint="eastAsia"/>
          <w:color w:val="auto"/>
          <w:sz w:val="24"/>
          <w:highlight w:val="none"/>
          <w:lang w:eastAsia="zh-CN"/>
        </w:rPr>
        <w:t>比选</w:t>
      </w:r>
      <w:r>
        <w:rPr>
          <w:rFonts w:hint="eastAsia"/>
          <w:color w:val="auto"/>
          <w:sz w:val="24"/>
          <w:highlight w:val="none"/>
        </w:rPr>
        <w:t>的</w:t>
      </w:r>
      <w:r>
        <w:rPr>
          <w:rFonts w:hint="eastAsia"/>
          <w:color w:val="auto"/>
          <w:sz w:val="24"/>
          <w:szCs w:val="18"/>
          <w:highlight w:val="none"/>
        </w:rPr>
        <w:t>参审单位</w:t>
      </w:r>
      <w:r>
        <w:rPr>
          <w:rFonts w:hint="eastAsia"/>
          <w:color w:val="auto"/>
          <w:sz w:val="24"/>
          <w:highlight w:val="none"/>
        </w:rPr>
        <w:t>平等的</w:t>
      </w:r>
      <w:r>
        <w:rPr>
          <w:rFonts w:hint="eastAsia"/>
          <w:color w:val="auto"/>
          <w:sz w:val="24"/>
          <w:highlight w:val="none"/>
          <w:lang w:eastAsia="zh-CN"/>
        </w:rPr>
        <w:t>比选</w:t>
      </w:r>
      <w:r>
        <w:rPr>
          <w:rFonts w:hint="eastAsia"/>
          <w:color w:val="auto"/>
          <w:sz w:val="24"/>
          <w:highlight w:val="none"/>
        </w:rPr>
        <w:t>机会。</w:t>
      </w:r>
    </w:p>
    <w:p w14:paraId="768C621D">
      <w:pPr>
        <w:spacing w:line="360" w:lineRule="auto"/>
        <w:ind w:firstLine="435"/>
        <w:rPr>
          <w:color w:val="auto"/>
          <w:sz w:val="24"/>
          <w:highlight w:val="none"/>
        </w:rPr>
      </w:pPr>
      <w:r>
        <w:rPr>
          <w:rFonts w:hint="eastAsia"/>
          <w:color w:val="auto"/>
          <w:sz w:val="24"/>
          <w:highlight w:val="none"/>
        </w:rPr>
        <w:t>13.3.3</w:t>
      </w:r>
      <w:r>
        <w:rPr>
          <w:b/>
          <w:color w:val="auto"/>
          <w:sz w:val="24"/>
          <w:highlight w:val="none"/>
        </w:rPr>
        <w:t>报价</w:t>
      </w:r>
      <w:r>
        <w:rPr>
          <w:rFonts w:hint="eastAsia"/>
          <w:color w:val="auto"/>
          <w:sz w:val="24"/>
          <w:highlight w:val="none"/>
        </w:rPr>
        <w:t>。</w:t>
      </w:r>
      <w:r>
        <w:rPr>
          <w:rFonts w:hint="eastAsia"/>
          <w:color w:val="auto"/>
          <w:sz w:val="24"/>
          <w:highlight w:val="none"/>
          <w:lang w:eastAsia="zh-CN"/>
        </w:rPr>
        <w:t>比选</w:t>
      </w:r>
      <w:r>
        <w:rPr>
          <w:color w:val="auto"/>
          <w:sz w:val="24"/>
          <w:highlight w:val="none"/>
        </w:rPr>
        <w:t>结束后，</w:t>
      </w:r>
      <w:r>
        <w:rPr>
          <w:rFonts w:hint="eastAsia"/>
          <w:color w:val="auto"/>
          <w:sz w:val="24"/>
          <w:highlight w:val="none"/>
          <w:lang w:eastAsia="zh-CN"/>
        </w:rPr>
        <w:t>比选</w:t>
      </w:r>
      <w:r>
        <w:rPr>
          <w:color w:val="auto"/>
          <w:sz w:val="24"/>
          <w:highlight w:val="none"/>
        </w:rPr>
        <w:t>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rPr>
        <w:t>参审单位</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lang w:eastAsia="zh-CN"/>
        </w:rPr>
        <w:t>比选</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6762B4B8">
      <w:pPr>
        <w:spacing w:line="360" w:lineRule="auto"/>
        <w:ind w:firstLine="435"/>
        <w:rPr>
          <w:color w:val="auto"/>
          <w:sz w:val="24"/>
          <w:highlight w:val="none"/>
        </w:rPr>
      </w:pPr>
      <w:r>
        <w:rPr>
          <w:rFonts w:hint="eastAsia"/>
          <w:color w:val="auto"/>
          <w:sz w:val="24"/>
          <w:highlight w:val="none"/>
        </w:rPr>
        <w:t>13.3.4</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比选</w:t>
      </w:r>
      <w:r>
        <w:rPr>
          <w:rFonts w:hint="eastAsia"/>
          <w:color w:val="auto"/>
          <w:sz w:val="24"/>
          <w:highlight w:val="none"/>
        </w:rPr>
        <w:t>小组只对通过初审，实质上响应</w:t>
      </w:r>
      <w:r>
        <w:rPr>
          <w:rFonts w:hint="eastAsia"/>
          <w:color w:val="auto"/>
          <w:sz w:val="24"/>
          <w:highlight w:val="none"/>
          <w:lang w:eastAsia="zh-CN"/>
        </w:rPr>
        <w:t>比选</w:t>
      </w:r>
      <w:r>
        <w:rPr>
          <w:rFonts w:hint="eastAsia"/>
          <w:color w:val="auto"/>
          <w:sz w:val="24"/>
          <w:highlight w:val="none"/>
        </w:rPr>
        <w:t>要求的响应文件进行综合评分。经</w:t>
      </w:r>
      <w:r>
        <w:rPr>
          <w:rFonts w:hint="eastAsia"/>
          <w:color w:val="auto"/>
          <w:sz w:val="24"/>
          <w:highlight w:val="none"/>
          <w:lang w:eastAsia="zh-CN"/>
        </w:rPr>
        <w:t>比选</w:t>
      </w:r>
      <w:r>
        <w:rPr>
          <w:rFonts w:hint="eastAsia"/>
          <w:color w:val="auto"/>
          <w:sz w:val="24"/>
          <w:highlight w:val="none"/>
        </w:rPr>
        <w:t>确定最终项目需求和提交最后报价的</w:t>
      </w:r>
      <w:r>
        <w:rPr>
          <w:rFonts w:hint="eastAsia"/>
          <w:color w:val="auto"/>
          <w:sz w:val="24"/>
          <w:szCs w:val="18"/>
          <w:highlight w:val="none"/>
        </w:rPr>
        <w:t>参审单位</w:t>
      </w:r>
      <w:r>
        <w:rPr>
          <w:rFonts w:hint="eastAsia"/>
          <w:color w:val="auto"/>
          <w:sz w:val="24"/>
          <w:highlight w:val="none"/>
        </w:rPr>
        <w:t>后，由</w:t>
      </w:r>
      <w:r>
        <w:rPr>
          <w:rFonts w:hint="eastAsia"/>
          <w:color w:val="auto"/>
          <w:sz w:val="24"/>
          <w:highlight w:val="none"/>
          <w:lang w:eastAsia="zh-CN"/>
        </w:rPr>
        <w:t>比选</w:t>
      </w:r>
      <w:r>
        <w:rPr>
          <w:rFonts w:hint="eastAsia"/>
          <w:color w:val="auto"/>
          <w:sz w:val="24"/>
          <w:highlight w:val="none"/>
        </w:rPr>
        <w:t>小组采用综合评分法对提交最后报价的</w:t>
      </w:r>
      <w:r>
        <w:rPr>
          <w:rFonts w:hint="eastAsia"/>
          <w:color w:val="auto"/>
          <w:sz w:val="24"/>
          <w:szCs w:val="18"/>
          <w:highlight w:val="none"/>
        </w:rPr>
        <w:t>参审单位</w:t>
      </w:r>
      <w:r>
        <w:rPr>
          <w:rFonts w:hint="eastAsia"/>
          <w:color w:val="auto"/>
          <w:sz w:val="24"/>
          <w:highlight w:val="none"/>
        </w:rPr>
        <w:t>的响应文件和最后报价进行综合评分。</w:t>
      </w:r>
    </w:p>
    <w:p w14:paraId="733E0339">
      <w:pPr>
        <w:spacing w:line="360" w:lineRule="auto"/>
        <w:ind w:firstLine="435"/>
        <w:rPr>
          <w:color w:val="auto"/>
          <w:sz w:val="24"/>
          <w:highlight w:val="none"/>
        </w:rPr>
      </w:pPr>
      <w:r>
        <w:rPr>
          <w:rFonts w:hint="eastAsia"/>
          <w:color w:val="auto"/>
          <w:sz w:val="24"/>
          <w:highlight w:val="none"/>
        </w:rPr>
        <w:t>13.4相关说明。</w:t>
      </w:r>
    </w:p>
    <w:p w14:paraId="16F00218">
      <w:pPr>
        <w:spacing w:line="360" w:lineRule="auto"/>
        <w:ind w:firstLine="435"/>
        <w:rPr>
          <w:color w:val="auto"/>
          <w:sz w:val="24"/>
          <w:highlight w:val="none"/>
        </w:rPr>
      </w:pPr>
      <w:r>
        <w:rPr>
          <w:rFonts w:hint="eastAsia"/>
          <w:color w:val="auto"/>
          <w:sz w:val="24"/>
          <w:highlight w:val="none"/>
        </w:rPr>
        <w:t>13.4.1为保证</w:t>
      </w:r>
      <w:r>
        <w:rPr>
          <w:rFonts w:hint="eastAsia"/>
          <w:color w:val="auto"/>
          <w:sz w:val="24"/>
          <w:highlight w:val="none"/>
          <w:lang w:eastAsia="zh-CN"/>
        </w:rPr>
        <w:t>比选</w:t>
      </w:r>
      <w:r>
        <w:rPr>
          <w:rFonts w:hint="eastAsia"/>
          <w:color w:val="auto"/>
          <w:sz w:val="24"/>
          <w:highlight w:val="none"/>
        </w:rPr>
        <w:t>活动顺利进行，</w:t>
      </w:r>
      <w:r>
        <w:rPr>
          <w:rFonts w:hint="eastAsia"/>
          <w:color w:val="auto"/>
          <w:sz w:val="24"/>
          <w:szCs w:val="18"/>
          <w:highlight w:val="none"/>
        </w:rPr>
        <w:t>参审单位</w:t>
      </w:r>
      <w:r>
        <w:rPr>
          <w:rFonts w:hint="eastAsia"/>
          <w:color w:val="auto"/>
          <w:sz w:val="24"/>
          <w:highlight w:val="none"/>
        </w:rPr>
        <w:t xml:space="preserve">可派相关技术人员进行网上答疑； </w:t>
      </w:r>
    </w:p>
    <w:p w14:paraId="5BBF17A9">
      <w:pPr>
        <w:spacing w:line="360" w:lineRule="auto"/>
        <w:ind w:firstLine="435"/>
        <w:rPr>
          <w:color w:val="auto"/>
          <w:sz w:val="24"/>
          <w:highlight w:val="none"/>
        </w:rPr>
      </w:pPr>
      <w:r>
        <w:rPr>
          <w:rFonts w:hint="eastAsia"/>
          <w:color w:val="auto"/>
          <w:sz w:val="24"/>
          <w:highlight w:val="none"/>
        </w:rPr>
        <w:t>13.4.2</w:t>
      </w:r>
      <w:r>
        <w:rPr>
          <w:rFonts w:hint="eastAsia"/>
          <w:color w:val="auto"/>
          <w:sz w:val="24"/>
          <w:highlight w:val="none"/>
          <w:lang w:eastAsia="zh-CN"/>
        </w:rPr>
        <w:t>比选</w:t>
      </w:r>
      <w:r>
        <w:rPr>
          <w:color w:val="auto"/>
          <w:sz w:val="24"/>
          <w:highlight w:val="none"/>
        </w:rPr>
        <w:t>小组根据与</w:t>
      </w:r>
      <w:r>
        <w:rPr>
          <w:rFonts w:hint="eastAsia"/>
          <w:color w:val="auto"/>
          <w:sz w:val="24"/>
          <w:szCs w:val="18"/>
          <w:highlight w:val="none"/>
        </w:rPr>
        <w:t>参审单位</w:t>
      </w:r>
      <w:r>
        <w:rPr>
          <w:rFonts w:hint="eastAsia"/>
          <w:color w:val="auto"/>
          <w:sz w:val="24"/>
          <w:highlight w:val="none"/>
          <w:lang w:eastAsia="zh-CN"/>
        </w:rPr>
        <w:t>比选</w:t>
      </w:r>
      <w:r>
        <w:rPr>
          <w:color w:val="auto"/>
          <w:sz w:val="24"/>
          <w:highlight w:val="none"/>
        </w:rPr>
        <w:t>情况可能实质性变动</w:t>
      </w:r>
      <w:r>
        <w:rPr>
          <w:rFonts w:hint="eastAsia"/>
          <w:color w:val="auto"/>
          <w:sz w:val="24"/>
          <w:highlight w:val="none"/>
          <w:lang w:eastAsia="zh-CN"/>
        </w:rPr>
        <w:t>比选</w:t>
      </w:r>
      <w:r>
        <w:rPr>
          <w:rFonts w:hint="eastAsia"/>
          <w:color w:val="auto"/>
          <w:sz w:val="24"/>
          <w:highlight w:val="none"/>
        </w:rPr>
        <w:t>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比选</w:t>
      </w:r>
      <w:r>
        <w:rPr>
          <w:color w:val="auto"/>
          <w:sz w:val="24"/>
          <w:highlight w:val="none"/>
        </w:rPr>
        <w:t>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w:t>
      </w:r>
      <w:r>
        <w:rPr>
          <w:rFonts w:hint="eastAsia"/>
          <w:color w:val="auto"/>
          <w:sz w:val="24"/>
          <w:highlight w:val="none"/>
          <w:lang w:eastAsia="zh-CN"/>
        </w:rPr>
        <w:t>比选</w:t>
      </w:r>
      <w:r>
        <w:rPr>
          <w:rFonts w:hint="eastAsia"/>
          <w:color w:val="auto"/>
          <w:sz w:val="24"/>
          <w:highlight w:val="none"/>
        </w:rPr>
        <w:t>文件的有效组成部分，</w:t>
      </w:r>
      <w:r>
        <w:rPr>
          <w:rFonts w:hint="eastAsia"/>
          <w:color w:val="auto"/>
          <w:sz w:val="24"/>
          <w:highlight w:val="none"/>
          <w:lang w:eastAsia="zh-CN"/>
        </w:rPr>
        <w:t>比选</w:t>
      </w:r>
      <w:r>
        <w:rPr>
          <w:color w:val="auto"/>
          <w:sz w:val="24"/>
          <w:highlight w:val="none"/>
        </w:rPr>
        <w:t>小组</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比选</w:t>
      </w:r>
      <w:r>
        <w:rPr>
          <w:color w:val="auto"/>
          <w:sz w:val="24"/>
          <w:highlight w:val="none"/>
        </w:rPr>
        <w:t>的</w:t>
      </w:r>
      <w:r>
        <w:rPr>
          <w:rFonts w:hint="eastAsia"/>
          <w:color w:val="auto"/>
          <w:sz w:val="24"/>
          <w:szCs w:val="18"/>
          <w:highlight w:val="none"/>
        </w:rPr>
        <w:t>参审单位</w:t>
      </w:r>
      <w:r>
        <w:rPr>
          <w:color w:val="auto"/>
          <w:sz w:val="24"/>
          <w:highlight w:val="none"/>
        </w:rPr>
        <w:t>。</w:t>
      </w:r>
    </w:p>
    <w:p w14:paraId="289CF3AF">
      <w:pPr>
        <w:spacing w:line="360" w:lineRule="auto"/>
        <w:ind w:firstLine="435"/>
        <w:rPr>
          <w:color w:val="auto"/>
          <w:sz w:val="24"/>
          <w:highlight w:val="none"/>
        </w:rPr>
      </w:pPr>
      <w:r>
        <w:rPr>
          <w:rFonts w:hint="eastAsia"/>
          <w:color w:val="auto"/>
          <w:sz w:val="24"/>
          <w:highlight w:val="none"/>
        </w:rPr>
        <w:t>13.4.3</w:t>
      </w:r>
      <w:r>
        <w:rPr>
          <w:rFonts w:hint="eastAsia"/>
          <w:color w:val="auto"/>
          <w:sz w:val="24"/>
          <w:highlight w:val="none"/>
          <w:lang w:eastAsia="zh-CN"/>
        </w:rPr>
        <w:t>比选</w:t>
      </w:r>
      <w:r>
        <w:rPr>
          <w:rFonts w:hint="eastAsia"/>
          <w:color w:val="auto"/>
          <w:sz w:val="24"/>
          <w:highlight w:val="none"/>
        </w:rPr>
        <w:t>小组发现</w:t>
      </w:r>
      <w:r>
        <w:rPr>
          <w:rFonts w:hint="eastAsia"/>
          <w:color w:val="auto"/>
          <w:sz w:val="24"/>
          <w:szCs w:val="18"/>
          <w:highlight w:val="none"/>
        </w:rPr>
        <w:t>参审单位</w:t>
      </w:r>
      <w:r>
        <w:rPr>
          <w:rFonts w:hint="eastAsia"/>
          <w:color w:val="auto"/>
          <w:sz w:val="24"/>
          <w:highlight w:val="none"/>
        </w:rPr>
        <w:t>的报价或者某些分项报价明显低于其他通过初审的</w:t>
      </w:r>
      <w:r>
        <w:rPr>
          <w:rFonts w:hint="eastAsia"/>
          <w:color w:val="auto"/>
          <w:sz w:val="24"/>
          <w:szCs w:val="18"/>
          <w:highlight w:val="none"/>
        </w:rPr>
        <w:t>参审单位</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rPr>
        <w:t>参审单位</w:t>
      </w:r>
      <w:r>
        <w:rPr>
          <w:rFonts w:hint="eastAsia"/>
          <w:color w:val="auto"/>
          <w:sz w:val="24"/>
          <w:highlight w:val="none"/>
        </w:rPr>
        <w:t>不能证明其报价合理性的，其响应文件将被认定为响应无效。</w:t>
      </w:r>
    </w:p>
    <w:p w14:paraId="75FBEA74">
      <w:pPr>
        <w:spacing w:line="360" w:lineRule="auto"/>
        <w:ind w:firstLine="435"/>
        <w:rPr>
          <w:color w:val="auto"/>
          <w:sz w:val="24"/>
          <w:highlight w:val="none"/>
        </w:rPr>
      </w:pPr>
      <w:r>
        <w:rPr>
          <w:rFonts w:hint="eastAsia"/>
          <w:color w:val="auto"/>
          <w:sz w:val="24"/>
          <w:highlight w:val="none"/>
        </w:rPr>
        <w:t>13.4.4</w:t>
      </w:r>
      <w:r>
        <w:rPr>
          <w:color w:val="auto"/>
          <w:sz w:val="24"/>
          <w:highlight w:val="none"/>
        </w:rPr>
        <w:t>无论何种原因，即使</w:t>
      </w:r>
      <w:r>
        <w:rPr>
          <w:rFonts w:hint="eastAsia"/>
          <w:color w:val="auto"/>
          <w:sz w:val="24"/>
          <w:szCs w:val="18"/>
          <w:highlight w:val="none"/>
        </w:rPr>
        <w:t>参审单位</w:t>
      </w:r>
      <w:r>
        <w:rPr>
          <w:rFonts w:hint="eastAsia"/>
          <w:color w:val="auto"/>
          <w:sz w:val="24"/>
          <w:highlight w:val="none"/>
          <w:lang w:eastAsia="zh-CN"/>
        </w:rPr>
        <w:t>比选</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比选</w:t>
      </w:r>
      <w:r>
        <w:rPr>
          <w:color w:val="auto"/>
          <w:sz w:val="24"/>
          <w:highlight w:val="none"/>
        </w:rPr>
        <w:t>小组可以视同其未提供。</w:t>
      </w:r>
    </w:p>
    <w:p w14:paraId="25543FDF">
      <w:pPr>
        <w:spacing w:line="360" w:lineRule="auto"/>
        <w:ind w:firstLine="435"/>
        <w:rPr>
          <w:color w:val="auto"/>
          <w:sz w:val="24"/>
          <w:highlight w:val="none"/>
        </w:rPr>
      </w:pPr>
      <w:r>
        <w:rPr>
          <w:rFonts w:hint="eastAsia"/>
          <w:color w:val="auto"/>
          <w:sz w:val="24"/>
          <w:highlight w:val="none"/>
        </w:rPr>
        <w:t>13.4.5</w:t>
      </w:r>
      <w:r>
        <w:rPr>
          <w:rFonts w:hint="eastAsia"/>
          <w:color w:val="auto"/>
          <w:sz w:val="24"/>
          <w:highlight w:val="none"/>
          <w:lang w:eastAsia="zh-CN"/>
        </w:rPr>
        <w:t>比选</w:t>
      </w:r>
      <w:r>
        <w:rPr>
          <w:color w:val="auto"/>
          <w:sz w:val="24"/>
          <w:highlight w:val="none"/>
        </w:rPr>
        <w:t>小组决定响应文件的响应性及符合性只根据响应文件本身的内容，而不寻求其他外部证据。</w:t>
      </w:r>
    </w:p>
    <w:p w14:paraId="1A1F785A">
      <w:pPr>
        <w:spacing w:line="360" w:lineRule="auto"/>
        <w:ind w:firstLine="435"/>
        <w:rPr>
          <w:color w:val="auto"/>
          <w:highlight w:val="none"/>
        </w:rPr>
      </w:pPr>
      <w:r>
        <w:rPr>
          <w:rFonts w:hint="eastAsia"/>
          <w:color w:val="auto"/>
          <w:sz w:val="24"/>
          <w:highlight w:val="none"/>
        </w:rPr>
        <w:t>13</w:t>
      </w:r>
      <w:r>
        <w:rPr>
          <w:color w:val="auto"/>
          <w:sz w:val="24"/>
          <w:highlight w:val="none"/>
        </w:rPr>
        <w:t>.</w:t>
      </w:r>
      <w:r>
        <w:rPr>
          <w:rFonts w:hint="eastAsia"/>
          <w:color w:val="auto"/>
          <w:sz w:val="24"/>
          <w:highlight w:val="none"/>
        </w:rPr>
        <w:t>5</w:t>
      </w:r>
      <w:r>
        <w:rPr>
          <w:rFonts w:hint="eastAsia"/>
          <w:color w:val="auto"/>
          <w:sz w:val="24"/>
          <w:szCs w:val="18"/>
          <w:highlight w:val="none"/>
        </w:rPr>
        <w:t>参审单位</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比选</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r>
        <w:rPr>
          <w:color w:val="auto"/>
          <w:sz w:val="24"/>
          <w:highlight w:val="none"/>
        </w:rPr>
        <w:t xml:space="preserve"> </w:t>
      </w:r>
    </w:p>
    <w:p w14:paraId="27AA5FB0">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14.终止</w:t>
      </w:r>
      <w:r>
        <w:rPr>
          <w:rFonts w:hint="eastAsia" w:asciiTheme="minorEastAsia" w:hAnsiTheme="minorEastAsia" w:eastAsiaTheme="minorEastAsia" w:cstheme="minorEastAsia"/>
          <w:b/>
          <w:color w:val="auto"/>
          <w:sz w:val="24"/>
          <w:highlight w:val="none"/>
          <w:lang w:eastAsia="zh-CN"/>
        </w:rPr>
        <w:t>比选</w:t>
      </w:r>
    </w:p>
    <w:p w14:paraId="171A9A8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出现下列情况之一时，业主单位和代理机构有权宣布终止</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，并将理由通知所有供应商：</w:t>
      </w:r>
    </w:p>
    <w:p w14:paraId="7EF5D80D">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w:t>
      </w:r>
      <w:r>
        <w:rPr>
          <w:rFonts w:hint="eastAsia" w:cs="@仿宋_GB2312" w:asciiTheme="minorEastAsia" w:hAnsiTheme="minorEastAsia" w:eastAsiaTheme="minorEastAsia"/>
          <w:color w:val="auto"/>
          <w:kern w:val="2"/>
          <w:sz w:val="24"/>
          <w:szCs w:val="24"/>
          <w:highlight w:val="none"/>
        </w:rPr>
        <w:t>通过初审的供应商</w:t>
      </w:r>
      <w:r>
        <w:rPr>
          <w:rFonts w:hint="eastAsia" w:asciiTheme="minorEastAsia" w:hAnsiTheme="minorEastAsia" w:eastAsiaTheme="minorEastAsia" w:cstheme="minorEastAsia"/>
          <w:color w:val="auto"/>
          <w:sz w:val="24"/>
          <w:highlight w:val="none"/>
        </w:rPr>
        <w:t>不足规定数量，导致本次</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缺乏竞争的；</w:t>
      </w:r>
    </w:p>
    <w:p w14:paraId="0AC2F985">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14.2出现影响公正的违法、违规行为的；</w:t>
      </w:r>
    </w:p>
    <w:p w14:paraId="0C6B3838">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14.3因重大变故，交易任务取消的；</w:t>
      </w:r>
    </w:p>
    <w:p w14:paraId="37A4669F">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文件有重大漏洞，导致无法继续评审的；</w:t>
      </w:r>
    </w:p>
    <w:p w14:paraId="1420A291">
      <w:pPr>
        <w:spacing w:line="360" w:lineRule="auto"/>
        <w:ind w:firstLine="435"/>
        <w:rPr>
          <w:color w:val="auto"/>
          <w:highlight w:val="none"/>
        </w:rPr>
      </w:pPr>
      <w:r>
        <w:rPr>
          <w:rFonts w:hint="eastAsia" w:asciiTheme="minorEastAsia" w:hAnsiTheme="minorEastAsia" w:eastAsiaTheme="minorEastAsia" w:cstheme="minorEastAsia"/>
          <w:color w:val="auto"/>
          <w:sz w:val="24"/>
          <w:highlight w:val="none"/>
        </w:rPr>
        <w:t>14.5法律法规规定的其他情形。</w:t>
      </w:r>
    </w:p>
    <w:p w14:paraId="1D716790">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15.响应文件的澄清、说明或更正</w:t>
      </w:r>
    </w:p>
    <w:p w14:paraId="487FE54A">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C0CBD65">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7DA58972">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14905532">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16.最终报价</w:t>
      </w:r>
    </w:p>
    <w:p w14:paraId="3350CAED">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16.1本次</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一次性报价。</w:t>
      </w:r>
    </w:p>
    <w:p w14:paraId="0275191C">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16.2最终报价是供应商响应文件的有效组成部分，最终报价也是签订合同的依据。</w:t>
      </w:r>
    </w:p>
    <w:p w14:paraId="352BE033">
      <w:pPr>
        <w:spacing w:line="360" w:lineRule="auto"/>
        <w:ind w:firstLine="435"/>
        <w:rPr>
          <w:rFonts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16.4本项目的服务地点为本须知前附表所述，供应商可到项目现场踏勘以充分了解项目位置、情况及任何其他足以影响</w:t>
      </w:r>
      <w:r>
        <w:rPr>
          <w:rFonts w:hint="eastAsia" w:asciiTheme="minorEastAsia" w:hAnsiTheme="minorEastAsia" w:eastAsiaTheme="minorEastAsia" w:cstheme="minorEastAsia"/>
          <w:color w:val="auto"/>
          <w:kern w:val="2"/>
          <w:sz w:val="24"/>
          <w:highlight w:val="none"/>
          <w:lang w:eastAsia="zh-CN"/>
        </w:rPr>
        <w:t>比选</w:t>
      </w:r>
      <w:r>
        <w:rPr>
          <w:rFonts w:hint="eastAsia" w:asciiTheme="minorEastAsia" w:hAnsiTheme="minorEastAsia" w:eastAsiaTheme="minorEastAsia" w:cstheme="minorEastAsia"/>
          <w:color w:val="auto"/>
          <w:kern w:val="2"/>
          <w:sz w:val="24"/>
          <w:highlight w:val="none"/>
        </w:rPr>
        <w:t>报价的情况，任何因忽视或误解项目场地情况而导致的索赔或服务期限延长申请将不被批准。对于受项目现场场地限制，如需要另外寻找场地解决临时住宿，由此所产生的费用应包含在</w:t>
      </w:r>
      <w:r>
        <w:rPr>
          <w:rFonts w:hint="eastAsia" w:asciiTheme="minorEastAsia" w:hAnsiTheme="minorEastAsia" w:eastAsiaTheme="minorEastAsia" w:cstheme="minorEastAsia"/>
          <w:color w:val="auto"/>
          <w:kern w:val="2"/>
          <w:sz w:val="24"/>
          <w:highlight w:val="none"/>
          <w:lang w:eastAsia="zh-CN"/>
        </w:rPr>
        <w:t>比选</w:t>
      </w:r>
      <w:r>
        <w:rPr>
          <w:rFonts w:hint="eastAsia" w:asciiTheme="minorEastAsia" w:hAnsiTheme="minorEastAsia" w:eastAsiaTheme="minorEastAsia" w:cstheme="minorEastAsia"/>
          <w:color w:val="auto"/>
          <w:kern w:val="2"/>
          <w:sz w:val="24"/>
          <w:highlight w:val="none"/>
        </w:rPr>
        <w:t>报价范围内，业主单位不再承担该费用。</w:t>
      </w:r>
    </w:p>
    <w:p w14:paraId="5658198A">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 w:val="24"/>
          <w:highlight w:val="none"/>
        </w:rPr>
        <w:t>16.5本项目不接受恶意不平衡报价，不保证最低价成交。</w:t>
      </w:r>
    </w:p>
    <w:p w14:paraId="02453D61">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17.成交候选人的推荐原则</w:t>
      </w:r>
    </w:p>
    <w:p w14:paraId="3B9C5D97">
      <w:pPr>
        <w:spacing w:line="360" w:lineRule="auto"/>
        <w:ind w:firstLine="435"/>
        <w:rPr>
          <w:color w:val="auto"/>
          <w:sz w:val="24"/>
          <w:highlight w:val="none"/>
        </w:rPr>
      </w:pPr>
      <w:r>
        <w:rPr>
          <w:rFonts w:hint="eastAsia"/>
          <w:color w:val="auto"/>
          <w:sz w:val="24"/>
          <w:highlight w:val="none"/>
        </w:rPr>
        <w:t>17</w:t>
      </w:r>
      <w:r>
        <w:rPr>
          <w:color w:val="auto"/>
          <w:sz w:val="24"/>
          <w:highlight w:val="none"/>
        </w:rPr>
        <w:t>.1</w:t>
      </w:r>
      <w:r>
        <w:rPr>
          <w:rFonts w:hint="eastAsia"/>
          <w:color w:val="auto"/>
          <w:sz w:val="24"/>
          <w:highlight w:val="none"/>
        </w:rPr>
        <w:t>评审委员会</w:t>
      </w:r>
      <w:r>
        <w:rPr>
          <w:color w:val="auto"/>
          <w:sz w:val="24"/>
          <w:highlight w:val="none"/>
        </w:rPr>
        <w:t>依据本项目</w:t>
      </w:r>
      <w:r>
        <w:rPr>
          <w:rFonts w:hint="eastAsia"/>
          <w:color w:val="auto"/>
          <w:sz w:val="24"/>
          <w:highlight w:val="none"/>
          <w:lang w:eastAsia="zh-CN"/>
        </w:rPr>
        <w:t>比选</w:t>
      </w:r>
      <w:r>
        <w:rPr>
          <w:color w:val="auto"/>
          <w:sz w:val="24"/>
          <w:highlight w:val="none"/>
        </w:rPr>
        <w:t>文件所约定的</w:t>
      </w:r>
      <w:r>
        <w:rPr>
          <w:rFonts w:hint="eastAsia"/>
          <w:color w:val="auto"/>
          <w:sz w:val="24"/>
          <w:highlight w:val="none"/>
        </w:rPr>
        <w:t>评审</w:t>
      </w:r>
      <w:r>
        <w:rPr>
          <w:color w:val="auto"/>
          <w:sz w:val="24"/>
          <w:highlight w:val="none"/>
        </w:rPr>
        <w:t>方法</w:t>
      </w:r>
      <w:r>
        <w:rPr>
          <w:rFonts w:hint="eastAsia"/>
          <w:color w:val="auto"/>
          <w:sz w:val="24"/>
          <w:highlight w:val="none"/>
        </w:rPr>
        <w:t>和标准</w:t>
      </w:r>
      <w:r>
        <w:rPr>
          <w:color w:val="auto"/>
          <w:sz w:val="24"/>
          <w:highlight w:val="none"/>
        </w:rPr>
        <w:t>，</w:t>
      </w:r>
      <w:r>
        <w:rPr>
          <w:rFonts w:hint="eastAsia"/>
          <w:color w:val="auto"/>
          <w:sz w:val="24"/>
          <w:highlight w:val="none"/>
        </w:rPr>
        <w:t>按照有效</w:t>
      </w:r>
      <w:r>
        <w:rPr>
          <w:rFonts w:hint="eastAsia"/>
          <w:color w:val="auto"/>
          <w:sz w:val="24"/>
          <w:szCs w:val="18"/>
          <w:highlight w:val="none"/>
        </w:rPr>
        <w:t>供应商</w:t>
      </w:r>
      <w:r>
        <w:rPr>
          <w:rFonts w:hint="eastAsia"/>
          <w:color w:val="auto"/>
          <w:sz w:val="24"/>
          <w:highlight w:val="none"/>
        </w:rPr>
        <w:t>综合总得分由高到低依次推荐成交候选</w:t>
      </w:r>
      <w:r>
        <w:rPr>
          <w:rFonts w:hint="eastAsia"/>
          <w:color w:val="auto"/>
          <w:sz w:val="24"/>
          <w:szCs w:val="18"/>
          <w:highlight w:val="none"/>
        </w:rPr>
        <w:t>人</w:t>
      </w:r>
      <w:r>
        <w:rPr>
          <w:rFonts w:hint="eastAsia"/>
          <w:color w:val="auto"/>
          <w:sz w:val="24"/>
          <w:highlight w:val="none"/>
        </w:rPr>
        <w:t>。综合总得分出现两家或两家以上相同者，按最后报价由低到高排序推荐成交候选</w:t>
      </w:r>
      <w:r>
        <w:rPr>
          <w:rFonts w:hint="eastAsia"/>
          <w:color w:val="auto"/>
          <w:sz w:val="24"/>
          <w:szCs w:val="18"/>
          <w:highlight w:val="none"/>
        </w:rPr>
        <w:t>人</w:t>
      </w:r>
      <w:r>
        <w:rPr>
          <w:rFonts w:hint="eastAsia"/>
          <w:color w:val="auto"/>
          <w:sz w:val="24"/>
          <w:highlight w:val="none"/>
        </w:rPr>
        <w:t>；综合总得分且最后报价均相同的，由评审委员会按照技术指标优劣顺序推荐成交候选</w:t>
      </w:r>
      <w:r>
        <w:rPr>
          <w:rFonts w:hint="eastAsia"/>
          <w:color w:val="auto"/>
          <w:sz w:val="24"/>
          <w:szCs w:val="18"/>
          <w:highlight w:val="none"/>
        </w:rPr>
        <w:t>人</w:t>
      </w:r>
      <w:r>
        <w:rPr>
          <w:rFonts w:hint="eastAsia"/>
          <w:color w:val="auto"/>
          <w:sz w:val="24"/>
          <w:highlight w:val="none"/>
        </w:rPr>
        <w:t>。</w:t>
      </w:r>
    </w:p>
    <w:p w14:paraId="7847509D">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17.2凡发现成交候选人有下列行为之一的，成交无效，并移交监管部门依法处理：</w:t>
      </w:r>
    </w:p>
    <w:p w14:paraId="45F115E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17.2.1有下列情形之一的，属于</w:t>
      </w:r>
      <w:r>
        <w:rPr>
          <w:rFonts w:hint="eastAsia"/>
          <w:color w:val="auto"/>
          <w:sz w:val="24"/>
          <w:szCs w:val="18"/>
          <w:highlight w:val="none"/>
        </w:rPr>
        <w:t>供应商间</w:t>
      </w:r>
      <w:r>
        <w:rPr>
          <w:rFonts w:hint="eastAsia" w:cs="宋体"/>
          <w:color w:val="auto"/>
          <w:sz w:val="24"/>
          <w:szCs w:val="24"/>
          <w:highlight w:val="none"/>
          <w:lang w:bidi="ar"/>
        </w:rPr>
        <w:t>相互串通：</w:t>
      </w:r>
    </w:p>
    <w:p w14:paraId="7342A93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17.2.1.1</w:t>
      </w:r>
      <w:r>
        <w:rPr>
          <w:rFonts w:hint="eastAsia"/>
          <w:color w:val="auto"/>
          <w:sz w:val="24"/>
          <w:szCs w:val="18"/>
          <w:highlight w:val="none"/>
        </w:rPr>
        <w:t>供应商</w:t>
      </w:r>
      <w:r>
        <w:rPr>
          <w:rFonts w:hint="eastAsia" w:cs="宋体"/>
          <w:color w:val="auto"/>
          <w:sz w:val="24"/>
          <w:szCs w:val="24"/>
          <w:highlight w:val="none"/>
          <w:lang w:bidi="ar"/>
        </w:rPr>
        <w:t>之间协商报价等响应文件的实质性内容；</w:t>
      </w:r>
    </w:p>
    <w:p w14:paraId="22F0425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17.2.1.2</w:t>
      </w:r>
      <w:r>
        <w:rPr>
          <w:rFonts w:hint="eastAsia"/>
          <w:color w:val="auto"/>
          <w:sz w:val="24"/>
          <w:szCs w:val="18"/>
          <w:highlight w:val="none"/>
        </w:rPr>
        <w:t>供应商</w:t>
      </w:r>
      <w:r>
        <w:rPr>
          <w:rFonts w:hint="eastAsia" w:cs="宋体"/>
          <w:color w:val="auto"/>
          <w:sz w:val="24"/>
          <w:szCs w:val="24"/>
          <w:highlight w:val="none"/>
          <w:lang w:bidi="ar"/>
        </w:rPr>
        <w:t>之间约定成交人；</w:t>
      </w:r>
    </w:p>
    <w:p w14:paraId="267648DA">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17.2.1.3</w:t>
      </w:r>
      <w:r>
        <w:rPr>
          <w:rFonts w:hint="eastAsia"/>
          <w:color w:val="auto"/>
          <w:sz w:val="24"/>
          <w:szCs w:val="18"/>
          <w:highlight w:val="none"/>
        </w:rPr>
        <w:t>供应商</w:t>
      </w:r>
      <w:r>
        <w:rPr>
          <w:rFonts w:hint="eastAsia" w:cs="宋体"/>
          <w:color w:val="auto"/>
          <w:sz w:val="24"/>
          <w:szCs w:val="24"/>
          <w:highlight w:val="none"/>
          <w:lang w:bidi="ar"/>
        </w:rPr>
        <w:t>之间约定部分</w:t>
      </w:r>
      <w:r>
        <w:rPr>
          <w:rFonts w:hint="eastAsia"/>
          <w:color w:val="auto"/>
          <w:sz w:val="24"/>
          <w:szCs w:val="18"/>
          <w:highlight w:val="none"/>
        </w:rPr>
        <w:t>供应商</w:t>
      </w:r>
      <w:r>
        <w:rPr>
          <w:rFonts w:hint="eastAsia" w:cs="宋体"/>
          <w:color w:val="auto"/>
          <w:sz w:val="24"/>
          <w:szCs w:val="24"/>
          <w:highlight w:val="none"/>
          <w:lang w:bidi="ar"/>
        </w:rPr>
        <w:t>放弃</w:t>
      </w:r>
      <w:r>
        <w:rPr>
          <w:rFonts w:hint="eastAsia" w:cs="宋体"/>
          <w:color w:val="auto"/>
          <w:sz w:val="24"/>
          <w:szCs w:val="24"/>
          <w:highlight w:val="none"/>
          <w:lang w:eastAsia="zh-CN" w:bidi="ar"/>
        </w:rPr>
        <w:t>比选</w:t>
      </w:r>
      <w:r>
        <w:rPr>
          <w:rFonts w:hint="eastAsia" w:cs="宋体"/>
          <w:color w:val="auto"/>
          <w:sz w:val="24"/>
          <w:szCs w:val="24"/>
          <w:highlight w:val="none"/>
          <w:lang w:bidi="ar"/>
        </w:rPr>
        <w:t>或者成交；</w:t>
      </w:r>
    </w:p>
    <w:p w14:paraId="3DF0CB6A">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17.2.1.4属于同一集团、协会、商会等组织成员的</w:t>
      </w:r>
      <w:r>
        <w:rPr>
          <w:rFonts w:hint="eastAsia"/>
          <w:color w:val="auto"/>
          <w:sz w:val="24"/>
          <w:szCs w:val="18"/>
          <w:highlight w:val="none"/>
        </w:rPr>
        <w:t>供应商</w:t>
      </w:r>
      <w:r>
        <w:rPr>
          <w:rFonts w:hint="eastAsia" w:cs="宋体"/>
          <w:color w:val="auto"/>
          <w:sz w:val="24"/>
          <w:szCs w:val="24"/>
          <w:highlight w:val="none"/>
          <w:lang w:bidi="ar"/>
        </w:rPr>
        <w:t>按照该组织要求协同</w:t>
      </w:r>
      <w:r>
        <w:rPr>
          <w:rFonts w:hint="eastAsia" w:cs="宋体"/>
          <w:color w:val="auto"/>
          <w:sz w:val="24"/>
          <w:szCs w:val="24"/>
          <w:highlight w:val="none"/>
          <w:lang w:eastAsia="zh-CN" w:bidi="ar"/>
        </w:rPr>
        <w:t>比选</w:t>
      </w:r>
      <w:r>
        <w:rPr>
          <w:rFonts w:hint="eastAsia" w:cs="宋体"/>
          <w:color w:val="auto"/>
          <w:sz w:val="24"/>
          <w:szCs w:val="24"/>
          <w:highlight w:val="none"/>
          <w:lang w:bidi="ar"/>
        </w:rPr>
        <w:t>；</w:t>
      </w:r>
    </w:p>
    <w:p w14:paraId="12DB3AF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17.2.1.5</w:t>
      </w:r>
      <w:r>
        <w:rPr>
          <w:rFonts w:hint="eastAsia"/>
          <w:color w:val="auto"/>
          <w:sz w:val="24"/>
          <w:szCs w:val="18"/>
          <w:highlight w:val="none"/>
        </w:rPr>
        <w:t>供应商</w:t>
      </w:r>
      <w:r>
        <w:rPr>
          <w:rFonts w:hint="eastAsia" w:cs="宋体"/>
          <w:color w:val="auto"/>
          <w:sz w:val="24"/>
          <w:szCs w:val="24"/>
          <w:highlight w:val="none"/>
          <w:lang w:bidi="ar"/>
        </w:rPr>
        <w:t>之间为谋取成交或者排斥特定</w:t>
      </w:r>
      <w:r>
        <w:rPr>
          <w:rFonts w:hint="eastAsia"/>
          <w:color w:val="auto"/>
          <w:sz w:val="24"/>
          <w:szCs w:val="18"/>
          <w:highlight w:val="none"/>
        </w:rPr>
        <w:t>供应商</w:t>
      </w:r>
      <w:r>
        <w:rPr>
          <w:rFonts w:hint="eastAsia" w:cs="宋体"/>
          <w:color w:val="auto"/>
          <w:sz w:val="24"/>
          <w:szCs w:val="24"/>
          <w:highlight w:val="none"/>
          <w:lang w:bidi="ar"/>
        </w:rPr>
        <w:t>而采取的其他联合行动。</w:t>
      </w:r>
    </w:p>
    <w:p w14:paraId="6D25DDE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17.2.2有下列情形之一的，视为</w:t>
      </w:r>
      <w:r>
        <w:rPr>
          <w:rFonts w:hint="eastAsia"/>
          <w:color w:val="auto"/>
          <w:sz w:val="24"/>
          <w:szCs w:val="18"/>
          <w:highlight w:val="none"/>
        </w:rPr>
        <w:t>供应商间</w:t>
      </w:r>
      <w:r>
        <w:rPr>
          <w:rFonts w:hint="eastAsia" w:cs="宋体"/>
          <w:color w:val="auto"/>
          <w:sz w:val="24"/>
          <w:szCs w:val="24"/>
          <w:highlight w:val="none"/>
          <w:lang w:bidi="ar"/>
        </w:rPr>
        <w:t>相互串通：</w:t>
      </w:r>
    </w:p>
    <w:p w14:paraId="50214B1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17.2.2.1不同</w:t>
      </w:r>
      <w:r>
        <w:rPr>
          <w:rFonts w:hint="eastAsia"/>
          <w:color w:val="auto"/>
          <w:sz w:val="24"/>
          <w:szCs w:val="18"/>
          <w:highlight w:val="none"/>
        </w:rPr>
        <w:t>供应商</w:t>
      </w:r>
      <w:r>
        <w:rPr>
          <w:rFonts w:hint="eastAsia" w:cs="宋体"/>
          <w:color w:val="auto"/>
          <w:sz w:val="24"/>
          <w:szCs w:val="24"/>
          <w:highlight w:val="none"/>
          <w:lang w:bidi="ar"/>
        </w:rPr>
        <w:t>的响应文件由同一单位或者个人编制；</w:t>
      </w:r>
    </w:p>
    <w:p w14:paraId="1C0A61C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17.2.2.2不同</w:t>
      </w:r>
      <w:r>
        <w:rPr>
          <w:rFonts w:hint="eastAsia"/>
          <w:color w:val="auto"/>
          <w:sz w:val="24"/>
          <w:szCs w:val="18"/>
          <w:highlight w:val="none"/>
        </w:rPr>
        <w:t>供应商</w:t>
      </w:r>
      <w:r>
        <w:rPr>
          <w:rFonts w:hint="eastAsia" w:cs="宋体"/>
          <w:color w:val="auto"/>
          <w:sz w:val="24"/>
          <w:szCs w:val="24"/>
          <w:highlight w:val="none"/>
          <w:lang w:bidi="ar"/>
        </w:rPr>
        <w:t>委托同一单位或者个人办理</w:t>
      </w:r>
      <w:r>
        <w:rPr>
          <w:rFonts w:hint="eastAsia" w:cs="宋体"/>
          <w:color w:val="auto"/>
          <w:sz w:val="24"/>
          <w:szCs w:val="24"/>
          <w:highlight w:val="none"/>
          <w:lang w:eastAsia="zh-CN" w:bidi="ar"/>
        </w:rPr>
        <w:t>比选</w:t>
      </w:r>
      <w:r>
        <w:rPr>
          <w:rFonts w:hint="eastAsia" w:cs="宋体"/>
          <w:color w:val="auto"/>
          <w:sz w:val="24"/>
          <w:szCs w:val="24"/>
          <w:highlight w:val="none"/>
          <w:lang w:bidi="ar"/>
        </w:rPr>
        <w:t>事宜；</w:t>
      </w:r>
    </w:p>
    <w:p w14:paraId="7F1AFA7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17.2.2.3不同</w:t>
      </w:r>
      <w:r>
        <w:rPr>
          <w:rFonts w:hint="eastAsia"/>
          <w:color w:val="auto"/>
          <w:sz w:val="24"/>
          <w:szCs w:val="18"/>
          <w:highlight w:val="none"/>
        </w:rPr>
        <w:t>供应商</w:t>
      </w:r>
      <w:r>
        <w:rPr>
          <w:rFonts w:hint="eastAsia" w:cs="宋体"/>
          <w:color w:val="auto"/>
          <w:sz w:val="24"/>
          <w:szCs w:val="24"/>
          <w:highlight w:val="none"/>
          <w:lang w:bidi="ar"/>
        </w:rPr>
        <w:t>的响应文件载明的项目管理成员为同一人；</w:t>
      </w:r>
    </w:p>
    <w:p w14:paraId="281D35E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17.2.2.4不同</w:t>
      </w:r>
      <w:r>
        <w:rPr>
          <w:rFonts w:hint="eastAsia"/>
          <w:color w:val="auto"/>
          <w:sz w:val="24"/>
          <w:szCs w:val="18"/>
          <w:highlight w:val="none"/>
        </w:rPr>
        <w:t>供应商</w:t>
      </w:r>
      <w:r>
        <w:rPr>
          <w:rFonts w:hint="eastAsia" w:cs="宋体"/>
          <w:color w:val="auto"/>
          <w:sz w:val="24"/>
          <w:szCs w:val="24"/>
          <w:highlight w:val="none"/>
          <w:lang w:bidi="ar"/>
        </w:rPr>
        <w:t>的响应文件异常一致或者报价呈规律性差异；</w:t>
      </w:r>
    </w:p>
    <w:p w14:paraId="6518D7C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17.2.2.5不同</w:t>
      </w:r>
      <w:r>
        <w:rPr>
          <w:rFonts w:hint="eastAsia"/>
          <w:color w:val="auto"/>
          <w:sz w:val="24"/>
          <w:szCs w:val="18"/>
          <w:highlight w:val="none"/>
        </w:rPr>
        <w:t>供应商</w:t>
      </w:r>
      <w:r>
        <w:rPr>
          <w:rFonts w:hint="eastAsia" w:cs="宋体"/>
          <w:color w:val="auto"/>
          <w:sz w:val="24"/>
          <w:szCs w:val="24"/>
          <w:highlight w:val="none"/>
          <w:lang w:bidi="ar"/>
        </w:rPr>
        <w:t>的响应文件相互混装；</w:t>
      </w:r>
    </w:p>
    <w:p w14:paraId="674E6A3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17.2.2.6不同</w:t>
      </w:r>
      <w:r>
        <w:rPr>
          <w:rFonts w:hint="eastAsia"/>
          <w:color w:val="auto"/>
          <w:sz w:val="24"/>
          <w:szCs w:val="18"/>
          <w:highlight w:val="none"/>
        </w:rPr>
        <w:t>供应商</w:t>
      </w:r>
      <w:r>
        <w:rPr>
          <w:rFonts w:hint="eastAsia" w:cs="宋体"/>
          <w:color w:val="auto"/>
          <w:sz w:val="24"/>
          <w:szCs w:val="24"/>
          <w:highlight w:val="none"/>
          <w:lang w:bidi="ar"/>
        </w:rPr>
        <w:t>的</w:t>
      </w:r>
      <w:r>
        <w:rPr>
          <w:rFonts w:hint="eastAsia" w:cs="宋体"/>
          <w:color w:val="auto"/>
          <w:sz w:val="24"/>
          <w:szCs w:val="24"/>
          <w:highlight w:val="none"/>
          <w:lang w:eastAsia="zh-CN" w:bidi="ar"/>
        </w:rPr>
        <w:t>比选</w:t>
      </w:r>
      <w:r>
        <w:rPr>
          <w:rFonts w:hint="eastAsia" w:cs="宋体"/>
          <w:color w:val="auto"/>
          <w:sz w:val="24"/>
          <w:szCs w:val="24"/>
          <w:highlight w:val="none"/>
          <w:lang w:bidi="ar"/>
        </w:rPr>
        <w:t>保证金从同一单位或者个人的账户转出。</w:t>
      </w:r>
    </w:p>
    <w:p w14:paraId="52183B1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17.2.3有下列情形之一的，属于</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rPr>
        <w:t>供应商</w:t>
      </w:r>
      <w:r>
        <w:rPr>
          <w:rFonts w:hint="eastAsia" w:cs="宋体"/>
          <w:color w:val="auto"/>
          <w:sz w:val="24"/>
          <w:szCs w:val="24"/>
          <w:highlight w:val="none"/>
          <w:lang w:bidi="ar"/>
        </w:rPr>
        <w:t>串通：</w:t>
      </w:r>
    </w:p>
    <w:p w14:paraId="427B9F7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17.2.3.1</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比选</w:t>
      </w:r>
      <w:r>
        <w:rPr>
          <w:rFonts w:hint="eastAsia" w:cs="宋体"/>
          <w:color w:val="auto"/>
          <w:sz w:val="24"/>
          <w:szCs w:val="24"/>
          <w:highlight w:val="none"/>
          <w:lang w:bidi="ar"/>
        </w:rPr>
        <w:t>前开启响应文件并将有关信息泄露给其他</w:t>
      </w:r>
      <w:r>
        <w:rPr>
          <w:rFonts w:hint="eastAsia"/>
          <w:color w:val="auto"/>
          <w:sz w:val="24"/>
          <w:szCs w:val="18"/>
          <w:highlight w:val="none"/>
        </w:rPr>
        <w:t>供应商</w:t>
      </w:r>
      <w:r>
        <w:rPr>
          <w:rFonts w:hint="eastAsia" w:cs="宋体"/>
          <w:color w:val="auto"/>
          <w:sz w:val="24"/>
          <w:szCs w:val="24"/>
          <w:highlight w:val="none"/>
          <w:lang w:bidi="ar"/>
        </w:rPr>
        <w:t>；</w:t>
      </w:r>
    </w:p>
    <w:p w14:paraId="5231CA9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17.2.3.2</w:t>
      </w:r>
      <w:r>
        <w:rPr>
          <w:rFonts w:hint="eastAsia"/>
          <w:color w:val="auto"/>
          <w:sz w:val="24"/>
          <w:szCs w:val="18"/>
          <w:highlight w:val="none"/>
        </w:rPr>
        <w:t>业主单位</w:t>
      </w:r>
      <w:r>
        <w:rPr>
          <w:rFonts w:hint="eastAsia" w:cs="宋体"/>
          <w:color w:val="auto"/>
          <w:sz w:val="24"/>
          <w:szCs w:val="24"/>
          <w:highlight w:val="none"/>
          <w:lang w:bidi="ar"/>
        </w:rPr>
        <w:t>直接或者间接向</w:t>
      </w:r>
      <w:r>
        <w:rPr>
          <w:rFonts w:hint="eastAsia"/>
          <w:color w:val="auto"/>
          <w:sz w:val="24"/>
          <w:szCs w:val="18"/>
          <w:highlight w:val="none"/>
        </w:rPr>
        <w:t>供应商</w:t>
      </w:r>
      <w:r>
        <w:rPr>
          <w:rFonts w:hint="eastAsia" w:cs="宋体"/>
          <w:color w:val="auto"/>
          <w:sz w:val="24"/>
          <w:szCs w:val="24"/>
          <w:highlight w:val="none"/>
          <w:lang w:bidi="ar"/>
        </w:rPr>
        <w:t>泄露标底、评审委员会成员等信息；</w:t>
      </w:r>
    </w:p>
    <w:p w14:paraId="24696D1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17.2.3.3</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rPr>
        <w:t>供应商</w:t>
      </w:r>
      <w:r>
        <w:rPr>
          <w:rFonts w:hint="eastAsia" w:cs="宋体"/>
          <w:color w:val="auto"/>
          <w:sz w:val="24"/>
          <w:szCs w:val="24"/>
          <w:highlight w:val="none"/>
          <w:lang w:bidi="ar"/>
        </w:rPr>
        <w:t>压低或者抬高报价；</w:t>
      </w:r>
    </w:p>
    <w:p w14:paraId="04D26A7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17.2.3.4</w:t>
      </w:r>
      <w:r>
        <w:rPr>
          <w:rFonts w:hint="eastAsia"/>
          <w:color w:val="auto"/>
          <w:sz w:val="24"/>
          <w:szCs w:val="18"/>
          <w:highlight w:val="none"/>
        </w:rPr>
        <w:t>业主单位</w:t>
      </w:r>
      <w:r>
        <w:rPr>
          <w:rFonts w:hint="eastAsia" w:cs="宋体"/>
          <w:color w:val="auto"/>
          <w:sz w:val="24"/>
          <w:szCs w:val="24"/>
          <w:highlight w:val="none"/>
          <w:lang w:bidi="ar"/>
        </w:rPr>
        <w:t>授意</w:t>
      </w:r>
      <w:r>
        <w:rPr>
          <w:rFonts w:hint="eastAsia"/>
          <w:color w:val="auto"/>
          <w:sz w:val="24"/>
          <w:szCs w:val="18"/>
          <w:highlight w:val="none"/>
        </w:rPr>
        <w:t>供应商</w:t>
      </w:r>
      <w:r>
        <w:rPr>
          <w:rFonts w:hint="eastAsia" w:cs="宋体"/>
          <w:color w:val="auto"/>
          <w:sz w:val="24"/>
          <w:szCs w:val="24"/>
          <w:highlight w:val="none"/>
          <w:lang w:bidi="ar"/>
        </w:rPr>
        <w:t>撤换、修改响应文件；</w:t>
      </w:r>
    </w:p>
    <w:p w14:paraId="741A91B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17.2.3.5</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rPr>
        <w:t>供应商</w:t>
      </w:r>
      <w:r>
        <w:rPr>
          <w:rFonts w:hint="eastAsia" w:cs="宋体"/>
          <w:color w:val="auto"/>
          <w:sz w:val="24"/>
          <w:szCs w:val="24"/>
          <w:highlight w:val="none"/>
          <w:lang w:bidi="ar"/>
        </w:rPr>
        <w:t>为特定</w:t>
      </w:r>
      <w:r>
        <w:rPr>
          <w:rFonts w:hint="eastAsia"/>
          <w:color w:val="auto"/>
          <w:sz w:val="24"/>
          <w:szCs w:val="18"/>
          <w:highlight w:val="none"/>
        </w:rPr>
        <w:t>供应商</w:t>
      </w:r>
      <w:r>
        <w:rPr>
          <w:rFonts w:hint="eastAsia" w:cs="宋体"/>
          <w:color w:val="auto"/>
          <w:sz w:val="24"/>
          <w:szCs w:val="24"/>
          <w:highlight w:val="none"/>
          <w:lang w:bidi="ar"/>
        </w:rPr>
        <w:t>成交提供方便；</w:t>
      </w:r>
    </w:p>
    <w:p w14:paraId="38CE05C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17.2.3.6</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rPr>
        <w:t>供应商</w:t>
      </w:r>
      <w:r>
        <w:rPr>
          <w:rFonts w:hint="eastAsia" w:cs="宋体"/>
          <w:color w:val="auto"/>
          <w:sz w:val="24"/>
          <w:szCs w:val="24"/>
          <w:highlight w:val="none"/>
          <w:lang w:bidi="ar"/>
        </w:rPr>
        <w:t>为谋求特定</w:t>
      </w:r>
      <w:r>
        <w:rPr>
          <w:rFonts w:hint="eastAsia"/>
          <w:color w:val="auto"/>
          <w:sz w:val="24"/>
          <w:szCs w:val="18"/>
          <w:highlight w:val="none"/>
        </w:rPr>
        <w:t>供应商</w:t>
      </w:r>
      <w:r>
        <w:rPr>
          <w:rFonts w:hint="eastAsia" w:cs="宋体"/>
          <w:color w:val="auto"/>
          <w:sz w:val="24"/>
          <w:szCs w:val="24"/>
          <w:highlight w:val="none"/>
          <w:lang w:bidi="ar"/>
        </w:rPr>
        <w:t>成交而采取的其他串通行为。</w:t>
      </w:r>
    </w:p>
    <w:p w14:paraId="3987025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17.2.4使用通过受让或者租借等方式获取的资格、资质证书参与</w:t>
      </w:r>
      <w:r>
        <w:rPr>
          <w:rFonts w:hint="eastAsia" w:cs="宋体"/>
          <w:color w:val="auto"/>
          <w:sz w:val="24"/>
          <w:szCs w:val="24"/>
          <w:highlight w:val="none"/>
          <w:lang w:eastAsia="zh-CN" w:bidi="ar"/>
        </w:rPr>
        <w:t>比选</w:t>
      </w:r>
      <w:r>
        <w:rPr>
          <w:rFonts w:hint="eastAsia" w:cs="宋体"/>
          <w:color w:val="auto"/>
          <w:sz w:val="24"/>
          <w:szCs w:val="24"/>
          <w:highlight w:val="none"/>
          <w:lang w:bidi="ar"/>
        </w:rPr>
        <w:t>的，</w:t>
      </w:r>
    </w:p>
    <w:p w14:paraId="2942374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17.2.5</w:t>
      </w:r>
      <w:r>
        <w:rPr>
          <w:rFonts w:hint="eastAsia"/>
          <w:color w:val="auto"/>
          <w:sz w:val="24"/>
          <w:szCs w:val="18"/>
          <w:highlight w:val="none"/>
        </w:rPr>
        <w:t>供应商</w:t>
      </w:r>
      <w:r>
        <w:rPr>
          <w:rFonts w:hint="eastAsia" w:cs="宋体"/>
          <w:color w:val="auto"/>
          <w:sz w:val="24"/>
          <w:szCs w:val="24"/>
          <w:highlight w:val="none"/>
          <w:lang w:bidi="ar"/>
        </w:rPr>
        <w:t>有下列情形之一的，属于以其他方式弄虚作假的行为：</w:t>
      </w:r>
    </w:p>
    <w:p w14:paraId="369C2A3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17.2.5.1使用伪造、变造的许可证件；</w:t>
      </w:r>
    </w:p>
    <w:p w14:paraId="570C91C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17.2.5.2提供虚假的财务状况或者业绩；</w:t>
      </w:r>
    </w:p>
    <w:p w14:paraId="42948FDA">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17.2.5.3提供虚假的项目负责人或者主要技术人员简历、劳动关系证明；</w:t>
      </w:r>
    </w:p>
    <w:p w14:paraId="586E90F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17.2.5.4提供虚假的信用状况；</w:t>
      </w:r>
    </w:p>
    <w:p w14:paraId="398615E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17.2.5.5其他弄虚作假的行为。</w:t>
      </w:r>
    </w:p>
    <w:p w14:paraId="1AF18D6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17.2.6其他违反法规和规章强制性规定的行为。</w:t>
      </w:r>
    </w:p>
    <w:p w14:paraId="6E0E0B9B">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18.确定成交候选人和成交人</w:t>
      </w:r>
    </w:p>
    <w:p w14:paraId="10F7D8DA">
      <w:pPr>
        <w:spacing w:line="360" w:lineRule="auto"/>
        <w:ind w:firstLine="470" w:firstLineChars="1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721D3326">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19.编写评审报告</w:t>
      </w:r>
    </w:p>
    <w:p w14:paraId="12F18553">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3BB60F9C">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20.保密要求</w:t>
      </w:r>
    </w:p>
    <w:p w14:paraId="230727C9">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20.1评审将在严格保密的情况下进行。</w:t>
      </w:r>
    </w:p>
    <w:p w14:paraId="30C0844C">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20.2有关人员应当遵守评审工作纪律，不得泄露评审文件、评审情况和评审中获悉的国家秘密、商业秘密等。</w:t>
      </w:r>
    </w:p>
    <w:p w14:paraId="101B0E68">
      <w:pPr>
        <w:spacing w:line="360" w:lineRule="auto"/>
        <w:ind w:firstLine="437"/>
        <w:outlineLvl w:val="3"/>
        <w:rPr>
          <w:b/>
          <w:color w:val="auto"/>
          <w:sz w:val="24"/>
          <w:highlight w:val="none"/>
        </w:rPr>
      </w:pPr>
      <w:r>
        <w:rPr>
          <w:rFonts w:hint="eastAsia" w:asciiTheme="minorEastAsia" w:hAnsiTheme="minorEastAsia" w:eastAsiaTheme="minorEastAsia" w:cstheme="minorEastAsia"/>
          <w:b/>
          <w:color w:val="auto"/>
          <w:sz w:val="24"/>
          <w:highlight w:val="none"/>
        </w:rPr>
        <w:t>21.成交候选人和成交结果公示</w:t>
      </w:r>
    </w:p>
    <w:p w14:paraId="0D56334F">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21.1</w:t>
      </w:r>
      <w:r>
        <w:rPr>
          <w:rFonts w:hint="eastAsia" w:cs="宋体"/>
          <w:color w:val="auto"/>
          <w:sz w:val="24"/>
          <w:szCs w:val="24"/>
          <w:highlight w:val="none"/>
          <w:lang w:eastAsia="zh-CN" w:bidi="ar"/>
        </w:rPr>
        <w:t>比选</w:t>
      </w:r>
      <w:r>
        <w:rPr>
          <w:rFonts w:hint="eastAsia" w:cs="宋体"/>
          <w:color w:val="auto"/>
          <w:sz w:val="24"/>
          <w:szCs w:val="24"/>
          <w:highlight w:val="none"/>
          <w:lang w:bidi="ar"/>
        </w:rPr>
        <w:t>结束后，代理机构将在</w:t>
      </w:r>
      <w:r>
        <w:rPr>
          <w:rFonts w:hint="eastAsia"/>
          <w:color w:val="auto"/>
          <w:sz w:val="24"/>
          <w:highlight w:val="none"/>
        </w:rPr>
        <w:t>发布</w:t>
      </w:r>
      <w:r>
        <w:rPr>
          <w:rFonts w:hint="eastAsia"/>
          <w:color w:val="auto"/>
          <w:sz w:val="24"/>
          <w:highlight w:val="none"/>
          <w:lang w:eastAsia="zh-CN"/>
        </w:rPr>
        <w:t>比选</w:t>
      </w:r>
      <w:r>
        <w:rPr>
          <w:rFonts w:hint="eastAsia"/>
          <w:color w:val="auto"/>
          <w:sz w:val="24"/>
          <w:highlight w:val="none"/>
        </w:rPr>
        <w:t>公告的媒介上</w:t>
      </w:r>
      <w:r>
        <w:rPr>
          <w:rFonts w:hint="eastAsia" w:cs="宋体"/>
          <w:color w:val="auto"/>
          <w:sz w:val="24"/>
          <w:szCs w:val="24"/>
          <w:highlight w:val="none"/>
          <w:lang w:bidi="ar"/>
        </w:rPr>
        <w:t>发布成交候选人公示和成交结果公示。</w:t>
      </w:r>
    </w:p>
    <w:p w14:paraId="7B599F14">
      <w:pPr>
        <w:spacing w:line="360" w:lineRule="auto"/>
        <w:ind w:firstLine="435"/>
        <w:rPr>
          <w:rFonts w:asciiTheme="minorEastAsia" w:hAnsiTheme="minorEastAsia" w:eastAsiaTheme="minorEastAsia" w:cstheme="minorEastAsia"/>
          <w:color w:val="auto"/>
          <w:kern w:val="2"/>
          <w:sz w:val="24"/>
          <w:highlight w:val="none"/>
        </w:rPr>
      </w:pPr>
      <w:r>
        <w:rPr>
          <w:rFonts w:hint="eastAsia" w:cs="宋体"/>
          <w:color w:val="auto"/>
          <w:sz w:val="24"/>
          <w:szCs w:val="24"/>
          <w:highlight w:val="none"/>
          <w:lang w:bidi="ar"/>
        </w:rPr>
        <w:t>21.2</w:t>
      </w:r>
      <w:r>
        <w:rPr>
          <w:rFonts w:hint="eastAsia"/>
          <w:color w:val="auto"/>
          <w:sz w:val="24"/>
          <w:szCs w:val="18"/>
          <w:highlight w:val="none"/>
        </w:rPr>
        <w:t>业主单位</w:t>
      </w:r>
      <w:r>
        <w:rPr>
          <w:rFonts w:hint="eastAsia" w:cs="宋体"/>
          <w:color w:val="auto"/>
          <w:sz w:val="24"/>
          <w:szCs w:val="24"/>
          <w:highlight w:val="none"/>
          <w:lang w:bidi="ar"/>
        </w:rPr>
        <w:t>在收到评审报告之日起3日内，依法公示成交候选人。</w:t>
      </w:r>
      <w:r>
        <w:rPr>
          <w:rFonts w:hint="eastAsia"/>
          <w:color w:val="auto"/>
          <w:sz w:val="24"/>
          <w:szCs w:val="18"/>
          <w:highlight w:val="none"/>
        </w:rPr>
        <w:t>业主单位</w:t>
      </w:r>
      <w:r>
        <w:rPr>
          <w:rFonts w:hint="eastAsia" w:cs="宋体"/>
          <w:color w:val="auto"/>
          <w:sz w:val="24"/>
          <w:szCs w:val="24"/>
          <w:highlight w:val="none"/>
          <w:lang w:bidi="ar"/>
        </w:rPr>
        <w:t>在确定成交人之日起3日内，依法公示成交结果。</w:t>
      </w:r>
    </w:p>
    <w:p w14:paraId="68BC6FE3">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w:t>
      </w:r>
      <w:r>
        <w:rPr>
          <w:rFonts w:hint="eastAsia" w:asciiTheme="minorEastAsia" w:hAnsiTheme="minorEastAsia" w:eastAsiaTheme="minorEastAsia" w:cstheme="minorEastAsia"/>
          <w:b/>
          <w:color w:val="auto"/>
          <w:sz w:val="24"/>
          <w:highlight w:val="none"/>
          <w:lang w:eastAsia="zh-CN"/>
        </w:rPr>
        <w:t>比选</w:t>
      </w:r>
      <w:r>
        <w:rPr>
          <w:rFonts w:hint="eastAsia" w:asciiTheme="minorEastAsia" w:hAnsiTheme="minorEastAsia" w:eastAsiaTheme="minorEastAsia" w:cstheme="minorEastAsia"/>
          <w:b/>
          <w:color w:val="auto"/>
          <w:sz w:val="24"/>
          <w:highlight w:val="none"/>
        </w:rPr>
        <w:t>结果的异议、投诉</w:t>
      </w:r>
    </w:p>
    <w:p w14:paraId="7446809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22.1对于</w:t>
      </w:r>
      <w:r>
        <w:rPr>
          <w:rFonts w:hint="eastAsia" w:cs="宋体"/>
          <w:color w:val="auto"/>
          <w:kern w:val="2"/>
          <w:sz w:val="24"/>
          <w:szCs w:val="24"/>
          <w:highlight w:val="none"/>
          <w:lang w:eastAsia="zh-CN"/>
        </w:rPr>
        <w:t>比选</w:t>
      </w:r>
      <w:r>
        <w:rPr>
          <w:rFonts w:hint="eastAsia" w:cs="宋体"/>
          <w:color w:val="auto"/>
          <w:kern w:val="2"/>
          <w:sz w:val="24"/>
          <w:szCs w:val="24"/>
          <w:highlight w:val="none"/>
        </w:rPr>
        <w:t>结果有异议的，应在成交结果公告规定的时间内向业主单位或代理机构提出。</w:t>
      </w:r>
    </w:p>
    <w:p w14:paraId="742DB225">
      <w:pPr>
        <w:spacing w:line="360" w:lineRule="auto"/>
        <w:ind w:firstLine="480" w:firstLineChars="200"/>
        <w:rPr>
          <w:color w:val="auto"/>
          <w:highlight w:val="none"/>
        </w:rPr>
      </w:pPr>
      <w:r>
        <w:rPr>
          <w:rFonts w:hint="eastAsia" w:cs="宋体"/>
          <w:color w:val="auto"/>
          <w:kern w:val="2"/>
          <w:sz w:val="24"/>
          <w:szCs w:val="24"/>
          <w:highlight w:val="none"/>
        </w:rPr>
        <w:t>22.2对于异议答复不满意的，应在收到异议答复之日起3日内向</w:t>
      </w:r>
      <w:r>
        <w:rPr>
          <w:rFonts w:hint="eastAsia" w:cs="宋体"/>
          <w:color w:val="auto"/>
          <w:kern w:val="2"/>
          <w:sz w:val="24"/>
          <w:szCs w:val="24"/>
          <w:highlight w:val="none"/>
          <w:lang w:eastAsia="zh-CN"/>
        </w:rPr>
        <w:t>比选</w:t>
      </w:r>
      <w:r>
        <w:rPr>
          <w:rFonts w:hint="eastAsia" w:cs="宋体"/>
          <w:color w:val="auto"/>
          <w:kern w:val="2"/>
          <w:sz w:val="24"/>
          <w:szCs w:val="24"/>
          <w:highlight w:val="none"/>
        </w:rPr>
        <w:t>公告载明的监督管理部门提出。</w:t>
      </w:r>
    </w:p>
    <w:p w14:paraId="4B9523AA">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23.成交通知书</w:t>
      </w:r>
    </w:p>
    <w:p w14:paraId="4D8A0C16">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23.1代理机构发布成交结果公告的同时以供应商须知前附表规定的形式向成交人发出成交通知书。</w:t>
      </w:r>
    </w:p>
    <w:p w14:paraId="5AEE6387">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23.2成交通知书对业主单位和成交人具有同等法律效力。成交通知书发出以后，业主单位改变成交结果或者成交人放弃成交资格，应当承担相应的法律责任。</w:t>
      </w:r>
    </w:p>
    <w:p w14:paraId="06B449DE">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23.3成交通知书是合同的组成部分。</w:t>
      </w:r>
    </w:p>
    <w:p w14:paraId="242E0753">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24.告知</w:t>
      </w:r>
      <w:r>
        <w:rPr>
          <w:rFonts w:hint="eastAsia" w:asciiTheme="minorEastAsia" w:hAnsiTheme="minorEastAsia" w:eastAsiaTheme="minorEastAsia" w:cstheme="minorEastAsia"/>
          <w:b/>
          <w:color w:val="auto"/>
          <w:sz w:val="24"/>
          <w:highlight w:val="none"/>
          <w:lang w:eastAsia="zh-CN"/>
        </w:rPr>
        <w:t>比选</w:t>
      </w:r>
      <w:r>
        <w:rPr>
          <w:rFonts w:hint="eastAsia" w:asciiTheme="minorEastAsia" w:hAnsiTheme="minorEastAsia" w:eastAsiaTheme="minorEastAsia" w:cstheme="minorEastAsia"/>
          <w:b/>
          <w:color w:val="auto"/>
          <w:sz w:val="24"/>
          <w:highlight w:val="none"/>
        </w:rPr>
        <w:t>结果</w:t>
      </w:r>
    </w:p>
    <w:p w14:paraId="3175C8F7">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24.1成交结果公告发布后，供应商自行登录系统查询结果信息。</w:t>
      </w:r>
    </w:p>
    <w:p w14:paraId="7C868F86">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24.2代理机构对未成交的供应商不做未成交原因的解释。</w:t>
      </w:r>
    </w:p>
    <w:p w14:paraId="52927CA7">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25.履约保证金</w:t>
      </w:r>
    </w:p>
    <w:p w14:paraId="302138F9">
      <w:pPr>
        <w:spacing w:line="360" w:lineRule="auto"/>
        <w:ind w:firstLine="435"/>
        <w:rPr>
          <w:rFonts w:cs="宋体"/>
          <w:color w:val="auto"/>
          <w:sz w:val="24"/>
          <w:szCs w:val="24"/>
          <w:highlight w:val="none"/>
          <w:lang w:bidi="ar"/>
        </w:rPr>
      </w:pPr>
      <w:r>
        <w:rPr>
          <w:rFonts w:hint="eastAsia" w:cs="宋体"/>
          <w:color w:val="auto"/>
          <w:sz w:val="24"/>
          <w:szCs w:val="24"/>
          <w:highlight w:val="none"/>
          <w:lang w:bidi="ar"/>
        </w:rPr>
        <w:t>25.1成交人应按照</w:t>
      </w:r>
      <w:r>
        <w:rPr>
          <w:rFonts w:hint="eastAsia"/>
          <w:color w:val="auto"/>
          <w:sz w:val="24"/>
          <w:szCs w:val="18"/>
          <w:highlight w:val="none"/>
        </w:rPr>
        <w:t>参审单位</w:t>
      </w:r>
      <w:r>
        <w:rPr>
          <w:rFonts w:hint="eastAsia" w:cs="宋体"/>
          <w:color w:val="auto"/>
          <w:sz w:val="24"/>
          <w:szCs w:val="24"/>
          <w:highlight w:val="none"/>
          <w:lang w:bidi="ar"/>
        </w:rPr>
        <w:t>须知前附表规定缴纳履约保证金。</w:t>
      </w:r>
    </w:p>
    <w:p w14:paraId="05954166">
      <w:pPr>
        <w:spacing w:line="360" w:lineRule="auto"/>
        <w:ind w:firstLine="435"/>
        <w:rPr>
          <w:rFonts w:asciiTheme="minorEastAsia" w:hAnsiTheme="minorEastAsia" w:eastAsiaTheme="minorEastAsia" w:cstheme="minorEastAsia"/>
          <w:color w:val="auto"/>
          <w:sz w:val="24"/>
          <w:highlight w:val="none"/>
        </w:rPr>
      </w:pPr>
      <w:r>
        <w:rPr>
          <w:rFonts w:hint="eastAsia" w:cs="宋体" w:eastAsiaTheme="minorEastAsia"/>
          <w:color w:val="auto"/>
          <w:sz w:val="24"/>
          <w:szCs w:val="24"/>
          <w:highlight w:val="none"/>
          <w:lang w:bidi="ar"/>
        </w:rPr>
        <w:t>25.2</w:t>
      </w:r>
      <w:r>
        <w:rPr>
          <w:rFonts w:hint="eastAsia" w:asciiTheme="minorEastAsia" w:hAnsiTheme="minorEastAsia" w:eastAsiaTheme="minorEastAsia" w:cstheme="minorEastAsia"/>
          <w:color w:val="auto"/>
          <w:sz w:val="24"/>
          <w:highlight w:val="none"/>
        </w:rPr>
        <w:t>如果成交人没有按照供应商须知前附表中履约保证金的规定执行，将视为放弃成交资格。在此情况下，业主单位可确定下一成交候选人为成交人，也可以重新开展</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p>
    <w:p w14:paraId="13910347">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26.代理费用</w:t>
      </w:r>
    </w:p>
    <w:p w14:paraId="092B6463">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成交人放弃成交资格的，</w:t>
      </w: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项目应收取的</w:t>
      </w:r>
      <w:r>
        <w:rPr>
          <w:rFonts w:hint="eastAsia"/>
          <w:color w:val="auto"/>
          <w:sz w:val="24"/>
          <w:szCs w:val="24"/>
          <w:highlight w:val="none"/>
        </w:rPr>
        <w:t>代理服务费</w:t>
      </w:r>
      <w:r>
        <w:rPr>
          <w:rFonts w:hint="eastAsia" w:asciiTheme="minorEastAsia" w:hAnsiTheme="minorEastAsia" w:eastAsiaTheme="minorEastAsia" w:cstheme="minorEastAsia"/>
          <w:color w:val="auto"/>
          <w:kern w:val="2"/>
          <w:sz w:val="24"/>
          <w:highlight w:val="none"/>
        </w:rPr>
        <w:t>由其承担。</w:t>
      </w:r>
    </w:p>
    <w:p w14:paraId="6CA2543E">
      <w:pPr>
        <w:spacing w:line="360" w:lineRule="auto"/>
        <w:ind w:firstLine="435"/>
        <w:rPr>
          <w:sz w:val="24"/>
          <w:highlight w:val="none"/>
        </w:rPr>
      </w:pPr>
      <w:r>
        <w:rPr>
          <w:rFonts w:hint="eastAsia"/>
          <w:sz w:val="24"/>
          <w:highlight w:val="none"/>
        </w:rPr>
        <w:t>代理费缴纳账户</w:t>
      </w:r>
    </w:p>
    <w:p w14:paraId="1B31939A">
      <w:pPr>
        <w:spacing w:line="360" w:lineRule="auto"/>
        <w:ind w:firstLine="435"/>
        <w:rPr>
          <w:rFonts w:hint="eastAsia" w:eastAsia="宋体"/>
          <w:b/>
          <w:bCs/>
          <w:sz w:val="24"/>
          <w:highlight w:val="none"/>
          <w:lang w:eastAsia="zh-CN"/>
        </w:rPr>
      </w:pPr>
      <w:r>
        <w:rPr>
          <w:rFonts w:hint="eastAsia"/>
          <w:b/>
          <w:bCs/>
          <w:sz w:val="24"/>
          <w:highlight w:val="none"/>
        </w:rPr>
        <w:t>户名：</w:t>
      </w:r>
      <w:r>
        <w:rPr>
          <w:rFonts w:hint="eastAsia"/>
          <w:b/>
          <w:bCs/>
          <w:sz w:val="24"/>
          <w:highlight w:val="none"/>
          <w:lang w:eastAsia="zh-CN"/>
        </w:rPr>
        <w:t>肥西县公共资源交易有限责任公司</w:t>
      </w:r>
    </w:p>
    <w:p w14:paraId="59E25357">
      <w:pPr>
        <w:spacing w:line="360" w:lineRule="auto"/>
        <w:ind w:firstLine="435"/>
        <w:rPr>
          <w:rFonts w:hint="default" w:eastAsia="宋体"/>
          <w:b/>
          <w:bCs/>
          <w:sz w:val="24"/>
          <w:highlight w:val="none"/>
          <w:lang w:val="en-US" w:eastAsia="zh-CN"/>
        </w:rPr>
      </w:pPr>
      <w:r>
        <w:rPr>
          <w:rFonts w:hint="eastAsia"/>
          <w:b/>
          <w:bCs/>
          <w:sz w:val="24"/>
          <w:highlight w:val="none"/>
        </w:rPr>
        <w:t>账号：</w:t>
      </w:r>
      <w:r>
        <w:rPr>
          <w:rFonts w:hint="eastAsia"/>
          <w:b/>
          <w:bCs/>
          <w:sz w:val="24"/>
          <w:highlight w:val="none"/>
          <w:lang w:val="en-US" w:eastAsia="zh-CN"/>
        </w:rPr>
        <w:t>179746801939</w:t>
      </w:r>
    </w:p>
    <w:p w14:paraId="2B04DE88">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b/>
          <w:bCs/>
          <w:sz w:val="24"/>
          <w:highlight w:val="none"/>
        </w:rPr>
        <w:t>开户行：中国银行股份有限公司肥西支行</w:t>
      </w:r>
    </w:p>
    <w:p w14:paraId="6CB0958E">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27.签订合同</w:t>
      </w:r>
    </w:p>
    <w:p w14:paraId="6E10912D">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27.1业主单位与成交人应当在成交通知书发出后及时签订合同。</w:t>
      </w:r>
    </w:p>
    <w:p w14:paraId="138F330B">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文件、成交人的响应文件及其澄清文件等，均为签订合同的依据。</w:t>
      </w:r>
    </w:p>
    <w:p w14:paraId="280774A3">
      <w:pPr>
        <w:spacing w:line="360" w:lineRule="auto"/>
        <w:ind w:firstLine="470" w:firstLineChars="1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27.3成交人拒绝与业主单位签订合同的，业主单位可以按照评审报告推荐的成交候选人名单排序，确定下一成交候选人为成交人，也可以重新开展</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活动。成交人拒绝签订合同的不得参加对该项目重新开展的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活动。</w:t>
      </w:r>
    </w:p>
    <w:p w14:paraId="69B586B4">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28.廉洁自律规定</w:t>
      </w:r>
    </w:p>
    <w:p w14:paraId="7E66579A">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28.1代理机构工作人员不得以不正当手段获取代理业务，不得与业主单位、供应商恶意串通。</w:t>
      </w:r>
    </w:p>
    <w:p w14:paraId="18936787">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28.2代理机构工作人员不得接受业主单位或者供应商组织的宴请、旅游、娱乐，不得收受礼品、现金、有价证券等，不得向业主单位或者供应商报销应当由个人承担的费用。</w:t>
      </w:r>
    </w:p>
    <w:p w14:paraId="41DF8A41">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w:t>
      </w:r>
      <w:r>
        <w:rPr>
          <w:rFonts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rPr>
        <w:t>异议的提出与接收</w:t>
      </w:r>
    </w:p>
    <w:p w14:paraId="392CDEA1">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29.1参审单位认为</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过程和成交结果使自己的权益受到损害的，可以在知道或者应知其权益受到损害之日起三日内，以书面形式向业主单位或其委托的代理机构提出异议。</w:t>
      </w:r>
    </w:p>
    <w:p w14:paraId="067947EA">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29.2异议应以书面形式实名提出，书面异议材料应当包括以下内容：</w:t>
      </w:r>
    </w:p>
    <w:p w14:paraId="34EC9D85">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29.3异议人的名称、地址、有效联系方式；</w:t>
      </w:r>
    </w:p>
    <w:p w14:paraId="334F7C9C">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29.5项目名称、项目编号、包别号（如有）；</w:t>
      </w:r>
    </w:p>
    <w:p w14:paraId="0962E919">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29.6被异议人名称；</w:t>
      </w:r>
    </w:p>
    <w:p w14:paraId="376091BE">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29.7具体的异议事项、基本事实及必要的证明材料；</w:t>
      </w:r>
    </w:p>
    <w:p w14:paraId="5EBF667A">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29.8明确的请求及主张；</w:t>
      </w:r>
    </w:p>
    <w:p w14:paraId="15DB0F7C">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29.9提起异议的日期。</w:t>
      </w:r>
    </w:p>
    <w:p w14:paraId="780C2549">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异议人为法人或者其他组织的，应当由法定代表人或其委托代理人（需有委托授权书）签字并加盖公章。异议人需要修改、补充异议材料的，应当在异议期内提交修改或补充材料。</w:t>
      </w:r>
    </w:p>
    <w:p w14:paraId="6F353758">
      <w:pPr>
        <w:spacing w:line="360" w:lineRule="auto"/>
        <w:ind w:firstLine="4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29.10代理机构异议函接收部门、联系电话和通讯地址，见参审单位须知前附表。</w:t>
      </w:r>
    </w:p>
    <w:p w14:paraId="5D149906">
      <w:pPr>
        <w:spacing w:line="360" w:lineRule="auto"/>
        <w:ind w:firstLine="437"/>
        <w:outlineLvl w:val="3"/>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30.需要补充的其他内容</w:t>
      </w:r>
    </w:p>
    <w:p w14:paraId="590A222A">
      <w:pPr>
        <w:spacing w:line="360" w:lineRule="auto"/>
        <w:ind w:firstLine="435"/>
        <w:rPr>
          <w:color w:val="auto"/>
          <w:sz w:val="24"/>
          <w:highlight w:val="none"/>
        </w:rPr>
      </w:pPr>
      <w:r>
        <w:rPr>
          <w:rFonts w:hint="eastAsia" w:asciiTheme="minorEastAsia" w:hAnsiTheme="minorEastAsia" w:eastAsiaTheme="minorEastAsia" w:cstheme="minorEastAsia"/>
          <w:color w:val="auto"/>
          <w:sz w:val="24"/>
          <w:highlight w:val="none"/>
        </w:rPr>
        <w:t>需要补充的其他内容，见供应商须知前附表</w:t>
      </w:r>
      <w:r>
        <w:rPr>
          <w:rFonts w:hint="eastAsia"/>
          <w:color w:val="auto"/>
          <w:sz w:val="24"/>
          <w:highlight w:val="none"/>
        </w:rPr>
        <w:t>。</w:t>
      </w:r>
      <w:r>
        <w:rPr>
          <w:rFonts w:asciiTheme="minorEastAsia" w:hAnsiTheme="minorEastAsia" w:eastAsiaTheme="minorEastAsia"/>
          <w:color w:val="auto"/>
          <w:sz w:val="24"/>
          <w:highlight w:val="none"/>
        </w:rPr>
        <w:br w:type="page"/>
      </w:r>
    </w:p>
    <w:p w14:paraId="03D85A6F">
      <w:pPr>
        <w:spacing w:line="360" w:lineRule="auto"/>
        <w:jc w:val="center"/>
        <w:outlineLvl w:val="1"/>
        <w:rPr>
          <w:rFonts w:asciiTheme="minorEastAsia" w:hAnsiTheme="minorEastAsia" w:eastAsiaTheme="minorEastAsia"/>
          <w:b/>
          <w:color w:val="auto"/>
          <w:sz w:val="28"/>
          <w:highlight w:val="none"/>
        </w:rPr>
      </w:pPr>
      <w:bookmarkStart w:id="6" w:name="_Toc28369"/>
      <w:r>
        <w:rPr>
          <w:rFonts w:hint="eastAsia" w:asciiTheme="minorEastAsia" w:hAnsiTheme="minorEastAsia" w:eastAsiaTheme="minorEastAsia"/>
          <w:b/>
          <w:color w:val="auto"/>
          <w:sz w:val="28"/>
          <w:highlight w:val="none"/>
        </w:rPr>
        <w:t>第三章  业主单位要求</w:t>
      </w:r>
      <w:bookmarkEnd w:id="6"/>
    </w:p>
    <w:p w14:paraId="07FE03CE">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业主单位</w:t>
      </w:r>
      <w:r>
        <w:rPr>
          <w:rFonts w:ascii="Times New Roman" w:hAnsi="Times New Roman"/>
          <w:color w:val="auto"/>
          <w:sz w:val="24"/>
          <w:szCs w:val="24"/>
          <w:highlight w:val="none"/>
        </w:rPr>
        <w:t>要求应尽可能清晰准确，对于可以进行定量评估的工作，</w:t>
      </w:r>
      <w:r>
        <w:rPr>
          <w:rFonts w:hint="eastAsia" w:ascii="Times New Roman" w:hAnsi="Times New Roman"/>
          <w:color w:val="auto"/>
          <w:sz w:val="24"/>
          <w:szCs w:val="24"/>
          <w:highlight w:val="none"/>
        </w:rPr>
        <w:t>业主单位</w:t>
      </w:r>
      <w:r>
        <w:rPr>
          <w:rFonts w:ascii="Times New Roman" w:hAnsi="Times New Roman"/>
          <w:color w:val="auto"/>
          <w:sz w:val="24"/>
          <w:szCs w:val="24"/>
          <w:highlight w:val="none"/>
        </w:rPr>
        <w:t>要求不仅应明确规定其功能、用途、质量、环境、安全，并且要规定偏差的范围和计算方法，以及检验、试验、试运行的具体要求。对于</w:t>
      </w:r>
      <w:r>
        <w:rPr>
          <w:rFonts w:hint="eastAsia" w:ascii="Times New Roman" w:hAnsi="Times New Roman"/>
          <w:color w:val="auto"/>
          <w:sz w:val="24"/>
          <w:szCs w:val="24"/>
          <w:highlight w:val="none"/>
        </w:rPr>
        <w:t>供应商</w:t>
      </w:r>
      <w:r>
        <w:rPr>
          <w:rFonts w:ascii="Times New Roman" w:hAnsi="Times New Roman"/>
          <w:color w:val="auto"/>
          <w:sz w:val="24"/>
          <w:szCs w:val="24"/>
          <w:highlight w:val="none"/>
        </w:rPr>
        <w:t>负责提供的有关服务，在</w:t>
      </w:r>
      <w:r>
        <w:rPr>
          <w:rFonts w:hint="eastAsia" w:ascii="Times New Roman" w:hAnsi="Times New Roman"/>
          <w:color w:val="auto"/>
          <w:sz w:val="24"/>
          <w:szCs w:val="24"/>
          <w:highlight w:val="none"/>
        </w:rPr>
        <w:t>业主单位</w:t>
      </w:r>
      <w:r>
        <w:rPr>
          <w:rFonts w:ascii="Times New Roman" w:hAnsi="Times New Roman"/>
          <w:color w:val="auto"/>
          <w:sz w:val="24"/>
          <w:szCs w:val="24"/>
          <w:highlight w:val="none"/>
        </w:rPr>
        <w:t>要求中应一并明确规定。</w:t>
      </w:r>
    </w:p>
    <w:p w14:paraId="7EFCC760">
      <w:pPr>
        <w:autoSpaceDE w:val="0"/>
        <w:autoSpaceDN w:val="0"/>
        <w:adjustRightInd w:val="0"/>
        <w:spacing w:line="440" w:lineRule="exact"/>
        <w:ind w:firstLine="482" w:firstLineChars="200"/>
        <w:jc w:val="left"/>
        <w:rPr>
          <w:color w:val="auto"/>
          <w:highlight w:val="none"/>
        </w:rPr>
      </w:pPr>
      <w:r>
        <w:rPr>
          <w:rFonts w:hint="eastAsia" w:cs="宋体"/>
          <w:b/>
          <w:bCs/>
          <w:color w:val="auto"/>
          <w:sz w:val="24"/>
          <w:highlight w:val="none"/>
        </w:rPr>
        <w:t>一、采购需求前附表</w:t>
      </w:r>
    </w:p>
    <w:tbl>
      <w:tblPr>
        <w:tblStyle w:val="16"/>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415"/>
        <w:gridCol w:w="5822"/>
      </w:tblGrid>
      <w:tr w14:paraId="26B1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8" w:type="pct"/>
            <w:vAlign w:val="center"/>
          </w:tcPr>
          <w:p w14:paraId="384B2C1D">
            <w:pPr>
              <w:spacing w:line="440" w:lineRule="exact"/>
              <w:jc w:val="center"/>
              <w:rPr>
                <w:rFonts w:cs="@仿宋_GB2312"/>
                <w:b/>
                <w:color w:val="auto"/>
                <w:sz w:val="24"/>
                <w:highlight w:val="none"/>
              </w:rPr>
            </w:pPr>
            <w:r>
              <w:rPr>
                <w:rFonts w:hint="eastAsia" w:cs="@仿宋_GB2312"/>
                <w:b/>
                <w:color w:val="auto"/>
                <w:sz w:val="24"/>
                <w:highlight w:val="none"/>
              </w:rPr>
              <w:t>序号</w:t>
            </w:r>
          </w:p>
        </w:tc>
        <w:tc>
          <w:tcPr>
            <w:tcW w:w="1346" w:type="pct"/>
            <w:vAlign w:val="center"/>
          </w:tcPr>
          <w:p w14:paraId="3EF78FAF">
            <w:pPr>
              <w:spacing w:line="440" w:lineRule="exact"/>
              <w:jc w:val="center"/>
              <w:rPr>
                <w:rFonts w:cs="@仿宋_GB2312"/>
                <w:b/>
                <w:color w:val="auto"/>
                <w:sz w:val="24"/>
                <w:szCs w:val="28"/>
                <w:highlight w:val="none"/>
              </w:rPr>
            </w:pPr>
            <w:r>
              <w:rPr>
                <w:rFonts w:hint="eastAsia" w:cs="@仿宋_GB2312"/>
                <w:b/>
                <w:color w:val="auto"/>
                <w:sz w:val="24"/>
                <w:szCs w:val="28"/>
                <w:highlight w:val="none"/>
              </w:rPr>
              <w:t>条款名称</w:t>
            </w:r>
          </w:p>
        </w:tc>
        <w:tc>
          <w:tcPr>
            <w:tcW w:w="3245" w:type="pct"/>
            <w:vAlign w:val="center"/>
          </w:tcPr>
          <w:p w14:paraId="701CCB90">
            <w:pPr>
              <w:spacing w:line="440" w:lineRule="exact"/>
              <w:jc w:val="center"/>
              <w:rPr>
                <w:rFonts w:cs="@仿宋_GB2312"/>
                <w:b/>
                <w:color w:val="auto"/>
                <w:sz w:val="24"/>
                <w:szCs w:val="28"/>
                <w:highlight w:val="none"/>
              </w:rPr>
            </w:pPr>
            <w:r>
              <w:rPr>
                <w:rFonts w:hint="eastAsia" w:cs="@仿宋_GB2312"/>
                <w:b/>
                <w:color w:val="auto"/>
                <w:sz w:val="24"/>
                <w:szCs w:val="28"/>
                <w:highlight w:val="none"/>
              </w:rPr>
              <w:t>内容、说明与要求</w:t>
            </w:r>
          </w:p>
        </w:tc>
      </w:tr>
      <w:tr w14:paraId="05AF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vAlign w:val="center"/>
          </w:tcPr>
          <w:p w14:paraId="279BCB50">
            <w:pPr>
              <w:spacing w:line="440" w:lineRule="exact"/>
              <w:jc w:val="center"/>
              <w:rPr>
                <w:rFonts w:cs="@仿宋_GB2312"/>
                <w:bCs/>
                <w:color w:val="auto"/>
                <w:sz w:val="24"/>
                <w:highlight w:val="none"/>
              </w:rPr>
            </w:pPr>
            <w:r>
              <w:rPr>
                <w:rFonts w:hint="eastAsia" w:cs="@仿宋_GB2312"/>
                <w:bCs/>
                <w:color w:val="auto"/>
                <w:sz w:val="24"/>
                <w:highlight w:val="none"/>
              </w:rPr>
              <w:t>1</w:t>
            </w:r>
          </w:p>
        </w:tc>
        <w:tc>
          <w:tcPr>
            <w:tcW w:w="1346" w:type="pct"/>
            <w:vAlign w:val="center"/>
          </w:tcPr>
          <w:p w14:paraId="0C362E6D">
            <w:pPr>
              <w:spacing w:line="440" w:lineRule="exact"/>
              <w:jc w:val="center"/>
              <w:rPr>
                <w:rFonts w:cs="@仿宋_GB2312"/>
                <w:bCs/>
                <w:color w:val="auto"/>
                <w:sz w:val="24"/>
                <w:szCs w:val="28"/>
                <w:highlight w:val="none"/>
              </w:rPr>
            </w:pPr>
            <w:r>
              <w:rPr>
                <w:rFonts w:hint="eastAsia" w:cs="@仿宋_GB2312"/>
                <w:bCs/>
                <w:color w:val="auto"/>
                <w:sz w:val="24"/>
                <w:szCs w:val="28"/>
                <w:highlight w:val="none"/>
              </w:rPr>
              <w:t>付款方式</w:t>
            </w:r>
          </w:p>
        </w:tc>
        <w:tc>
          <w:tcPr>
            <w:tcW w:w="3245" w:type="pct"/>
            <w:vAlign w:val="center"/>
          </w:tcPr>
          <w:p w14:paraId="123C0978">
            <w:pPr>
              <w:autoSpaceDE w:val="0"/>
              <w:autoSpaceDN w:val="0"/>
              <w:adjustRightInd w:val="0"/>
              <w:spacing w:line="440" w:lineRule="exact"/>
              <w:ind w:right="-96" w:rightChars="-48"/>
              <w:jc w:val="left"/>
              <w:rPr>
                <w:rFonts w:hint="default" w:eastAsia="宋体" w:cs="@仿宋_GB2312"/>
                <w:b/>
                <w:color w:val="auto"/>
                <w:sz w:val="24"/>
                <w:highlight w:val="none"/>
                <w:u w:val="single"/>
                <w:lang w:val="en-US" w:eastAsia="zh-CN"/>
              </w:rPr>
            </w:pPr>
            <w:r>
              <w:rPr>
                <w:rFonts w:hint="eastAsia" w:cs="@仿宋_GB2312"/>
                <w:b w:val="0"/>
                <w:bCs/>
                <w:color w:val="auto"/>
                <w:sz w:val="24"/>
                <w:highlight w:val="none"/>
                <w:u w:val="none"/>
                <w:lang w:val="en-US" w:eastAsia="zh-CN"/>
              </w:rPr>
              <w:t>合同签订后，按季度支付，每季度按照考核评分的情况，于每季度结束并符合支付条件后的下一个月支付本季度费用。</w:t>
            </w:r>
          </w:p>
        </w:tc>
      </w:tr>
      <w:tr w14:paraId="0890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08" w:type="pct"/>
            <w:vAlign w:val="center"/>
          </w:tcPr>
          <w:p w14:paraId="546B20E6">
            <w:pPr>
              <w:spacing w:line="440" w:lineRule="exact"/>
              <w:jc w:val="center"/>
              <w:rPr>
                <w:rFonts w:cs="@仿宋_GB2312"/>
                <w:bCs/>
                <w:color w:val="auto"/>
                <w:sz w:val="24"/>
                <w:highlight w:val="none"/>
              </w:rPr>
            </w:pPr>
            <w:r>
              <w:rPr>
                <w:rFonts w:hint="eastAsia" w:cs="@仿宋_GB2312"/>
                <w:bCs/>
                <w:color w:val="auto"/>
                <w:sz w:val="24"/>
                <w:highlight w:val="none"/>
              </w:rPr>
              <w:t>2</w:t>
            </w:r>
          </w:p>
        </w:tc>
        <w:tc>
          <w:tcPr>
            <w:tcW w:w="1346" w:type="pct"/>
            <w:vAlign w:val="center"/>
          </w:tcPr>
          <w:p w14:paraId="1162C156">
            <w:pPr>
              <w:spacing w:line="440" w:lineRule="exact"/>
              <w:jc w:val="center"/>
              <w:rPr>
                <w:rFonts w:cs="@仿宋_GB2312"/>
                <w:bCs/>
                <w:color w:val="auto"/>
                <w:sz w:val="24"/>
                <w:szCs w:val="28"/>
                <w:highlight w:val="none"/>
              </w:rPr>
            </w:pPr>
            <w:r>
              <w:rPr>
                <w:rFonts w:hint="eastAsia" w:cs="@仿宋_GB2312"/>
                <w:bCs/>
                <w:color w:val="auto"/>
                <w:sz w:val="24"/>
                <w:szCs w:val="28"/>
                <w:highlight w:val="none"/>
              </w:rPr>
              <w:t>服务地点</w:t>
            </w:r>
          </w:p>
        </w:tc>
        <w:tc>
          <w:tcPr>
            <w:tcW w:w="3245" w:type="pct"/>
            <w:vAlign w:val="center"/>
          </w:tcPr>
          <w:p w14:paraId="56C58114">
            <w:pPr>
              <w:autoSpaceDE w:val="0"/>
              <w:autoSpaceDN w:val="0"/>
              <w:adjustRightInd w:val="0"/>
              <w:spacing w:line="440" w:lineRule="exact"/>
              <w:jc w:val="left"/>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业主指定地点</w:t>
            </w:r>
          </w:p>
        </w:tc>
      </w:tr>
      <w:tr w14:paraId="4B71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08" w:type="pct"/>
            <w:vAlign w:val="center"/>
          </w:tcPr>
          <w:p w14:paraId="79B5C64D">
            <w:pPr>
              <w:spacing w:line="440" w:lineRule="exact"/>
              <w:jc w:val="center"/>
              <w:rPr>
                <w:rFonts w:cs="@仿宋_GB2312"/>
                <w:bCs/>
                <w:color w:val="auto"/>
                <w:sz w:val="24"/>
                <w:highlight w:val="none"/>
              </w:rPr>
            </w:pPr>
            <w:r>
              <w:rPr>
                <w:rFonts w:hint="eastAsia" w:cs="@仿宋_GB2312"/>
                <w:bCs/>
                <w:color w:val="auto"/>
                <w:sz w:val="24"/>
                <w:highlight w:val="none"/>
              </w:rPr>
              <w:t>3</w:t>
            </w:r>
          </w:p>
        </w:tc>
        <w:tc>
          <w:tcPr>
            <w:tcW w:w="1346" w:type="pct"/>
            <w:vAlign w:val="center"/>
          </w:tcPr>
          <w:p w14:paraId="30A7989D">
            <w:pPr>
              <w:spacing w:line="440" w:lineRule="exact"/>
              <w:jc w:val="center"/>
              <w:rPr>
                <w:rFonts w:cs="@仿宋_GB2312"/>
                <w:bCs/>
                <w:color w:val="auto"/>
                <w:sz w:val="24"/>
                <w:szCs w:val="28"/>
                <w:highlight w:val="none"/>
              </w:rPr>
            </w:pPr>
            <w:r>
              <w:rPr>
                <w:rFonts w:hint="eastAsia" w:cs="@仿宋_GB2312"/>
                <w:bCs/>
                <w:color w:val="auto"/>
                <w:sz w:val="24"/>
                <w:szCs w:val="28"/>
                <w:highlight w:val="none"/>
              </w:rPr>
              <w:t>服务期限</w:t>
            </w:r>
          </w:p>
        </w:tc>
        <w:tc>
          <w:tcPr>
            <w:tcW w:w="3245" w:type="pct"/>
            <w:vAlign w:val="center"/>
          </w:tcPr>
          <w:p w14:paraId="11E19BF1">
            <w:pPr>
              <w:autoSpaceDE w:val="0"/>
              <w:autoSpaceDN w:val="0"/>
              <w:adjustRightInd w:val="0"/>
              <w:spacing w:line="440" w:lineRule="exact"/>
              <w:jc w:val="both"/>
              <w:rPr>
                <w:rFonts w:cs="宋体"/>
                <w:bCs/>
                <w:color w:val="auto"/>
                <w:sz w:val="24"/>
                <w:szCs w:val="24"/>
                <w:highlight w:val="none"/>
              </w:rPr>
            </w:pPr>
            <w:r>
              <w:rPr>
                <w:rFonts w:hint="eastAsia" w:cs="宋体"/>
                <w:color w:val="auto"/>
                <w:sz w:val="24"/>
                <w:szCs w:val="24"/>
                <w:highlight w:val="none"/>
              </w:rPr>
              <w:t>服务期一年。合同到期前，经考核合格后，在年度预算能够保障的前提下，可续签累计不超过3年的采购合同，最多续签2次，合同一年一签。</w:t>
            </w:r>
          </w:p>
        </w:tc>
      </w:tr>
    </w:tbl>
    <w:p w14:paraId="5B8B42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2" w:firstLineChars="200"/>
        <w:jc w:val="both"/>
        <w:textAlignment w:val="auto"/>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二、食堂建设基本情况</w:t>
      </w:r>
    </w:p>
    <w:p w14:paraId="0F584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桃花镇机关食堂位于桃花镇政府内，食堂面积1610平方米，一楼就餐大厅300平方米，后堂311平方米，可同时容纳150人用餐。一楼就餐大厅每日供应镇机关工作人员早、中两餐，实际用餐人数以刷卡人数为准。加班工作餐以盒饭形式供应。</w:t>
      </w:r>
    </w:p>
    <w:p w14:paraId="20F9398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1"/>
        <w:rPr>
          <w:rFonts w:hint="eastAsia" w:asciiTheme="majorEastAsia" w:hAnsiTheme="majorEastAsia" w:eastAsiaTheme="majorEastAsia" w:cstheme="majorEastAsia"/>
          <w:b/>
          <w:bCs w:val="0"/>
          <w:sz w:val="24"/>
          <w:szCs w:val="24"/>
          <w:highlight w:val="none"/>
        </w:rPr>
      </w:pPr>
      <w:bookmarkStart w:id="7" w:name="_Toc4220"/>
      <w:r>
        <w:rPr>
          <w:rFonts w:hint="eastAsia" w:asciiTheme="majorEastAsia" w:hAnsiTheme="majorEastAsia" w:eastAsiaTheme="majorEastAsia" w:cstheme="majorEastAsia"/>
          <w:b/>
          <w:bCs w:val="0"/>
          <w:sz w:val="24"/>
          <w:szCs w:val="24"/>
          <w:highlight w:val="none"/>
          <w:lang w:val="en-US" w:eastAsia="zh-CN"/>
        </w:rPr>
        <w:t>三</w:t>
      </w:r>
      <w:r>
        <w:rPr>
          <w:rFonts w:hint="eastAsia" w:asciiTheme="majorEastAsia" w:hAnsiTheme="majorEastAsia" w:eastAsiaTheme="majorEastAsia" w:cstheme="majorEastAsia"/>
          <w:b/>
          <w:bCs w:val="0"/>
          <w:sz w:val="24"/>
          <w:szCs w:val="24"/>
          <w:highlight w:val="none"/>
        </w:rPr>
        <w:t>、服务需求</w:t>
      </w:r>
      <w:bookmarkEnd w:id="7"/>
    </w:p>
    <w:p w14:paraId="04ACDDD4">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bookmarkStart w:id="8" w:name="bookmark4"/>
      <w:bookmarkEnd w:id="8"/>
      <w:r>
        <w:rPr>
          <w:rFonts w:hint="eastAsia" w:asciiTheme="majorEastAsia" w:hAnsiTheme="majorEastAsia" w:eastAsiaTheme="majorEastAsia" w:cstheme="majorEastAsia"/>
          <w:color w:val="auto"/>
          <w:spacing w:val="2"/>
          <w:sz w:val="24"/>
          <w:szCs w:val="24"/>
          <w:highlight w:val="none"/>
          <w:lang w:eastAsia="zh-CN"/>
        </w:rPr>
        <w:t>（一）基本需求</w:t>
      </w:r>
    </w:p>
    <w:p w14:paraId="2143884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通过对外公开招标采购餐饮企业进场经营，服务期一年。合同到期前，经考核合格后，在年度预算能够保障的前提下，可续签累计不超过3年的采购合同，最多续签2次，合同一年一签。年承包费预算为26万元，按季度支付。</w:t>
      </w:r>
    </w:p>
    <w:p w14:paraId="6E0E938D">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职工餐及公务接待餐服务：食堂实行自助餐，早餐职工个人缴费标准为5元/人，午餐标准为15元/人，由职工自行刷卡结算至食堂。加班工作餐盒饭以工作餐形式统一结算。</w:t>
      </w:r>
    </w:p>
    <w:p w14:paraId="315BFD1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食堂设置测评考核机制，考核低于80分的，扣除当月服务费用3000元；80（含80分）-85（含85分）分的，扣除当月服务费用1000-2000元；高于85分的，全额支付。连续2个月低于70分或累计3个月低于80分的，采购人有权解除合同。经考核合格，累计6个月达到85分的，采购人可续签合同。</w:t>
      </w:r>
    </w:p>
    <w:p w14:paraId="2621E20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对成交供应商规定：</w:t>
      </w:r>
      <w:r>
        <w:rPr>
          <w:rFonts w:hint="eastAsia" w:asciiTheme="majorEastAsia" w:hAnsiTheme="majorEastAsia" w:eastAsiaTheme="majorEastAsia" w:cstheme="majorEastAsia"/>
          <w:color w:val="auto"/>
          <w:spacing w:val="-4"/>
          <w:sz w:val="24"/>
          <w:szCs w:val="24"/>
          <w:highlight w:val="none"/>
          <w:lang w:eastAsia="zh-CN"/>
        </w:rPr>
        <w:t>成交供应商</w:t>
      </w:r>
      <w:r>
        <w:rPr>
          <w:rFonts w:hint="eastAsia" w:asciiTheme="majorEastAsia" w:hAnsiTheme="majorEastAsia" w:eastAsiaTheme="majorEastAsia" w:cstheme="majorEastAsia"/>
          <w:color w:val="auto"/>
          <w:spacing w:val="-3"/>
          <w:sz w:val="24"/>
          <w:szCs w:val="24"/>
          <w:highlight w:val="none"/>
        </w:rPr>
        <w:t>负责</w:t>
      </w:r>
      <w:r>
        <w:rPr>
          <w:rFonts w:hint="eastAsia" w:asciiTheme="majorEastAsia" w:hAnsiTheme="majorEastAsia" w:eastAsiaTheme="majorEastAsia" w:cstheme="majorEastAsia"/>
          <w:color w:val="auto"/>
          <w:spacing w:val="-3"/>
          <w:sz w:val="24"/>
          <w:szCs w:val="24"/>
          <w:highlight w:val="none"/>
          <w:lang w:eastAsia="zh-CN"/>
        </w:rPr>
        <w:t>日常食堂耗材及每日食材采购，菜品、菜色、菜量自觉接受采购方复核监督，每日菜品采购金额与刷卡（含指纹打卡）金额持平，确保菜品菜色新鲜度。</w:t>
      </w:r>
      <w:r>
        <w:rPr>
          <w:rFonts w:hint="eastAsia" w:asciiTheme="majorEastAsia" w:hAnsiTheme="majorEastAsia" w:eastAsiaTheme="majorEastAsia" w:cstheme="majorEastAsia"/>
          <w:color w:val="auto"/>
          <w:spacing w:val="2"/>
          <w:sz w:val="24"/>
          <w:szCs w:val="24"/>
          <w:highlight w:val="none"/>
          <w:lang w:eastAsia="zh-CN"/>
        </w:rPr>
        <w:t>成交供应商不得对外经营，兼顾职工不同喜好，配备特色菜肴和熟食、面点等；成交供应商在餐厅安排的工作人员不得少于6人，包括项目经理1名、总厨1人、副厨2人（含面点师）、勤杂人员2人，根据采购方会务或工作需求，适时增加足够人员，保证就餐需求；所有工作人员须持健康证方能上岗；厨师需具有中式烹调师证书、面点师需具有中式面点师证书。项目经理每日需在岗，节假日、周末如采购人有需求需保证在岗；每周早、中餐参考食谱需在上周五前明确。合理安排镇机关人员早、中餐，通过优质低价和规范良好的服务为机关工作人员创造良好的就餐环境，实现保本微利、提高企业美誉度的目标。</w:t>
      </w:r>
    </w:p>
    <w:p w14:paraId="2CAF5E60">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（二）特别规定</w:t>
      </w:r>
    </w:p>
    <w:p w14:paraId="2070A871">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1.出现下列情况之一，双方解除合同，成交供应商承担由此造成损失和责任：</w:t>
      </w:r>
    </w:p>
    <w:p w14:paraId="6BA5A5B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（1）擅自对外经营的；</w:t>
      </w:r>
    </w:p>
    <w:p w14:paraId="1B9AC655">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（2）月度平均得分连续2个月低于70分或累计3个月低于80分的；</w:t>
      </w:r>
    </w:p>
    <w:p w14:paraId="30908D6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（3）擅自向第三方转让经营权的；</w:t>
      </w:r>
    </w:p>
    <w:p w14:paraId="0DC04645">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（4）经营管理不善出现重大安全、消防、食品安全事故的；</w:t>
      </w:r>
    </w:p>
    <w:p w14:paraId="5C00DC1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（5）因成交供应商服务能力限制未能按时按需提供采购人所需餐食的。</w:t>
      </w:r>
    </w:p>
    <w:p w14:paraId="727F8F0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本需求所指机关食堂就餐及各项费用不包含应急加班、公务接待用餐，成交供应商需承诺在遵守国家有关法规及遵守机关规章制度前提下，同步提供公务接待用餐服务工作。每月向采购人备案本月公务接待用餐每桌公务接待推荐菜品和价格。应急加班、会议及公务接待用餐，另行据实结算。</w:t>
      </w:r>
    </w:p>
    <w:p w14:paraId="2B5238D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（三）双方责任</w:t>
      </w:r>
    </w:p>
    <w:p w14:paraId="1394AD5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采购人责任：</w:t>
      </w:r>
    </w:p>
    <w:p w14:paraId="620370F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1.采购人提供机关食堂场地及所需厨具设施设备、餐具用品、餐桌等，采购人将食堂财产清点列单后移交给成交供应商。　　</w:t>
      </w:r>
    </w:p>
    <w:p w14:paraId="1B21E58C">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2.采购人提供水、电、燃气等给成交供应商，并承担水、电、燃气、设备维修、食堂灭四害、油烟清洗、包厢布草清洗等费用。　</w:t>
      </w:r>
    </w:p>
    <w:p w14:paraId="58D5DA02">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3.采购人将指定管理员，对成交供应商承包食堂的食品卫生、生产过程、服务质量等方面进行监管。对违反卫生、质量等规定，可根据机关食堂管理细则予以处罚。</w:t>
      </w:r>
    </w:p>
    <w:p w14:paraId="55C80AC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成交供应商责任：</w:t>
      </w:r>
    </w:p>
    <w:p w14:paraId="62725154">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1.成交供应商在遵守国家食品安全及从业人员等有关法规以及遵守机关各种规章制度下，提供餐饮服务工作。</w:t>
      </w:r>
    </w:p>
    <w:p w14:paraId="158D34C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成交供应商安排在餐厅工作的人员不少于6人，并将各岗位人员的姓名、年龄、性别、技术等级列表报采购人备案。派驻的项目经理要求有较强的管理能力和工作经验，能够充分调动全体员工的积极性，善于管理、善于沟通，全面负责机关餐厅服务工作的管理，做好与采购人的沟通和协调工作（需保证24小时联系方式畅通）。服务人员要求四十五周岁以下女性，体貌端庄，勤杂人员要求年龄在五十周岁以下。所有工作人员都必须具备有效健康证明。</w:t>
      </w:r>
    </w:p>
    <w:p w14:paraId="286EBE7C">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3.成交供应商负责食品原材料费用支出</w:t>
      </w:r>
      <w:r>
        <w:rPr>
          <w:rFonts w:hint="eastAsia" w:asciiTheme="majorEastAsia" w:hAnsiTheme="majorEastAsia" w:eastAsiaTheme="majorEastAsia" w:cstheme="majorEastAsia"/>
          <w:color w:val="000000" w:themeColor="text1"/>
          <w:spacing w:val="-3"/>
          <w:sz w:val="24"/>
          <w:szCs w:val="24"/>
          <w:highlight w:val="none"/>
          <w:lang w:eastAsia="zh-CN"/>
          <w14:textFill>
            <w14:solidFill>
              <w14:schemeClr w14:val="tx1"/>
            </w14:solidFill>
          </w14:textFill>
        </w:rPr>
        <w:t>及食堂日常消耗品</w:t>
      </w: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支出</w:t>
      </w:r>
      <w:r>
        <w:rPr>
          <w:rFonts w:hint="eastAsia" w:asciiTheme="majorEastAsia" w:hAnsiTheme="majorEastAsia" w:eastAsiaTheme="majorEastAsia" w:cstheme="majorEastAsia"/>
          <w:color w:val="auto"/>
          <w:spacing w:val="2"/>
          <w:sz w:val="24"/>
          <w:szCs w:val="24"/>
          <w:highlight w:val="none"/>
          <w:lang w:eastAsia="zh-CN"/>
        </w:rPr>
        <w:t>，承诺建立原材料进货台账、员工晨检、食品留样、餐具消毒等相关记录并做好日常安全作业和食品安全监管，如产生食品安全及相关事故，由成交供应商自行负责。</w:t>
      </w:r>
    </w:p>
    <w:p w14:paraId="6DB004F4">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4.本着“营养均衡、荤素适宜、适时调换、注意节约”的原则，根据采购人对每餐品种的要求，早餐品种不得少于6道；中餐品种不得少于6道。成交供应商需于每周五前向采购人上报下一周每日早中餐菜谱。公务接待菜肴和服务必须符合采购人的要求。</w:t>
      </w:r>
    </w:p>
    <w:p w14:paraId="6B88553C">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5.成交供应商进场时应与采购人和现任供应商一起共同清点餐厅内的设备和物品，逐一登记，确保设备物品无损交付使用。合同期满或经营过程中成交供应商因管理不善，人为损坏餐厅的各种设备、设施，应承担相应责任，并按价赔偿。</w:t>
      </w:r>
    </w:p>
    <w:p w14:paraId="47CBDA7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（四）环境卫生管理</w:t>
      </w:r>
    </w:p>
    <w:p w14:paraId="6B04750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1.厨房作业区环境卫生</w:t>
      </w:r>
    </w:p>
    <w:p w14:paraId="5C0A56DC">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（1）厨房作业区分区明确，标注明晰，物品归类有序。</w:t>
      </w:r>
    </w:p>
    <w:p w14:paraId="06598C2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（2）生食物和熟食物的盛用容器、刀具等严格区分，不得混用。</w:t>
      </w:r>
    </w:p>
    <w:p w14:paraId="3B4AF582">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（3）厨房每餐后台面地面要及时擦扫干净，刀具、机械用具、盛用器皿等用后热水洗净，擦干保存。</w:t>
      </w:r>
    </w:p>
    <w:p w14:paraId="676A9F01">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（4）厨房排水保持畅通，污水及时倒入污水池，不积存脏水污物，厨房地面、墙壁无污物。</w:t>
      </w:r>
    </w:p>
    <w:p w14:paraId="1C79765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2.人员卫生</w:t>
      </w:r>
    </w:p>
    <w:p w14:paraId="71117B24">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（1）工作人员进入厨房作业区必须着工作服，工作服保持整洁干净，禁止穿工作服离开厨房、餐厅或做与制作饭菜无关的工作。</w:t>
      </w:r>
    </w:p>
    <w:p w14:paraId="239F285E">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（2）工作人员做好个人卫生，不留长指甲，工作前或工作中接触脏物后必须洗手，不得对着食物咳嗽、打喷嚏，不能用工作服擦鼻涕、擦汗、擦手或厨具等，不随地吐痰。</w:t>
      </w:r>
    </w:p>
    <w:p w14:paraId="7EF4370D">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3.餐厅环境</w:t>
      </w:r>
    </w:p>
    <w:p w14:paraId="73226B32">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（1）餐厅餐桌椅摆放整齐、桌上物品摆放有序。</w:t>
      </w:r>
    </w:p>
    <w:p w14:paraId="5A92532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（2）餐厅地面、墙壁无污物。</w:t>
      </w:r>
    </w:p>
    <w:p w14:paraId="5AF04CB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（3）餐具整洁干净，摆放有序，每餐洗净后及时进行消毒。</w:t>
      </w:r>
    </w:p>
    <w:p w14:paraId="32E12261">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4.工作人员</w:t>
      </w:r>
    </w:p>
    <w:p w14:paraId="07AAD853">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（1）工作人员统一着工作服，并保持整洁干净。</w:t>
      </w:r>
    </w:p>
    <w:p w14:paraId="4C44161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（2）工作人员搬送菜肴和餐具前必须洗手。</w:t>
      </w:r>
    </w:p>
    <w:p w14:paraId="21EB7B3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（五）菜肴质量</w:t>
      </w:r>
    </w:p>
    <w:p w14:paraId="66040A81">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1.卫生：全程控制菜肴主、辅料及制作过程，做到安全卫生，严防食物中毒或因食物引起其他不良反应事情的发生。</w:t>
      </w:r>
    </w:p>
    <w:p w14:paraId="775E4F0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2.新鲜度：菜肴新鲜，色泽良好，无过期及腐烂变质的食物。</w:t>
      </w:r>
    </w:p>
    <w:p w14:paraId="7D4611C1">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3.口感：菜肴口味好，咸淡适中，温热适中。</w:t>
      </w:r>
    </w:p>
    <w:p w14:paraId="637C168E">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4.更新度：菜肴更新及时，原则上一周内中餐不出现3次以上完全相同品种菜肴；根据季节调整，保证每月推出2款时令菜。</w:t>
      </w:r>
    </w:p>
    <w:p w14:paraId="60B864E2">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5.营养：控制油及其他调味品用量；菜肴品种齐全，营养搭配合理。</w:t>
      </w:r>
    </w:p>
    <w:p w14:paraId="12221E65">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6.控制浪费：坚持厉行节约，反对铺张浪费，在满足基本餐饮需求的情况下，菜肴不得使用名贵菜品，不得随意使用地方特色菜品。</w:t>
      </w:r>
    </w:p>
    <w:p w14:paraId="2E27177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（六）服务质量</w:t>
      </w:r>
    </w:p>
    <w:p w14:paraId="28A7DB4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1.服务人员要精神饱满、礼貌待客，做到微笑服务，不得与就餐人员发生口角。</w:t>
      </w:r>
    </w:p>
    <w:p w14:paraId="2F56FA51">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2.服务要积极主动，热情周到，细致入微，客人就餐过程中，坚持三勤服务，即“嘴勤、手勤、眼勤”，及时提供服务。</w:t>
      </w:r>
    </w:p>
    <w:p w14:paraId="1B59088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（七）考核及质量等要求</w:t>
      </w:r>
    </w:p>
    <w:p w14:paraId="46C187A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每月由镇党政综合办组织满意度测评表，从菜肴口味、色泽、食品卫生、就餐环境、服务态度、菜肴质量等方面进行测评，作为奖惩依据。按照食堂测评考核机制执行（服务首月作为试用期，不进行测评，服务费按100%发放）。</w:t>
      </w:r>
    </w:p>
    <w:p w14:paraId="07C7649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1"/>
        <w:rPr>
          <w:rFonts w:hint="default" w:asciiTheme="majorEastAsia" w:hAnsiTheme="majorEastAsia" w:eastAsiaTheme="majorEastAsia" w:cstheme="majorEastAsia"/>
          <w:b/>
          <w:bCs w:val="0"/>
          <w:sz w:val="24"/>
          <w:szCs w:val="24"/>
          <w:highlight w:val="none"/>
          <w:lang w:val="en-US" w:eastAsia="zh-CN"/>
        </w:rPr>
      </w:pPr>
      <w:bookmarkStart w:id="9" w:name="_Toc25108"/>
      <w:r>
        <w:rPr>
          <w:rFonts w:hint="eastAsia" w:asciiTheme="majorEastAsia" w:hAnsiTheme="majorEastAsia" w:eastAsiaTheme="majorEastAsia" w:cstheme="majorEastAsia"/>
          <w:b/>
          <w:bCs w:val="0"/>
          <w:sz w:val="24"/>
          <w:szCs w:val="24"/>
          <w:highlight w:val="none"/>
          <w:lang w:val="en-US" w:eastAsia="zh-CN"/>
        </w:rPr>
        <w:t>四</w:t>
      </w:r>
      <w:r>
        <w:rPr>
          <w:rFonts w:hint="eastAsia" w:asciiTheme="majorEastAsia" w:hAnsiTheme="majorEastAsia" w:eastAsiaTheme="majorEastAsia" w:cstheme="majorEastAsia"/>
          <w:b/>
          <w:bCs w:val="0"/>
          <w:sz w:val="24"/>
          <w:szCs w:val="24"/>
          <w:highlight w:val="none"/>
        </w:rPr>
        <w:t>、</w:t>
      </w:r>
      <w:r>
        <w:rPr>
          <w:rFonts w:hint="eastAsia" w:asciiTheme="majorEastAsia" w:hAnsiTheme="majorEastAsia" w:eastAsiaTheme="majorEastAsia" w:cstheme="majorEastAsia"/>
          <w:b/>
          <w:bCs w:val="0"/>
          <w:sz w:val="24"/>
          <w:szCs w:val="24"/>
          <w:highlight w:val="none"/>
          <w:lang w:val="en-US" w:eastAsia="zh-CN"/>
        </w:rPr>
        <w:t>报价要求</w:t>
      </w:r>
      <w:bookmarkEnd w:id="9"/>
    </w:p>
    <w:p w14:paraId="4B9BB6B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auto"/>
          <w:spacing w:val="2"/>
          <w:sz w:val="24"/>
          <w:szCs w:val="24"/>
          <w:highlight w:val="none"/>
          <w:lang w:val="en-US" w:eastAsia="zh-CN"/>
        </w:rPr>
        <w:t>本项目按单价报价，即26万元/年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auto"/>
          <w:sz w:val="24"/>
          <w:szCs w:val="24"/>
          <w:highlight w:val="none"/>
        </w:rPr>
        <w:t>报价包括了</w:t>
      </w:r>
      <w:r>
        <w:rPr>
          <w:rFonts w:hint="eastAsia" w:ascii="宋体" w:hAnsi="宋体" w:eastAsia="宋体" w:cs="宋体"/>
          <w:b w:val="0"/>
          <w:bCs w:val="0"/>
          <w:color w:val="auto"/>
          <w:sz w:val="24"/>
          <w:szCs w:val="24"/>
          <w:highlight w:val="none"/>
          <w:lang w:val="en-US" w:eastAsia="zh-CN"/>
        </w:rPr>
        <w:t>比选</w:t>
      </w:r>
      <w:r>
        <w:rPr>
          <w:rFonts w:hint="eastAsia" w:ascii="宋体" w:hAnsi="宋体" w:eastAsia="宋体" w:cs="宋体"/>
          <w:b w:val="0"/>
          <w:bCs w:val="0"/>
          <w:color w:val="auto"/>
          <w:sz w:val="24"/>
          <w:szCs w:val="24"/>
          <w:highlight w:val="none"/>
        </w:rPr>
        <w:t>文件要求提</w:t>
      </w:r>
      <w:r>
        <w:rPr>
          <w:rFonts w:hint="eastAsia" w:ascii="宋体" w:hAnsi="宋体" w:eastAsia="宋体" w:cs="宋体"/>
          <w:b w:val="0"/>
          <w:bCs w:val="0"/>
          <w:color w:val="auto"/>
          <w:spacing w:val="-1"/>
          <w:sz w:val="24"/>
          <w:szCs w:val="24"/>
          <w:highlight w:val="none"/>
        </w:rPr>
        <w:t>供的全部内容的所有费用</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lang w:val="en-US" w:eastAsia="zh-CN"/>
        </w:rPr>
        <w:t>请供应商谨慎报价。</w:t>
      </w:r>
    </w:p>
    <w:p w14:paraId="480B473F">
      <w:pPr>
        <w:pStyle w:val="3"/>
        <w:keepNext w:val="0"/>
        <w:keepLines w:val="0"/>
        <w:pageBreakBefore w:val="0"/>
        <w:widowControl w:val="0"/>
        <w:kinsoku/>
        <w:wordWrap/>
        <w:overflowPunct/>
        <w:topLinePunct w:val="0"/>
        <w:autoSpaceDE/>
        <w:autoSpaceDN/>
        <w:bidi w:val="0"/>
        <w:adjustRightInd/>
        <w:snapToGrid/>
        <w:spacing w:after="0" w:line="360" w:lineRule="auto"/>
        <w:ind w:right="0" w:firstLine="488" w:firstLineChars="200"/>
        <w:jc w:val="both"/>
        <w:textAlignment w:val="auto"/>
        <w:rPr>
          <w:rFonts w:hint="eastAsia" w:asciiTheme="majorEastAsia" w:hAnsiTheme="majorEastAsia" w:eastAsiaTheme="majorEastAsia" w:cstheme="majorEastAsia"/>
          <w:color w:val="FF0000"/>
          <w:spacing w:val="2"/>
          <w:sz w:val="24"/>
          <w:szCs w:val="24"/>
          <w:highlight w:val="none"/>
          <w:lang w:eastAsia="zh-CN"/>
        </w:rPr>
      </w:pPr>
      <w:r>
        <w:rPr>
          <w:rFonts w:hint="eastAsia" w:asciiTheme="majorEastAsia" w:hAnsiTheme="majorEastAsia" w:eastAsiaTheme="majorEastAsia" w:cstheme="majorEastAsia"/>
          <w:color w:val="FF0000"/>
          <w:spacing w:val="2"/>
          <w:sz w:val="24"/>
          <w:szCs w:val="24"/>
          <w:highlight w:val="none"/>
          <w:lang w:eastAsia="zh-CN"/>
        </w:rPr>
        <w:t>后期因政策或区域调整，可能会导致就餐人数变化，服务费根据供应商的成交报价和配备人员的变化进行相应的调整，供应商如有疑问可以在现场踏勘现场提问，后期服务费的结算以调整后的结算价为准，成交供应商不得因此放弃履约或者履约质量达不到要求，由此引起的相关违约责任由成交供应商自行承担。</w:t>
      </w:r>
    </w:p>
    <w:p w14:paraId="68722B5E">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jc w:val="both"/>
        <w:textAlignment w:val="auto"/>
        <w:rPr>
          <w:rFonts w:hint="eastAsia" w:asciiTheme="majorEastAsia" w:hAnsiTheme="majorEastAsia" w:eastAsiaTheme="majorEastAsia" w:cstheme="majorEastAsia"/>
          <w:color w:val="auto"/>
          <w:spacing w:val="-8"/>
          <w:sz w:val="24"/>
          <w:szCs w:val="24"/>
          <w:highlight w:val="none"/>
          <w:lang w:val="en-US" w:eastAsia="zh-CN"/>
        </w:rPr>
      </w:pPr>
    </w:p>
    <w:p w14:paraId="190D22B0">
      <w:pPr>
        <w:rPr>
          <w:rFonts w:hint="eastAsia" w:asciiTheme="majorEastAsia" w:hAnsiTheme="majorEastAsia" w:eastAsiaTheme="majorEastAsia" w:cstheme="majorEastAsia"/>
          <w:b/>
          <w:bCs/>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lang w:val="en-US" w:eastAsia="zh-CN"/>
          <w14:textFill>
            <w14:solidFill>
              <w14:schemeClr w14:val="tx1"/>
            </w14:solidFill>
          </w14:textFill>
        </w:rPr>
        <w:br w:type="page"/>
      </w:r>
    </w:p>
    <w:p w14:paraId="6837BB77">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jc w:val="center"/>
        <w:textAlignment w:val="auto"/>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val="en-US" w:eastAsia="zh-CN"/>
        </w:rPr>
        <w:t>桃花</w:t>
      </w:r>
      <w:r>
        <w:rPr>
          <w:rFonts w:hint="eastAsia" w:ascii="宋体" w:hAnsi="宋体" w:eastAsia="宋体" w:cs="宋体"/>
          <w:b/>
          <w:bCs/>
          <w:color w:val="auto"/>
          <w:spacing w:val="2"/>
          <w:sz w:val="24"/>
          <w:szCs w:val="24"/>
          <w:highlight w:val="none"/>
          <w:lang w:eastAsia="zh-CN"/>
        </w:rPr>
        <w:t>镇机关餐厅服务质量标准</w:t>
      </w:r>
    </w:p>
    <w:p w14:paraId="4E23B2F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一、组织管理</w:t>
      </w:r>
    </w:p>
    <w:p w14:paraId="7E450E9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(一）人员配备</w:t>
      </w:r>
    </w:p>
    <w:p w14:paraId="1C832FD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按核定岗位配足配齐人员，项目经理、厨师、服务主人员等配置合理，成交供应商在餐厅安排的工作人员不得少于</w:t>
      </w:r>
      <w:r>
        <w:rPr>
          <w:rFonts w:hint="eastAsia" w:asciiTheme="majorEastAsia" w:hAnsiTheme="majorEastAsia" w:eastAsiaTheme="majorEastAsia" w:cstheme="majorEastAsia"/>
          <w:color w:val="auto"/>
          <w:spacing w:val="2"/>
          <w:sz w:val="24"/>
          <w:szCs w:val="24"/>
          <w:highlight w:val="none"/>
          <w:lang w:val="en-US" w:eastAsia="zh-CN"/>
        </w:rPr>
        <w:t>6</w:t>
      </w:r>
      <w:r>
        <w:rPr>
          <w:rFonts w:hint="eastAsia" w:asciiTheme="majorEastAsia" w:hAnsiTheme="majorEastAsia" w:eastAsiaTheme="majorEastAsia" w:cstheme="majorEastAsia"/>
          <w:color w:val="auto"/>
          <w:spacing w:val="2"/>
          <w:sz w:val="24"/>
          <w:szCs w:val="24"/>
          <w:highlight w:val="none"/>
          <w:lang w:eastAsia="zh-CN"/>
        </w:rPr>
        <w:t>人，包括项目经理1名、</w:t>
      </w:r>
      <w:r>
        <w:rPr>
          <w:rFonts w:hint="eastAsia" w:asciiTheme="majorEastAsia" w:hAnsiTheme="majorEastAsia" w:eastAsiaTheme="majorEastAsia" w:cstheme="majorEastAsia"/>
          <w:color w:val="auto"/>
          <w:spacing w:val="2"/>
          <w:sz w:val="24"/>
          <w:szCs w:val="24"/>
          <w:highlight w:val="none"/>
          <w:lang w:val="en-US" w:eastAsia="zh-CN"/>
        </w:rPr>
        <w:t>总</w:t>
      </w:r>
      <w:r>
        <w:rPr>
          <w:rFonts w:hint="eastAsia" w:asciiTheme="majorEastAsia" w:hAnsiTheme="majorEastAsia" w:eastAsiaTheme="majorEastAsia" w:cstheme="majorEastAsia"/>
          <w:color w:val="auto"/>
          <w:spacing w:val="2"/>
          <w:sz w:val="24"/>
          <w:szCs w:val="24"/>
          <w:highlight w:val="none"/>
          <w:lang w:eastAsia="zh-CN"/>
        </w:rPr>
        <w:t>厨1人、副厨</w:t>
      </w:r>
      <w:r>
        <w:rPr>
          <w:rFonts w:hint="eastAsia" w:asciiTheme="majorEastAsia" w:hAnsiTheme="majorEastAsia" w:eastAsiaTheme="majorEastAsia" w:cstheme="majorEastAsia"/>
          <w:color w:val="auto"/>
          <w:spacing w:val="2"/>
          <w:sz w:val="24"/>
          <w:szCs w:val="24"/>
          <w:highlight w:val="none"/>
          <w:lang w:val="en-US" w:eastAsia="zh-CN"/>
        </w:rPr>
        <w:t>2</w:t>
      </w:r>
      <w:r>
        <w:rPr>
          <w:rFonts w:hint="eastAsia" w:asciiTheme="majorEastAsia" w:hAnsiTheme="majorEastAsia" w:eastAsiaTheme="majorEastAsia" w:cstheme="majorEastAsia"/>
          <w:color w:val="auto"/>
          <w:spacing w:val="2"/>
          <w:sz w:val="24"/>
          <w:szCs w:val="24"/>
          <w:highlight w:val="none"/>
          <w:lang w:eastAsia="zh-CN"/>
        </w:rPr>
        <w:t>人（</w:t>
      </w:r>
      <w:r>
        <w:rPr>
          <w:rFonts w:hint="eastAsia" w:asciiTheme="majorEastAsia" w:hAnsiTheme="majorEastAsia" w:eastAsiaTheme="majorEastAsia" w:cstheme="majorEastAsia"/>
          <w:color w:val="auto"/>
          <w:spacing w:val="2"/>
          <w:sz w:val="24"/>
          <w:szCs w:val="24"/>
          <w:highlight w:val="none"/>
          <w:lang w:val="en-US" w:eastAsia="zh-CN"/>
        </w:rPr>
        <w:t>含面点师）</w:t>
      </w:r>
      <w:r>
        <w:rPr>
          <w:rFonts w:hint="eastAsia" w:asciiTheme="majorEastAsia" w:hAnsiTheme="majorEastAsia" w:eastAsiaTheme="majorEastAsia" w:cstheme="majorEastAsia"/>
          <w:color w:val="auto"/>
          <w:spacing w:val="2"/>
          <w:sz w:val="24"/>
          <w:szCs w:val="24"/>
          <w:highlight w:val="none"/>
          <w:lang w:eastAsia="zh-CN"/>
        </w:rPr>
        <w:t>、勤杂人员</w:t>
      </w:r>
      <w:r>
        <w:rPr>
          <w:rFonts w:hint="eastAsia" w:asciiTheme="majorEastAsia" w:hAnsiTheme="majorEastAsia" w:eastAsiaTheme="majorEastAsia" w:cstheme="majorEastAsia"/>
          <w:color w:val="auto"/>
          <w:spacing w:val="2"/>
          <w:sz w:val="24"/>
          <w:szCs w:val="24"/>
          <w:highlight w:val="none"/>
          <w:lang w:val="en-US" w:eastAsia="zh-CN"/>
        </w:rPr>
        <w:t>2</w:t>
      </w:r>
      <w:r>
        <w:rPr>
          <w:rFonts w:hint="eastAsia" w:asciiTheme="majorEastAsia" w:hAnsiTheme="majorEastAsia" w:eastAsiaTheme="majorEastAsia" w:cstheme="majorEastAsia"/>
          <w:color w:val="auto"/>
          <w:spacing w:val="2"/>
          <w:sz w:val="24"/>
          <w:szCs w:val="24"/>
          <w:highlight w:val="none"/>
          <w:lang w:eastAsia="zh-CN"/>
        </w:rPr>
        <w:t>人，</w:t>
      </w:r>
      <w:r>
        <w:rPr>
          <w:rFonts w:hint="eastAsia" w:asciiTheme="majorEastAsia" w:hAnsiTheme="majorEastAsia" w:eastAsiaTheme="majorEastAsia" w:cstheme="majorEastAsia"/>
          <w:color w:val="auto"/>
          <w:spacing w:val="2"/>
          <w:sz w:val="24"/>
          <w:szCs w:val="24"/>
          <w:highlight w:val="none"/>
          <w:lang w:val="en-US" w:eastAsia="zh-CN"/>
        </w:rPr>
        <w:t>根据采购方会务或工作需求，适时增加足够人员，保证就餐需求</w:t>
      </w:r>
      <w:r>
        <w:rPr>
          <w:rFonts w:hint="eastAsia" w:asciiTheme="majorEastAsia" w:hAnsiTheme="majorEastAsia" w:eastAsiaTheme="majorEastAsia" w:cstheme="majorEastAsia"/>
          <w:color w:val="auto"/>
          <w:spacing w:val="2"/>
          <w:sz w:val="24"/>
          <w:szCs w:val="24"/>
          <w:highlight w:val="none"/>
          <w:lang w:eastAsia="zh-CN"/>
        </w:rPr>
        <w:t>。</w:t>
      </w:r>
    </w:p>
    <w:p w14:paraId="367940A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主要炊事人员达到“三证”要求，即上岗证、健康证、厨师等级证书，其他人员必须持有上岗证和健康证，服务人员要求</w:t>
      </w:r>
      <w:r>
        <w:rPr>
          <w:rFonts w:hint="eastAsia" w:asciiTheme="majorEastAsia" w:hAnsiTheme="majorEastAsia" w:eastAsiaTheme="majorEastAsia" w:cstheme="majorEastAsia"/>
          <w:color w:val="auto"/>
          <w:spacing w:val="2"/>
          <w:sz w:val="24"/>
          <w:szCs w:val="24"/>
          <w:highlight w:val="none"/>
          <w:lang w:val="en-US" w:eastAsia="zh-CN"/>
        </w:rPr>
        <w:t>45</w:t>
      </w:r>
      <w:r>
        <w:rPr>
          <w:rFonts w:hint="eastAsia" w:asciiTheme="majorEastAsia" w:hAnsiTheme="majorEastAsia" w:eastAsiaTheme="majorEastAsia" w:cstheme="majorEastAsia"/>
          <w:color w:val="auto"/>
          <w:spacing w:val="2"/>
          <w:sz w:val="24"/>
          <w:szCs w:val="24"/>
          <w:highlight w:val="none"/>
          <w:lang w:eastAsia="zh-CN"/>
        </w:rPr>
        <w:t>周岁以下，勤杂人员要求</w:t>
      </w:r>
      <w:r>
        <w:rPr>
          <w:rFonts w:hint="eastAsia" w:asciiTheme="majorEastAsia" w:hAnsiTheme="majorEastAsia" w:eastAsiaTheme="majorEastAsia" w:cstheme="majorEastAsia"/>
          <w:color w:val="auto"/>
          <w:spacing w:val="2"/>
          <w:sz w:val="24"/>
          <w:szCs w:val="24"/>
          <w:highlight w:val="none"/>
          <w:lang w:val="en-US" w:eastAsia="zh-CN"/>
        </w:rPr>
        <w:t>50</w:t>
      </w:r>
      <w:r>
        <w:rPr>
          <w:rFonts w:hint="eastAsia" w:asciiTheme="majorEastAsia" w:hAnsiTheme="majorEastAsia" w:eastAsiaTheme="majorEastAsia" w:cstheme="majorEastAsia"/>
          <w:color w:val="auto"/>
          <w:spacing w:val="2"/>
          <w:sz w:val="24"/>
          <w:szCs w:val="24"/>
          <w:highlight w:val="none"/>
          <w:lang w:eastAsia="zh-CN"/>
        </w:rPr>
        <w:t>周岁以下。</w:t>
      </w:r>
    </w:p>
    <w:p w14:paraId="117DF475">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餐厅工作人员姓名、岗位和持证情况及时公开公布。</w:t>
      </w:r>
    </w:p>
    <w:p w14:paraId="67D1A0E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（二）制度建设</w:t>
      </w:r>
    </w:p>
    <w:p w14:paraId="1E4C3583">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建立完善的薪酬制度、员工考核制度、员工培训激励机制等人员管理制度。</w:t>
      </w:r>
    </w:p>
    <w:p w14:paraId="20CDB9C0">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建立完善的财务制度，规范进出账管理、财务报销和审核。</w:t>
      </w:r>
    </w:p>
    <w:p w14:paraId="068364D4">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建立规范的采购制度、物品保管制度和厨具维修制度。</w:t>
      </w:r>
    </w:p>
    <w:p w14:paraId="07F799F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二、环境卫生管理</w:t>
      </w:r>
    </w:p>
    <w:p w14:paraId="04FF1F9E">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（一）厨房作业区</w:t>
      </w:r>
    </w:p>
    <w:p w14:paraId="0BA797C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环境卫生</w:t>
      </w:r>
    </w:p>
    <w:p w14:paraId="73BDBC36">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（1）厨房作业区分区明确，标注明晰，物品归类有序。</w:t>
      </w:r>
    </w:p>
    <w:p w14:paraId="53C904D6">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（2）生食物和熟食物的盛用容器、刀具等严格区分，不得混用。</w:t>
      </w:r>
    </w:p>
    <w:p w14:paraId="5581943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（3）厨房每餐后台面地面要及时擦扫干净，刀具、机械用具、盛用器皿等用后热水洗净，擦干保存。</w:t>
      </w:r>
    </w:p>
    <w:p w14:paraId="195996E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（4）厨房排水保持畅通，污水及时倒入污水池，不积存脏水污物，厨房地面、墙壁无污物。</w:t>
      </w:r>
    </w:p>
    <w:p w14:paraId="4EEA6EC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人员卫生</w:t>
      </w:r>
    </w:p>
    <w:p w14:paraId="4216F06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（1）工作人员进入厨房作业区必须着工作服，工作服保持整洁干净，禁止穿工作服离开厨房、餐厅或做与制作饭菜无关的工作。</w:t>
      </w:r>
    </w:p>
    <w:p w14:paraId="653B064C">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（2）工作人员做好个人卫生，不留长指甲，工作前或工作中接触脏物后必须洗手，不得对着食物咳嗽、打喷嚏，不能用工作服擦鼻涕、擦汗、擦手或厨具等，不随地吐痰。</w:t>
      </w:r>
    </w:p>
    <w:p w14:paraId="04B0299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（二)就餐区</w:t>
      </w:r>
    </w:p>
    <w:p w14:paraId="2EA1B0C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餐厅环境</w:t>
      </w:r>
    </w:p>
    <w:p w14:paraId="255A6E0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（1）餐厅餐桌椅摆放整齐、桌上物品摆放有序。</w:t>
      </w:r>
    </w:p>
    <w:p w14:paraId="6BE6B963">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（2）餐厅地面、墙壁无污物。</w:t>
      </w:r>
    </w:p>
    <w:p w14:paraId="66AA594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（3）餐具整洁干净，摆放有序，每餐洗净后及时进行消毒。</w:t>
      </w:r>
    </w:p>
    <w:p w14:paraId="0D910BA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工作人员</w:t>
      </w:r>
    </w:p>
    <w:p w14:paraId="32947C9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（1）工作人员统一着工作服，并保持整洁干净。</w:t>
      </w:r>
    </w:p>
    <w:p w14:paraId="28940556">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（2）工作人员搬送菜肴和餐具前必须洗手。</w:t>
      </w:r>
    </w:p>
    <w:p w14:paraId="640513A3">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三、菜肴质量</w:t>
      </w:r>
    </w:p>
    <w:p w14:paraId="52CFDB83">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卫生：全程控制菜肴主、辅料及制作过程，做到安全卫生，严防食物中毒或因食物引起其他不良反应事情的发生。</w:t>
      </w:r>
    </w:p>
    <w:p w14:paraId="439D5AB3">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新鲜度：菜肴新鲜，色泽良好，无过期及腐烂变质的食物。</w:t>
      </w:r>
    </w:p>
    <w:p w14:paraId="6B00A954">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口感：菜肴口味好，咸淡适中，温热适中。</w:t>
      </w:r>
    </w:p>
    <w:p w14:paraId="7F33B57D">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4</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更新度：菜肴更新及时，一周内中餐不出现2次以上完全相同品种菜肴；根据季节调整，保证每月推出3款时令菜。</w:t>
      </w:r>
    </w:p>
    <w:p w14:paraId="5E02010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5</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营养：控制油及其他调味品用量；菜肴品种齐全，营养搭配合理。</w:t>
      </w:r>
    </w:p>
    <w:p w14:paraId="4DFC886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6</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控制浪费：坚持厉行节约，反对铺张浪费，在满足基本餐饮需求的情况下，菜肴要尽可能地减少数量，减少份量。</w:t>
      </w:r>
    </w:p>
    <w:p w14:paraId="546BC140">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四、服务质量</w:t>
      </w:r>
    </w:p>
    <w:p w14:paraId="2F84D01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（一）餐厅设领班、服务员，并保证有岗有人有服务，服务规范，程序完善。</w:t>
      </w:r>
    </w:p>
    <w:p w14:paraId="7CFC1F8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（二）服务细则</w:t>
      </w:r>
    </w:p>
    <w:p w14:paraId="121A3F7C">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规范服务</w:t>
      </w:r>
    </w:p>
    <w:p w14:paraId="756D0B04">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（1）服务人员仪容仪表要端庄大方，上班着装要干净整洁，女员工不得浓妆艳抹或涂指甲油，男员工不得留长发、蓄胡子。</w:t>
      </w:r>
    </w:p>
    <w:p w14:paraId="1907E2B2">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（2）服务人员语言要规范，使用普通话，服务态度亲切和蔼，讲话音量适中，做到主动打招呼，有问有答，文明礼貌，不粗言粗语和高声喧哗。</w:t>
      </w:r>
    </w:p>
    <w:p w14:paraId="041E178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（3）服务人员在工作中要维护好餐厅就餐秩序。</w:t>
      </w:r>
    </w:p>
    <w:p w14:paraId="370D16FC">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热情服务</w:t>
      </w:r>
    </w:p>
    <w:p w14:paraId="52A7B15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（1）服务人员要精神饱满、礼貌待客，做到微笑服务，不得与就餐人员发生口角。</w:t>
      </w:r>
    </w:p>
    <w:p w14:paraId="67E34585">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（2）服务要积极主动，热情周到，细致入微，客人就餐过程中，坚持三勤服务，即“嘴勤、手勤、眼勤”，及时提供服务。</w:t>
      </w:r>
    </w:p>
    <w:p w14:paraId="4888F779">
      <w:pPr>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br w:type="page"/>
      </w:r>
    </w:p>
    <w:p w14:paraId="0A659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桃花镇</w:t>
      </w:r>
      <w:r>
        <w:rPr>
          <w:rFonts w:hint="eastAsia" w:ascii="宋体" w:hAnsi="宋体" w:eastAsia="宋体" w:cs="宋体"/>
          <w:b/>
          <w:bCs/>
          <w:color w:val="000000" w:themeColor="text1"/>
          <w:kern w:val="0"/>
          <w:sz w:val="24"/>
          <w:szCs w:val="24"/>
          <w:highlight w:val="none"/>
          <w14:textFill>
            <w14:solidFill>
              <w14:schemeClr w14:val="tx1"/>
            </w14:solidFill>
          </w14:textFill>
        </w:rPr>
        <w:t>机关餐厅餐饮服务考核办法</w:t>
      </w:r>
    </w:p>
    <w:p w14:paraId="0D12B051">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为了切实增强机关餐厅餐饮服务水平，特制订本考核办法。具体内容如下：</w:t>
      </w:r>
    </w:p>
    <w:p w14:paraId="4191591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一、考核内容</w:t>
      </w:r>
    </w:p>
    <w:p w14:paraId="0C54AA6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考核内容分为服务满意度测评（30%）、服务质量标准考核（30%）和日常考核（40%）三种方式。</w:t>
      </w:r>
    </w:p>
    <w:p w14:paraId="17DAB62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二、考核办法</w:t>
      </w:r>
    </w:p>
    <w:p w14:paraId="2D3AF65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（一）服务满意度测评（30%）</w:t>
      </w:r>
    </w:p>
    <w:p w14:paraId="25C47C06">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考核主体：镇班子成员、二级机构负责人、机关全体工作人员（随机抽选）。</w:t>
      </w:r>
    </w:p>
    <w:p w14:paraId="4A162C3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考核时间：一月一次，每月底进行。</w:t>
      </w:r>
    </w:p>
    <w:p w14:paraId="12D789C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考核方式：甲方组织镇机关工作人员对乙方进行测评，从餐厅的菜肴质量、服务质量、卫生管理等方面进行满意度测评打分。</w:t>
      </w:r>
    </w:p>
    <w:p w14:paraId="63691C11">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（二）服务质量标准考核（30%）</w:t>
      </w:r>
    </w:p>
    <w:p w14:paraId="175B68D6">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考核主体：考核小组由镇分管领导任组长，纪委、党政综合办公室等相关单位负责人任副组长，</w:t>
      </w:r>
      <w:r>
        <w:rPr>
          <w:rFonts w:hint="eastAsia" w:asciiTheme="majorEastAsia" w:hAnsiTheme="majorEastAsia" w:eastAsiaTheme="majorEastAsia" w:cstheme="majorEastAsia"/>
          <w:color w:val="auto"/>
          <w:spacing w:val="2"/>
          <w:sz w:val="24"/>
          <w:szCs w:val="24"/>
          <w:highlight w:val="none"/>
          <w:lang w:val="en-US" w:eastAsia="zh-CN"/>
        </w:rPr>
        <w:t>党政综合办公室</w:t>
      </w:r>
      <w:r>
        <w:rPr>
          <w:rFonts w:hint="eastAsia" w:asciiTheme="majorEastAsia" w:hAnsiTheme="majorEastAsia" w:eastAsiaTheme="majorEastAsia" w:cstheme="majorEastAsia"/>
          <w:color w:val="auto"/>
          <w:spacing w:val="2"/>
          <w:sz w:val="24"/>
          <w:szCs w:val="24"/>
          <w:highlight w:val="none"/>
          <w:lang w:eastAsia="zh-CN"/>
        </w:rPr>
        <w:t>确定1人专职从事餐厅监管工作，并随机从其他部门抽调人员兼职从事餐厅监管工作，纪委、</w:t>
      </w:r>
      <w:r>
        <w:rPr>
          <w:rFonts w:hint="eastAsia" w:asciiTheme="majorEastAsia" w:hAnsiTheme="majorEastAsia" w:eastAsiaTheme="majorEastAsia" w:cstheme="majorEastAsia"/>
          <w:color w:val="auto"/>
          <w:spacing w:val="2"/>
          <w:sz w:val="24"/>
          <w:szCs w:val="24"/>
          <w:highlight w:val="none"/>
          <w:lang w:val="en-US" w:eastAsia="zh-CN"/>
        </w:rPr>
        <w:t>党政综合办公室、经济发展办、应急管理办、农业综合服务中心</w:t>
      </w:r>
      <w:r>
        <w:rPr>
          <w:rFonts w:hint="eastAsia" w:asciiTheme="majorEastAsia" w:hAnsiTheme="majorEastAsia" w:eastAsiaTheme="majorEastAsia" w:cstheme="majorEastAsia"/>
          <w:color w:val="auto"/>
          <w:spacing w:val="2"/>
          <w:sz w:val="24"/>
          <w:szCs w:val="24"/>
          <w:highlight w:val="none"/>
          <w:lang w:eastAsia="zh-CN"/>
        </w:rPr>
        <w:t>各派1人一星期一监督）。</w:t>
      </w:r>
    </w:p>
    <w:p w14:paraId="7AA6CF2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考核时间：一月一次，每月底进行测评。</w:t>
      </w:r>
    </w:p>
    <w:p w14:paraId="36C3249C">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考核方式：根据《</w:t>
      </w:r>
      <w:r>
        <w:rPr>
          <w:rFonts w:hint="eastAsia" w:asciiTheme="majorEastAsia" w:hAnsiTheme="majorEastAsia" w:eastAsiaTheme="majorEastAsia" w:cstheme="majorEastAsia"/>
          <w:color w:val="auto"/>
          <w:spacing w:val="2"/>
          <w:sz w:val="24"/>
          <w:szCs w:val="24"/>
          <w:highlight w:val="none"/>
          <w:lang w:val="en-US" w:eastAsia="zh-CN"/>
        </w:rPr>
        <w:t>桃花镇</w:t>
      </w:r>
      <w:r>
        <w:rPr>
          <w:rFonts w:hint="eastAsia" w:asciiTheme="majorEastAsia" w:hAnsiTheme="majorEastAsia" w:eastAsiaTheme="majorEastAsia" w:cstheme="majorEastAsia"/>
          <w:color w:val="auto"/>
          <w:spacing w:val="2"/>
          <w:sz w:val="24"/>
          <w:szCs w:val="24"/>
          <w:highlight w:val="none"/>
          <w:lang w:eastAsia="zh-CN"/>
        </w:rPr>
        <w:t>机关餐厅服务质量标准考核表》，组织对机关餐厅服务质量标准执行情况进行考核。</w:t>
      </w:r>
    </w:p>
    <w:p w14:paraId="01BA7FA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（三）日常考核（40%）</w:t>
      </w:r>
    </w:p>
    <w:p w14:paraId="0831D0B5">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该部分基础分100分，考核主体</w:t>
      </w:r>
      <w:r>
        <w:rPr>
          <w:rFonts w:hint="eastAsia" w:asciiTheme="majorEastAsia" w:hAnsiTheme="majorEastAsia" w:eastAsiaTheme="majorEastAsia" w:cstheme="majorEastAsia"/>
          <w:color w:val="auto"/>
          <w:spacing w:val="2"/>
          <w:sz w:val="24"/>
          <w:szCs w:val="24"/>
          <w:highlight w:val="none"/>
          <w:lang w:val="en-US" w:eastAsia="zh-CN"/>
        </w:rPr>
        <w:t>党政综合办公室</w:t>
      </w:r>
      <w:r>
        <w:rPr>
          <w:rFonts w:hint="eastAsia" w:asciiTheme="majorEastAsia" w:hAnsiTheme="majorEastAsia" w:eastAsiaTheme="majorEastAsia" w:cstheme="majorEastAsia"/>
          <w:color w:val="auto"/>
          <w:spacing w:val="2"/>
          <w:sz w:val="24"/>
          <w:szCs w:val="24"/>
          <w:highlight w:val="none"/>
          <w:lang w:eastAsia="zh-CN"/>
        </w:rPr>
        <w:t>，日常随机考核。</w:t>
      </w:r>
    </w:p>
    <w:p w14:paraId="60F10D7C">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发生以下情况的，每出现一次加2分：</w:t>
      </w:r>
    </w:p>
    <w:p w14:paraId="7712D22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就餐人员或部门对某一段时期餐饮服务提出书面表扬的；</w:t>
      </w:r>
    </w:p>
    <w:p w14:paraId="063DEDB0">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提出创新性的服务举措，使服务质量得到明显提升的；</w:t>
      </w:r>
    </w:p>
    <w:p w14:paraId="6C96AF01">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在重大公务接待中，积极主动提供优质服务获得一致好评的。</w:t>
      </w:r>
    </w:p>
    <w:p w14:paraId="6571A06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发生以下情况的，每出现一次扣2分：</w:t>
      </w:r>
    </w:p>
    <w:p w14:paraId="15DA76C9">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就餐人员或部门对某次或某一段时期餐饮服务提出批评意见或投诉的；</w:t>
      </w:r>
    </w:p>
    <w:p w14:paraId="1FB0BCB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服务人员未到位和未提供规范文明服务，与就餐人员发生争吵或其他影响恶劣行为的；</w:t>
      </w:r>
    </w:p>
    <w:p w14:paraId="28411B9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因管理不规范等原因，导致受有关行政管理部门处罚的；</w:t>
      </w:r>
    </w:p>
    <w:p w14:paraId="73B1D9B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4</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未经允许擅自改动食谱的；</w:t>
      </w:r>
    </w:p>
    <w:p w14:paraId="277A47F0">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5</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就餐人员投诉菜肴出现钢丝、铁钉等不洁物品的；</w:t>
      </w:r>
    </w:p>
    <w:p w14:paraId="1E0DB760">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6</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厨房、餐厅出现老鼠、蟑螂等病虫害的；</w:t>
      </w:r>
    </w:p>
    <w:p w14:paraId="1A34185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7</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其他不符合服务规定的事项。</w:t>
      </w:r>
    </w:p>
    <w:p w14:paraId="304A9EC2">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（四）一票否决制</w:t>
      </w:r>
    </w:p>
    <w:p w14:paraId="2C6DE3AB">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机关餐厅因自身原因出现以下情况的，实行一票否决，年终全额扣除履约保证金。</w:t>
      </w:r>
    </w:p>
    <w:p w14:paraId="505C6D5D">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1</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提供餐饮服务时，出现5人以上较大集体食品安全事故的；</w:t>
      </w:r>
    </w:p>
    <w:p w14:paraId="0377D6E4">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2</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因管理不善，发生严重盗窃、人身伤害、火灾等刑事治安事件或责任安全事故的；</w:t>
      </w:r>
    </w:p>
    <w:p w14:paraId="4E4E21BF">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3</w:t>
      </w:r>
      <w:r>
        <w:rPr>
          <w:rFonts w:hint="eastAsia" w:asciiTheme="majorEastAsia" w:hAnsiTheme="majorEastAsia" w:eastAsiaTheme="majorEastAsia" w:cstheme="majorEastAsia"/>
          <w:color w:val="auto"/>
          <w:spacing w:val="2"/>
          <w:sz w:val="24"/>
          <w:szCs w:val="24"/>
          <w:highlight w:val="none"/>
          <w:lang w:val="en-US" w:eastAsia="zh-CN"/>
        </w:rPr>
        <w:t>.</w:t>
      </w:r>
      <w:r>
        <w:rPr>
          <w:rFonts w:hint="eastAsia" w:asciiTheme="majorEastAsia" w:hAnsiTheme="majorEastAsia" w:eastAsiaTheme="majorEastAsia" w:cstheme="majorEastAsia"/>
          <w:color w:val="auto"/>
          <w:spacing w:val="2"/>
          <w:sz w:val="24"/>
          <w:szCs w:val="24"/>
          <w:highlight w:val="none"/>
          <w:lang w:eastAsia="zh-CN"/>
        </w:rPr>
        <w:t>对外经营的。</w:t>
      </w:r>
    </w:p>
    <w:p w14:paraId="0A87863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三、具体考核</w:t>
      </w:r>
    </w:p>
    <w:p w14:paraId="2DB0B287">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(一）考核得分。</w:t>
      </w:r>
    </w:p>
    <w:p w14:paraId="44488E56">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计算公式：考核测评实行百分制，服务满意度测评分（30%）+服务质量标准考核分（30%）+日常考核分（40%）=月度考核得分。</w:t>
      </w:r>
    </w:p>
    <w:p w14:paraId="408F863E">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（二）考核标准</w:t>
      </w:r>
    </w:p>
    <w:p w14:paraId="13CE2213">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对当月满意度测评中，考核低于80分的，扣除当月服务费用</w:t>
      </w:r>
      <w:r>
        <w:rPr>
          <w:rFonts w:hint="eastAsia" w:asciiTheme="majorEastAsia" w:hAnsiTheme="majorEastAsia" w:eastAsiaTheme="majorEastAsia" w:cstheme="majorEastAsia"/>
          <w:color w:val="auto"/>
          <w:spacing w:val="2"/>
          <w:sz w:val="24"/>
          <w:szCs w:val="24"/>
          <w:highlight w:val="none"/>
          <w:lang w:val="en-US" w:eastAsia="zh-CN"/>
        </w:rPr>
        <w:t>3</w:t>
      </w:r>
      <w:r>
        <w:rPr>
          <w:rFonts w:hint="eastAsia" w:asciiTheme="majorEastAsia" w:hAnsiTheme="majorEastAsia" w:eastAsiaTheme="majorEastAsia" w:cstheme="majorEastAsia"/>
          <w:color w:val="auto"/>
          <w:spacing w:val="2"/>
          <w:sz w:val="24"/>
          <w:szCs w:val="24"/>
          <w:highlight w:val="none"/>
          <w:lang w:eastAsia="zh-CN"/>
        </w:rPr>
        <w:t>000元；80（含80分）-</w:t>
      </w:r>
      <w:r>
        <w:rPr>
          <w:rFonts w:hint="eastAsia" w:asciiTheme="majorEastAsia" w:hAnsiTheme="majorEastAsia" w:eastAsiaTheme="majorEastAsia" w:cstheme="majorEastAsia"/>
          <w:color w:val="auto"/>
          <w:spacing w:val="2"/>
          <w:sz w:val="24"/>
          <w:szCs w:val="24"/>
          <w:highlight w:val="none"/>
          <w:lang w:val="en-US" w:eastAsia="zh-CN"/>
        </w:rPr>
        <w:t>85</w:t>
      </w:r>
      <w:r>
        <w:rPr>
          <w:rFonts w:hint="eastAsia" w:asciiTheme="majorEastAsia" w:hAnsiTheme="majorEastAsia" w:eastAsiaTheme="majorEastAsia" w:cstheme="majorEastAsia"/>
          <w:color w:val="auto"/>
          <w:spacing w:val="2"/>
          <w:sz w:val="24"/>
          <w:szCs w:val="24"/>
          <w:highlight w:val="none"/>
          <w:lang w:eastAsia="zh-CN"/>
        </w:rPr>
        <w:t>（含</w:t>
      </w:r>
      <w:r>
        <w:rPr>
          <w:rFonts w:hint="eastAsia" w:asciiTheme="majorEastAsia" w:hAnsiTheme="majorEastAsia" w:eastAsiaTheme="majorEastAsia" w:cstheme="majorEastAsia"/>
          <w:color w:val="auto"/>
          <w:spacing w:val="2"/>
          <w:sz w:val="24"/>
          <w:szCs w:val="24"/>
          <w:highlight w:val="none"/>
          <w:lang w:val="en-US" w:eastAsia="zh-CN"/>
        </w:rPr>
        <w:t>85</w:t>
      </w:r>
      <w:r>
        <w:rPr>
          <w:rFonts w:hint="eastAsia" w:asciiTheme="majorEastAsia" w:hAnsiTheme="majorEastAsia" w:eastAsiaTheme="majorEastAsia" w:cstheme="majorEastAsia"/>
          <w:color w:val="auto"/>
          <w:spacing w:val="2"/>
          <w:sz w:val="24"/>
          <w:szCs w:val="24"/>
          <w:highlight w:val="none"/>
          <w:lang w:eastAsia="zh-CN"/>
        </w:rPr>
        <w:t>分）分的，扣除当月服务费用</w:t>
      </w:r>
      <w:r>
        <w:rPr>
          <w:rFonts w:hint="eastAsia" w:asciiTheme="majorEastAsia" w:hAnsiTheme="majorEastAsia" w:eastAsiaTheme="majorEastAsia" w:cstheme="majorEastAsia"/>
          <w:color w:val="auto"/>
          <w:spacing w:val="2"/>
          <w:sz w:val="24"/>
          <w:szCs w:val="24"/>
          <w:highlight w:val="none"/>
          <w:lang w:val="en-US" w:eastAsia="zh-CN"/>
        </w:rPr>
        <w:t>1</w:t>
      </w:r>
      <w:r>
        <w:rPr>
          <w:rFonts w:hint="eastAsia" w:asciiTheme="majorEastAsia" w:hAnsiTheme="majorEastAsia" w:eastAsiaTheme="majorEastAsia" w:cstheme="majorEastAsia"/>
          <w:color w:val="auto"/>
          <w:spacing w:val="2"/>
          <w:sz w:val="24"/>
          <w:szCs w:val="24"/>
          <w:highlight w:val="none"/>
          <w:lang w:eastAsia="zh-CN"/>
        </w:rPr>
        <w:t>000-</w:t>
      </w:r>
      <w:r>
        <w:rPr>
          <w:rFonts w:hint="eastAsia" w:asciiTheme="majorEastAsia" w:hAnsiTheme="majorEastAsia" w:eastAsiaTheme="majorEastAsia" w:cstheme="majorEastAsia"/>
          <w:color w:val="auto"/>
          <w:spacing w:val="2"/>
          <w:sz w:val="24"/>
          <w:szCs w:val="24"/>
          <w:highlight w:val="none"/>
          <w:lang w:val="en-US" w:eastAsia="zh-CN"/>
        </w:rPr>
        <w:t>2</w:t>
      </w:r>
      <w:r>
        <w:rPr>
          <w:rFonts w:hint="eastAsia" w:asciiTheme="majorEastAsia" w:hAnsiTheme="majorEastAsia" w:eastAsiaTheme="majorEastAsia" w:cstheme="majorEastAsia"/>
          <w:color w:val="auto"/>
          <w:spacing w:val="2"/>
          <w:sz w:val="24"/>
          <w:szCs w:val="24"/>
          <w:highlight w:val="none"/>
          <w:lang w:eastAsia="zh-CN"/>
        </w:rPr>
        <w:t>000元；高于</w:t>
      </w:r>
      <w:r>
        <w:rPr>
          <w:rFonts w:hint="eastAsia" w:asciiTheme="majorEastAsia" w:hAnsiTheme="majorEastAsia" w:eastAsiaTheme="majorEastAsia" w:cstheme="majorEastAsia"/>
          <w:color w:val="auto"/>
          <w:spacing w:val="2"/>
          <w:sz w:val="24"/>
          <w:szCs w:val="24"/>
          <w:highlight w:val="none"/>
          <w:lang w:val="en-US" w:eastAsia="zh-CN"/>
        </w:rPr>
        <w:t>85</w:t>
      </w:r>
      <w:r>
        <w:rPr>
          <w:rFonts w:hint="eastAsia" w:asciiTheme="majorEastAsia" w:hAnsiTheme="majorEastAsia" w:eastAsiaTheme="majorEastAsia" w:cstheme="majorEastAsia"/>
          <w:color w:val="auto"/>
          <w:spacing w:val="2"/>
          <w:sz w:val="24"/>
          <w:szCs w:val="24"/>
          <w:highlight w:val="none"/>
          <w:lang w:eastAsia="zh-CN"/>
        </w:rPr>
        <w:t>分的，全额支付。连续2个月低于70分或累计3个月低于</w:t>
      </w:r>
      <w:r>
        <w:rPr>
          <w:rFonts w:hint="eastAsia" w:asciiTheme="majorEastAsia" w:hAnsiTheme="majorEastAsia" w:eastAsiaTheme="majorEastAsia" w:cstheme="majorEastAsia"/>
          <w:color w:val="auto"/>
          <w:spacing w:val="2"/>
          <w:sz w:val="24"/>
          <w:szCs w:val="24"/>
          <w:highlight w:val="none"/>
          <w:lang w:val="en-US" w:eastAsia="zh-CN"/>
        </w:rPr>
        <w:t>80</w:t>
      </w:r>
      <w:r>
        <w:rPr>
          <w:rFonts w:hint="eastAsia" w:asciiTheme="majorEastAsia" w:hAnsiTheme="majorEastAsia" w:eastAsiaTheme="majorEastAsia" w:cstheme="majorEastAsia"/>
          <w:color w:val="auto"/>
          <w:spacing w:val="2"/>
          <w:sz w:val="24"/>
          <w:szCs w:val="24"/>
          <w:highlight w:val="none"/>
          <w:lang w:eastAsia="zh-CN"/>
        </w:rPr>
        <w:t>分的，采购人有权解除合同，由此造成的损失，由中标人承担。经考核合格，累计</w:t>
      </w:r>
      <w:r>
        <w:rPr>
          <w:rFonts w:hint="eastAsia" w:asciiTheme="majorEastAsia" w:hAnsiTheme="majorEastAsia" w:eastAsiaTheme="majorEastAsia" w:cstheme="majorEastAsia"/>
          <w:color w:val="auto"/>
          <w:spacing w:val="2"/>
          <w:sz w:val="24"/>
          <w:szCs w:val="24"/>
          <w:highlight w:val="none"/>
          <w:lang w:val="en-US" w:eastAsia="zh-CN"/>
        </w:rPr>
        <w:t>6</w:t>
      </w:r>
      <w:r>
        <w:rPr>
          <w:rFonts w:hint="eastAsia" w:asciiTheme="majorEastAsia" w:hAnsiTheme="majorEastAsia" w:eastAsiaTheme="majorEastAsia" w:cstheme="majorEastAsia"/>
          <w:color w:val="auto"/>
          <w:spacing w:val="2"/>
          <w:sz w:val="24"/>
          <w:szCs w:val="24"/>
          <w:highlight w:val="none"/>
          <w:lang w:eastAsia="zh-CN"/>
        </w:rPr>
        <w:t>个月达到</w:t>
      </w:r>
      <w:r>
        <w:rPr>
          <w:rFonts w:hint="eastAsia" w:asciiTheme="majorEastAsia" w:hAnsiTheme="majorEastAsia" w:eastAsiaTheme="majorEastAsia" w:cstheme="majorEastAsia"/>
          <w:color w:val="auto"/>
          <w:spacing w:val="2"/>
          <w:sz w:val="24"/>
          <w:szCs w:val="24"/>
          <w:highlight w:val="none"/>
          <w:lang w:val="en-US" w:eastAsia="zh-CN"/>
        </w:rPr>
        <w:t>85</w:t>
      </w:r>
      <w:r>
        <w:rPr>
          <w:rFonts w:hint="eastAsia" w:asciiTheme="majorEastAsia" w:hAnsiTheme="majorEastAsia" w:eastAsiaTheme="majorEastAsia" w:cstheme="majorEastAsia"/>
          <w:color w:val="auto"/>
          <w:spacing w:val="2"/>
          <w:sz w:val="24"/>
          <w:szCs w:val="24"/>
          <w:highlight w:val="none"/>
          <w:lang w:eastAsia="zh-CN"/>
        </w:rPr>
        <w:t>分的，采购人可续签合同。</w:t>
      </w:r>
    </w:p>
    <w:p w14:paraId="3180175A">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四、其他</w:t>
      </w:r>
    </w:p>
    <w:p w14:paraId="59D039F8">
      <w:pPr>
        <w:pStyle w:val="3"/>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both"/>
        <w:textAlignment w:val="auto"/>
        <w:rPr>
          <w:rFonts w:hint="eastAsia" w:asciiTheme="majorEastAsia" w:hAnsiTheme="majorEastAsia" w:eastAsiaTheme="majorEastAsia" w:cstheme="majorEastAsia"/>
          <w:color w:val="auto"/>
          <w:spacing w:val="2"/>
          <w:sz w:val="24"/>
          <w:szCs w:val="24"/>
          <w:highlight w:val="none"/>
          <w:lang w:eastAsia="zh-CN"/>
        </w:rPr>
      </w:pPr>
      <w:r>
        <w:rPr>
          <w:rFonts w:hint="eastAsia" w:asciiTheme="majorEastAsia" w:hAnsiTheme="majorEastAsia" w:eastAsiaTheme="majorEastAsia" w:cstheme="majorEastAsia"/>
          <w:color w:val="auto"/>
          <w:spacing w:val="2"/>
          <w:sz w:val="24"/>
          <w:szCs w:val="24"/>
          <w:highlight w:val="none"/>
          <w:lang w:eastAsia="zh-CN"/>
        </w:rPr>
        <w:t>本办法由</w:t>
      </w:r>
      <w:r>
        <w:rPr>
          <w:rFonts w:hint="eastAsia" w:asciiTheme="majorEastAsia" w:hAnsiTheme="majorEastAsia" w:eastAsiaTheme="majorEastAsia" w:cstheme="majorEastAsia"/>
          <w:color w:val="auto"/>
          <w:spacing w:val="2"/>
          <w:sz w:val="24"/>
          <w:szCs w:val="24"/>
          <w:highlight w:val="none"/>
          <w:lang w:val="en-US" w:eastAsia="zh-CN"/>
        </w:rPr>
        <w:t>桃花</w:t>
      </w:r>
      <w:r>
        <w:rPr>
          <w:rFonts w:hint="eastAsia" w:asciiTheme="majorEastAsia" w:hAnsiTheme="majorEastAsia" w:eastAsiaTheme="majorEastAsia" w:cstheme="majorEastAsia"/>
          <w:color w:val="auto"/>
          <w:spacing w:val="2"/>
          <w:sz w:val="24"/>
          <w:szCs w:val="24"/>
          <w:highlight w:val="none"/>
          <w:lang w:eastAsia="zh-CN"/>
        </w:rPr>
        <w:t>镇</w:t>
      </w:r>
      <w:r>
        <w:rPr>
          <w:rFonts w:hint="eastAsia" w:asciiTheme="majorEastAsia" w:hAnsiTheme="majorEastAsia" w:eastAsiaTheme="majorEastAsia" w:cstheme="majorEastAsia"/>
          <w:color w:val="auto"/>
          <w:spacing w:val="2"/>
          <w:sz w:val="24"/>
          <w:szCs w:val="24"/>
          <w:highlight w:val="none"/>
          <w:lang w:val="en-US" w:eastAsia="zh-CN"/>
        </w:rPr>
        <w:t>人民政府</w:t>
      </w:r>
      <w:r>
        <w:rPr>
          <w:rFonts w:hint="eastAsia" w:asciiTheme="majorEastAsia" w:hAnsiTheme="majorEastAsia" w:eastAsiaTheme="majorEastAsia" w:cstheme="majorEastAsia"/>
          <w:color w:val="auto"/>
          <w:spacing w:val="2"/>
          <w:sz w:val="24"/>
          <w:szCs w:val="24"/>
          <w:highlight w:val="none"/>
          <w:lang w:eastAsia="zh-CN"/>
        </w:rPr>
        <w:t>负责解释，从20</w:t>
      </w:r>
      <w:r>
        <w:rPr>
          <w:rFonts w:hint="eastAsia" w:asciiTheme="majorEastAsia" w:hAnsiTheme="majorEastAsia" w:eastAsiaTheme="majorEastAsia" w:cstheme="majorEastAsia"/>
          <w:color w:val="auto"/>
          <w:spacing w:val="2"/>
          <w:sz w:val="24"/>
          <w:szCs w:val="24"/>
          <w:highlight w:val="none"/>
          <w:lang w:val="en-US" w:eastAsia="zh-CN"/>
        </w:rPr>
        <w:t>26</w:t>
      </w:r>
      <w:r>
        <w:rPr>
          <w:rFonts w:hint="eastAsia" w:asciiTheme="majorEastAsia" w:hAnsiTheme="majorEastAsia" w:eastAsiaTheme="majorEastAsia" w:cstheme="majorEastAsia"/>
          <w:color w:val="auto"/>
          <w:spacing w:val="2"/>
          <w:sz w:val="24"/>
          <w:szCs w:val="24"/>
          <w:highlight w:val="none"/>
          <w:lang w:eastAsia="zh-CN"/>
        </w:rPr>
        <w:t>年度起试行。</w:t>
      </w:r>
    </w:p>
    <w:p w14:paraId="0749B9B6">
      <w:pPr>
        <w:keepNext w:val="0"/>
        <w:keepLines w:val="0"/>
        <w:pageBreakBefore w:val="0"/>
        <w:widowControl w:val="0"/>
        <w:tabs>
          <w:tab w:val="left" w:pos="5565"/>
        </w:tabs>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pPr>
    </w:p>
    <w:p w14:paraId="0C7D725B">
      <w:pPr>
        <w:keepNext w:val="0"/>
        <w:keepLines w:val="0"/>
        <w:pageBreakBefore w:val="0"/>
        <w:widowControl w:val="0"/>
        <w:tabs>
          <w:tab w:val="left" w:pos="5565"/>
        </w:tabs>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pPr>
    </w:p>
    <w:p w14:paraId="2C01C456">
      <w:pPr>
        <w:keepNext w:val="0"/>
        <w:keepLines w:val="0"/>
        <w:pageBreakBefore w:val="0"/>
        <w:widowControl w:val="0"/>
        <w:tabs>
          <w:tab w:val="left" w:pos="5565"/>
        </w:tabs>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pPr>
    </w:p>
    <w:p w14:paraId="2727C08D">
      <w:pPr>
        <w:keepNext w:val="0"/>
        <w:keepLines w:val="0"/>
        <w:pageBreakBefore w:val="0"/>
        <w:widowControl w:val="0"/>
        <w:tabs>
          <w:tab w:val="left" w:pos="5565"/>
        </w:tabs>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pPr>
    </w:p>
    <w:p w14:paraId="7CD1381B">
      <w:pPr>
        <w:adjustRightInd w:val="0"/>
        <w:snapToGrid w:val="0"/>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桃花镇机关餐厅服务满意度测评表</w:t>
      </w:r>
    </w:p>
    <w:p w14:paraId="01626178">
      <w:pPr>
        <w:adjustRightInd w:val="0"/>
        <w:snapToGrid w:val="0"/>
        <w:spacing w:line="240" w:lineRule="atLeast"/>
        <w:rPr>
          <w:rFonts w:hint="eastAsia" w:ascii="宋体" w:hAnsi="宋体" w:eastAsia="宋体" w:cs="宋体"/>
          <w:color w:val="auto"/>
          <w:sz w:val="24"/>
          <w:szCs w:val="24"/>
          <w:highlight w:val="none"/>
        </w:rPr>
      </w:pPr>
    </w:p>
    <w:tbl>
      <w:tblPr>
        <w:tblStyle w:val="16"/>
        <w:tblpPr w:leftFromText="180" w:rightFromText="180" w:vertAnchor="text" w:horzAnchor="page" w:tblpXSpec="center" w:tblpY="612"/>
        <w:tblOverlap w:val="never"/>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585"/>
        <w:gridCol w:w="1614"/>
        <w:gridCol w:w="119"/>
        <w:gridCol w:w="1348"/>
        <w:gridCol w:w="75"/>
        <w:gridCol w:w="1480"/>
        <w:gridCol w:w="105"/>
        <w:gridCol w:w="1510"/>
        <w:gridCol w:w="917"/>
      </w:tblGrid>
      <w:tr w14:paraId="494B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643" w:type="dxa"/>
            <w:vAlign w:val="center"/>
          </w:tcPr>
          <w:p w14:paraId="3641DD3C">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种类</w:t>
            </w:r>
          </w:p>
        </w:tc>
        <w:tc>
          <w:tcPr>
            <w:tcW w:w="1585" w:type="dxa"/>
            <w:vAlign w:val="center"/>
          </w:tcPr>
          <w:p w14:paraId="17D119D2">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测评内容</w:t>
            </w:r>
          </w:p>
        </w:tc>
        <w:tc>
          <w:tcPr>
            <w:tcW w:w="1614" w:type="dxa"/>
            <w:vAlign w:val="center"/>
          </w:tcPr>
          <w:p w14:paraId="4BD8561E">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非常满意</w:t>
            </w:r>
          </w:p>
          <w:p w14:paraId="456CAC04">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（95-100分）</w:t>
            </w:r>
          </w:p>
        </w:tc>
        <w:tc>
          <w:tcPr>
            <w:tcW w:w="1467" w:type="dxa"/>
            <w:gridSpan w:val="2"/>
            <w:vAlign w:val="center"/>
          </w:tcPr>
          <w:p w14:paraId="0180E939">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 意（90-95分）</w:t>
            </w:r>
          </w:p>
        </w:tc>
        <w:tc>
          <w:tcPr>
            <w:tcW w:w="1555" w:type="dxa"/>
            <w:gridSpan w:val="2"/>
            <w:vAlign w:val="center"/>
          </w:tcPr>
          <w:p w14:paraId="473336AA">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基本满意（90-80分）</w:t>
            </w:r>
          </w:p>
        </w:tc>
        <w:tc>
          <w:tcPr>
            <w:tcW w:w="1615" w:type="dxa"/>
            <w:gridSpan w:val="2"/>
            <w:vAlign w:val="center"/>
          </w:tcPr>
          <w:p w14:paraId="12C4FCC4">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不满意</w:t>
            </w:r>
          </w:p>
          <w:p w14:paraId="2A2198FC">
            <w:pPr>
              <w:adjustRightInd w:val="0"/>
              <w:snapToGrid w:val="0"/>
              <w:spacing w:line="240" w:lineRule="atLeast"/>
              <w:ind w:left="0" w:leftChars="0" w:firstLine="0" w:firstLineChars="0"/>
              <w:jc w:val="center"/>
              <w:rPr>
                <w:rFonts w:hint="eastAsia" w:ascii="宋体" w:hAnsi="宋体" w:eastAsia="宋体" w:cs="宋体"/>
                <w:color w:val="auto"/>
                <w:spacing w:val="-28"/>
                <w:sz w:val="24"/>
                <w:szCs w:val="24"/>
                <w:highlight w:val="none"/>
              </w:rPr>
            </w:pPr>
            <w:r>
              <w:rPr>
                <w:rFonts w:hint="eastAsia" w:ascii="宋体" w:hAnsi="宋体" w:eastAsia="宋体" w:cs="宋体"/>
                <w:color w:val="auto"/>
                <w:spacing w:val="-28"/>
                <w:sz w:val="24"/>
                <w:szCs w:val="24"/>
                <w:highlight w:val="none"/>
              </w:rPr>
              <w:t>（80分以下）</w:t>
            </w:r>
          </w:p>
        </w:tc>
        <w:tc>
          <w:tcPr>
            <w:tcW w:w="917" w:type="dxa"/>
            <w:vAlign w:val="center"/>
          </w:tcPr>
          <w:p w14:paraId="65F6D4B6">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r>
      <w:tr w14:paraId="041E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Merge w:val="restart"/>
            <w:vAlign w:val="center"/>
          </w:tcPr>
          <w:p w14:paraId="638F7596">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早 餐</w:t>
            </w:r>
          </w:p>
        </w:tc>
        <w:tc>
          <w:tcPr>
            <w:tcW w:w="1585" w:type="dxa"/>
            <w:vAlign w:val="center"/>
          </w:tcPr>
          <w:p w14:paraId="119EECB6">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菜肴质量（40%）</w:t>
            </w:r>
          </w:p>
        </w:tc>
        <w:tc>
          <w:tcPr>
            <w:tcW w:w="1614" w:type="dxa"/>
            <w:vAlign w:val="center"/>
          </w:tcPr>
          <w:p w14:paraId="18EBC734">
            <w:pPr>
              <w:adjustRightInd w:val="0"/>
              <w:snapToGrid w:val="0"/>
              <w:spacing w:line="240" w:lineRule="atLeast"/>
              <w:jc w:val="center"/>
              <w:rPr>
                <w:rFonts w:hint="eastAsia" w:ascii="宋体" w:hAnsi="宋体" w:eastAsia="宋体" w:cs="宋体"/>
                <w:color w:val="auto"/>
                <w:sz w:val="24"/>
                <w:szCs w:val="24"/>
                <w:highlight w:val="none"/>
              </w:rPr>
            </w:pPr>
          </w:p>
        </w:tc>
        <w:tc>
          <w:tcPr>
            <w:tcW w:w="1467" w:type="dxa"/>
            <w:gridSpan w:val="2"/>
            <w:vAlign w:val="center"/>
          </w:tcPr>
          <w:p w14:paraId="2845DB80">
            <w:pPr>
              <w:adjustRightInd w:val="0"/>
              <w:snapToGrid w:val="0"/>
              <w:spacing w:line="240" w:lineRule="atLeast"/>
              <w:jc w:val="center"/>
              <w:rPr>
                <w:rFonts w:hint="eastAsia" w:ascii="宋体" w:hAnsi="宋体" w:eastAsia="宋体" w:cs="宋体"/>
                <w:color w:val="auto"/>
                <w:sz w:val="24"/>
                <w:szCs w:val="24"/>
                <w:highlight w:val="none"/>
              </w:rPr>
            </w:pPr>
          </w:p>
        </w:tc>
        <w:tc>
          <w:tcPr>
            <w:tcW w:w="1555" w:type="dxa"/>
            <w:gridSpan w:val="2"/>
            <w:vAlign w:val="center"/>
          </w:tcPr>
          <w:p w14:paraId="1B028D87">
            <w:pPr>
              <w:adjustRightInd w:val="0"/>
              <w:snapToGrid w:val="0"/>
              <w:spacing w:line="240" w:lineRule="atLeast"/>
              <w:jc w:val="center"/>
              <w:rPr>
                <w:rFonts w:hint="eastAsia" w:ascii="宋体" w:hAnsi="宋体" w:eastAsia="宋体" w:cs="宋体"/>
                <w:color w:val="auto"/>
                <w:sz w:val="24"/>
                <w:szCs w:val="24"/>
                <w:highlight w:val="none"/>
              </w:rPr>
            </w:pPr>
          </w:p>
        </w:tc>
        <w:tc>
          <w:tcPr>
            <w:tcW w:w="1615" w:type="dxa"/>
            <w:gridSpan w:val="2"/>
            <w:vAlign w:val="center"/>
          </w:tcPr>
          <w:p w14:paraId="4BFC2738">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23796B82">
            <w:pPr>
              <w:adjustRightInd w:val="0"/>
              <w:snapToGrid w:val="0"/>
              <w:spacing w:line="240" w:lineRule="atLeast"/>
              <w:jc w:val="center"/>
              <w:rPr>
                <w:rFonts w:hint="eastAsia" w:ascii="宋体" w:hAnsi="宋体" w:eastAsia="宋体" w:cs="宋体"/>
                <w:color w:val="auto"/>
                <w:sz w:val="24"/>
                <w:szCs w:val="24"/>
                <w:highlight w:val="none"/>
              </w:rPr>
            </w:pPr>
          </w:p>
        </w:tc>
      </w:tr>
      <w:tr w14:paraId="4DBD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Merge w:val="continue"/>
            <w:vAlign w:val="center"/>
          </w:tcPr>
          <w:p w14:paraId="1267A864">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vAlign w:val="center"/>
          </w:tcPr>
          <w:p w14:paraId="2DB3B7CE">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服务质量（30%）</w:t>
            </w:r>
          </w:p>
        </w:tc>
        <w:tc>
          <w:tcPr>
            <w:tcW w:w="1614" w:type="dxa"/>
            <w:vAlign w:val="center"/>
          </w:tcPr>
          <w:p w14:paraId="629F2B82">
            <w:pPr>
              <w:adjustRightInd w:val="0"/>
              <w:snapToGrid w:val="0"/>
              <w:spacing w:line="240" w:lineRule="atLeast"/>
              <w:jc w:val="center"/>
              <w:rPr>
                <w:rFonts w:hint="eastAsia" w:ascii="宋体" w:hAnsi="宋体" w:eastAsia="宋体" w:cs="宋体"/>
                <w:color w:val="auto"/>
                <w:sz w:val="24"/>
                <w:szCs w:val="24"/>
                <w:highlight w:val="none"/>
              </w:rPr>
            </w:pPr>
          </w:p>
        </w:tc>
        <w:tc>
          <w:tcPr>
            <w:tcW w:w="1467" w:type="dxa"/>
            <w:gridSpan w:val="2"/>
            <w:vAlign w:val="center"/>
          </w:tcPr>
          <w:p w14:paraId="0F54F39F">
            <w:pPr>
              <w:adjustRightInd w:val="0"/>
              <w:snapToGrid w:val="0"/>
              <w:spacing w:line="240" w:lineRule="atLeast"/>
              <w:jc w:val="center"/>
              <w:rPr>
                <w:rFonts w:hint="eastAsia" w:ascii="宋体" w:hAnsi="宋体" w:eastAsia="宋体" w:cs="宋体"/>
                <w:color w:val="auto"/>
                <w:sz w:val="24"/>
                <w:szCs w:val="24"/>
                <w:highlight w:val="none"/>
              </w:rPr>
            </w:pPr>
          </w:p>
        </w:tc>
        <w:tc>
          <w:tcPr>
            <w:tcW w:w="1555" w:type="dxa"/>
            <w:gridSpan w:val="2"/>
            <w:vAlign w:val="center"/>
          </w:tcPr>
          <w:p w14:paraId="4912C2A0">
            <w:pPr>
              <w:adjustRightInd w:val="0"/>
              <w:snapToGrid w:val="0"/>
              <w:spacing w:line="240" w:lineRule="atLeast"/>
              <w:jc w:val="center"/>
              <w:rPr>
                <w:rFonts w:hint="eastAsia" w:ascii="宋体" w:hAnsi="宋体" w:eastAsia="宋体" w:cs="宋体"/>
                <w:color w:val="auto"/>
                <w:sz w:val="24"/>
                <w:szCs w:val="24"/>
                <w:highlight w:val="none"/>
              </w:rPr>
            </w:pPr>
          </w:p>
        </w:tc>
        <w:tc>
          <w:tcPr>
            <w:tcW w:w="1615" w:type="dxa"/>
            <w:gridSpan w:val="2"/>
            <w:vAlign w:val="center"/>
          </w:tcPr>
          <w:p w14:paraId="6FC13FE0">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63BC66B7">
            <w:pPr>
              <w:adjustRightInd w:val="0"/>
              <w:snapToGrid w:val="0"/>
              <w:spacing w:line="240" w:lineRule="atLeast"/>
              <w:jc w:val="center"/>
              <w:rPr>
                <w:rFonts w:hint="eastAsia" w:ascii="宋体" w:hAnsi="宋体" w:eastAsia="宋体" w:cs="宋体"/>
                <w:color w:val="auto"/>
                <w:sz w:val="24"/>
                <w:szCs w:val="24"/>
                <w:highlight w:val="none"/>
              </w:rPr>
            </w:pPr>
          </w:p>
        </w:tc>
      </w:tr>
      <w:tr w14:paraId="3B00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Merge w:val="continue"/>
            <w:vAlign w:val="center"/>
          </w:tcPr>
          <w:p w14:paraId="746C930B">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vAlign w:val="center"/>
          </w:tcPr>
          <w:p w14:paraId="045200C4">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环境卫生（30%）</w:t>
            </w:r>
          </w:p>
        </w:tc>
        <w:tc>
          <w:tcPr>
            <w:tcW w:w="1614" w:type="dxa"/>
            <w:vAlign w:val="center"/>
          </w:tcPr>
          <w:p w14:paraId="58F404BE">
            <w:pPr>
              <w:adjustRightInd w:val="0"/>
              <w:snapToGrid w:val="0"/>
              <w:spacing w:line="240" w:lineRule="atLeast"/>
              <w:jc w:val="center"/>
              <w:rPr>
                <w:rFonts w:hint="eastAsia" w:ascii="宋体" w:hAnsi="宋体" w:eastAsia="宋体" w:cs="宋体"/>
                <w:color w:val="auto"/>
                <w:sz w:val="24"/>
                <w:szCs w:val="24"/>
                <w:highlight w:val="none"/>
              </w:rPr>
            </w:pPr>
          </w:p>
        </w:tc>
        <w:tc>
          <w:tcPr>
            <w:tcW w:w="1467" w:type="dxa"/>
            <w:gridSpan w:val="2"/>
            <w:vAlign w:val="center"/>
          </w:tcPr>
          <w:p w14:paraId="2466C6F0">
            <w:pPr>
              <w:adjustRightInd w:val="0"/>
              <w:snapToGrid w:val="0"/>
              <w:spacing w:line="240" w:lineRule="atLeast"/>
              <w:jc w:val="center"/>
              <w:rPr>
                <w:rFonts w:hint="eastAsia" w:ascii="宋体" w:hAnsi="宋体" w:eastAsia="宋体" w:cs="宋体"/>
                <w:color w:val="auto"/>
                <w:sz w:val="24"/>
                <w:szCs w:val="24"/>
                <w:highlight w:val="none"/>
              </w:rPr>
            </w:pPr>
          </w:p>
        </w:tc>
        <w:tc>
          <w:tcPr>
            <w:tcW w:w="1555" w:type="dxa"/>
            <w:gridSpan w:val="2"/>
            <w:vAlign w:val="center"/>
          </w:tcPr>
          <w:p w14:paraId="15EABDD5">
            <w:pPr>
              <w:adjustRightInd w:val="0"/>
              <w:snapToGrid w:val="0"/>
              <w:spacing w:line="240" w:lineRule="atLeast"/>
              <w:jc w:val="center"/>
              <w:rPr>
                <w:rFonts w:hint="eastAsia" w:ascii="宋体" w:hAnsi="宋体" w:eastAsia="宋体" w:cs="宋体"/>
                <w:color w:val="auto"/>
                <w:sz w:val="24"/>
                <w:szCs w:val="24"/>
                <w:highlight w:val="none"/>
              </w:rPr>
            </w:pPr>
          </w:p>
        </w:tc>
        <w:tc>
          <w:tcPr>
            <w:tcW w:w="1615" w:type="dxa"/>
            <w:gridSpan w:val="2"/>
            <w:vAlign w:val="center"/>
          </w:tcPr>
          <w:p w14:paraId="69814348">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1EFF161F">
            <w:pPr>
              <w:adjustRightInd w:val="0"/>
              <w:snapToGrid w:val="0"/>
              <w:spacing w:line="240" w:lineRule="atLeast"/>
              <w:jc w:val="center"/>
              <w:rPr>
                <w:rFonts w:hint="eastAsia" w:ascii="宋体" w:hAnsi="宋体" w:eastAsia="宋体" w:cs="宋体"/>
                <w:color w:val="auto"/>
                <w:sz w:val="24"/>
                <w:szCs w:val="24"/>
                <w:highlight w:val="none"/>
              </w:rPr>
            </w:pPr>
          </w:p>
        </w:tc>
      </w:tr>
      <w:tr w14:paraId="047B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43" w:type="dxa"/>
            <w:vMerge w:val="continue"/>
            <w:vAlign w:val="center"/>
          </w:tcPr>
          <w:p w14:paraId="1A289E83">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vAlign w:val="center"/>
          </w:tcPr>
          <w:p w14:paraId="2355C3FC">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c>
          <w:tcPr>
            <w:tcW w:w="6251" w:type="dxa"/>
            <w:gridSpan w:val="7"/>
            <w:vAlign w:val="center"/>
          </w:tcPr>
          <w:p w14:paraId="2C4C5D76">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08AA3337">
            <w:pPr>
              <w:adjustRightInd w:val="0"/>
              <w:snapToGrid w:val="0"/>
              <w:spacing w:line="240" w:lineRule="atLeast"/>
              <w:jc w:val="center"/>
              <w:rPr>
                <w:rFonts w:hint="eastAsia" w:ascii="宋体" w:hAnsi="宋体" w:eastAsia="宋体" w:cs="宋体"/>
                <w:color w:val="auto"/>
                <w:sz w:val="24"/>
                <w:szCs w:val="24"/>
                <w:highlight w:val="none"/>
              </w:rPr>
            </w:pPr>
          </w:p>
        </w:tc>
      </w:tr>
      <w:tr w14:paraId="1EE0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Merge w:val="restart"/>
            <w:vAlign w:val="center"/>
          </w:tcPr>
          <w:p w14:paraId="0EF9FB7E">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 餐</w:t>
            </w:r>
          </w:p>
        </w:tc>
        <w:tc>
          <w:tcPr>
            <w:tcW w:w="1585" w:type="dxa"/>
            <w:vAlign w:val="center"/>
          </w:tcPr>
          <w:p w14:paraId="2731B99C">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菜肴质量（40%）</w:t>
            </w:r>
          </w:p>
        </w:tc>
        <w:tc>
          <w:tcPr>
            <w:tcW w:w="1614" w:type="dxa"/>
            <w:vAlign w:val="center"/>
          </w:tcPr>
          <w:p w14:paraId="39AA6F49">
            <w:pPr>
              <w:adjustRightInd w:val="0"/>
              <w:snapToGrid w:val="0"/>
              <w:spacing w:line="240" w:lineRule="atLeast"/>
              <w:jc w:val="center"/>
              <w:rPr>
                <w:rFonts w:hint="eastAsia" w:ascii="宋体" w:hAnsi="宋体" w:eastAsia="宋体" w:cs="宋体"/>
                <w:color w:val="auto"/>
                <w:sz w:val="24"/>
                <w:szCs w:val="24"/>
                <w:highlight w:val="none"/>
              </w:rPr>
            </w:pPr>
          </w:p>
        </w:tc>
        <w:tc>
          <w:tcPr>
            <w:tcW w:w="1467" w:type="dxa"/>
            <w:gridSpan w:val="2"/>
            <w:vAlign w:val="center"/>
          </w:tcPr>
          <w:p w14:paraId="5A7C26A6">
            <w:pPr>
              <w:adjustRightInd w:val="0"/>
              <w:snapToGrid w:val="0"/>
              <w:spacing w:line="240" w:lineRule="atLeast"/>
              <w:jc w:val="center"/>
              <w:rPr>
                <w:rFonts w:hint="eastAsia" w:ascii="宋体" w:hAnsi="宋体" w:eastAsia="宋体" w:cs="宋体"/>
                <w:color w:val="auto"/>
                <w:sz w:val="24"/>
                <w:szCs w:val="24"/>
                <w:highlight w:val="none"/>
              </w:rPr>
            </w:pPr>
          </w:p>
        </w:tc>
        <w:tc>
          <w:tcPr>
            <w:tcW w:w="1555" w:type="dxa"/>
            <w:gridSpan w:val="2"/>
            <w:vAlign w:val="center"/>
          </w:tcPr>
          <w:p w14:paraId="67E3940E">
            <w:pPr>
              <w:adjustRightInd w:val="0"/>
              <w:snapToGrid w:val="0"/>
              <w:spacing w:line="240" w:lineRule="atLeast"/>
              <w:jc w:val="center"/>
              <w:rPr>
                <w:rFonts w:hint="eastAsia" w:ascii="宋体" w:hAnsi="宋体" w:eastAsia="宋体" w:cs="宋体"/>
                <w:color w:val="auto"/>
                <w:sz w:val="24"/>
                <w:szCs w:val="24"/>
                <w:highlight w:val="none"/>
              </w:rPr>
            </w:pPr>
          </w:p>
        </w:tc>
        <w:tc>
          <w:tcPr>
            <w:tcW w:w="1615" w:type="dxa"/>
            <w:gridSpan w:val="2"/>
            <w:vAlign w:val="center"/>
          </w:tcPr>
          <w:p w14:paraId="20B3D08D">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2D54878B">
            <w:pPr>
              <w:adjustRightInd w:val="0"/>
              <w:snapToGrid w:val="0"/>
              <w:spacing w:line="240" w:lineRule="atLeast"/>
              <w:jc w:val="center"/>
              <w:rPr>
                <w:rFonts w:hint="eastAsia" w:ascii="宋体" w:hAnsi="宋体" w:eastAsia="宋体" w:cs="宋体"/>
                <w:color w:val="auto"/>
                <w:sz w:val="24"/>
                <w:szCs w:val="24"/>
                <w:highlight w:val="none"/>
              </w:rPr>
            </w:pPr>
          </w:p>
        </w:tc>
      </w:tr>
      <w:tr w14:paraId="434D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Merge w:val="continue"/>
            <w:vAlign w:val="center"/>
          </w:tcPr>
          <w:p w14:paraId="29E31B94">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vAlign w:val="center"/>
          </w:tcPr>
          <w:p w14:paraId="08A5B963">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服务质量（30%）</w:t>
            </w:r>
          </w:p>
        </w:tc>
        <w:tc>
          <w:tcPr>
            <w:tcW w:w="1614" w:type="dxa"/>
            <w:vAlign w:val="center"/>
          </w:tcPr>
          <w:p w14:paraId="58C5BC6B">
            <w:pPr>
              <w:adjustRightInd w:val="0"/>
              <w:snapToGrid w:val="0"/>
              <w:spacing w:line="240" w:lineRule="atLeast"/>
              <w:jc w:val="center"/>
              <w:rPr>
                <w:rFonts w:hint="eastAsia" w:ascii="宋体" w:hAnsi="宋体" w:eastAsia="宋体" w:cs="宋体"/>
                <w:color w:val="auto"/>
                <w:sz w:val="24"/>
                <w:szCs w:val="24"/>
                <w:highlight w:val="none"/>
              </w:rPr>
            </w:pPr>
          </w:p>
        </w:tc>
        <w:tc>
          <w:tcPr>
            <w:tcW w:w="1467" w:type="dxa"/>
            <w:gridSpan w:val="2"/>
            <w:vAlign w:val="center"/>
          </w:tcPr>
          <w:p w14:paraId="34DA2A37">
            <w:pPr>
              <w:adjustRightInd w:val="0"/>
              <w:snapToGrid w:val="0"/>
              <w:spacing w:line="240" w:lineRule="atLeast"/>
              <w:jc w:val="center"/>
              <w:rPr>
                <w:rFonts w:hint="eastAsia" w:ascii="宋体" w:hAnsi="宋体" w:eastAsia="宋体" w:cs="宋体"/>
                <w:color w:val="auto"/>
                <w:sz w:val="24"/>
                <w:szCs w:val="24"/>
                <w:highlight w:val="none"/>
              </w:rPr>
            </w:pPr>
          </w:p>
        </w:tc>
        <w:tc>
          <w:tcPr>
            <w:tcW w:w="1555" w:type="dxa"/>
            <w:gridSpan w:val="2"/>
            <w:vAlign w:val="center"/>
          </w:tcPr>
          <w:p w14:paraId="3092558D">
            <w:pPr>
              <w:adjustRightInd w:val="0"/>
              <w:snapToGrid w:val="0"/>
              <w:spacing w:line="240" w:lineRule="atLeast"/>
              <w:jc w:val="center"/>
              <w:rPr>
                <w:rFonts w:hint="eastAsia" w:ascii="宋体" w:hAnsi="宋体" w:eastAsia="宋体" w:cs="宋体"/>
                <w:color w:val="auto"/>
                <w:sz w:val="24"/>
                <w:szCs w:val="24"/>
                <w:highlight w:val="none"/>
              </w:rPr>
            </w:pPr>
          </w:p>
        </w:tc>
        <w:tc>
          <w:tcPr>
            <w:tcW w:w="1615" w:type="dxa"/>
            <w:gridSpan w:val="2"/>
            <w:vAlign w:val="center"/>
          </w:tcPr>
          <w:p w14:paraId="78E8C654">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150D88FE">
            <w:pPr>
              <w:adjustRightInd w:val="0"/>
              <w:snapToGrid w:val="0"/>
              <w:spacing w:line="240" w:lineRule="atLeast"/>
              <w:jc w:val="center"/>
              <w:rPr>
                <w:rFonts w:hint="eastAsia" w:ascii="宋体" w:hAnsi="宋体" w:eastAsia="宋体" w:cs="宋体"/>
                <w:color w:val="auto"/>
                <w:sz w:val="24"/>
                <w:szCs w:val="24"/>
                <w:highlight w:val="none"/>
              </w:rPr>
            </w:pPr>
          </w:p>
        </w:tc>
      </w:tr>
      <w:tr w14:paraId="31AA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Merge w:val="continue"/>
            <w:vAlign w:val="center"/>
          </w:tcPr>
          <w:p w14:paraId="03632D1D">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vAlign w:val="center"/>
          </w:tcPr>
          <w:p w14:paraId="0EC66EC1">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环境卫生（30%）</w:t>
            </w:r>
          </w:p>
        </w:tc>
        <w:tc>
          <w:tcPr>
            <w:tcW w:w="1614" w:type="dxa"/>
            <w:vAlign w:val="center"/>
          </w:tcPr>
          <w:p w14:paraId="6D93A4F2">
            <w:pPr>
              <w:adjustRightInd w:val="0"/>
              <w:snapToGrid w:val="0"/>
              <w:spacing w:line="240" w:lineRule="atLeast"/>
              <w:jc w:val="center"/>
              <w:rPr>
                <w:rFonts w:hint="eastAsia" w:ascii="宋体" w:hAnsi="宋体" w:eastAsia="宋体" w:cs="宋体"/>
                <w:color w:val="auto"/>
                <w:sz w:val="24"/>
                <w:szCs w:val="24"/>
                <w:highlight w:val="none"/>
              </w:rPr>
            </w:pPr>
          </w:p>
        </w:tc>
        <w:tc>
          <w:tcPr>
            <w:tcW w:w="1467" w:type="dxa"/>
            <w:gridSpan w:val="2"/>
            <w:vAlign w:val="center"/>
          </w:tcPr>
          <w:p w14:paraId="542BD904">
            <w:pPr>
              <w:adjustRightInd w:val="0"/>
              <w:snapToGrid w:val="0"/>
              <w:spacing w:line="240" w:lineRule="atLeast"/>
              <w:jc w:val="center"/>
              <w:rPr>
                <w:rFonts w:hint="eastAsia" w:ascii="宋体" w:hAnsi="宋体" w:eastAsia="宋体" w:cs="宋体"/>
                <w:color w:val="auto"/>
                <w:sz w:val="24"/>
                <w:szCs w:val="24"/>
                <w:highlight w:val="none"/>
              </w:rPr>
            </w:pPr>
          </w:p>
        </w:tc>
        <w:tc>
          <w:tcPr>
            <w:tcW w:w="1555" w:type="dxa"/>
            <w:gridSpan w:val="2"/>
            <w:vAlign w:val="center"/>
          </w:tcPr>
          <w:p w14:paraId="31314718">
            <w:pPr>
              <w:adjustRightInd w:val="0"/>
              <w:snapToGrid w:val="0"/>
              <w:spacing w:line="240" w:lineRule="atLeast"/>
              <w:jc w:val="center"/>
              <w:rPr>
                <w:rFonts w:hint="eastAsia" w:ascii="宋体" w:hAnsi="宋体" w:eastAsia="宋体" w:cs="宋体"/>
                <w:color w:val="auto"/>
                <w:sz w:val="24"/>
                <w:szCs w:val="24"/>
                <w:highlight w:val="none"/>
              </w:rPr>
            </w:pPr>
          </w:p>
        </w:tc>
        <w:tc>
          <w:tcPr>
            <w:tcW w:w="1615" w:type="dxa"/>
            <w:gridSpan w:val="2"/>
            <w:vAlign w:val="center"/>
          </w:tcPr>
          <w:p w14:paraId="4A8138FD">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5A741082">
            <w:pPr>
              <w:adjustRightInd w:val="0"/>
              <w:snapToGrid w:val="0"/>
              <w:spacing w:line="240" w:lineRule="atLeast"/>
              <w:jc w:val="center"/>
              <w:rPr>
                <w:rFonts w:hint="eastAsia" w:ascii="宋体" w:hAnsi="宋体" w:eastAsia="宋体" w:cs="宋体"/>
                <w:color w:val="auto"/>
                <w:sz w:val="24"/>
                <w:szCs w:val="24"/>
                <w:highlight w:val="none"/>
              </w:rPr>
            </w:pPr>
          </w:p>
        </w:tc>
      </w:tr>
      <w:tr w14:paraId="244D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43" w:type="dxa"/>
            <w:vMerge w:val="continue"/>
            <w:vAlign w:val="center"/>
          </w:tcPr>
          <w:p w14:paraId="6A790B06">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vAlign w:val="center"/>
          </w:tcPr>
          <w:p w14:paraId="40A8C7EF">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c>
          <w:tcPr>
            <w:tcW w:w="6251" w:type="dxa"/>
            <w:gridSpan w:val="7"/>
            <w:vAlign w:val="center"/>
          </w:tcPr>
          <w:p w14:paraId="260B051A">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0FCF71CB">
            <w:pPr>
              <w:adjustRightInd w:val="0"/>
              <w:snapToGrid w:val="0"/>
              <w:spacing w:line="240" w:lineRule="atLeast"/>
              <w:jc w:val="center"/>
              <w:rPr>
                <w:rFonts w:hint="eastAsia" w:ascii="宋体" w:hAnsi="宋体" w:eastAsia="宋体" w:cs="宋体"/>
                <w:color w:val="auto"/>
                <w:sz w:val="24"/>
                <w:szCs w:val="24"/>
                <w:highlight w:val="none"/>
              </w:rPr>
            </w:pPr>
          </w:p>
        </w:tc>
      </w:tr>
      <w:tr w14:paraId="2920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Merge w:val="restart"/>
            <w:vAlign w:val="center"/>
          </w:tcPr>
          <w:p w14:paraId="3ED761B1">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晚 餐</w:t>
            </w:r>
          </w:p>
        </w:tc>
        <w:tc>
          <w:tcPr>
            <w:tcW w:w="1585" w:type="dxa"/>
            <w:vAlign w:val="center"/>
          </w:tcPr>
          <w:p w14:paraId="67CB927F">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菜肴质量（40%）</w:t>
            </w:r>
          </w:p>
        </w:tc>
        <w:tc>
          <w:tcPr>
            <w:tcW w:w="1733" w:type="dxa"/>
            <w:gridSpan w:val="2"/>
            <w:vAlign w:val="center"/>
          </w:tcPr>
          <w:p w14:paraId="07C0121E">
            <w:pPr>
              <w:adjustRightInd w:val="0"/>
              <w:snapToGrid w:val="0"/>
              <w:spacing w:line="240" w:lineRule="atLeast"/>
              <w:jc w:val="center"/>
              <w:rPr>
                <w:rFonts w:hint="eastAsia" w:ascii="宋体" w:hAnsi="宋体" w:eastAsia="宋体" w:cs="宋体"/>
                <w:color w:val="auto"/>
                <w:sz w:val="24"/>
                <w:szCs w:val="24"/>
                <w:highlight w:val="none"/>
              </w:rPr>
            </w:pPr>
          </w:p>
        </w:tc>
        <w:tc>
          <w:tcPr>
            <w:tcW w:w="1423" w:type="dxa"/>
            <w:gridSpan w:val="2"/>
            <w:vAlign w:val="center"/>
          </w:tcPr>
          <w:p w14:paraId="6E83C5AA">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gridSpan w:val="2"/>
            <w:vAlign w:val="center"/>
          </w:tcPr>
          <w:p w14:paraId="5042F083">
            <w:pPr>
              <w:adjustRightInd w:val="0"/>
              <w:snapToGrid w:val="0"/>
              <w:spacing w:line="240" w:lineRule="atLeast"/>
              <w:jc w:val="center"/>
              <w:rPr>
                <w:rFonts w:hint="eastAsia" w:ascii="宋体" w:hAnsi="宋体" w:eastAsia="宋体" w:cs="宋体"/>
                <w:color w:val="auto"/>
                <w:sz w:val="24"/>
                <w:szCs w:val="24"/>
                <w:highlight w:val="none"/>
              </w:rPr>
            </w:pPr>
          </w:p>
        </w:tc>
        <w:tc>
          <w:tcPr>
            <w:tcW w:w="1510" w:type="dxa"/>
            <w:vAlign w:val="center"/>
          </w:tcPr>
          <w:p w14:paraId="33119ED8">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4607825C">
            <w:pPr>
              <w:adjustRightInd w:val="0"/>
              <w:snapToGrid w:val="0"/>
              <w:spacing w:line="240" w:lineRule="atLeast"/>
              <w:jc w:val="center"/>
              <w:rPr>
                <w:rFonts w:hint="eastAsia" w:ascii="宋体" w:hAnsi="宋体" w:eastAsia="宋体" w:cs="宋体"/>
                <w:color w:val="auto"/>
                <w:sz w:val="24"/>
                <w:szCs w:val="24"/>
                <w:highlight w:val="none"/>
              </w:rPr>
            </w:pPr>
          </w:p>
        </w:tc>
      </w:tr>
      <w:tr w14:paraId="7CE9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Merge w:val="continue"/>
            <w:vAlign w:val="center"/>
          </w:tcPr>
          <w:p w14:paraId="6D08E2AE">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vAlign w:val="center"/>
          </w:tcPr>
          <w:p w14:paraId="08ED2F84">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服务质量（30%）</w:t>
            </w:r>
          </w:p>
        </w:tc>
        <w:tc>
          <w:tcPr>
            <w:tcW w:w="1733" w:type="dxa"/>
            <w:gridSpan w:val="2"/>
            <w:vAlign w:val="center"/>
          </w:tcPr>
          <w:p w14:paraId="0E4489A3">
            <w:pPr>
              <w:adjustRightInd w:val="0"/>
              <w:snapToGrid w:val="0"/>
              <w:spacing w:line="240" w:lineRule="atLeast"/>
              <w:jc w:val="center"/>
              <w:rPr>
                <w:rFonts w:hint="eastAsia" w:ascii="宋体" w:hAnsi="宋体" w:eastAsia="宋体" w:cs="宋体"/>
                <w:color w:val="auto"/>
                <w:sz w:val="24"/>
                <w:szCs w:val="24"/>
                <w:highlight w:val="none"/>
              </w:rPr>
            </w:pPr>
          </w:p>
        </w:tc>
        <w:tc>
          <w:tcPr>
            <w:tcW w:w="1423" w:type="dxa"/>
            <w:gridSpan w:val="2"/>
            <w:vAlign w:val="center"/>
          </w:tcPr>
          <w:p w14:paraId="7660EBE8">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gridSpan w:val="2"/>
            <w:vAlign w:val="center"/>
          </w:tcPr>
          <w:p w14:paraId="7F471E3C">
            <w:pPr>
              <w:adjustRightInd w:val="0"/>
              <w:snapToGrid w:val="0"/>
              <w:spacing w:line="240" w:lineRule="atLeast"/>
              <w:jc w:val="center"/>
              <w:rPr>
                <w:rFonts w:hint="eastAsia" w:ascii="宋体" w:hAnsi="宋体" w:eastAsia="宋体" w:cs="宋体"/>
                <w:color w:val="auto"/>
                <w:sz w:val="24"/>
                <w:szCs w:val="24"/>
                <w:highlight w:val="none"/>
              </w:rPr>
            </w:pPr>
          </w:p>
        </w:tc>
        <w:tc>
          <w:tcPr>
            <w:tcW w:w="1510" w:type="dxa"/>
            <w:vAlign w:val="center"/>
          </w:tcPr>
          <w:p w14:paraId="665FE6D8">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0827E0D6">
            <w:pPr>
              <w:adjustRightInd w:val="0"/>
              <w:snapToGrid w:val="0"/>
              <w:spacing w:line="240" w:lineRule="atLeast"/>
              <w:jc w:val="center"/>
              <w:rPr>
                <w:rFonts w:hint="eastAsia" w:ascii="宋体" w:hAnsi="宋体" w:eastAsia="宋体" w:cs="宋体"/>
                <w:color w:val="auto"/>
                <w:sz w:val="24"/>
                <w:szCs w:val="24"/>
                <w:highlight w:val="none"/>
              </w:rPr>
            </w:pPr>
          </w:p>
        </w:tc>
      </w:tr>
      <w:tr w14:paraId="2FF6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3" w:type="dxa"/>
            <w:vMerge w:val="continue"/>
            <w:vAlign w:val="center"/>
          </w:tcPr>
          <w:p w14:paraId="17C70133">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vAlign w:val="center"/>
          </w:tcPr>
          <w:p w14:paraId="4885BAFF">
            <w:pPr>
              <w:adjustRightInd w:val="0"/>
              <w:snapToGrid w:val="0"/>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环境卫生（30%）</w:t>
            </w:r>
          </w:p>
        </w:tc>
        <w:tc>
          <w:tcPr>
            <w:tcW w:w="1733" w:type="dxa"/>
            <w:gridSpan w:val="2"/>
            <w:vAlign w:val="center"/>
          </w:tcPr>
          <w:p w14:paraId="4D63AEB0">
            <w:pPr>
              <w:adjustRightInd w:val="0"/>
              <w:snapToGrid w:val="0"/>
              <w:spacing w:line="240" w:lineRule="atLeast"/>
              <w:jc w:val="center"/>
              <w:rPr>
                <w:rFonts w:hint="eastAsia" w:ascii="宋体" w:hAnsi="宋体" w:eastAsia="宋体" w:cs="宋体"/>
                <w:color w:val="auto"/>
                <w:sz w:val="24"/>
                <w:szCs w:val="24"/>
                <w:highlight w:val="none"/>
              </w:rPr>
            </w:pPr>
          </w:p>
        </w:tc>
        <w:tc>
          <w:tcPr>
            <w:tcW w:w="1423" w:type="dxa"/>
            <w:gridSpan w:val="2"/>
            <w:vAlign w:val="center"/>
          </w:tcPr>
          <w:p w14:paraId="04317EEA">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gridSpan w:val="2"/>
            <w:vAlign w:val="center"/>
          </w:tcPr>
          <w:p w14:paraId="79DE9CD6">
            <w:pPr>
              <w:adjustRightInd w:val="0"/>
              <w:snapToGrid w:val="0"/>
              <w:spacing w:line="240" w:lineRule="atLeast"/>
              <w:jc w:val="center"/>
              <w:rPr>
                <w:rFonts w:hint="eastAsia" w:ascii="宋体" w:hAnsi="宋体" w:eastAsia="宋体" w:cs="宋体"/>
                <w:color w:val="auto"/>
                <w:sz w:val="24"/>
                <w:szCs w:val="24"/>
                <w:highlight w:val="none"/>
              </w:rPr>
            </w:pPr>
          </w:p>
        </w:tc>
        <w:tc>
          <w:tcPr>
            <w:tcW w:w="1510" w:type="dxa"/>
            <w:vAlign w:val="center"/>
          </w:tcPr>
          <w:p w14:paraId="6C33C908">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19B42B86">
            <w:pPr>
              <w:adjustRightInd w:val="0"/>
              <w:snapToGrid w:val="0"/>
              <w:spacing w:line="240" w:lineRule="atLeast"/>
              <w:jc w:val="center"/>
              <w:rPr>
                <w:rFonts w:hint="eastAsia" w:ascii="宋体" w:hAnsi="宋体" w:eastAsia="宋体" w:cs="宋体"/>
                <w:color w:val="auto"/>
                <w:sz w:val="24"/>
                <w:szCs w:val="24"/>
                <w:highlight w:val="none"/>
              </w:rPr>
            </w:pPr>
          </w:p>
        </w:tc>
      </w:tr>
      <w:tr w14:paraId="1557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43" w:type="dxa"/>
            <w:vMerge w:val="continue"/>
            <w:vAlign w:val="center"/>
          </w:tcPr>
          <w:p w14:paraId="1C72A91A">
            <w:pPr>
              <w:adjustRightInd w:val="0"/>
              <w:snapToGrid w:val="0"/>
              <w:spacing w:line="240" w:lineRule="atLeast"/>
              <w:jc w:val="center"/>
              <w:rPr>
                <w:rFonts w:hint="eastAsia" w:ascii="宋体" w:hAnsi="宋体" w:eastAsia="宋体" w:cs="宋体"/>
                <w:color w:val="auto"/>
                <w:sz w:val="24"/>
                <w:szCs w:val="24"/>
                <w:highlight w:val="none"/>
              </w:rPr>
            </w:pPr>
          </w:p>
        </w:tc>
        <w:tc>
          <w:tcPr>
            <w:tcW w:w="1585" w:type="dxa"/>
            <w:vAlign w:val="center"/>
          </w:tcPr>
          <w:p w14:paraId="75CDFBF8">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c>
          <w:tcPr>
            <w:tcW w:w="6251" w:type="dxa"/>
            <w:gridSpan w:val="7"/>
            <w:vAlign w:val="center"/>
          </w:tcPr>
          <w:p w14:paraId="7A485BC4">
            <w:pPr>
              <w:adjustRightInd w:val="0"/>
              <w:snapToGrid w:val="0"/>
              <w:spacing w:line="240" w:lineRule="atLeast"/>
              <w:jc w:val="center"/>
              <w:rPr>
                <w:rFonts w:hint="eastAsia" w:ascii="宋体" w:hAnsi="宋体" w:eastAsia="宋体" w:cs="宋体"/>
                <w:color w:val="auto"/>
                <w:sz w:val="24"/>
                <w:szCs w:val="24"/>
                <w:highlight w:val="none"/>
              </w:rPr>
            </w:pPr>
          </w:p>
        </w:tc>
        <w:tc>
          <w:tcPr>
            <w:tcW w:w="917" w:type="dxa"/>
            <w:vAlign w:val="center"/>
          </w:tcPr>
          <w:p w14:paraId="44F56603">
            <w:pPr>
              <w:adjustRightInd w:val="0"/>
              <w:snapToGrid w:val="0"/>
              <w:spacing w:line="240" w:lineRule="atLeast"/>
              <w:jc w:val="center"/>
              <w:rPr>
                <w:rFonts w:hint="eastAsia" w:ascii="宋体" w:hAnsi="宋体" w:eastAsia="宋体" w:cs="宋体"/>
                <w:color w:val="auto"/>
                <w:sz w:val="24"/>
                <w:szCs w:val="24"/>
                <w:highlight w:val="none"/>
              </w:rPr>
            </w:pPr>
          </w:p>
        </w:tc>
      </w:tr>
      <w:tr w14:paraId="49D4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0396" w:type="dxa"/>
            <w:gridSpan w:val="10"/>
            <w:vAlign w:val="center"/>
          </w:tcPr>
          <w:p w14:paraId="55D790A5">
            <w:pPr>
              <w:adjustRightInd w:val="0"/>
              <w:snapToGrid w:val="0"/>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合计得分</w:t>
            </w:r>
          </w:p>
        </w:tc>
      </w:tr>
      <w:tr w14:paraId="7E20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0396" w:type="dxa"/>
            <w:gridSpan w:val="10"/>
            <w:vAlign w:val="center"/>
          </w:tcPr>
          <w:p w14:paraId="7CD98201">
            <w:pPr>
              <w:adjustRightInd w:val="0"/>
              <w:snapToGrid w:val="0"/>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意见或建议：</w:t>
            </w:r>
          </w:p>
          <w:p w14:paraId="3F5D6CB4">
            <w:pPr>
              <w:adjustRightInd w:val="0"/>
              <w:snapToGrid w:val="0"/>
              <w:spacing w:line="240" w:lineRule="atLeast"/>
              <w:jc w:val="left"/>
              <w:rPr>
                <w:rFonts w:hint="eastAsia" w:ascii="宋体" w:hAnsi="宋体" w:eastAsia="宋体" w:cs="宋体"/>
                <w:color w:val="auto"/>
                <w:sz w:val="24"/>
                <w:szCs w:val="24"/>
                <w:highlight w:val="none"/>
              </w:rPr>
            </w:pPr>
          </w:p>
        </w:tc>
      </w:tr>
    </w:tbl>
    <w:p w14:paraId="2F1A5CA1">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测评部门：              测评人：             日期：</w:t>
      </w:r>
    </w:p>
    <w:p w14:paraId="151F160F">
      <w:pPr>
        <w:adjustRightInd w:val="0"/>
        <w:snapToGrid w:val="0"/>
        <w:spacing w:line="240" w:lineRule="atLeast"/>
        <w:jc w:val="center"/>
        <w:rPr>
          <w:rFonts w:hint="eastAsia" w:ascii="宋体" w:hAnsi="宋体" w:eastAsia="宋体" w:cs="宋体"/>
          <w:b/>
          <w:bCs/>
          <w:color w:val="FF0000"/>
          <w:sz w:val="24"/>
          <w:szCs w:val="24"/>
          <w:highlight w:val="none"/>
        </w:rPr>
      </w:pPr>
      <w:r>
        <w:rPr>
          <w:rFonts w:hint="eastAsia" w:ascii="宋体" w:hAnsi="宋体" w:eastAsia="宋体" w:cs="宋体"/>
          <w:color w:val="auto"/>
          <w:sz w:val="24"/>
          <w:szCs w:val="24"/>
          <w:highlight w:val="none"/>
        </w:rPr>
        <w:t>请在上面相应的空格内打“√”。</w:t>
      </w: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桃花镇机关餐厅服务质量标准考核表</w:t>
      </w:r>
    </w:p>
    <w:p w14:paraId="649E059A">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测评人：                          </w:t>
      </w:r>
      <w:r>
        <w:rPr>
          <w:rFonts w:hint="eastAsia" w:cs="宋体"/>
          <w:kern w:val="0"/>
          <w:sz w:val="24"/>
          <w:szCs w:val="24"/>
          <w:highlight w:val="none"/>
          <w:lang w:val="en-US" w:eastAsia="zh-CN"/>
        </w:rPr>
        <w:t xml:space="preserve">             </w:t>
      </w:r>
      <w:r>
        <w:rPr>
          <w:rFonts w:hint="eastAsia" w:ascii="宋体" w:hAnsi="宋体" w:eastAsia="宋体" w:cs="宋体"/>
          <w:kern w:val="0"/>
          <w:sz w:val="24"/>
          <w:szCs w:val="24"/>
          <w:highlight w:val="none"/>
        </w:rPr>
        <w:t>日期：</w:t>
      </w:r>
    </w:p>
    <w:tbl>
      <w:tblPr>
        <w:tblStyle w:val="1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5355"/>
        <w:gridCol w:w="945"/>
        <w:gridCol w:w="1080"/>
      </w:tblGrid>
      <w:tr w14:paraId="7CD8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20" w:type="dxa"/>
            <w:vAlign w:val="center"/>
          </w:tcPr>
          <w:p w14:paraId="1D49E214">
            <w:pPr>
              <w:spacing w:line="4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5355" w:type="dxa"/>
            <w:vAlign w:val="center"/>
          </w:tcPr>
          <w:p w14:paraId="3672D9C8">
            <w:pPr>
              <w:spacing w:line="400" w:lineRule="exact"/>
              <w:ind w:left="10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考核内容</w:t>
            </w:r>
          </w:p>
        </w:tc>
        <w:tc>
          <w:tcPr>
            <w:tcW w:w="945" w:type="dxa"/>
            <w:vAlign w:val="center"/>
          </w:tcPr>
          <w:p w14:paraId="6F199031">
            <w:pPr>
              <w:spacing w:line="400" w:lineRule="exact"/>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1080" w:type="dxa"/>
            <w:vAlign w:val="center"/>
          </w:tcPr>
          <w:p w14:paraId="42BD8D07">
            <w:pPr>
              <w:spacing w:line="400" w:lineRule="exact"/>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得分</w:t>
            </w:r>
          </w:p>
        </w:tc>
      </w:tr>
      <w:tr w14:paraId="0DA4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20" w:type="dxa"/>
            <w:vMerge w:val="restart"/>
            <w:vAlign w:val="center"/>
          </w:tcPr>
          <w:p w14:paraId="0C8329E5">
            <w:pPr>
              <w:spacing w:line="400" w:lineRule="exact"/>
              <w:ind w:left="108"/>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组 织</w:t>
            </w:r>
          </w:p>
          <w:p w14:paraId="1EEAECAB">
            <w:pPr>
              <w:spacing w:line="400" w:lineRule="exact"/>
              <w:ind w:left="108"/>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管 理</w:t>
            </w:r>
          </w:p>
          <w:p w14:paraId="3586119F">
            <w:pPr>
              <w:spacing w:line="360" w:lineRule="exact"/>
              <w:ind w:left="108" w:leftChars="54" w:firstLine="120" w:firstLineChars="50"/>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5355" w:type="dxa"/>
          </w:tcPr>
          <w:p w14:paraId="735ECEC2">
            <w:pPr>
              <w:spacing w:line="400" w:lineRule="exact"/>
              <w:ind w:left="108"/>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主要炊事人员达到“三证”要求，其他人员必须持有健康证，餐厅工作人员姓名、岗位和持证情况要及时公开公布。</w:t>
            </w:r>
          </w:p>
        </w:tc>
        <w:tc>
          <w:tcPr>
            <w:tcW w:w="945" w:type="dxa"/>
            <w:vAlign w:val="center"/>
          </w:tcPr>
          <w:p w14:paraId="172EEC0E">
            <w:pPr>
              <w:spacing w:line="400" w:lineRule="exact"/>
              <w:ind w:left="10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color w:val="251724"/>
                <w:sz w:val="24"/>
                <w:szCs w:val="24"/>
                <w:highlight w:val="none"/>
              </w:rPr>
              <w:t>分</w:t>
            </w:r>
          </w:p>
        </w:tc>
        <w:tc>
          <w:tcPr>
            <w:tcW w:w="1080" w:type="dxa"/>
            <w:vAlign w:val="center"/>
          </w:tcPr>
          <w:p w14:paraId="7E22870F">
            <w:pPr>
              <w:spacing w:line="400" w:lineRule="exact"/>
              <w:ind w:left="108"/>
              <w:jc w:val="center"/>
              <w:rPr>
                <w:rFonts w:hint="eastAsia" w:ascii="宋体" w:hAnsi="宋体" w:eastAsia="宋体" w:cs="宋体"/>
                <w:sz w:val="24"/>
                <w:szCs w:val="24"/>
                <w:highlight w:val="none"/>
              </w:rPr>
            </w:pPr>
          </w:p>
        </w:tc>
      </w:tr>
      <w:tr w14:paraId="0B26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620" w:type="dxa"/>
            <w:vMerge w:val="continue"/>
            <w:vAlign w:val="center"/>
          </w:tcPr>
          <w:p w14:paraId="73B3D045">
            <w:pPr>
              <w:spacing w:line="400" w:lineRule="exact"/>
              <w:ind w:left="108"/>
              <w:rPr>
                <w:rFonts w:hint="eastAsia" w:ascii="宋体" w:hAnsi="宋体" w:eastAsia="宋体" w:cs="宋体"/>
                <w:color w:val="251724"/>
                <w:sz w:val="24"/>
                <w:szCs w:val="24"/>
                <w:highlight w:val="none"/>
              </w:rPr>
            </w:pPr>
          </w:p>
        </w:tc>
        <w:tc>
          <w:tcPr>
            <w:tcW w:w="5355" w:type="dxa"/>
          </w:tcPr>
          <w:p w14:paraId="5449E219">
            <w:pPr>
              <w:spacing w:line="400" w:lineRule="exact"/>
              <w:ind w:left="108"/>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建立完善管理制度，包括人员管理制度、财务制度和采购制度等。</w:t>
            </w:r>
          </w:p>
        </w:tc>
        <w:tc>
          <w:tcPr>
            <w:tcW w:w="945" w:type="dxa"/>
            <w:vAlign w:val="center"/>
          </w:tcPr>
          <w:p w14:paraId="3173BCD0">
            <w:pPr>
              <w:spacing w:line="400" w:lineRule="exact"/>
              <w:ind w:left="10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color w:val="251724"/>
                <w:sz w:val="24"/>
                <w:szCs w:val="24"/>
                <w:highlight w:val="none"/>
              </w:rPr>
              <w:t>分</w:t>
            </w:r>
          </w:p>
        </w:tc>
        <w:tc>
          <w:tcPr>
            <w:tcW w:w="1080" w:type="dxa"/>
            <w:vAlign w:val="center"/>
          </w:tcPr>
          <w:p w14:paraId="401F4856">
            <w:pPr>
              <w:spacing w:line="400" w:lineRule="exact"/>
              <w:ind w:left="108"/>
              <w:jc w:val="center"/>
              <w:rPr>
                <w:rFonts w:hint="eastAsia" w:ascii="宋体" w:hAnsi="宋体" w:eastAsia="宋体" w:cs="宋体"/>
                <w:sz w:val="24"/>
                <w:szCs w:val="24"/>
                <w:highlight w:val="none"/>
              </w:rPr>
            </w:pPr>
          </w:p>
        </w:tc>
      </w:tr>
      <w:tr w14:paraId="6888B1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7" w:hRule="atLeast"/>
        </w:trPr>
        <w:tc>
          <w:tcPr>
            <w:tcW w:w="1620" w:type="dxa"/>
            <w:vMerge w:val="restart"/>
            <w:tcBorders>
              <w:top w:val="single" w:color="auto" w:sz="4" w:space="0"/>
              <w:left w:val="single" w:color="auto" w:sz="4" w:space="0"/>
              <w:bottom w:val="single" w:color="auto" w:sz="4" w:space="0"/>
              <w:right w:val="single" w:color="auto" w:sz="4" w:space="0"/>
            </w:tcBorders>
            <w:vAlign w:val="center"/>
          </w:tcPr>
          <w:p w14:paraId="6D1574F9">
            <w:pPr>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卫 生</w:t>
            </w:r>
          </w:p>
          <w:p w14:paraId="6B356213">
            <w:pPr>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管 理</w:t>
            </w:r>
          </w:p>
          <w:p w14:paraId="7A006936">
            <w:pPr>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（20分）</w:t>
            </w:r>
          </w:p>
        </w:tc>
        <w:tc>
          <w:tcPr>
            <w:tcW w:w="5355" w:type="dxa"/>
            <w:tcBorders>
              <w:top w:val="single" w:color="auto" w:sz="4" w:space="0"/>
              <w:left w:val="single" w:color="auto" w:sz="4" w:space="0"/>
              <w:bottom w:val="single" w:color="auto" w:sz="4" w:space="0"/>
              <w:right w:val="single" w:color="auto" w:sz="4" w:space="0"/>
            </w:tcBorders>
            <w:vAlign w:val="center"/>
          </w:tcPr>
          <w:p w14:paraId="7CD1359F">
            <w:pPr>
              <w:spacing w:line="40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厨房作业区标注明晰、分区明确、物品归类有序。</w:t>
            </w:r>
          </w:p>
        </w:tc>
        <w:tc>
          <w:tcPr>
            <w:tcW w:w="945" w:type="dxa"/>
            <w:tcBorders>
              <w:top w:val="single" w:color="auto" w:sz="4" w:space="0"/>
              <w:left w:val="single" w:color="auto" w:sz="4" w:space="0"/>
              <w:bottom w:val="single" w:color="auto" w:sz="4" w:space="0"/>
              <w:right w:val="single" w:color="auto" w:sz="4" w:space="0"/>
            </w:tcBorders>
            <w:vAlign w:val="center"/>
          </w:tcPr>
          <w:p w14:paraId="01032275">
            <w:pPr>
              <w:widowControl/>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3分</w:t>
            </w:r>
          </w:p>
        </w:tc>
        <w:tc>
          <w:tcPr>
            <w:tcW w:w="1080" w:type="dxa"/>
            <w:tcBorders>
              <w:top w:val="single" w:color="auto" w:sz="4" w:space="0"/>
              <w:left w:val="single" w:color="auto" w:sz="4" w:space="0"/>
              <w:bottom w:val="single" w:color="auto" w:sz="4" w:space="0"/>
              <w:right w:val="single" w:color="auto" w:sz="4" w:space="0"/>
            </w:tcBorders>
            <w:vAlign w:val="center"/>
          </w:tcPr>
          <w:p w14:paraId="704D8232">
            <w:pPr>
              <w:widowControl/>
              <w:spacing w:line="400" w:lineRule="exact"/>
              <w:jc w:val="left"/>
              <w:rPr>
                <w:rFonts w:hint="eastAsia" w:ascii="宋体" w:hAnsi="宋体" w:eastAsia="宋体" w:cs="宋体"/>
                <w:kern w:val="0"/>
                <w:sz w:val="24"/>
                <w:szCs w:val="24"/>
                <w:highlight w:val="none"/>
              </w:rPr>
            </w:pPr>
          </w:p>
        </w:tc>
      </w:tr>
      <w:tr w14:paraId="2C0503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5"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5F21765A">
            <w:pPr>
              <w:spacing w:line="400" w:lineRule="exact"/>
              <w:jc w:val="center"/>
              <w:rPr>
                <w:rFonts w:hint="eastAsia" w:ascii="宋体" w:hAnsi="宋体" w:eastAsia="宋体" w:cs="宋体"/>
                <w:color w:val="251724"/>
                <w:sz w:val="24"/>
                <w:szCs w:val="24"/>
                <w:highlight w:val="none"/>
              </w:rPr>
            </w:pPr>
          </w:p>
        </w:tc>
        <w:tc>
          <w:tcPr>
            <w:tcW w:w="5355" w:type="dxa"/>
            <w:tcBorders>
              <w:top w:val="single" w:color="auto" w:sz="4" w:space="0"/>
              <w:left w:val="single" w:color="auto" w:sz="4" w:space="0"/>
              <w:bottom w:val="single" w:color="auto" w:sz="4" w:space="0"/>
              <w:right w:val="single" w:color="auto" w:sz="4" w:space="0"/>
            </w:tcBorders>
            <w:vAlign w:val="center"/>
          </w:tcPr>
          <w:p w14:paraId="21C6380F">
            <w:pPr>
              <w:spacing w:line="40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生食物和熟食物的盛用容器、刀具等严格区分，不得混用。</w:t>
            </w:r>
          </w:p>
        </w:tc>
        <w:tc>
          <w:tcPr>
            <w:tcW w:w="945" w:type="dxa"/>
            <w:tcBorders>
              <w:top w:val="single" w:color="auto" w:sz="4" w:space="0"/>
              <w:left w:val="single" w:color="auto" w:sz="4" w:space="0"/>
              <w:bottom w:val="single" w:color="auto" w:sz="4" w:space="0"/>
              <w:right w:val="single" w:color="auto" w:sz="4" w:space="0"/>
            </w:tcBorders>
            <w:vAlign w:val="center"/>
          </w:tcPr>
          <w:p w14:paraId="4C61575D">
            <w:pPr>
              <w:widowControl/>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3分</w:t>
            </w:r>
          </w:p>
        </w:tc>
        <w:tc>
          <w:tcPr>
            <w:tcW w:w="1080" w:type="dxa"/>
            <w:tcBorders>
              <w:top w:val="single" w:color="auto" w:sz="4" w:space="0"/>
              <w:left w:val="single" w:color="auto" w:sz="4" w:space="0"/>
              <w:bottom w:val="single" w:color="auto" w:sz="4" w:space="0"/>
              <w:right w:val="single" w:color="auto" w:sz="4" w:space="0"/>
            </w:tcBorders>
            <w:vAlign w:val="center"/>
          </w:tcPr>
          <w:p w14:paraId="4D61624D">
            <w:pPr>
              <w:widowControl/>
              <w:spacing w:line="400" w:lineRule="exact"/>
              <w:jc w:val="left"/>
              <w:rPr>
                <w:rFonts w:hint="eastAsia" w:ascii="宋体" w:hAnsi="宋体" w:eastAsia="宋体" w:cs="宋体"/>
                <w:kern w:val="0"/>
                <w:sz w:val="24"/>
                <w:szCs w:val="24"/>
                <w:highlight w:val="none"/>
              </w:rPr>
            </w:pPr>
          </w:p>
        </w:tc>
      </w:tr>
      <w:tr w14:paraId="3BB497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0"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576FDBE3">
            <w:pPr>
              <w:spacing w:line="400" w:lineRule="exact"/>
              <w:jc w:val="center"/>
              <w:rPr>
                <w:rFonts w:hint="eastAsia" w:ascii="宋体" w:hAnsi="宋体" w:eastAsia="宋体" w:cs="宋体"/>
                <w:color w:val="251724"/>
                <w:sz w:val="24"/>
                <w:szCs w:val="24"/>
                <w:highlight w:val="none"/>
              </w:rPr>
            </w:pPr>
          </w:p>
        </w:tc>
        <w:tc>
          <w:tcPr>
            <w:tcW w:w="5355" w:type="dxa"/>
            <w:tcBorders>
              <w:top w:val="single" w:color="auto" w:sz="4" w:space="0"/>
              <w:left w:val="single" w:color="auto" w:sz="4" w:space="0"/>
              <w:bottom w:val="single" w:color="auto" w:sz="4" w:space="0"/>
              <w:right w:val="single" w:color="auto" w:sz="4" w:space="0"/>
            </w:tcBorders>
            <w:vAlign w:val="center"/>
          </w:tcPr>
          <w:p w14:paraId="79537C70">
            <w:pPr>
              <w:spacing w:line="40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厨房每餐后台面地面要及时擦扫干净，刀具、机械用具、盛用器皿等用后热水洗净，擦干保存。</w:t>
            </w:r>
          </w:p>
        </w:tc>
        <w:tc>
          <w:tcPr>
            <w:tcW w:w="945" w:type="dxa"/>
            <w:tcBorders>
              <w:top w:val="single" w:color="auto" w:sz="4" w:space="0"/>
              <w:left w:val="single" w:color="auto" w:sz="4" w:space="0"/>
              <w:bottom w:val="single" w:color="auto" w:sz="4" w:space="0"/>
              <w:right w:val="single" w:color="auto" w:sz="4" w:space="0"/>
            </w:tcBorders>
            <w:vAlign w:val="center"/>
          </w:tcPr>
          <w:p w14:paraId="12D9C0E3">
            <w:pPr>
              <w:widowControl/>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3分</w:t>
            </w:r>
          </w:p>
        </w:tc>
        <w:tc>
          <w:tcPr>
            <w:tcW w:w="1080" w:type="dxa"/>
            <w:tcBorders>
              <w:top w:val="single" w:color="auto" w:sz="4" w:space="0"/>
              <w:left w:val="single" w:color="auto" w:sz="4" w:space="0"/>
              <w:bottom w:val="single" w:color="auto" w:sz="4" w:space="0"/>
              <w:right w:val="single" w:color="auto" w:sz="4" w:space="0"/>
            </w:tcBorders>
            <w:vAlign w:val="center"/>
          </w:tcPr>
          <w:p w14:paraId="46C98308">
            <w:pPr>
              <w:widowControl/>
              <w:spacing w:line="400" w:lineRule="exact"/>
              <w:jc w:val="left"/>
              <w:rPr>
                <w:rFonts w:hint="eastAsia" w:ascii="宋体" w:hAnsi="宋体" w:eastAsia="宋体" w:cs="宋体"/>
                <w:kern w:val="0"/>
                <w:sz w:val="24"/>
                <w:szCs w:val="24"/>
                <w:highlight w:val="none"/>
              </w:rPr>
            </w:pPr>
          </w:p>
        </w:tc>
      </w:tr>
      <w:tr w14:paraId="4B27A5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0" w:hRule="atLeast"/>
        </w:trPr>
        <w:tc>
          <w:tcPr>
            <w:tcW w:w="162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A14DDEB">
            <w:pPr>
              <w:spacing w:line="400" w:lineRule="exact"/>
              <w:rPr>
                <w:rFonts w:hint="eastAsia" w:ascii="宋体" w:hAnsi="宋体" w:eastAsia="宋体" w:cs="宋体"/>
                <w:color w:val="251724"/>
                <w:sz w:val="24"/>
                <w:szCs w:val="24"/>
                <w:highlight w:val="none"/>
              </w:rPr>
            </w:pPr>
          </w:p>
        </w:tc>
        <w:tc>
          <w:tcPr>
            <w:tcW w:w="5355" w:type="dxa"/>
            <w:tcBorders>
              <w:top w:val="single" w:color="auto" w:sz="4" w:space="0"/>
              <w:left w:val="single" w:color="auto" w:sz="4" w:space="0"/>
              <w:bottom w:val="single" w:color="auto" w:sz="4" w:space="0"/>
              <w:right w:val="single" w:color="auto" w:sz="4" w:space="0"/>
            </w:tcBorders>
            <w:vAlign w:val="center"/>
          </w:tcPr>
          <w:p w14:paraId="2D923951">
            <w:pPr>
              <w:spacing w:line="40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厨房排水保持畅通，污水及时倒入污水池，不积存脏水污物，厨房地面、墙壁无污物。</w:t>
            </w:r>
          </w:p>
        </w:tc>
        <w:tc>
          <w:tcPr>
            <w:tcW w:w="945" w:type="dxa"/>
            <w:tcBorders>
              <w:top w:val="single" w:color="auto" w:sz="4" w:space="0"/>
              <w:left w:val="single" w:color="auto" w:sz="4" w:space="0"/>
              <w:bottom w:val="single" w:color="auto" w:sz="4" w:space="0"/>
              <w:right w:val="single" w:color="auto" w:sz="4" w:space="0"/>
            </w:tcBorders>
            <w:vAlign w:val="center"/>
          </w:tcPr>
          <w:p w14:paraId="5DADB410">
            <w:pPr>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3分</w:t>
            </w:r>
          </w:p>
        </w:tc>
        <w:tc>
          <w:tcPr>
            <w:tcW w:w="1080" w:type="dxa"/>
            <w:tcBorders>
              <w:top w:val="single" w:color="auto" w:sz="4" w:space="0"/>
              <w:left w:val="single" w:color="auto" w:sz="4" w:space="0"/>
              <w:bottom w:val="single" w:color="auto" w:sz="4" w:space="0"/>
              <w:right w:val="single" w:color="auto" w:sz="4" w:space="0"/>
            </w:tcBorders>
            <w:vAlign w:val="center"/>
          </w:tcPr>
          <w:p w14:paraId="6BE1A945">
            <w:pPr>
              <w:widowControl/>
              <w:spacing w:line="400" w:lineRule="exact"/>
              <w:jc w:val="left"/>
              <w:rPr>
                <w:rFonts w:hint="eastAsia" w:ascii="宋体" w:hAnsi="宋体" w:eastAsia="宋体" w:cs="宋体"/>
                <w:kern w:val="0"/>
                <w:sz w:val="24"/>
                <w:szCs w:val="24"/>
                <w:highlight w:val="none"/>
              </w:rPr>
            </w:pPr>
          </w:p>
        </w:tc>
      </w:tr>
      <w:tr w14:paraId="394BD6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55" w:hRule="atLeast"/>
        </w:trPr>
        <w:tc>
          <w:tcPr>
            <w:tcW w:w="162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B0A5BDF">
            <w:pPr>
              <w:spacing w:line="400" w:lineRule="exact"/>
              <w:rPr>
                <w:rFonts w:hint="eastAsia" w:ascii="宋体" w:hAnsi="宋体" w:eastAsia="宋体" w:cs="宋体"/>
                <w:color w:val="251724"/>
                <w:sz w:val="24"/>
                <w:szCs w:val="24"/>
                <w:highlight w:val="none"/>
              </w:rPr>
            </w:pPr>
          </w:p>
        </w:tc>
        <w:tc>
          <w:tcPr>
            <w:tcW w:w="5355" w:type="dxa"/>
            <w:tcBorders>
              <w:top w:val="single" w:color="auto" w:sz="4" w:space="0"/>
              <w:left w:val="single" w:color="auto" w:sz="4" w:space="0"/>
              <w:bottom w:val="single" w:color="auto" w:sz="4" w:space="0"/>
              <w:right w:val="single" w:color="auto" w:sz="4" w:space="0"/>
            </w:tcBorders>
            <w:vAlign w:val="center"/>
          </w:tcPr>
          <w:p w14:paraId="677344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宋体" w:hAnsi="宋体" w:eastAsia="宋体" w:cs="宋体"/>
                <w:color w:val="251724"/>
                <w:sz w:val="24"/>
                <w:szCs w:val="24"/>
                <w:highlight w:val="none"/>
              </w:rPr>
            </w:pPr>
            <w:r>
              <w:rPr>
                <w:rFonts w:hint="eastAsia" w:ascii="宋体" w:hAnsi="宋体" w:eastAsia="宋体" w:cs="宋体"/>
                <w:color w:val="251724"/>
                <w:kern w:val="0"/>
                <w:sz w:val="24"/>
                <w:szCs w:val="24"/>
                <w:highlight w:val="none"/>
              </w:rPr>
              <w:t>工作人员进入厨房作业区着工作服，工作服保持整洁干净，禁止穿工作服离开厨房、食堂或做与制作饭菜无关的工作。</w:t>
            </w:r>
          </w:p>
        </w:tc>
        <w:tc>
          <w:tcPr>
            <w:tcW w:w="945" w:type="dxa"/>
            <w:tcBorders>
              <w:top w:val="single" w:color="auto" w:sz="4" w:space="0"/>
              <w:left w:val="single" w:color="auto" w:sz="4" w:space="0"/>
              <w:bottom w:val="single" w:color="auto" w:sz="4" w:space="0"/>
              <w:right w:val="single" w:color="auto" w:sz="4" w:space="0"/>
            </w:tcBorders>
            <w:vAlign w:val="center"/>
          </w:tcPr>
          <w:p w14:paraId="4C289D9A">
            <w:pPr>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2分</w:t>
            </w:r>
          </w:p>
        </w:tc>
        <w:tc>
          <w:tcPr>
            <w:tcW w:w="1080" w:type="dxa"/>
            <w:tcBorders>
              <w:top w:val="single" w:color="auto" w:sz="4" w:space="0"/>
              <w:left w:val="single" w:color="auto" w:sz="4" w:space="0"/>
              <w:bottom w:val="single" w:color="auto" w:sz="4" w:space="0"/>
              <w:right w:val="single" w:color="auto" w:sz="4" w:space="0"/>
            </w:tcBorders>
            <w:vAlign w:val="center"/>
          </w:tcPr>
          <w:p w14:paraId="4D3304CC">
            <w:pPr>
              <w:widowControl/>
              <w:spacing w:line="400" w:lineRule="exact"/>
              <w:jc w:val="left"/>
              <w:rPr>
                <w:rFonts w:hint="eastAsia" w:ascii="宋体" w:hAnsi="宋体" w:eastAsia="宋体" w:cs="宋体"/>
                <w:kern w:val="0"/>
                <w:sz w:val="24"/>
                <w:szCs w:val="24"/>
                <w:highlight w:val="none"/>
              </w:rPr>
            </w:pPr>
          </w:p>
        </w:tc>
      </w:tr>
      <w:tr w14:paraId="68E5CE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5"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2D710F3F">
            <w:pPr>
              <w:spacing w:line="400" w:lineRule="exact"/>
              <w:jc w:val="center"/>
              <w:rPr>
                <w:rFonts w:hint="eastAsia" w:ascii="宋体" w:hAnsi="宋体" w:eastAsia="宋体" w:cs="宋体"/>
                <w:kern w:val="0"/>
                <w:sz w:val="24"/>
                <w:szCs w:val="24"/>
                <w:highlight w:val="none"/>
              </w:rPr>
            </w:pPr>
          </w:p>
        </w:tc>
        <w:tc>
          <w:tcPr>
            <w:tcW w:w="5355" w:type="dxa"/>
            <w:tcBorders>
              <w:top w:val="single" w:color="auto" w:sz="4" w:space="0"/>
              <w:left w:val="single" w:color="auto" w:sz="4" w:space="0"/>
              <w:bottom w:val="single" w:color="auto" w:sz="4" w:space="0"/>
              <w:right w:val="single" w:color="auto" w:sz="4" w:space="0"/>
            </w:tcBorders>
          </w:tcPr>
          <w:p w14:paraId="6562AB71">
            <w:pPr>
              <w:spacing w:line="40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工作人员做好个人卫生，勤洗手，不留长指甲，不随地吐痰。</w:t>
            </w:r>
          </w:p>
        </w:tc>
        <w:tc>
          <w:tcPr>
            <w:tcW w:w="945" w:type="dxa"/>
            <w:tcBorders>
              <w:top w:val="single" w:color="auto" w:sz="4" w:space="0"/>
              <w:left w:val="single" w:color="auto" w:sz="4" w:space="0"/>
              <w:bottom w:val="single" w:color="auto" w:sz="4" w:space="0"/>
              <w:right w:val="single" w:color="auto" w:sz="4" w:space="0"/>
            </w:tcBorders>
            <w:vAlign w:val="center"/>
          </w:tcPr>
          <w:p w14:paraId="1557F9CD">
            <w:pPr>
              <w:widowControl/>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2分</w:t>
            </w:r>
          </w:p>
        </w:tc>
        <w:tc>
          <w:tcPr>
            <w:tcW w:w="1080" w:type="dxa"/>
            <w:tcBorders>
              <w:top w:val="single" w:color="auto" w:sz="4" w:space="0"/>
              <w:left w:val="single" w:color="auto" w:sz="4" w:space="0"/>
              <w:bottom w:val="single" w:color="auto" w:sz="4" w:space="0"/>
              <w:right w:val="single" w:color="auto" w:sz="4" w:space="0"/>
            </w:tcBorders>
            <w:vAlign w:val="center"/>
          </w:tcPr>
          <w:p w14:paraId="6B16E897">
            <w:pPr>
              <w:spacing w:line="400" w:lineRule="exact"/>
              <w:rPr>
                <w:rFonts w:hint="eastAsia" w:ascii="宋体" w:hAnsi="宋体" w:eastAsia="宋体" w:cs="宋体"/>
                <w:sz w:val="24"/>
                <w:szCs w:val="24"/>
                <w:highlight w:val="none"/>
              </w:rPr>
            </w:pPr>
          </w:p>
        </w:tc>
      </w:tr>
      <w:tr w14:paraId="4457FF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17"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5339C383">
            <w:pPr>
              <w:spacing w:line="400" w:lineRule="exact"/>
              <w:jc w:val="center"/>
              <w:rPr>
                <w:rFonts w:hint="eastAsia" w:ascii="宋体" w:hAnsi="宋体" w:eastAsia="宋体" w:cs="宋体"/>
                <w:kern w:val="0"/>
                <w:sz w:val="24"/>
                <w:szCs w:val="24"/>
                <w:highlight w:val="none"/>
              </w:rPr>
            </w:pPr>
          </w:p>
        </w:tc>
        <w:tc>
          <w:tcPr>
            <w:tcW w:w="5355" w:type="dxa"/>
            <w:tcBorders>
              <w:top w:val="single" w:color="auto" w:sz="4" w:space="0"/>
              <w:left w:val="single" w:color="auto" w:sz="4" w:space="0"/>
              <w:bottom w:val="single" w:color="auto" w:sz="4" w:space="0"/>
              <w:right w:val="single" w:color="auto" w:sz="4" w:space="0"/>
            </w:tcBorders>
          </w:tcPr>
          <w:p w14:paraId="6A0E6D07">
            <w:pPr>
              <w:spacing w:line="40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餐厅餐桌椅摆放整齐、桌上物品摆放有序；餐具整洁干净，摆放有序，每餐洗净后及时进行消毒。</w:t>
            </w:r>
          </w:p>
        </w:tc>
        <w:tc>
          <w:tcPr>
            <w:tcW w:w="945" w:type="dxa"/>
            <w:tcBorders>
              <w:top w:val="single" w:color="auto" w:sz="4" w:space="0"/>
              <w:left w:val="single" w:color="auto" w:sz="4" w:space="0"/>
              <w:bottom w:val="single" w:color="auto" w:sz="4" w:space="0"/>
              <w:right w:val="single" w:color="auto" w:sz="4" w:space="0"/>
            </w:tcBorders>
            <w:vAlign w:val="center"/>
          </w:tcPr>
          <w:p w14:paraId="467989B9">
            <w:pPr>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2分</w:t>
            </w:r>
          </w:p>
        </w:tc>
        <w:tc>
          <w:tcPr>
            <w:tcW w:w="1080" w:type="dxa"/>
            <w:tcBorders>
              <w:top w:val="single" w:color="auto" w:sz="4" w:space="0"/>
              <w:left w:val="single" w:color="auto" w:sz="4" w:space="0"/>
              <w:bottom w:val="single" w:color="auto" w:sz="4" w:space="0"/>
              <w:right w:val="single" w:color="auto" w:sz="4" w:space="0"/>
            </w:tcBorders>
            <w:vAlign w:val="center"/>
          </w:tcPr>
          <w:p w14:paraId="3FA5526D">
            <w:pPr>
              <w:spacing w:line="400" w:lineRule="exact"/>
              <w:rPr>
                <w:rFonts w:hint="eastAsia" w:ascii="宋体" w:hAnsi="宋体" w:eastAsia="宋体" w:cs="宋体"/>
                <w:sz w:val="24"/>
                <w:szCs w:val="24"/>
                <w:highlight w:val="none"/>
              </w:rPr>
            </w:pPr>
          </w:p>
        </w:tc>
      </w:tr>
      <w:tr w14:paraId="67F35F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5"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7EFA847E">
            <w:pPr>
              <w:spacing w:line="400" w:lineRule="exact"/>
              <w:rPr>
                <w:rFonts w:hint="eastAsia" w:ascii="宋体" w:hAnsi="宋体" w:eastAsia="宋体" w:cs="宋体"/>
                <w:sz w:val="24"/>
                <w:szCs w:val="24"/>
                <w:highlight w:val="none"/>
              </w:rPr>
            </w:pPr>
          </w:p>
        </w:tc>
        <w:tc>
          <w:tcPr>
            <w:tcW w:w="5355" w:type="dxa"/>
            <w:tcBorders>
              <w:top w:val="single" w:color="auto" w:sz="4" w:space="0"/>
              <w:left w:val="single" w:color="auto" w:sz="4" w:space="0"/>
              <w:bottom w:val="single" w:color="auto" w:sz="4" w:space="0"/>
              <w:right w:val="single" w:color="auto" w:sz="4" w:space="0"/>
            </w:tcBorders>
            <w:vAlign w:val="center"/>
          </w:tcPr>
          <w:p w14:paraId="6BB9D4A0">
            <w:pPr>
              <w:spacing w:line="40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餐厅地面、墙壁无污物。</w:t>
            </w:r>
          </w:p>
        </w:tc>
        <w:tc>
          <w:tcPr>
            <w:tcW w:w="945" w:type="dxa"/>
            <w:tcBorders>
              <w:top w:val="single" w:color="auto" w:sz="4" w:space="0"/>
              <w:left w:val="single" w:color="auto" w:sz="4" w:space="0"/>
              <w:bottom w:val="single" w:color="auto" w:sz="4" w:space="0"/>
              <w:right w:val="single" w:color="auto" w:sz="4" w:space="0"/>
            </w:tcBorders>
            <w:vAlign w:val="center"/>
          </w:tcPr>
          <w:p w14:paraId="531EEBE5">
            <w:pPr>
              <w:widowControl/>
              <w:spacing w:line="40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2分</w:t>
            </w:r>
          </w:p>
        </w:tc>
        <w:tc>
          <w:tcPr>
            <w:tcW w:w="1080" w:type="dxa"/>
            <w:tcBorders>
              <w:top w:val="single" w:color="auto" w:sz="4" w:space="0"/>
              <w:left w:val="single" w:color="auto" w:sz="4" w:space="0"/>
              <w:bottom w:val="single" w:color="auto" w:sz="4" w:space="0"/>
              <w:right w:val="single" w:color="auto" w:sz="4" w:space="0"/>
            </w:tcBorders>
            <w:vAlign w:val="center"/>
          </w:tcPr>
          <w:p w14:paraId="644C8E13">
            <w:pPr>
              <w:spacing w:line="400" w:lineRule="exact"/>
              <w:rPr>
                <w:rFonts w:hint="eastAsia" w:ascii="宋体" w:hAnsi="宋体" w:eastAsia="宋体" w:cs="宋体"/>
                <w:sz w:val="24"/>
                <w:szCs w:val="24"/>
                <w:highlight w:val="none"/>
              </w:rPr>
            </w:pPr>
          </w:p>
        </w:tc>
      </w:tr>
    </w:tbl>
    <w:p w14:paraId="6E3318B4">
      <w:pPr>
        <w:spacing w:line="300" w:lineRule="exact"/>
        <w:ind w:left="0" w:leftChars="0" w:firstLine="0" w:firstLineChars="0"/>
        <w:rPr>
          <w:rFonts w:hint="eastAsia" w:ascii="宋体" w:hAnsi="宋体" w:eastAsia="宋体" w:cs="宋体"/>
          <w:sz w:val="24"/>
          <w:szCs w:val="24"/>
          <w:highlight w:val="none"/>
        </w:rPr>
      </w:pPr>
    </w:p>
    <w:tbl>
      <w:tblPr>
        <w:tblStyle w:val="16"/>
        <w:tblpPr w:leftFromText="180" w:rightFromText="180" w:vertAnchor="text" w:horzAnchor="margin" w:tblpX="-256" w:tblpY="22"/>
        <w:tblOverlap w:val="never"/>
        <w:tblW w:w="9028" w:type="dxa"/>
        <w:tblInd w:w="0" w:type="dxa"/>
        <w:tblLayout w:type="fixed"/>
        <w:tblCellMar>
          <w:top w:w="0" w:type="dxa"/>
          <w:left w:w="108" w:type="dxa"/>
          <w:bottom w:w="0" w:type="dxa"/>
          <w:right w:w="108" w:type="dxa"/>
        </w:tblCellMar>
      </w:tblPr>
      <w:tblGrid>
        <w:gridCol w:w="1654"/>
        <w:gridCol w:w="5321"/>
        <w:gridCol w:w="950"/>
        <w:gridCol w:w="1103"/>
      </w:tblGrid>
      <w:tr w14:paraId="3F92CB7B">
        <w:tblPrEx>
          <w:tblCellMar>
            <w:top w:w="0" w:type="dxa"/>
            <w:left w:w="108" w:type="dxa"/>
            <w:bottom w:w="0" w:type="dxa"/>
            <w:right w:w="108" w:type="dxa"/>
          </w:tblCellMar>
        </w:tblPrEx>
        <w:trPr>
          <w:trHeight w:val="615" w:hRule="atLeast"/>
        </w:trPr>
        <w:tc>
          <w:tcPr>
            <w:tcW w:w="1654" w:type="dxa"/>
            <w:tcBorders>
              <w:top w:val="single" w:color="auto" w:sz="4" w:space="0"/>
              <w:left w:val="single" w:color="auto" w:sz="4" w:space="0"/>
              <w:bottom w:val="single" w:color="auto" w:sz="4" w:space="0"/>
              <w:right w:val="single" w:color="auto" w:sz="4" w:space="0"/>
            </w:tcBorders>
            <w:vAlign w:val="center"/>
          </w:tcPr>
          <w:p w14:paraId="3947A54E">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项目</w:t>
            </w:r>
          </w:p>
        </w:tc>
        <w:tc>
          <w:tcPr>
            <w:tcW w:w="5321" w:type="dxa"/>
            <w:tcBorders>
              <w:top w:val="single" w:color="auto" w:sz="4" w:space="0"/>
              <w:left w:val="single" w:color="auto" w:sz="4" w:space="0"/>
              <w:bottom w:val="single" w:color="auto" w:sz="4" w:space="0"/>
              <w:right w:val="single" w:color="auto" w:sz="4" w:space="0"/>
            </w:tcBorders>
            <w:vAlign w:val="center"/>
          </w:tcPr>
          <w:p w14:paraId="0C9D7B2E">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考核内容</w:t>
            </w:r>
          </w:p>
        </w:tc>
        <w:tc>
          <w:tcPr>
            <w:tcW w:w="950" w:type="dxa"/>
            <w:tcBorders>
              <w:top w:val="single" w:color="auto" w:sz="4" w:space="0"/>
              <w:left w:val="single" w:color="auto" w:sz="4" w:space="0"/>
              <w:bottom w:val="single" w:color="auto" w:sz="4" w:space="0"/>
              <w:right w:val="single" w:color="auto" w:sz="4" w:space="0"/>
            </w:tcBorders>
            <w:vAlign w:val="center"/>
          </w:tcPr>
          <w:p w14:paraId="108B3F06">
            <w:pPr>
              <w:widowControl/>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分值</w:t>
            </w:r>
          </w:p>
        </w:tc>
        <w:tc>
          <w:tcPr>
            <w:tcW w:w="1103" w:type="dxa"/>
            <w:tcBorders>
              <w:top w:val="single" w:color="auto" w:sz="4" w:space="0"/>
              <w:left w:val="single" w:color="auto" w:sz="4" w:space="0"/>
              <w:bottom w:val="single" w:color="auto" w:sz="4" w:space="0"/>
              <w:right w:val="single" w:color="auto" w:sz="4" w:space="0"/>
            </w:tcBorders>
            <w:vAlign w:val="center"/>
          </w:tcPr>
          <w:p w14:paraId="48FD7C35">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得分</w:t>
            </w:r>
          </w:p>
        </w:tc>
      </w:tr>
      <w:tr w14:paraId="60203608">
        <w:tblPrEx>
          <w:tblCellMar>
            <w:top w:w="0" w:type="dxa"/>
            <w:left w:w="108" w:type="dxa"/>
            <w:bottom w:w="0" w:type="dxa"/>
            <w:right w:w="108" w:type="dxa"/>
          </w:tblCellMar>
        </w:tblPrEx>
        <w:trPr>
          <w:trHeight w:val="611" w:hRule="atLeast"/>
        </w:trPr>
        <w:tc>
          <w:tcPr>
            <w:tcW w:w="1654" w:type="dxa"/>
            <w:vMerge w:val="restart"/>
            <w:tcBorders>
              <w:top w:val="single" w:color="auto" w:sz="4" w:space="0"/>
              <w:left w:val="single" w:color="auto" w:sz="4" w:space="0"/>
              <w:bottom w:val="single" w:color="auto" w:sz="4" w:space="0"/>
              <w:right w:val="single" w:color="auto" w:sz="4" w:space="0"/>
            </w:tcBorders>
            <w:vAlign w:val="center"/>
          </w:tcPr>
          <w:p w14:paraId="7D94F96F">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菜 肴</w:t>
            </w:r>
          </w:p>
          <w:p w14:paraId="573209AA">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质 量</w:t>
            </w:r>
          </w:p>
          <w:p w14:paraId="35A99FCA">
            <w:pPr>
              <w:spacing w:line="320" w:lineRule="exact"/>
              <w:ind w:firstLine="120" w:firstLineChars="50"/>
              <w:rPr>
                <w:rFonts w:hint="eastAsia" w:ascii="宋体" w:hAnsi="宋体" w:eastAsia="宋体" w:cs="宋体"/>
                <w:sz w:val="24"/>
                <w:szCs w:val="24"/>
                <w:highlight w:val="none"/>
              </w:rPr>
            </w:pPr>
            <w:r>
              <w:rPr>
                <w:rFonts w:hint="eastAsia" w:ascii="宋体" w:hAnsi="宋体" w:eastAsia="宋体" w:cs="宋体"/>
                <w:color w:val="251724"/>
                <w:sz w:val="24"/>
                <w:szCs w:val="24"/>
                <w:highlight w:val="none"/>
              </w:rPr>
              <w:t>（30分）</w:t>
            </w:r>
          </w:p>
        </w:tc>
        <w:tc>
          <w:tcPr>
            <w:tcW w:w="5321" w:type="dxa"/>
            <w:tcBorders>
              <w:top w:val="single" w:color="auto" w:sz="4" w:space="0"/>
              <w:left w:val="single" w:color="auto" w:sz="4" w:space="0"/>
              <w:bottom w:val="single" w:color="auto" w:sz="4" w:space="0"/>
              <w:right w:val="single" w:color="auto" w:sz="4" w:space="0"/>
            </w:tcBorders>
            <w:vAlign w:val="center"/>
          </w:tcPr>
          <w:p w14:paraId="4763EAD7">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早中餐菜肴质量、数量达到标准要求。</w:t>
            </w:r>
          </w:p>
        </w:tc>
        <w:tc>
          <w:tcPr>
            <w:tcW w:w="950" w:type="dxa"/>
            <w:tcBorders>
              <w:top w:val="single" w:color="auto" w:sz="4" w:space="0"/>
              <w:left w:val="single" w:color="auto" w:sz="4" w:space="0"/>
              <w:bottom w:val="single" w:color="auto" w:sz="4" w:space="0"/>
              <w:right w:val="single" w:color="auto" w:sz="4" w:space="0"/>
            </w:tcBorders>
            <w:vAlign w:val="center"/>
          </w:tcPr>
          <w:p w14:paraId="5F350781">
            <w:pPr>
              <w:widowControl/>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vAlign w:val="center"/>
          </w:tcPr>
          <w:p w14:paraId="106DD20F">
            <w:pPr>
              <w:spacing w:line="320" w:lineRule="exact"/>
              <w:rPr>
                <w:rFonts w:hint="eastAsia" w:ascii="宋体" w:hAnsi="宋体" w:eastAsia="宋体" w:cs="宋体"/>
                <w:sz w:val="24"/>
                <w:szCs w:val="24"/>
                <w:highlight w:val="none"/>
              </w:rPr>
            </w:pPr>
          </w:p>
        </w:tc>
      </w:tr>
      <w:tr w14:paraId="19485D06">
        <w:tblPrEx>
          <w:tblCellMar>
            <w:top w:w="0" w:type="dxa"/>
            <w:left w:w="108" w:type="dxa"/>
            <w:bottom w:w="0" w:type="dxa"/>
            <w:right w:w="108" w:type="dxa"/>
          </w:tblCellMar>
        </w:tblPrEx>
        <w:trPr>
          <w:trHeight w:val="611" w:hRule="atLeast"/>
        </w:trPr>
        <w:tc>
          <w:tcPr>
            <w:tcW w:w="1654" w:type="dxa"/>
            <w:vMerge w:val="continue"/>
            <w:tcBorders>
              <w:top w:val="single" w:color="auto" w:sz="4" w:space="0"/>
              <w:left w:val="single" w:color="auto" w:sz="4" w:space="0"/>
              <w:bottom w:val="single" w:color="auto" w:sz="4" w:space="0"/>
              <w:right w:val="single" w:color="auto" w:sz="4" w:space="0"/>
            </w:tcBorders>
            <w:vAlign w:val="center"/>
          </w:tcPr>
          <w:p w14:paraId="4EC5ADAB">
            <w:pPr>
              <w:spacing w:line="320" w:lineRule="exact"/>
              <w:jc w:val="center"/>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vAlign w:val="center"/>
          </w:tcPr>
          <w:p w14:paraId="10A44E05">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全程控制菜肴主、辅料及制作过程安全卫生，无食物中毒或因食物引起的其他不良反应。</w:t>
            </w:r>
          </w:p>
        </w:tc>
        <w:tc>
          <w:tcPr>
            <w:tcW w:w="950" w:type="dxa"/>
            <w:tcBorders>
              <w:top w:val="single" w:color="auto" w:sz="4" w:space="0"/>
              <w:left w:val="single" w:color="auto" w:sz="4" w:space="0"/>
              <w:bottom w:val="single" w:color="auto" w:sz="4" w:space="0"/>
              <w:right w:val="single" w:color="auto" w:sz="4" w:space="0"/>
            </w:tcBorders>
            <w:vAlign w:val="center"/>
          </w:tcPr>
          <w:p w14:paraId="0A51C194">
            <w:pPr>
              <w:widowControl/>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vAlign w:val="center"/>
          </w:tcPr>
          <w:p w14:paraId="7D7C013C">
            <w:pPr>
              <w:spacing w:line="320" w:lineRule="exact"/>
              <w:rPr>
                <w:rFonts w:hint="eastAsia" w:ascii="宋体" w:hAnsi="宋体" w:eastAsia="宋体" w:cs="宋体"/>
                <w:sz w:val="24"/>
                <w:szCs w:val="24"/>
                <w:highlight w:val="none"/>
              </w:rPr>
            </w:pPr>
          </w:p>
        </w:tc>
      </w:tr>
      <w:tr w14:paraId="7236F137">
        <w:tblPrEx>
          <w:tblCellMar>
            <w:top w:w="0" w:type="dxa"/>
            <w:left w:w="108" w:type="dxa"/>
            <w:bottom w:w="0" w:type="dxa"/>
            <w:right w:w="108" w:type="dxa"/>
          </w:tblCellMar>
        </w:tblPrEx>
        <w:trPr>
          <w:trHeight w:val="611" w:hRule="atLeast"/>
        </w:trPr>
        <w:tc>
          <w:tcPr>
            <w:tcW w:w="1654" w:type="dxa"/>
            <w:vMerge w:val="continue"/>
            <w:tcBorders>
              <w:top w:val="single" w:color="auto" w:sz="4" w:space="0"/>
              <w:left w:val="single" w:color="auto" w:sz="4" w:space="0"/>
              <w:bottom w:val="single" w:color="auto" w:sz="4" w:space="0"/>
              <w:right w:val="single" w:color="auto" w:sz="4" w:space="0"/>
            </w:tcBorders>
            <w:vAlign w:val="center"/>
          </w:tcPr>
          <w:p w14:paraId="08257D55">
            <w:pPr>
              <w:spacing w:line="320" w:lineRule="exact"/>
              <w:jc w:val="center"/>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vAlign w:val="center"/>
          </w:tcPr>
          <w:p w14:paraId="2145EAAA">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菜肴新鲜，色泽、口味好，无过期及腐烂变质的食物。</w:t>
            </w:r>
          </w:p>
        </w:tc>
        <w:tc>
          <w:tcPr>
            <w:tcW w:w="950" w:type="dxa"/>
            <w:tcBorders>
              <w:top w:val="single" w:color="auto" w:sz="4" w:space="0"/>
              <w:left w:val="single" w:color="auto" w:sz="4" w:space="0"/>
              <w:bottom w:val="single" w:color="auto" w:sz="4" w:space="0"/>
              <w:right w:val="single" w:color="auto" w:sz="4" w:space="0"/>
            </w:tcBorders>
            <w:vAlign w:val="center"/>
          </w:tcPr>
          <w:p w14:paraId="12484BDC">
            <w:pPr>
              <w:widowControl/>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vAlign w:val="center"/>
          </w:tcPr>
          <w:p w14:paraId="7A92F110">
            <w:pPr>
              <w:spacing w:line="320" w:lineRule="exact"/>
              <w:rPr>
                <w:rFonts w:hint="eastAsia" w:ascii="宋体" w:hAnsi="宋体" w:eastAsia="宋体" w:cs="宋体"/>
                <w:sz w:val="24"/>
                <w:szCs w:val="24"/>
                <w:highlight w:val="none"/>
              </w:rPr>
            </w:pPr>
          </w:p>
        </w:tc>
      </w:tr>
      <w:tr w14:paraId="65C0C186">
        <w:tblPrEx>
          <w:tblCellMar>
            <w:top w:w="0" w:type="dxa"/>
            <w:left w:w="108" w:type="dxa"/>
            <w:bottom w:w="0" w:type="dxa"/>
            <w:right w:w="108" w:type="dxa"/>
          </w:tblCellMar>
        </w:tblPrEx>
        <w:trPr>
          <w:trHeight w:val="611" w:hRule="atLeast"/>
        </w:trPr>
        <w:tc>
          <w:tcPr>
            <w:tcW w:w="1654" w:type="dxa"/>
            <w:vMerge w:val="continue"/>
            <w:tcBorders>
              <w:top w:val="single" w:color="auto" w:sz="4" w:space="0"/>
              <w:left w:val="single" w:color="auto" w:sz="4" w:space="0"/>
              <w:bottom w:val="single" w:color="auto" w:sz="4" w:space="0"/>
              <w:right w:val="single" w:color="auto" w:sz="4" w:space="0"/>
            </w:tcBorders>
            <w:vAlign w:val="center"/>
          </w:tcPr>
          <w:p w14:paraId="40D0B54E">
            <w:pPr>
              <w:spacing w:line="320" w:lineRule="exact"/>
              <w:jc w:val="center"/>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vAlign w:val="center"/>
          </w:tcPr>
          <w:p w14:paraId="21C84196">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菜肴花色更新及时，一周内不出现2次以上完全相同品种菜肴；根据季节调整，保证每月推出3款时令菜。</w:t>
            </w:r>
          </w:p>
        </w:tc>
        <w:tc>
          <w:tcPr>
            <w:tcW w:w="950" w:type="dxa"/>
            <w:tcBorders>
              <w:top w:val="single" w:color="auto" w:sz="4" w:space="0"/>
              <w:left w:val="single" w:color="auto" w:sz="4" w:space="0"/>
              <w:bottom w:val="single" w:color="auto" w:sz="4" w:space="0"/>
              <w:right w:val="single" w:color="auto" w:sz="4" w:space="0"/>
            </w:tcBorders>
            <w:vAlign w:val="center"/>
          </w:tcPr>
          <w:p w14:paraId="1A88DF93">
            <w:pPr>
              <w:widowControl/>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vAlign w:val="center"/>
          </w:tcPr>
          <w:p w14:paraId="0FF5DA34">
            <w:pPr>
              <w:spacing w:line="320" w:lineRule="exact"/>
              <w:rPr>
                <w:rFonts w:hint="eastAsia" w:ascii="宋体" w:hAnsi="宋体" w:eastAsia="宋体" w:cs="宋体"/>
                <w:sz w:val="24"/>
                <w:szCs w:val="24"/>
                <w:highlight w:val="none"/>
              </w:rPr>
            </w:pPr>
          </w:p>
        </w:tc>
      </w:tr>
      <w:tr w14:paraId="13A21D9B">
        <w:tblPrEx>
          <w:tblCellMar>
            <w:top w:w="0" w:type="dxa"/>
            <w:left w:w="108" w:type="dxa"/>
            <w:bottom w:w="0" w:type="dxa"/>
            <w:right w:w="108" w:type="dxa"/>
          </w:tblCellMar>
        </w:tblPrEx>
        <w:trPr>
          <w:trHeight w:val="611" w:hRule="atLeast"/>
        </w:trPr>
        <w:tc>
          <w:tcPr>
            <w:tcW w:w="1654" w:type="dxa"/>
            <w:vMerge w:val="continue"/>
            <w:tcBorders>
              <w:top w:val="single" w:color="auto" w:sz="4" w:space="0"/>
              <w:left w:val="single" w:color="auto" w:sz="4" w:space="0"/>
              <w:bottom w:val="single" w:color="auto" w:sz="4" w:space="0"/>
              <w:right w:val="single" w:color="auto" w:sz="4" w:space="0"/>
            </w:tcBorders>
            <w:vAlign w:val="center"/>
          </w:tcPr>
          <w:p w14:paraId="2ECD1A35">
            <w:pPr>
              <w:spacing w:line="320" w:lineRule="exact"/>
              <w:jc w:val="center"/>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vAlign w:val="center"/>
          </w:tcPr>
          <w:p w14:paraId="0D7325A5">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菜肴品种齐全，营养搭配合理；油及其他调味品用量控制合理。</w:t>
            </w:r>
          </w:p>
        </w:tc>
        <w:tc>
          <w:tcPr>
            <w:tcW w:w="950" w:type="dxa"/>
            <w:tcBorders>
              <w:top w:val="single" w:color="auto" w:sz="4" w:space="0"/>
              <w:left w:val="single" w:color="auto" w:sz="4" w:space="0"/>
              <w:bottom w:val="single" w:color="auto" w:sz="4" w:space="0"/>
              <w:right w:val="single" w:color="auto" w:sz="4" w:space="0"/>
            </w:tcBorders>
            <w:vAlign w:val="center"/>
          </w:tcPr>
          <w:p w14:paraId="1577DBDF">
            <w:pPr>
              <w:widowControl/>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vAlign w:val="center"/>
          </w:tcPr>
          <w:p w14:paraId="323AC4F1">
            <w:pPr>
              <w:spacing w:line="320" w:lineRule="exact"/>
              <w:rPr>
                <w:rFonts w:hint="eastAsia" w:ascii="宋体" w:hAnsi="宋体" w:eastAsia="宋体" w:cs="宋体"/>
                <w:sz w:val="24"/>
                <w:szCs w:val="24"/>
                <w:highlight w:val="none"/>
              </w:rPr>
            </w:pPr>
          </w:p>
        </w:tc>
      </w:tr>
      <w:tr w14:paraId="7AD379DF">
        <w:tblPrEx>
          <w:tblCellMar>
            <w:top w:w="0" w:type="dxa"/>
            <w:left w:w="108" w:type="dxa"/>
            <w:bottom w:w="0" w:type="dxa"/>
            <w:right w:w="108" w:type="dxa"/>
          </w:tblCellMar>
        </w:tblPrEx>
        <w:trPr>
          <w:trHeight w:val="611" w:hRule="atLeast"/>
        </w:trPr>
        <w:tc>
          <w:tcPr>
            <w:tcW w:w="1654" w:type="dxa"/>
            <w:vMerge w:val="continue"/>
            <w:tcBorders>
              <w:top w:val="single" w:color="auto" w:sz="4" w:space="0"/>
              <w:left w:val="single" w:color="auto" w:sz="4" w:space="0"/>
              <w:bottom w:val="single" w:color="auto" w:sz="4" w:space="0"/>
              <w:right w:val="single" w:color="auto" w:sz="4" w:space="0"/>
            </w:tcBorders>
            <w:vAlign w:val="center"/>
          </w:tcPr>
          <w:p w14:paraId="4D5684CC">
            <w:pPr>
              <w:spacing w:line="320" w:lineRule="exact"/>
              <w:jc w:val="center"/>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vAlign w:val="center"/>
          </w:tcPr>
          <w:p w14:paraId="0B315683">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根据就餐情况，及时更新添加菜肴，把握好打菜节奏和份量，杜绝浪费。</w:t>
            </w:r>
          </w:p>
        </w:tc>
        <w:tc>
          <w:tcPr>
            <w:tcW w:w="950" w:type="dxa"/>
            <w:tcBorders>
              <w:top w:val="single" w:color="auto" w:sz="4" w:space="0"/>
              <w:left w:val="single" w:color="auto" w:sz="4" w:space="0"/>
              <w:bottom w:val="single" w:color="auto" w:sz="4" w:space="0"/>
              <w:right w:val="single" w:color="auto" w:sz="4" w:space="0"/>
            </w:tcBorders>
            <w:vAlign w:val="center"/>
          </w:tcPr>
          <w:p w14:paraId="7ED08F3E">
            <w:pPr>
              <w:widowControl/>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vAlign w:val="center"/>
          </w:tcPr>
          <w:p w14:paraId="22142B72">
            <w:pPr>
              <w:spacing w:line="320" w:lineRule="exact"/>
              <w:rPr>
                <w:rFonts w:hint="eastAsia" w:ascii="宋体" w:hAnsi="宋体" w:eastAsia="宋体" w:cs="宋体"/>
                <w:sz w:val="24"/>
                <w:szCs w:val="24"/>
                <w:highlight w:val="none"/>
              </w:rPr>
            </w:pPr>
          </w:p>
        </w:tc>
      </w:tr>
      <w:tr w14:paraId="0FD5B278">
        <w:tblPrEx>
          <w:tblCellMar>
            <w:top w:w="0" w:type="dxa"/>
            <w:left w:w="108" w:type="dxa"/>
            <w:bottom w:w="0" w:type="dxa"/>
            <w:right w:w="108" w:type="dxa"/>
          </w:tblCellMar>
        </w:tblPrEx>
        <w:trPr>
          <w:trHeight w:val="790" w:hRule="atLeast"/>
        </w:trPr>
        <w:tc>
          <w:tcPr>
            <w:tcW w:w="1654" w:type="dxa"/>
            <w:vMerge w:val="restart"/>
            <w:tcBorders>
              <w:top w:val="single" w:color="auto" w:sz="4" w:space="0"/>
              <w:left w:val="single" w:color="auto" w:sz="4" w:space="0"/>
              <w:right w:val="single" w:color="auto" w:sz="4" w:space="0"/>
            </w:tcBorders>
            <w:vAlign w:val="center"/>
          </w:tcPr>
          <w:p w14:paraId="1DF74877">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服 务</w:t>
            </w:r>
          </w:p>
          <w:p w14:paraId="32A3B8CD">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质 量</w:t>
            </w:r>
          </w:p>
          <w:p w14:paraId="4DF55375">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（20分）</w:t>
            </w:r>
          </w:p>
        </w:tc>
        <w:tc>
          <w:tcPr>
            <w:tcW w:w="5321" w:type="dxa"/>
            <w:tcBorders>
              <w:top w:val="single" w:color="auto" w:sz="4" w:space="0"/>
              <w:left w:val="single" w:color="auto" w:sz="4" w:space="0"/>
              <w:bottom w:val="single" w:color="auto" w:sz="4" w:space="0"/>
              <w:right w:val="single" w:color="auto" w:sz="4" w:space="0"/>
            </w:tcBorders>
          </w:tcPr>
          <w:p w14:paraId="578F982D">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服务人员仪容仪表端庄大方，热情周到，微笑服务，语言规范，文明礼貌。</w:t>
            </w:r>
          </w:p>
        </w:tc>
        <w:tc>
          <w:tcPr>
            <w:tcW w:w="950" w:type="dxa"/>
            <w:tcBorders>
              <w:top w:val="single" w:color="auto" w:sz="4" w:space="0"/>
              <w:left w:val="single" w:color="auto" w:sz="4" w:space="0"/>
              <w:bottom w:val="single" w:color="auto" w:sz="4" w:space="0"/>
              <w:right w:val="single" w:color="auto" w:sz="4" w:space="0"/>
            </w:tcBorders>
            <w:vAlign w:val="center"/>
          </w:tcPr>
          <w:p w14:paraId="3ACDED09">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tcPr>
          <w:p w14:paraId="090B4153">
            <w:pPr>
              <w:spacing w:line="320" w:lineRule="exact"/>
              <w:rPr>
                <w:rFonts w:hint="eastAsia" w:ascii="宋体" w:hAnsi="宋体" w:eastAsia="宋体" w:cs="宋体"/>
                <w:color w:val="251724"/>
                <w:sz w:val="24"/>
                <w:szCs w:val="24"/>
                <w:highlight w:val="none"/>
              </w:rPr>
            </w:pPr>
          </w:p>
        </w:tc>
      </w:tr>
      <w:tr w14:paraId="5AA420BD">
        <w:tblPrEx>
          <w:tblCellMar>
            <w:top w:w="0" w:type="dxa"/>
            <w:left w:w="108" w:type="dxa"/>
            <w:bottom w:w="0" w:type="dxa"/>
            <w:right w:w="108" w:type="dxa"/>
          </w:tblCellMar>
        </w:tblPrEx>
        <w:trPr>
          <w:trHeight w:val="910" w:hRule="atLeast"/>
        </w:trPr>
        <w:tc>
          <w:tcPr>
            <w:tcW w:w="1654" w:type="dxa"/>
            <w:vMerge w:val="continue"/>
            <w:tcBorders>
              <w:left w:val="single" w:color="auto" w:sz="4" w:space="0"/>
              <w:bottom w:val="single" w:color="auto" w:sz="4" w:space="0"/>
              <w:right w:val="single" w:color="auto" w:sz="4" w:space="0"/>
            </w:tcBorders>
            <w:vAlign w:val="center"/>
          </w:tcPr>
          <w:p w14:paraId="142C6A9B">
            <w:pPr>
              <w:spacing w:line="320" w:lineRule="exact"/>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tcPr>
          <w:p w14:paraId="07027AF4">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服务人员工作期间坚守岗位，按照分工做好本职工作，上岗期间不干私活，不乱串岗位，不私自外出，不在工作期间闲聊。</w:t>
            </w:r>
          </w:p>
        </w:tc>
        <w:tc>
          <w:tcPr>
            <w:tcW w:w="950" w:type="dxa"/>
            <w:tcBorders>
              <w:top w:val="single" w:color="auto" w:sz="4" w:space="0"/>
              <w:left w:val="single" w:color="auto" w:sz="4" w:space="0"/>
              <w:bottom w:val="single" w:color="auto" w:sz="4" w:space="0"/>
              <w:right w:val="single" w:color="auto" w:sz="4" w:space="0"/>
            </w:tcBorders>
            <w:vAlign w:val="center"/>
          </w:tcPr>
          <w:p w14:paraId="0533906D">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tcPr>
          <w:p w14:paraId="26385867">
            <w:pPr>
              <w:spacing w:line="320" w:lineRule="exact"/>
              <w:rPr>
                <w:rFonts w:hint="eastAsia" w:ascii="宋体" w:hAnsi="宋体" w:eastAsia="宋体" w:cs="宋体"/>
                <w:color w:val="251724"/>
                <w:sz w:val="24"/>
                <w:szCs w:val="24"/>
                <w:highlight w:val="none"/>
              </w:rPr>
            </w:pPr>
          </w:p>
        </w:tc>
      </w:tr>
      <w:tr w14:paraId="46D769B6">
        <w:tblPrEx>
          <w:tblCellMar>
            <w:top w:w="0" w:type="dxa"/>
            <w:left w:w="108" w:type="dxa"/>
            <w:bottom w:w="0" w:type="dxa"/>
            <w:right w:w="108" w:type="dxa"/>
          </w:tblCellMar>
        </w:tblPrEx>
        <w:trPr>
          <w:trHeight w:val="447" w:hRule="atLeast"/>
        </w:trPr>
        <w:tc>
          <w:tcPr>
            <w:tcW w:w="1654" w:type="dxa"/>
            <w:vMerge w:val="continue"/>
            <w:tcBorders>
              <w:left w:val="single" w:color="auto" w:sz="4" w:space="0"/>
              <w:right w:val="single" w:color="auto" w:sz="4" w:space="0"/>
            </w:tcBorders>
            <w:vAlign w:val="center"/>
          </w:tcPr>
          <w:p w14:paraId="6588CAC6">
            <w:pPr>
              <w:spacing w:line="320" w:lineRule="exact"/>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tcPr>
          <w:p w14:paraId="4BD7FF25">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服务人员要保持餐台整洁卫生，饭菜供应、碗筷补充及时。</w:t>
            </w:r>
          </w:p>
        </w:tc>
        <w:tc>
          <w:tcPr>
            <w:tcW w:w="950" w:type="dxa"/>
            <w:tcBorders>
              <w:top w:val="single" w:color="auto" w:sz="4" w:space="0"/>
              <w:left w:val="single" w:color="auto" w:sz="4" w:space="0"/>
              <w:bottom w:val="single" w:color="auto" w:sz="4" w:space="0"/>
              <w:right w:val="single" w:color="auto" w:sz="4" w:space="0"/>
            </w:tcBorders>
            <w:vAlign w:val="center"/>
          </w:tcPr>
          <w:p w14:paraId="386419E4">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vAlign w:val="center"/>
          </w:tcPr>
          <w:p w14:paraId="7342056F">
            <w:pPr>
              <w:spacing w:line="320" w:lineRule="exact"/>
              <w:rPr>
                <w:rFonts w:hint="eastAsia" w:ascii="宋体" w:hAnsi="宋体" w:eastAsia="宋体" w:cs="宋体"/>
                <w:color w:val="251724"/>
                <w:sz w:val="24"/>
                <w:szCs w:val="24"/>
                <w:highlight w:val="none"/>
              </w:rPr>
            </w:pPr>
          </w:p>
        </w:tc>
      </w:tr>
      <w:tr w14:paraId="6C19B01C">
        <w:tblPrEx>
          <w:tblCellMar>
            <w:top w:w="0" w:type="dxa"/>
            <w:left w:w="108" w:type="dxa"/>
            <w:bottom w:w="0" w:type="dxa"/>
            <w:right w:w="108" w:type="dxa"/>
          </w:tblCellMar>
        </w:tblPrEx>
        <w:trPr>
          <w:trHeight w:val="447" w:hRule="atLeast"/>
        </w:trPr>
        <w:tc>
          <w:tcPr>
            <w:tcW w:w="1654" w:type="dxa"/>
            <w:vMerge w:val="continue"/>
            <w:tcBorders>
              <w:left w:val="single" w:color="auto" w:sz="4" w:space="0"/>
              <w:bottom w:val="single" w:color="auto" w:sz="4" w:space="0"/>
              <w:right w:val="single" w:color="auto" w:sz="4" w:space="0"/>
            </w:tcBorders>
            <w:vAlign w:val="center"/>
          </w:tcPr>
          <w:p w14:paraId="50FF44A8">
            <w:pPr>
              <w:spacing w:line="320" w:lineRule="exact"/>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tcPr>
          <w:p w14:paraId="6BF9BD31">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就餐期间服务人员要做好巡查，及时发现问题，及时打扫餐桌，补充调料、牙签、餐巾纸等。</w:t>
            </w:r>
          </w:p>
        </w:tc>
        <w:tc>
          <w:tcPr>
            <w:tcW w:w="950" w:type="dxa"/>
            <w:tcBorders>
              <w:top w:val="single" w:color="auto" w:sz="4" w:space="0"/>
              <w:left w:val="single" w:color="auto" w:sz="4" w:space="0"/>
              <w:bottom w:val="single" w:color="auto" w:sz="4" w:space="0"/>
              <w:right w:val="single" w:color="auto" w:sz="4" w:space="0"/>
            </w:tcBorders>
            <w:vAlign w:val="center"/>
          </w:tcPr>
          <w:p w14:paraId="66DBEAAC">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vAlign w:val="center"/>
          </w:tcPr>
          <w:p w14:paraId="1DC6BBA7">
            <w:pPr>
              <w:spacing w:line="320" w:lineRule="exact"/>
              <w:rPr>
                <w:rFonts w:hint="eastAsia" w:ascii="宋体" w:hAnsi="宋体" w:eastAsia="宋体" w:cs="宋体"/>
                <w:color w:val="251724"/>
                <w:sz w:val="24"/>
                <w:szCs w:val="24"/>
                <w:highlight w:val="none"/>
              </w:rPr>
            </w:pPr>
          </w:p>
        </w:tc>
      </w:tr>
      <w:tr w14:paraId="2FD58D46">
        <w:tblPrEx>
          <w:tblCellMar>
            <w:top w:w="0" w:type="dxa"/>
            <w:left w:w="108" w:type="dxa"/>
            <w:bottom w:w="0" w:type="dxa"/>
            <w:right w:w="108" w:type="dxa"/>
          </w:tblCellMar>
        </w:tblPrEx>
        <w:trPr>
          <w:trHeight w:val="447" w:hRule="atLeast"/>
        </w:trPr>
        <w:tc>
          <w:tcPr>
            <w:tcW w:w="1654" w:type="dxa"/>
            <w:vMerge w:val="restart"/>
            <w:tcBorders>
              <w:left w:val="single" w:color="auto" w:sz="4" w:space="0"/>
              <w:right w:val="single" w:color="auto" w:sz="4" w:space="0"/>
            </w:tcBorders>
            <w:vAlign w:val="center"/>
          </w:tcPr>
          <w:p w14:paraId="30861616">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原、辅</w:t>
            </w:r>
          </w:p>
          <w:p w14:paraId="230A23D5">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料管理</w:t>
            </w:r>
          </w:p>
          <w:p w14:paraId="570D740D">
            <w:pPr>
              <w:spacing w:line="320" w:lineRule="exact"/>
              <w:ind w:firstLine="120" w:firstLineChars="50"/>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5321" w:type="dxa"/>
            <w:tcBorders>
              <w:top w:val="single" w:color="auto" w:sz="4" w:space="0"/>
              <w:left w:val="single" w:color="auto" w:sz="4" w:space="0"/>
              <w:bottom w:val="single" w:color="auto" w:sz="4" w:space="0"/>
              <w:right w:val="single" w:color="auto" w:sz="4" w:space="0"/>
            </w:tcBorders>
          </w:tcPr>
          <w:p w14:paraId="3A29F01D">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辅料实行定品牌采购，对所有品牌要进行逐一核实，不得采购假冒伪劣产品。</w:t>
            </w:r>
          </w:p>
        </w:tc>
        <w:tc>
          <w:tcPr>
            <w:tcW w:w="950" w:type="dxa"/>
            <w:tcBorders>
              <w:top w:val="single" w:color="auto" w:sz="4" w:space="0"/>
              <w:left w:val="single" w:color="auto" w:sz="4" w:space="0"/>
              <w:bottom w:val="single" w:color="auto" w:sz="4" w:space="0"/>
              <w:right w:val="single" w:color="auto" w:sz="4" w:space="0"/>
            </w:tcBorders>
            <w:vAlign w:val="center"/>
          </w:tcPr>
          <w:p w14:paraId="75ED56C2">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4分</w:t>
            </w:r>
          </w:p>
        </w:tc>
        <w:tc>
          <w:tcPr>
            <w:tcW w:w="1103" w:type="dxa"/>
            <w:tcBorders>
              <w:top w:val="single" w:color="auto" w:sz="4" w:space="0"/>
              <w:left w:val="single" w:color="auto" w:sz="4" w:space="0"/>
              <w:bottom w:val="single" w:color="auto" w:sz="4" w:space="0"/>
              <w:right w:val="single" w:color="auto" w:sz="4" w:space="0"/>
            </w:tcBorders>
            <w:vAlign w:val="center"/>
          </w:tcPr>
          <w:p w14:paraId="2D264298">
            <w:pPr>
              <w:spacing w:line="320" w:lineRule="exact"/>
              <w:rPr>
                <w:rFonts w:hint="eastAsia" w:ascii="宋体" w:hAnsi="宋体" w:eastAsia="宋体" w:cs="宋体"/>
                <w:color w:val="251724"/>
                <w:sz w:val="24"/>
                <w:szCs w:val="24"/>
                <w:highlight w:val="none"/>
              </w:rPr>
            </w:pPr>
          </w:p>
        </w:tc>
      </w:tr>
      <w:tr w14:paraId="2DAD6F1C">
        <w:tblPrEx>
          <w:tblCellMar>
            <w:top w:w="0" w:type="dxa"/>
            <w:left w:w="108" w:type="dxa"/>
            <w:bottom w:w="0" w:type="dxa"/>
            <w:right w:w="108" w:type="dxa"/>
          </w:tblCellMar>
        </w:tblPrEx>
        <w:trPr>
          <w:trHeight w:val="447" w:hRule="atLeast"/>
        </w:trPr>
        <w:tc>
          <w:tcPr>
            <w:tcW w:w="1654" w:type="dxa"/>
            <w:vMerge w:val="continue"/>
            <w:tcBorders>
              <w:left w:val="single" w:color="auto" w:sz="4" w:space="0"/>
              <w:right w:val="single" w:color="auto" w:sz="4" w:space="0"/>
            </w:tcBorders>
            <w:vAlign w:val="center"/>
          </w:tcPr>
          <w:p w14:paraId="2E9977EB">
            <w:pPr>
              <w:spacing w:line="320" w:lineRule="exact"/>
              <w:jc w:val="center"/>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tcPr>
          <w:p w14:paraId="509A42C5">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对未定品牌材料，应采购中档以上产品，不得采购和使用任何三无产品。</w:t>
            </w:r>
          </w:p>
        </w:tc>
        <w:tc>
          <w:tcPr>
            <w:tcW w:w="950" w:type="dxa"/>
            <w:tcBorders>
              <w:top w:val="single" w:color="auto" w:sz="4" w:space="0"/>
              <w:left w:val="single" w:color="auto" w:sz="4" w:space="0"/>
              <w:bottom w:val="single" w:color="auto" w:sz="4" w:space="0"/>
              <w:right w:val="single" w:color="auto" w:sz="4" w:space="0"/>
            </w:tcBorders>
            <w:vAlign w:val="center"/>
          </w:tcPr>
          <w:p w14:paraId="49005595">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3分</w:t>
            </w:r>
          </w:p>
        </w:tc>
        <w:tc>
          <w:tcPr>
            <w:tcW w:w="1103" w:type="dxa"/>
            <w:tcBorders>
              <w:top w:val="single" w:color="auto" w:sz="4" w:space="0"/>
              <w:left w:val="single" w:color="auto" w:sz="4" w:space="0"/>
              <w:bottom w:val="single" w:color="auto" w:sz="4" w:space="0"/>
              <w:right w:val="single" w:color="auto" w:sz="4" w:space="0"/>
            </w:tcBorders>
            <w:vAlign w:val="center"/>
          </w:tcPr>
          <w:p w14:paraId="2CE0230D">
            <w:pPr>
              <w:spacing w:line="320" w:lineRule="exact"/>
              <w:rPr>
                <w:rFonts w:hint="eastAsia" w:ascii="宋体" w:hAnsi="宋体" w:eastAsia="宋体" w:cs="宋体"/>
                <w:color w:val="251724"/>
                <w:sz w:val="24"/>
                <w:szCs w:val="24"/>
                <w:highlight w:val="none"/>
              </w:rPr>
            </w:pPr>
          </w:p>
        </w:tc>
      </w:tr>
      <w:tr w14:paraId="5A6F2802">
        <w:tblPrEx>
          <w:tblCellMar>
            <w:top w:w="0" w:type="dxa"/>
            <w:left w:w="108" w:type="dxa"/>
            <w:bottom w:w="0" w:type="dxa"/>
            <w:right w:w="108" w:type="dxa"/>
          </w:tblCellMar>
        </w:tblPrEx>
        <w:trPr>
          <w:trHeight w:val="447" w:hRule="atLeast"/>
        </w:trPr>
        <w:tc>
          <w:tcPr>
            <w:tcW w:w="1654" w:type="dxa"/>
            <w:vMerge w:val="continue"/>
            <w:tcBorders>
              <w:left w:val="single" w:color="auto" w:sz="4" w:space="0"/>
              <w:bottom w:val="single" w:color="auto" w:sz="4" w:space="0"/>
              <w:right w:val="single" w:color="auto" w:sz="4" w:space="0"/>
            </w:tcBorders>
            <w:vAlign w:val="center"/>
          </w:tcPr>
          <w:p w14:paraId="718C404A">
            <w:pPr>
              <w:spacing w:line="320" w:lineRule="exact"/>
              <w:jc w:val="center"/>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tcPr>
          <w:p w14:paraId="2C8B3CC9">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注意产品保质期管理，生熟食分区分类保管，标注清晰明确。</w:t>
            </w:r>
          </w:p>
        </w:tc>
        <w:tc>
          <w:tcPr>
            <w:tcW w:w="950" w:type="dxa"/>
            <w:tcBorders>
              <w:top w:val="single" w:color="auto" w:sz="4" w:space="0"/>
              <w:left w:val="single" w:color="auto" w:sz="4" w:space="0"/>
              <w:bottom w:val="single" w:color="auto" w:sz="4" w:space="0"/>
              <w:right w:val="single" w:color="auto" w:sz="4" w:space="0"/>
            </w:tcBorders>
            <w:vAlign w:val="center"/>
          </w:tcPr>
          <w:p w14:paraId="74A7C60E">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3分</w:t>
            </w:r>
          </w:p>
        </w:tc>
        <w:tc>
          <w:tcPr>
            <w:tcW w:w="1103" w:type="dxa"/>
            <w:tcBorders>
              <w:top w:val="single" w:color="auto" w:sz="4" w:space="0"/>
              <w:left w:val="single" w:color="auto" w:sz="4" w:space="0"/>
              <w:bottom w:val="single" w:color="auto" w:sz="4" w:space="0"/>
              <w:right w:val="single" w:color="auto" w:sz="4" w:space="0"/>
            </w:tcBorders>
            <w:vAlign w:val="center"/>
          </w:tcPr>
          <w:p w14:paraId="6365FB86">
            <w:pPr>
              <w:spacing w:line="320" w:lineRule="exact"/>
              <w:rPr>
                <w:rFonts w:hint="eastAsia" w:ascii="宋体" w:hAnsi="宋体" w:eastAsia="宋体" w:cs="宋体"/>
                <w:color w:val="251724"/>
                <w:sz w:val="24"/>
                <w:szCs w:val="24"/>
                <w:highlight w:val="none"/>
              </w:rPr>
            </w:pPr>
          </w:p>
        </w:tc>
      </w:tr>
      <w:tr w14:paraId="31DD0CEC">
        <w:tblPrEx>
          <w:tblCellMar>
            <w:top w:w="0" w:type="dxa"/>
            <w:left w:w="108" w:type="dxa"/>
            <w:bottom w:w="0" w:type="dxa"/>
            <w:right w:w="108" w:type="dxa"/>
          </w:tblCellMar>
        </w:tblPrEx>
        <w:trPr>
          <w:trHeight w:val="616" w:hRule="atLeast"/>
        </w:trPr>
        <w:tc>
          <w:tcPr>
            <w:tcW w:w="1654" w:type="dxa"/>
            <w:vMerge w:val="restart"/>
            <w:tcBorders>
              <w:left w:val="single" w:color="auto" w:sz="4" w:space="0"/>
              <w:right w:val="single" w:color="auto" w:sz="4" w:space="0"/>
            </w:tcBorders>
            <w:vAlign w:val="center"/>
          </w:tcPr>
          <w:p w14:paraId="755EB6E1">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能 耗</w:t>
            </w:r>
          </w:p>
          <w:p w14:paraId="4D9AD3FE">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管 理</w:t>
            </w:r>
          </w:p>
          <w:p w14:paraId="47C393A9">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5321" w:type="dxa"/>
            <w:tcBorders>
              <w:top w:val="single" w:color="auto" w:sz="4" w:space="0"/>
              <w:left w:val="single" w:color="auto" w:sz="4" w:space="0"/>
              <w:bottom w:val="single" w:color="auto" w:sz="4" w:space="0"/>
              <w:right w:val="single" w:color="auto" w:sz="4" w:space="0"/>
            </w:tcBorders>
          </w:tcPr>
          <w:p w14:paraId="350492D0">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落实专人负责水、电、煤气等能耗管理，并制定和落实相关节能措施，总体节能率达到3%以上。</w:t>
            </w:r>
          </w:p>
        </w:tc>
        <w:tc>
          <w:tcPr>
            <w:tcW w:w="950" w:type="dxa"/>
            <w:tcBorders>
              <w:top w:val="single" w:color="auto" w:sz="4" w:space="0"/>
              <w:left w:val="single" w:color="auto" w:sz="4" w:space="0"/>
              <w:bottom w:val="single" w:color="auto" w:sz="4" w:space="0"/>
              <w:right w:val="single" w:color="auto" w:sz="4" w:space="0"/>
            </w:tcBorders>
            <w:vAlign w:val="center"/>
          </w:tcPr>
          <w:p w14:paraId="0B80F5EE">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tcPr>
          <w:p w14:paraId="6D67600F">
            <w:pPr>
              <w:spacing w:line="320" w:lineRule="exact"/>
              <w:rPr>
                <w:rFonts w:hint="eastAsia" w:ascii="宋体" w:hAnsi="宋体" w:eastAsia="宋体" w:cs="宋体"/>
                <w:color w:val="251724"/>
                <w:sz w:val="24"/>
                <w:szCs w:val="24"/>
                <w:highlight w:val="none"/>
              </w:rPr>
            </w:pPr>
          </w:p>
        </w:tc>
      </w:tr>
      <w:tr w14:paraId="2799473E">
        <w:tblPrEx>
          <w:tblCellMar>
            <w:top w:w="0" w:type="dxa"/>
            <w:left w:w="108" w:type="dxa"/>
            <w:bottom w:w="0" w:type="dxa"/>
            <w:right w:w="108" w:type="dxa"/>
          </w:tblCellMar>
        </w:tblPrEx>
        <w:trPr>
          <w:trHeight w:val="447" w:hRule="atLeast"/>
        </w:trPr>
        <w:tc>
          <w:tcPr>
            <w:tcW w:w="1654" w:type="dxa"/>
            <w:vMerge w:val="continue"/>
            <w:tcBorders>
              <w:left w:val="single" w:color="auto" w:sz="4" w:space="0"/>
              <w:bottom w:val="single" w:color="auto" w:sz="4" w:space="0"/>
              <w:right w:val="single" w:color="auto" w:sz="4" w:space="0"/>
            </w:tcBorders>
            <w:vAlign w:val="center"/>
          </w:tcPr>
          <w:p w14:paraId="08457BC0">
            <w:pPr>
              <w:spacing w:line="320" w:lineRule="exact"/>
              <w:rPr>
                <w:rFonts w:hint="eastAsia" w:ascii="宋体" w:hAnsi="宋体" w:eastAsia="宋体" w:cs="宋体"/>
                <w:color w:val="251724"/>
                <w:sz w:val="24"/>
                <w:szCs w:val="24"/>
                <w:highlight w:val="none"/>
              </w:rPr>
            </w:pPr>
          </w:p>
        </w:tc>
        <w:tc>
          <w:tcPr>
            <w:tcW w:w="5321" w:type="dxa"/>
            <w:tcBorders>
              <w:top w:val="single" w:color="auto" w:sz="4" w:space="0"/>
              <w:left w:val="single" w:color="auto" w:sz="4" w:space="0"/>
              <w:bottom w:val="single" w:color="auto" w:sz="4" w:space="0"/>
              <w:right w:val="single" w:color="auto" w:sz="4" w:space="0"/>
            </w:tcBorders>
            <w:vAlign w:val="center"/>
          </w:tcPr>
          <w:p w14:paraId="6CA92933">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做好财产物资管理，无财产物资外流、人为损坏和偷盗等现象发生。</w:t>
            </w:r>
          </w:p>
        </w:tc>
        <w:tc>
          <w:tcPr>
            <w:tcW w:w="950" w:type="dxa"/>
            <w:tcBorders>
              <w:top w:val="single" w:color="auto" w:sz="4" w:space="0"/>
              <w:left w:val="single" w:color="auto" w:sz="4" w:space="0"/>
              <w:bottom w:val="single" w:color="auto" w:sz="4" w:space="0"/>
              <w:right w:val="single" w:color="auto" w:sz="4" w:space="0"/>
            </w:tcBorders>
            <w:vAlign w:val="center"/>
          </w:tcPr>
          <w:p w14:paraId="309E6910">
            <w:pPr>
              <w:spacing w:line="320" w:lineRule="exact"/>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1103" w:type="dxa"/>
            <w:tcBorders>
              <w:top w:val="single" w:color="auto" w:sz="4" w:space="0"/>
              <w:left w:val="single" w:color="auto" w:sz="4" w:space="0"/>
              <w:bottom w:val="single" w:color="auto" w:sz="4" w:space="0"/>
              <w:right w:val="single" w:color="auto" w:sz="4" w:space="0"/>
            </w:tcBorders>
          </w:tcPr>
          <w:p w14:paraId="48315511">
            <w:pPr>
              <w:spacing w:line="320" w:lineRule="exact"/>
              <w:rPr>
                <w:rFonts w:hint="eastAsia" w:ascii="宋体" w:hAnsi="宋体" w:eastAsia="宋体" w:cs="宋体"/>
                <w:color w:val="251724"/>
                <w:sz w:val="24"/>
                <w:szCs w:val="24"/>
                <w:highlight w:val="none"/>
              </w:rPr>
            </w:pPr>
          </w:p>
        </w:tc>
      </w:tr>
      <w:tr w14:paraId="716A80AF">
        <w:tblPrEx>
          <w:tblCellMar>
            <w:top w:w="0" w:type="dxa"/>
            <w:left w:w="108" w:type="dxa"/>
            <w:bottom w:w="0" w:type="dxa"/>
            <w:right w:w="108" w:type="dxa"/>
          </w:tblCellMar>
        </w:tblPrEx>
        <w:trPr>
          <w:trHeight w:val="840" w:hRule="atLeast"/>
        </w:trPr>
        <w:tc>
          <w:tcPr>
            <w:tcW w:w="9028" w:type="dxa"/>
            <w:gridSpan w:val="4"/>
            <w:tcBorders>
              <w:left w:val="single" w:color="auto" w:sz="4" w:space="0"/>
              <w:bottom w:val="single" w:color="auto" w:sz="4" w:space="0"/>
              <w:right w:val="single" w:color="auto" w:sz="4" w:space="0"/>
            </w:tcBorders>
            <w:vAlign w:val="center"/>
          </w:tcPr>
          <w:p w14:paraId="3E4ED5BD">
            <w:pPr>
              <w:spacing w:line="320" w:lineRule="exact"/>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合计得分：</w:t>
            </w:r>
          </w:p>
        </w:tc>
      </w:tr>
    </w:tbl>
    <w:p w14:paraId="1DD7AF4A">
      <w:pPr>
        <w:widowControl/>
        <w:spacing w:line="360" w:lineRule="auto"/>
        <w:jc w:val="center"/>
        <w:rPr>
          <w:rFonts w:hint="eastAsia" w:ascii="宋体" w:hAnsi="宋体" w:eastAsia="宋体" w:cs="宋体"/>
          <w:b/>
          <w:bCs/>
          <w:sz w:val="24"/>
          <w:szCs w:val="24"/>
          <w:highlight w:val="none"/>
        </w:rPr>
      </w:pPr>
    </w:p>
    <w:p w14:paraId="5EE3D741">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66C6B24">
      <w:pPr>
        <w:widowControl/>
        <w:spacing w:line="360" w:lineRule="auto"/>
        <w:jc w:val="center"/>
        <w:rPr>
          <w:rFonts w:hint="eastAsia" w:ascii="宋体" w:hAnsi="宋体" w:eastAsia="宋体" w:cs="宋体"/>
          <w:b/>
          <w:bCs/>
          <w:color w:val="FF0000"/>
          <w:sz w:val="24"/>
          <w:szCs w:val="24"/>
          <w:highlight w:val="none"/>
        </w:rPr>
      </w:pPr>
      <w:r>
        <w:rPr>
          <w:rFonts w:hint="eastAsia" w:ascii="宋体" w:hAnsi="宋体" w:eastAsia="宋体" w:cs="宋体"/>
          <w:b/>
          <w:bCs/>
          <w:color w:val="auto"/>
          <w:sz w:val="24"/>
          <w:szCs w:val="24"/>
          <w:highlight w:val="none"/>
        </w:rPr>
        <w:t xml:space="preserve">桃花镇机关餐厅日常考核汇总表 </w:t>
      </w:r>
    </w:p>
    <w:p w14:paraId="38574C4C">
      <w:pPr>
        <w:widowControl/>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测评人：                                   </w:t>
      </w:r>
      <w:r>
        <w:rPr>
          <w:rFonts w:hint="eastAsia" w:cs="宋体"/>
          <w:kern w:val="0"/>
          <w:sz w:val="24"/>
          <w:szCs w:val="24"/>
          <w:highlight w:val="none"/>
          <w:lang w:val="en-US" w:eastAsia="zh-CN"/>
        </w:rPr>
        <w:t xml:space="preserve">      </w:t>
      </w:r>
      <w:r>
        <w:rPr>
          <w:rFonts w:hint="eastAsia" w:ascii="宋体" w:hAnsi="宋体" w:eastAsia="宋体" w:cs="宋体"/>
          <w:kern w:val="0"/>
          <w:sz w:val="24"/>
          <w:szCs w:val="24"/>
          <w:highlight w:val="none"/>
        </w:rPr>
        <w:t>日期：</w:t>
      </w:r>
    </w:p>
    <w:tbl>
      <w:tblPr>
        <w:tblStyle w:val="16"/>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6400"/>
        <w:gridCol w:w="1282"/>
        <w:gridCol w:w="1214"/>
      </w:tblGrid>
      <w:tr w14:paraId="1D3D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3" w:type="dxa"/>
            <w:vAlign w:val="center"/>
          </w:tcPr>
          <w:p w14:paraId="0816E225">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分 值</w:t>
            </w:r>
          </w:p>
        </w:tc>
        <w:tc>
          <w:tcPr>
            <w:tcW w:w="6400" w:type="dxa"/>
            <w:vAlign w:val="center"/>
          </w:tcPr>
          <w:p w14:paraId="70EE5372">
            <w:pPr>
              <w:spacing w:line="360" w:lineRule="auto"/>
              <w:ind w:left="10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考核内容</w:t>
            </w:r>
          </w:p>
        </w:tc>
        <w:tc>
          <w:tcPr>
            <w:tcW w:w="1282" w:type="dxa"/>
            <w:vAlign w:val="center"/>
          </w:tcPr>
          <w:p w14:paraId="02042A7D">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得 分</w:t>
            </w:r>
          </w:p>
        </w:tc>
        <w:tc>
          <w:tcPr>
            <w:tcW w:w="1214" w:type="dxa"/>
            <w:vAlign w:val="center"/>
          </w:tcPr>
          <w:p w14:paraId="74DEAA70">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6FC7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83" w:type="dxa"/>
            <w:vAlign w:val="center"/>
          </w:tcPr>
          <w:p w14:paraId="5DFA8A95">
            <w:pPr>
              <w:spacing w:line="360" w:lineRule="auto"/>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6400" w:type="dxa"/>
          </w:tcPr>
          <w:p w14:paraId="6FA36EC3">
            <w:pPr>
              <w:spacing w:line="360" w:lineRule="auto"/>
              <w:ind w:left="108"/>
              <w:rPr>
                <w:rFonts w:hint="eastAsia" w:ascii="宋体" w:hAnsi="宋体" w:eastAsia="宋体" w:cs="宋体"/>
                <w:color w:val="251724"/>
                <w:sz w:val="24"/>
                <w:szCs w:val="24"/>
                <w:highlight w:val="none"/>
              </w:rPr>
            </w:pPr>
            <w:r>
              <w:rPr>
                <w:rFonts w:hint="eastAsia" w:ascii="宋体" w:hAnsi="宋体" w:eastAsia="宋体" w:cs="宋体"/>
                <w:sz w:val="24"/>
                <w:szCs w:val="24"/>
                <w:highlight w:val="none"/>
              </w:rPr>
              <w:t>就餐人员或部门对某一段时期餐饮服务提出书面表扬的</w:t>
            </w:r>
          </w:p>
        </w:tc>
        <w:tc>
          <w:tcPr>
            <w:tcW w:w="1282" w:type="dxa"/>
            <w:vAlign w:val="center"/>
          </w:tcPr>
          <w:p w14:paraId="6BDD199C">
            <w:pPr>
              <w:spacing w:line="360" w:lineRule="auto"/>
              <w:ind w:left="108"/>
              <w:jc w:val="center"/>
              <w:rPr>
                <w:rFonts w:hint="eastAsia" w:ascii="宋体" w:hAnsi="宋体" w:eastAsia="宋体" w:cs="宋体"/>
                <w:sz w:val="24"/>
                <w:szCs w:val="24"/>
                <w:highlight w:val="none"/>
              </w:rPr>
            </w:pPr>
          </w:p>
        </w:tc>
        <w:tc>
          <w:tcPr>
            <w:tcW w:w="1214" w:type="dxa"/>
            <w:vMerge w:val="restart"/>
            <w:vAlign w:val="center"/>
          </w:tcPr>
          <w:p w14:paraId="1C2C6FBC">
            <w:pPr>
              <w:spacing w:line="360" w:lineRule="auto"/>
              <w:ind w:left="108"/>
              <w:jc w:val="center"/>
              <w:rPr>
                <w:rFonts w:hint="eastAsia" w:ascii="宋体" w:hAnsi="宋体" w:eastAsia="宋体" w:cs="宋体"/>
                <w:sz w:val="24"/>
                <w:szCs w:val="24"/>
                <w:highlight w:val="none"/>
              </w:rPr>
            </w:pPr>
          </w:p>
        </w:tc>
      </w:tr>
      <w:tr w14:paraId="2511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83" w:type="dxa"/>
            <w:vAlign w:val="center"/>
          </w:tcPr>
          <w:p w14:paraId="47586E96">
            <w:pPr>
              <w:widowControl/>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6400" w:type="dxa"/>
          </w:tcPr>
          <w:p w14:paraId="2697423E">
            <w:pPr>
              <w:spacing w:line="360" w:lineRule="auto"/>
              <w:ind w:left="108"/>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提出创新性的服务举措，使服务质量得到明显提升的</w:t>
            </w:r>
          </w:p>
        </w:tc>
        <w:tc>
          <w:tcPr>
            <w:tcW w:w="1282" w:type="dxa"/>
            <w:vAlign w:val="center"/>
          </w:tcPr>
          <w:p w14:paraId="13D4FE85">
            <w:pPr>
              <w:spacing w:line="360" w:lineRule="auto"/>
              <w:ind w:left="108"/>
              <w:jc w:val="center"/>
              <w:rPr>
                <w:rFonts w:hint="eastAsia" w:ascii="宋体" w:hAnsi="宋体" w:eastAsia="宋体" w:cs="宋体"/>
                <w:spacing w:val="-6"/>
                <w:sz w:val="24"/>
                <w:szCs w:val="24"/>
                <w:highlight w:val="none"/>
              </w:rPr>
            </w:pPr>
          </w:p>
        </w:tc>
        <w:tc>
          <w:tcPr>
            <w:tcW w:w="1214" w:type="dxa"/>
            <w:vMerge w:val="continue"/>
            <w:vAlign w:val="center"/>
          </w:tcPr>
          <w:p w14:paraId="6D34FE6B">
            <w:pPr>
              <w:widowControl/>
              <w:jc w:val="left"/>
              <w:rPr>
                <w:rFonts w:hint="eastAsia" w:ascii="宋体" w:hAnsi="宋体" w:eastAsia="宋体" w:cs="宋体"/>
                <w:sz w:val="24"/>
                <w:szCs w:val="24"/>
                <w:highlight w:val="none"/>
              </w:rPr>
            </w:pPr>
          </w:p>
        </w:tc>
      </w:tr>
      <w:tr w14:paraId="3544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83" w:type="dxa"/>
            <w:vAlign w:val="center"/>
          </w:tcPr>
          <w:p w14:paraId="2205553E">
            <w:pPr>
              <w:widowControl/>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6400" w:type="dxa"/>
          </w:tcPr>
          <w:p w14:paraId="41A3F7CD">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积极主动提供优质服务获得一致好评的。</w:t>
            </w:r>
          </w:p>
        </w:tc>
        <w:tc>
          <w:tcPr>
            <w:tcW w:w="1282" w:type="dxa"/>
            <w:vAlign w:val="center"/>
          </w:tcPr>
          <w:p w14:paraId="4A6649DD">
            <w:pPr>
              <w:spacing w:line="360" w:lineRule="auto"/>
              <w:ind w:left="108"/>
              <w:jc w:val="center"/>
              <w:rPr>
                <w:rFonts w:hint="eastAsia" w:ascii="宋体" w:hAnsi="宋体" w:eastAsia="宋体" w:cs="宋体"/>
                <w:sz w:val="24"/>
                <w:szCs w:val="24"/>
                <w:highlight w:val="none"/>
              </w:rPr>
            </w:pPr>
          </w:p>
        </w:tc>
        <w:tc>
          <w:tcPr>
            <w:tcW w:w="1214" w:type="dxa"/>
            <w:vMerge w:val="continue"/>
            <w:vAlign w:val="center"/>
          </w:tcPr>
          <w:p w14:paraId="512C8DAF">
            <w:pPr>
              <w:widowControl/>
              <w:jc w:val="left"/>
              <w:rPr>
                <w:rFonts w:hint="eastAsia" w:ascii="宋体" w:hAnsi="宋体" w:eastAsia="宋体" w:cs="宋体"/>
                <w:sz w:val="24"/>
                <w:szCs w:val="24"/>
                <w:highlight w:val="none"/>
              </w:rPr>
            </w:pPr>
          </w:p>
        </w:tc>
      </w:tr>
      <w:tr w14:paraId="015F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83" w:type="dxa"/>
            <w:vAlign w:val="center"/>
          </w:tcPr>
          <w:p w14:paraId="17CCD4D7">
            <w:pPr>
              <w:spacing w:line="360" w:lineRule="auto"/>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6400" w:type="dxa"/>
            <w:vAlign w:val="center"/>
          </w:tcPr>
          <w:p w14:paraId="280DEA0A">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就餐人员或部门对某次或某一段时期餐饮服务提出批评意见或投诉的；</w:t>
            </w:r>
          </w:p>
        </w:tc>
        <w:tc>
          <w:tcPr>
            <w:tcW w:w="1282" w:type="dxa"/>
            <w:vAlign w:val="center"/>
          </w:tcPr>
          <w:p w14:paraId="38D8425F">
            <w:pPr>
              <w:widowControl/>
              <w:spacing w:line="360" w:lineRule="auto"/>
              <w:jc w:val="center"/>
              <w:rPr>
                <w:rFonts w:hint="eastAsia" w:ascii="宋体" w:hAnsi="宋体" w:eastAsia="宋体" w:cs="宋体"/>
                <w:color w:val="251724"/>
                <w:sz w:val="24"/>
                <w:szCs w:val="24"/>
                <w:highlight w:val="none"/>
              </w:rPr>
            </w:pPr>
          </w:p>
        </w:tc>
        <w:tc>
          <w:tcPr>
            <w:tcW w:w="1214" w:type="dxa"/>
            <w:vMerge w:val="continue"/>
            <w:vAlign w:val="center"/>
          </w:tcPr>
          <w:p w14:paraId="5B770DF4">
            <w:pPr>
              <w:widowControl/>
              <w:spacing w:line="360" w:lineRule="auto"/>
              <w:jc w:val="left"/>
              <w:rPr>
                <w:rFonts w:hint="eastAsia" w:ascii="宋体" w:hAnsi="宋体" w:eastAsia="宋体" w:cs="宋体"/>
                <w:kern w:val="0"/>
                <w:sz w:val="24"/>
                <w:szCs w:val="24"/>
                <w:highlight w:val="none"/>
              </w:rPr>
            </w:pPr>
          </w:p>
        </w:tc>
      </w:tr>
      <w:tr w14:paraId="13FC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83" w:type="dxa"/>
            <w:vAlign w:val="center"/>
          </w:tcPr>
          <w:p w14:paraId="39BB990A">
            <w:pPr>
              <w:widowControl/>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6400" w:type="dxa"/>
            <w:vAlign w:val="center"/>
          </w:tcPr>
          <w:p w14:paraId="6CEAD6DE">
            <w:pPr>
              <w:spacing w:line="360" w:lineRule="auto"/>
              <w:rPr>
                <w:rFonts w:hint="eastAsia" w:ascii="宋体" w:hAnsi="宋体" w:eastAsia="宋体" w:cs="宋体"/>
                <w:color w:val="251724"/>
                <w:sz w:val="24"/>
                <w:szCs w:val="24"/>
                <w:highlight w:val="none"/>
              </w:rPr>
            </w:pPr>
            <w:r>
              <w:rPr>
                <w:rFonts w:hint="eastAsia" w:ascii="宋体" w:hAnsi="宋体" w:eastAsia="宋体" w:cs="宋体"/>
                <w:sz w:val="24"/>
                <w:szCs w:val="24"/>
                <w:highlight w:val="none"/>
              </w:rPr>
              <w:t>服务人员未到位和未提供规范文明服务，与就餐人员发生争吵或其他影响恶劣行为的</w:t>
            </w:r>
          </w:p>
        </w:tc>
        <w:tc>
          <w:tcPr>
            <w:tcW w:w="1282" w:type="dxa"/>
            <w:vAlign w:val="center"/>
          </w:tcPr>
          <w:p w14:paraId="0841FDD6">
            <w:pPr>
              <w:widowControl/>
              <w:spacing w:line="360" w:lineRule="auto"/>
              <w:jc w:val="center"/>
              <w:rPr>
                <w:rFonts w:hint="eastAsia" w:ascii="宋体" w:hAnsi="宋体" w:eastAsia="宋体" w:cs="宋体"/>
                <w:color w:val="251724"/>
                <w:sz w:val="24"/>
                <w:szCs w:val="24"/>
                <w:highlight w:val="none"/>
              </w:rPr>
            </w:pPr>
          </w:p>
        </w:tc>
        <w:tc>
          <w:tcPr>
            <w:tcW w:w="1214" w:type="dxa"/>
            <w:vMerge w:val="continue"/>
            <w:vAlign w:val="center"/>
          </w:tcPr>
          <w:p w14:paraId="66B39F88">
            <w:pPr>
              <w:widowControl/>
              <w:jc w:val="left"/>
              <w:rPr>
                <w:rFonts w:hint="eastAsia" w:ascii="宋体" w:hAnsi="宋体" w:eastAsia="宋体" w:cs="宋体"/>
                <w:kern w:val="0"/>
                <w:sz w:val="24"/>
                <w:szCs w:val="24"/>
                <w:highlight w:val="none"/>
              </w:rPr>
            </w:pPr>
          </w:p>
        </w:tc>
      </w:tr>
      <w:tr w14:paraId="1821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83" w:type="dxa"/>
            <w:vAlign w:val="center"/>
          </w:tcPr>
          <w:p w14:paraId="46669C46">
            <w:pPr>
              <w:widowControl/>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6400" w:type="dxa"/>
            <w:vAlign w:val="center"/>
          </w:tcPr>
          <w:p w14:paraId="6985FAF3">
            <w:pPr>
              <w:spacing w:line="360" w:lineRule="auto"/>
              <w:rPr>
                <w:rFonts w:hint="eastAsia" w:ascii="宋体" w:hAnsi="宋体" w:eastAsia="宋体" w:cs="宋体"/>
                <w:color w:val="251724"/>
                <w:sz w:val="24"/>
                <w:szCs w:val="24"/>
                <w:highlight w:val="none"/>
              </w:rPr>
            </w:pPr>
            <w:r>
              <w:rPr>
                <w:rFonts w:hint="eastAsia" w:ascii="宋体" w:hAnsi="宋体" w:eastAsia="宋体" w:cs="宋体"/>
                <w:sz w:val="24"/>
                <w:szCs w:val="24"/>
                <w:highlight w:val="none"/>
              </w:rPr>
              <w:t>因管理不规范等原因，导致受有关行政管理部门处罚的</w:t>
            </w:r>
          </w:p>
        </w:tc>
        <w:tc>
          <w:tcPr>
            <w:tcW w:w="1282" w:type="dxa"/>
            <w:vAlign w:val="center"/>
          </w:tcPr>
          <w:p w14:paraId="53F92E18">
            <w:pPr>
              <w:widowControl/>
              <w:spacing w:line="360" w:lineRule="auto"/>
              <w:jc w:val="center"/>
              <w:rPr>
                <w:rFonts w:hint="eastAsia" w:ascii="宋体" w:hAnsi="宋体" w:eastAsia="宋体" w:cs="宋体"/>
                <w:color w:val="251724"/>
                <w:sz w:val="24"/>
                <w:szCs w:val="24"/>
                <w:highlight w:val="none"/>
              </w:rPr>
            </w:pPr>
          </w:p>
        </w:tc>
        <w:tc>
          <w:tcPr>
            <w:tcW w:w="1214" w:type="dxa"/>
            <w:vMerge w:val="continue"/>
            <w:vAlign w:val="center"/>
          </w:tcPr>
          <w:p w14:paraId="196A2530">
            <w:pPr>
              <w:widowControl/>
              <w:jc w:val="left"/>
              <w:rPr>
                <w:rFonts w:hint="eastAsia" w:ascii="宋体" w:hAnsi="宋体" w:eastAsia="宋体" w:cs="宋体"/>
                <w:kern w:val="0"/>
                <w:sz w:val="24"/>
                <w:szCs w:val="24"/>
                <w:highlight w:val="none"/>
              </w:rPr>
            </w:pPr>
          </w:p>
        </w:tc>
      </w:tr>
      <w:tr w14:paraId="4BCA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83" w:type="dxa"/>
            <w:vAlign w:val="center"/>
          </w:tcPr>
          <w:p w14:paraId="55705B12">
            <w:pPr>
              <w:widowControl/>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6400" w:type="dxa"/>
            <w:vAlign w:val="center"/>
          </w:tcPr>
          <w:p w14:paraId="5262A545">
            <w:pPr>
              <w:spacing w:line="360" w:lineRule="auto"/>
              <w:rPr>
                <w:rFonts w:hint="eastAsia" w:ascii="宋体" w:hAnsi="宋体" w:eastAsia="宋体" w:cs="宋体"/>
                <w:color w:val="251724"/>
                <w:sz w:val="24"/>
                <w:szCs w:val="24"/>
                <w:highlight w:val="none"/>
              </w:rPr>
            </w:pPr>
            <w:r>
              <w:rPr>
                <w:rFonts w:hint="eastAsia" w:ascii="宋体" w:hAnsi="宋体" w:eastAsia="宋体" w:cs="宋体"/>
                <w:sz w:val="24"/>
                <w:szCs w:val="24"/>
                <w:highlight w:val="none"/>
              </w:rPr>
              <w:t>采购出现不合格或不符合部分指定品牌要求的食品、调料等的；</w:t>
            </w:r>
          </w:p>
        </w:tc>
        <w:tc>
          <w:tcPr>
            <w:tcW w:w="1282" w:type="dxa"/>
            <w:vAlign w:val="center"/>
          </w:tcPr>
          <w:p w14:paraId="2D6B18D7">
            <w:pPr>
              <w:spacing w:line="360" w:lineRule="auto"/>
              <w:jc w:val="center"/>
              <w:rPr>
                <w:rFonts w:hint="eastAsia" w:ascii="宋体" w:hAnsi="宋体" w:eastAsia="宋体" w:cs="宋体"/>
                <w:color w:val="251724"/>
                <w:sz w:val="24"/>
                <w:szCs w:val="24"/>
                <w:highlight w:val="none"/>
              </w:rPr>
            </w:pPr>
          </w:p>
        </w:tc>
        <w:tc>
          <w:tcPr>
            <w:tcW w:w="1214" w:type="dxa"/>
            <w:vMerge w:val="continue"/>
            <w:vAlign w:val="center"/>
          </w:tcPr>
          <w:p w14:paraId="00A4C29B">
            <w:pPr>
              <w:widowControl/>
              <w:jc w:val="left"/>
              <w:rPr>
                <w:rFonts w:hint="eastAsia" w:ascii="宋体" w:hAnsi="宋体" w:eastAsia="宋体" w:cs="宋体"/>
                <w:kern w:val="0"/>
                <w:sz w:val="24"/>
                <w:szCs w:val="24"/>
                <w:highlight w:val="none"/>
              </w:rPr>
            </w:pPr>
          </w:p>
        </w:tc>
      </w:tr>
      <w:tr w14:paraId="3D63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3" w:type="dxa"/>
            <w:vAlign w:val="center"/>
          </w:tcPr>
          <w:p w14:paraId="2EE83C99">
            <w:pPr>
              <w:widowControl/>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6400" w:type="dxa"/>
            <w:vAlign w:val="center"/>
          </w:tcPr>
          <w:p w14:paraId="1E6994EC">
            <w:pPr>
              <w:widowControl/>
              <w:spacing w:line="360" w:lineRule="auto"/>
              <w:rPr>
                <w:rFonts w:hint="eastAsia" w:ascii="宋体" w:hAnsi="宋体" w:eastAsia="宋体" w:cs="宋体"/>
                <w:color w:val="251724"/>
                <w:sz w:val="24"/>
                <w:szCs w:val="24"/>
                <w:highlight w:val="none"/>
              </w:rPr>
            </w:pPr>
            <w:r>
              <w:rPr>
                <w:rFonts w:hint="eastAsia" w:ascii="宋体" w:hAnsi="宋体" w:eastAsia="宋体" w:cs="宋体"/>
                <w:kern w:val="0"/>
                <w:sz w:val="24"/>
                <w:szCs w:val="24"/>
                <w:highlight w:val="none"/>
              </w:rPr>
              <w:t>未经允许擅自改动食谱的</w:t>
            </w:r>
          </w:p>
        </w:tc>
        <w:tc>
          <w:tcPr>
            <w:tcW w:w="1282" w:type="dxa"/>
            <w:vAlign w:val="center"/>
          </w:tcPr>
          <w:p w14:paraId="5382E552">
            <w:pPr>
              <w:spacing w:line="360" w:lineRule="auto"/>
              <w:jc w:val="center"/>
              <w:rPr>
                <w:rFonts w:hint="eastAsia" w:ascii="宋体" w:hAnsi="宋体" w:eastAsia="宋体" w:cs="宋体"/>
                <w:color w:val="251724"/>
                <w:sz w:val="24"/>
                <w:szCs w:val="24"/>
                <w:highlight w:val="none"/>
              </w:rPr>
            </w:pPr>
          </w:p>
        </w:tc>
        <w:tc>
          <w:tcPr>
            <w:tcW w:w="1214" w:type="dxa"/>
            <w:vMerge w:val="continue"/>
            <w:vAlign w:val="center"/>
          </w:tcPr>
          <w:p w14:paraId="5FA44E7B">
            <w:pPr>
              <w:widowControl/>
              <w:jc w:val="left"/>
              <w:rPr>
                <w:rFonts w:hint="eastAsia" w:ascii="宋体" w:hAnsi="宋体" w:eastAsia="宋体" w:cs="宋体"/>
                <w:kern w:val="0"/>
                <w:sz w:val="24"/>
                <w:szCs w:val="24"/>
                <w:highlight w:val="none"/>
              </w:rPr>
            </w:pPr>
          </w:p>
        </w:tc>
      </w:tr>
      <w:tr w14:paraId="5EA1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3" w:type="dxa"/>
            <w:vAlign w:val="center"/>
          </w:tcPr>
          <w:p w14:paraId="36E6F140">
            <w:pPr>
              <w:widowControl/>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6400" w:type="dxa"/>
          </w:tcPr>
          <w:p w14:paraId="54C1FA1E">
            <w:pPr>
              <w:spacing w:line="360" w:lineRule="auto"/>
              <w:rPr>
                <w:rFonts w:hint="eastAsia" w:ascii="宋体" w:hAnsi="宋体" w:eastAsia="宋体" w:cs="宋体"/>
                <w:color w:val="251724"/>
                <w:sz w:val="24"/>
                <w:szCs w:val="24"/>
                <w:highlight w:val="none"/>
              </w:rPr>
            </w:pPr>
            <w:r>
              <w:rPr>
                <w:rFonts w:hint="eastAsia" w:ascii="宋体" w:hAnsi="宋体" w:eastAsia="宋体" w:cs="宋体"/>
                <w:sz w:val="24"/>
                <w:szCs w:val="24"/>
                <w:highlight w:val="none"/>
              </w:rPr>
              <w:t>就餐人员投诉菜肴出现钢丝、铁钉等不洁物品的</w:t>
            </w:r>
          </w:p>
        </w:tc>
        <w:tc>
          <w:tcPr>
            <w:tcW w:w="1282" w:type="dxa"/>
            <w:vAlign w:val="center"/>
          </w:tcPr>
          <w:p w14:paraId="30A530E2">
            <w:pPr>
              <w:widowControl/>
              <w:spacing w:line="360" w:lineRule="auto"/>
              <w:jc w:val="center"/>
              <w:rPr>
                <w:rFonts w:hint="eastAsia" w:ascii="宋体" w:hAnsi="宋体" w:eastAsia="宋体" w:cs="宋体"/>
                <w:color w:val="251724"/>
                <w:sz w:val="24"/>
                <w:szCs w:val="24"/>
                <w:highlight w:val="none"/>
              </w:rPr>
            </w:pPr>
          </w:p>
        </w:tc>
        <w:tc>
          <w:tcPr>
            <w:tcW w:w="1214" w:type="dxa"/>
            <w:vMerge w:val="continue"/>
            <w:vAlign w:val="center"/>
          </w:tcPr>
          <w:p w14:paraId="4C511BBA">
            <w:pPr>
              <w:widowControl/>
              <w:jc w:val="left"/>
              <w:rPr>
                <w:rFonts w:hint="eastAsia" w:ascii="宋体" w:hAnsi="宋体" w:eastAsia="宋体" w:cs="宋体"/>
                <w:kern w:val="0"/>
                <w:sz w:val="24"/>
                <w:szCs w:val="24"/>
                <w:highlight w:val="none"/>
              </w:rPr>
            </w:pPr>
          </w:p>
        </w:tc>
      </w:tr>
      <w:tr w14:paraId="6C7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3" w:type="dxa"/>
            <w:vAlign w:val="center"/>
          </w:tcPr>
          <w:p w14:paraId="770369EA">
            <w:pPr>
              <w:widowControl/>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10分</w:t>
            </w:r>
          </w:p>
        </w:tc>
        <w:tc>
          <w:tcPr>
            <w:tcW w:w="6400" w:type="dxa"/>
          </w:tcPr>
          <w:p w14:paraId="59033A41">
            <w:pPr>
              <w:spacing w:line="360" w:lineRule="auto"/>
              <w:rPr>
                <w:rFonts w:hint="eastAsia" w:ascii="宋体" w:hAnsi="宋体" w:eastAsia="宋体" w:cs="宋体"/>
                <w:color w:val="251724"/>
                <w:sz w:val="24"/>
                <w:szCs w:val="24"/>
                <w:highlight w:val="none"/>
              </w:rPr>
            </w:pPr>
            <w:r>
              <w:rPr>
                <w:rFonts w:hint="eastAsia" w:ascii="宋体" w:hAnsi="宋体" w:eastAsia="宋体" w:cs="宋体"/>
                <w:sz w:val="24"/>
                <w:szCs w:val="24"/>
                <w:highlight w:val="none"/>
              </w:rPr>
              <w:t>厨房餐厅出现老鼠、蟑螂等病虫害的</w:t>
            </w:r>
          </w:p>
        </w:tc>
        <w:tc>
          <w:tcPr>
            <w:tcW w:w="1282" w:type="dxa"/>
            <w:vAlign w:val="center"/>
          </w:tcPr>
          <w:p w14:paraId="6BDEC061">
            <w:pPr>
              <w:spacing w:line="360" w:lineRule="auto"/>
              <w:jc w:val="center"/>
              <w:rPr>
                <w:rFonts w:hint="eastAsia" w:ascii="宋体" w:hAnsi="宋体" w:eastAsia="宋体" w:cs="宋体"/>
                <w:color w:val="251724"/>
                <w:sz w:val="24"/>
                <w:szCs w:val="24"/>
                <w:highlight w:val="none"/>
              </w:rPr>
            </w:pPr>
          </w:p>
        </w:tc>
        <w:tc>
          <w:tcPr>
            <w:tcW w:w="1214" w:type="dxa"/>
            <w:vMerge w:val="continue"/>
            <w:vAlign w:val="center"/>
          </w:tcPr>
          <w:p w14:paraId="5B87313D">
            <w:pPr>
              <w:widowControl/>
              <w:jc w:val="left"/>
              <w:rPr>
                <w:rFonts w:hint="eastAsia" w:ascii="宋体" w:hAnsi="宋体" w:eastAsia="宋体" w:cs="宋体"/>
                <w:kern w:val="0"/>
                <w:sz w:val="24"/>
                <w:szCs w:val="24"/>
                <w:highlight w:val="none"/>
              </w:rPr>
            </w:pPr>
          </w:p>
        </w:tc>
      </w:tr>
      <w:tr w14:paraId="651D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3" w:type="dxa"/>
            <w:vAlign w:val="center"/>
          </w:tcPr>
          <w:p w14:paraId="71BD08E9">
            <w:pPr>
              <w:widowControl/>
              <w:spacing w:line="360" w:lineRule="auto"/>
              <w:jc w:val="center"/>
              <w:rPr>
                <w:rFonts w:hint="eastAsia" w:ascii="宋体" w:hAnsi="宋体" w:eastAsia="宋体" w:cs="宋体"/>
                <w:color w:val="251724"/>
                <w:sz w:val="24"/>
                <w:szCs w:val="24"/>
                <w:highlight w:val="none"/>
              </w:rPr>
            </w:pPr>
            <w:r>
              <w:rPr>
                <w:rFonts w:hint="eastAsia" w:ascii="宋体" w:hAnsi="宋体" w:eastAsia="宋体" w:cs="宋体"/>
                <w:color w:val="251724"/>
                <w:sz w:val="24"/>
                <w:szCs w:val="24"/>
                <w:highlight w:val="none"/>
              </w:rPr>
              <w:t>5分</w:t>
            </w:r>
          </w:p>
        </w:tc>
        <w:tc>
          <w:tcPr>
            <w:tcW w:w="6400" w:type="dxa"/>
            <w:vAlign w:val="center"/>
          </w:tcPr>
          <w:p w14:paraId="7C0BC176">
            <w:pPr>
              <w:spacing w:line="360" w:lineRule="auto"/>
              <w:rPr>
                <w:rFonts w:hint="eastAsia" w:ascii="宋体" w:hAnsi="宋体" w:eastAsia="宋体" w:cs="宋体"/>
                <w:color w:val="251724"/>
                <w:sz w:val="24"/>
                <w:szCs w:val="24"/>
                <w:highlight w:val="none"/>
              </w:rPr>
            </w:pPr>
            <w:r>
              <w:rPr>
                <w:rFonts w:hint="eastAsia" w:ascii="宋体" w:hAnsi="宋体" w:eastAsia="宋体" w:cs="宋体"/>
                <w:sz w:val="24"/>
                <w:szCs w:val="24"/>
                <w:highlight w:val="none"/>
              </w:rPr>
              <w:t>其他不符合服务规定的事项</w:t>
            </w:r>
          </w:p>
        </w:tc>
        <w:tc>
          <w:tcPr>
            <w:tcW w:w="1282" w:type="dxa"/>
            <w:vAlign w:val="center"/>
          </w:tcPr>
          <w:p w14:paraId="6A09BE95">
            <w:pPr>
              <w:widowControl/>
              <w:spacing w:line="360" w:lineRule="auto"/>
              <w:jc w:val="center"/>
              <w:rPr>
                <w:rFonts w:hint="eastAsia" w:ascii="宋体" w:hAnsi="宋体" w:eastAsia="宋体" w:cs="宋体"/>
                <w:color w:val="251724"/>
                <w:sz w:val="24"/>
                <w:szCs w:val="24"/>
                <w:highlight w:val="none"/>
              </w:rPr>
            </w:pPr>
          </w:p>
        </w:tc>
        <w:tc>
          <w:tcPr>
            <w:tcW w:w="1214" w:type="dxa"/>
            <w:vMerge w:val="continue"/>
            <w:vAlign w:val="center"/>
          </w:tcPr>
          <w:p w14:paraId="12E13791">
            <w:pPr>
              <w:widowControl/>
              <w:jc w:val="left"/>
              <w:rPr>
                <w:rFonts w:hint="eastAsia" w:ascii="宋体" w:hAnsi="宋体" w:eastAsia="宋体" w:cs="宋体"/>
                <w:kern w:val="0"/>
                <w:sz w:val="24"/>
                <w:szCs w:val="24"/>
                <w:highlight w:val="none"/>
              </w:rPr>
            </w:pPr>
          </w:p>
        </w:tc>
      </w:tr>
      <w:tr w14:paraId="17B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83" w:type="dxa"/>
            <w:vAlign w:val="center"/>
          </w:tcPr>
          <w:p w14:paraId="37404D5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合计得分</w:t>
            </w:r>
          </w:p>
          <w:p w14:paraId="38E4092D">
            <w:pPr>
              <w:spacing w:line="360" w:lineRule="auto"/>
              <w:jc w:val="center"/>
              <w:rPr>
                <w:rFonts w:hint="eastAsia" w:ascii="宋体" w:hAnsi="宋体" w:eastAsia="宋体" w:cs="宋体"/>
                <w:sz w:val="24"/>
                <w:szCs w:val="24"/>
                <w:highlight w:val="none"/>
              </w:rPr>
            </w:pPr>
          </w:p>
        </w:tc>
        <w:tc>
          <w:tcPr>
            <w:tcW w:w="8896" w:type="dxa"/>
            <w:gridSpan w:val="3"/>
            <w:vAlign w:val="center"/>
          </w:tcPr>
          <w:p w14:paraId="1F40E5E1">
            <w:pPr>
              <w:spacing w:line="360" w:lineRule="auto"/>
              <w:rPr>
                <w:rFonts w:hint="eastAsia" w:ascii="宋体" w:hAnsi="宋体" w:eastAsia="宋体" w:cs="宋体"/>
                <w:sz w:val="24"/>
                <w:szCs w:val="24"/>
                <w:highlight w:val="none"/>
              </w:rPr>
            </w:pPr>
          </w:p>
        </w:tc>
      </w:tr>
    </w:tbl>
    <w:p w14:paraId="4E20536B">
      <w:pPr>
        <w:spacing w:line="360" w:lineRule="auto"/>
        <w:jc w:val="center"/>
        <w:outlineLvl w:val="1"/>
        <w:rPr>
          <w:rFonts w:asciiTheme="minorEastAsia" w:hAnsiTheme="minorEastAsia" w:eastAsiaTheme="minorEastAsia"/>
          <w:b/>
          <w:color w:val="auto"/>
          <w:sz w:val="28"/>
          <w:highlight w:val="none"/>
        </w:rPr>
      </w:pPr>
      <w:bookmarkStart w:id="10" w:name="_Toc18029"/>
      <w:r>
        <w:rPr>
          <w:rFonts w:hint="eastAsia" w:asciiTheme="minorEastAsia" w:hAnsiTheme="minorEastAsia" w:eastAsiaTheme="minorEastAsia"/>
          <w:b/>
          <w:color w:val="auto"/>
          <w:sz w:val="28"/>
          <w:highlight w:val="none"/>
        </w:rPr>
        <w:t>第四章  评审方法和标准</w:t>
      </w:r>
      <w:bookmarkEnd w:id="10"/>
    </w:p>
    <w:p w14:paraId="64FFBA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7FA9F7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本项目采用综合评分法评审，响应文件满足</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文件全部实质性要求且按评审因素的量化指标评审得分最高的供应商为成交候选人的评审方法。</w:t>
      </w:r>
    </w:p>
    <w:p w14:paraId="10579F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二、评审方法</w:t>
      </w:r>
    </w:p>
    <w:p w14:paraId="615C05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5335AE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评审委员会对供应商的响应文件进行初审，以确定其是否满足</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文件的实质性要求。初审表如下：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14:paraId="50F7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01BC099C">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6BB1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14:paraId="3D85F587">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序号</w:t>
            </w:r>
          </w:p>
        </w:tc>
        <w:tc>
          <w:tcPr>
            <w:tcW w:w="1304" w:type="pct"/>
            <w:tcBorders>
              <w:bottom w:val="single" w:color="auto" w:sz="4" w:space="0"/>
            </w:tcBorders>
            <w:vAlign w:val="center"/>
          </w:tcPr>
          <w:p w14:paraId="1FDB9ED8">
            <w:pPr>
              <w:adjustRightInd w:val="0"/>
              <w:snapToGrid w:val="0"/>
              <w:ind w:right="-10"/>
              <w:jc w:val="center"/>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评审指标</w:t>
            </w:r>
          </w:p>
        </w:tc>
        <w:tc>
          <w:tcPr>
            <w:tcW w:w="3285" w:type="pct"/>
            <w:tcBorders>
              <w:bottom w:val="single" w:color="auto" w:sz="4" w:space="0"/>
            </w:tcBorders>
            <w:vAlign w:val="center"/>
          </w:tcPr>
          <w:p w14:paraId="7DB010DC">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合格条件</w:t>
            </w:r>
          </w:p>
        </w:tc>
      </w:tr>
      <w:tr w14:paraId="7864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41955E5D">
            <w:pPr>
              <w:adjustRightInd w:val="0"/>
              <w:snapToGrid w:val="0"/>
              <w:ind w:right="-10"/>
              <w:jc w:val="center"/>
              <w:rPr>
                <w:rFonts w:ascii="Calibri" w:hAnsi="Calibri" w:cs="Times New Roman"/>
                <w:color w:val="auto"/>
                <w:kern w:val="2"/>
                <w:sz w:val="24"/>
                <w:szCs w:val="22"/>
                <w:highlight w:val="none"/>
              </w:rPr>
            </w:pPr>
            <w:r>
              <w:rPr>
                <w:rFonts w:hint="eastAsia" w:cs="Times New Roman"/>
                <w:color w:val="auto"/>
                <w:kern w:val="2"/>
                <w:sz w:val="24"/>
                <w:highlight w:val="none"/>
              </w:rPr>
              <w:t>1</w:t>
            </w:r>
          </w:p>
        </w:tc>
        <w:tc>
          <w:tcPr>
            <w:tcW w:w="1304" w:type="pct"/>
            <w:tcBorders>
              <w:bottom w:val="single" w:color="auto" w:sz="4" w:space="0"/>
            </w:tcBorders>
            <w:vAlign w:val="center"/>
          </w:tcPr>
          <w:p w14:paraId="1F602784">
            <w:pPr>
              <w:adjustRightInd w:val="0"/>
              <w:snapToGrid w:val="0"/>
              <w:ind w:right="-10"/>
              <w:jc w:val="left"/>
              <w:rPr>
                <w:rFonts w:cs="Times New Roman"/>
                <w:color w:val="auto"/>
                <w:kern w:val="2"/>
                <w:sz w:val="24"/>
                <w:highlight w:val="none"/>
              </w:rPr>
            </w:pPr>
            <w:r>
              <w:rPr>
                <w:rFonts w:hint="eastAsia" w:cs="Times New Roman"/>
                <w:color w:val="auto"/>
                <w:kern w:val="2"/>
                <w:sz w:val="24"/>
                <w:highlight w:val="none"/>
              </w:rPr>
              <w:t>营业执照</w:t>
            </w:r>
          </w:p>
        </w:tc>
        <w:tc>
          <w:tcPr>
            <w:tcW w:w="3285" w:type="pct"/>
            <w:tcBorders>
              <w:bottom w:val="single" w:color="auto" w:sz="4" w:space="0"/>
            </w:tcBorders>
            <w:vAlign w:val="center"/>
          </w:tcPr>
          <w:p w14:paraId="1759DF58">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提供有效的营业执照扫描件或者影印件，应完整地体现出营业执照的全部内容。</w:t>
            </w:r>
          </w:p>
        </w:tc>
      </w:tr>
      <w:tr w14:paraId="22DD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3D62DCA">
            <w:pPr>
              <w:adjustRightInd w:val="0"/>
              <w:snapToGrid w:val="0"/>
              <w:ind w:right="-10"/>
              <w:jc w:val="center"/>
              <w:rPr>
                <w:rFonts w:cs="Times New Roman"/>
                <w:color w:val="auto"/>
                <w:kern w:val="2"/>
                <w:sz w:val="24"/>
                <w:highlight w:val="none"/>
              </w:rPr>
            </w:pPr>
            <w:r>
              <w:rPr>
                <w:rFonts w:hint="eastAsia" w:cs="Times New Roman"/>
                <w:color w:val="auto"/>
                <w:kern w:val="2"/>
                <w:sz w:val="24"/>
                <w:highlight w:val="none"/>
              </w:rPr>
              <w:t>2</w:t>
            </w:r>
          </w:p>
        </w:tc>
        <w:tc>
          <w:tcPr>
            <w:tcW w:w="1304" w:type="pct"/>
            <w:vAlign w:val="center"/>
          </w:tcPr>
          <w:p w14:paraId="6A0BE39B">
            <w:pPr>
              <w:adjustRightInd w:val="0"/>
              <w:snapToGrid w:val="0"/>
              <w:ind w:right="-10"/>
              <w:jc w:val="left"/>
              <w:rPr>
                <w:rFonts w:cs="Times New Roman"/>
                <w:color w:val="auto"/>
                <w:kern w:val="2"/>
                <w:sz w:val="24"/>
                <w:highlight w:val="none"/>
              </w:rPr>
            </w:pPr>
            <w:r>
              <w:rPr>
                <w:rFonts w:hint="eastAsia" w:cs="Times New Roman"/>
                <w:color w:val="auto"/>
                <w:kern w:val="2"/>
                <w:sz w:val="24"/>
                <w:highlight w:val="none"/>
              </w:rPr>
              <w:t>无不良信用记录声明函</w:t>
            </w:r>
          </w:p>
        </w:tc>
        <w:tc>
          <w:tcPr>
            <w:tcW w:w="3285" w:type="pct"/>
            <w:vAlign w:val="center"/>
          </w:tcPr>
          <w:p w14:paraId="6B8C0C3E">
            <w:pPr>
              <w:spacing w:line="420" w:lineRule="exact"/>
              <w:ind w:right="-11"/>
              <w:rPr>
                <w:rFonts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比选</w:t>
            </w:r>
            <w:r>
              <w:rPr>
                <w:rFonts w:hint="eastAsia" w:cs="Times New Roman"/>
                <w:color w:val="auto"/>
                <w:kern w:val="2"/>
                <w:sz w:val="24"/>
                <w:szCs w:val="22"/>
                <w:highlight w:val="none"/>
              </w:rPr>
              <w:t>文件要求</w:t>
            </w:r>
          </w:p>
        </w:tc>
      </w:tr>
      <w:tr w14:paraId="12D1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0D54824">
            <w:pPr>
              <w:adjustRightInd w:val="0"/>
              <w:snapToGrid w:val="0"/>
              <w:ind w:right="-10"/>
              <w:jc w:val="center"/>
              <w:rPr>
                <w:rFonts w:cs="Times New Roman"/>
                <w:color w:val="auto"/>
                <w:kern w:val="2"/>
                <w:sz w:val="24"/>
                <w:highlight w:val="none"/>
              </w:rPr>
            </w:pPr>
            <w:r>
              <w:rPr>
                <w:rFonts w:hint="eastAsia" w:cs="Times New Roman"/>
                <w:color w:val="auto"/>
                <w:kern w:val="2"/>
                <w:sz w:val="24"/>
                <w:highlight w:val="none"/>
              </w:rPr>
              <w:t>3</w:t>
            </w:r>
          </w:p>
        </w:tc>
        <w:tc>
          <w:tcPr>
            <w:tcW w:w="1304" w:type="pct"/>
            <w:vAlign w:val="center"/>
          </w:tcPr>
          <w:p w14:paraId="30C2664B">
            <w:pPr>
              <w:adjustRightInd w:val="0"/>
              <w:snapToGrid w:val="0"/>
              <w:ind w:right="-10"/>
              <w:jc w:val="left"/>
              <w:rPr>
                <w:rFonts w:cs="Times New Roman"/>
                <w:color w:val="auto"/>
                <w:kern w:val="2"/>
                <w:sz w:val="24"/>
                <w:highlight w:val="none"/>
              </w:rPr>
            </w:pPr>
            <w:r>
              <w:rPr>
                <w:rFonts w:hint="eastAsia" w:cs="Times New Roman"/>
                <w:color w:val="auto"/>
                <w:kern w:val="2"/>
                <w:sz w:val="24"/>
                <w:highlight w:val="none"/>
                <w:lang w:eastAsia="zh-CN"/>
              </w:rPr>
              <w:t>比选</w:t>
            </w:r>
            <w:r>
              <w:rPr>
                <w:rFonts w:hint="eastAsia" w:cs="Times New Roman"/>
                <w:color w:val="auto"/>
                <w:kern w:val="2"/>
                <w:sz w:val="24"/>
                <w:highlight w:val="none"/>
              </w:rPr>
              <w:t>响应函</w:t>
            </w:r>
          </w:p>
        </w:tc>
        <w:tc>
          <w:tcPr>
            <w:tcW w:w="3285" w:type="pct"/>
            <w:vAlign w:val="center"/>
          </w:tcPr>
          <w:p w14:paraId="797EF99B">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比选</w:t>
            </w:r>
            <w:r>
              <w:rPr>
                <w:rFonts w:hint="eastAsia" w:cs="Times New Roman"/>
                <w:color w:val="auto"/>
                <w:kern w:val="2"/>
                <w:sz w:val="24"/>
                <w:szCs w:val="22"/>
                <w:highlight w:val="none"/>
              </w:rPr>
              <w:t>文件要求。</w:t>
            </w:r>
          </w:p>
        </w:tc>
      </w:tr>
      <w:tr w14:paraId="7817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7B55332">
            <w:pPr>
              <w:adjustRightInd w:val="0"/>
              <w:snapToGrid w:val="0"/>
              <w:ind w:right="-10"/>
              <w:jc w:val="center"/>
              <w:rPr>
                <w:rFonts w:cs="Times New Roman"/>
                <w:color w:val="auto"/>
                <w:kern w:val="2"/>
                <w:sz w:val="24"/>
                <w:highlight w:val="none"/>
              </w:rPr>
            </w:pPr>
            <w:r>
              <w:rPr>
                <w:rFonts w:hint="eastAsia" w:cs="Times New Roman"/>
                <w:color w:val="auto"/>
                <w:kern w:val="2"/>
                <w:sz w:val="24"/>
                <w:highlight w:val="none"/>
              </w:rPr>
              <w:t>4</w:t>
            </w:r>
          </w:p>
        </w:tc>
        <w:tc>
          <w:tcPr>
            <w:tcW w:w="1304" w:type="pct"/>
            <w:vAlign w:val="center"/>
          </w:tcPr>
          <w:p w14:paraId="3EF6BE7F">
            <w:pPr>
              <w:adjustRightInd w:val="0"/>
              <w:snapToGrid w:val="0"/>
              <w:ind w:right="-10"/>
              <w:jc w:val="left"/>
              <w:rPr>
                <w:rFonts w:cs="Times New Roman"/>
                <w:color w:val="auto"/>
                <w:kern w:val="2"/>
                <w:sz w:val="24"/>
                <w:highlight w:val="none"/>
              </w:rPr>
            </w:pPr>
            <w:r>
              <w:rPr>
                <w:rFonts w:hint="eastAsia" w:cs="Times New Roman"/>
                <w:color w:val="auto"/>
                <w:kern w:val="2"/>
                <w:sz w:val="24"/>
                <w:highlight w:val="none"/>
              </w:rPr>
              <w:t>电子交易服务费</w:t>
            </w:r>
          </w:p>
        </w:tc>
        <w:tc>
          <w:tcPr>
            <w:tcW w:w="3285" w:type="pct"/>
            <w:vAlign w:val="center"/>
          </w:tcPr>
          <w:p w14:paraId="02DF3C84">
            <w:pPr>
              <w:spacing w:line="360" w:lineRule="auto"/>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p w14:paraId="441C55C9">
            <w:pPr>
              <w:spacing w:line="360" w:lineRule="auto"/>
              <w:jc w:val="left"/>
              <w:rPr>
                <w:rFonts w:ascii="Calibri" w:hAnsi="Calibri" w:cs="Times New Roman"/>
                <w:color w:val="auto"/>
                <w:kern w:val="2"/>
                <w:sz w:val="24"/>
                <w:szCs w:val="22"/>
                <w:highlight w:val="none"/>
              </w:rPr>
            </w:pPr>
            <w:r>
              <w:rPr>
                <w:rFonts w:hint="eastAsia" w:cs="宋体"/>
                <w:b/>
                <w:bCs/>
                <w:color w:val="auto"/>
                <w:sz w:val="24"/>
                <w:szCs w:val="24"/>
                <w:highlight w:val="none"/>
              </w:rPr>
              <w:t>（以代理机构财务查询为准）</w:t>
            </w:r>
          </w:p>
        </w:tc>
      </w:tr>
      <w:tr w14:paraId="729C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8A9EA8C">
            <w:pPr>
              <w:adjustRightInd w:val="0"/>
              <w:snapToGrid w:val="0"/>
              <w:ind w:right="-10"/>
              <w:jc w:val="center"/>
              <w:rPr>
                <w:rFonts w:cs="Times New Roman"/>
                <w:color w:val="auto"/>
                <w:kern w:val="2"/>
                <w:sz w:val="24"/>
                <w:highlight w:val="none"/>
              </w:rPr>
            </w:pPr>
            <w:r>
              <w:rPr>
                <w:rFonts w:hint="eastAsia" w:cs="Times New Roman"/>
                <w:color w:val="auto"/>
                <w:kern w:val="2"/>
                <w:sz w:val="24"/>
                <w:highlight w:val="none"/>
              </w:rPr>
              <w:t>5</w:t>
            </w:r>
          </w:p>
        </w:tc>
        <w:tc>
          <w:tcPr>
            <w:tcW w:w="1304" w:type="pct"/>
            <w:vAlign w:val="center"/>
          </w:tcPr>
          <w:p w14:paraId="40622617">
            <w:pPr>
              <w:adjustRightInd w:val="0"/>
              <w:snapToGrid w:val="0"/>
              <w:ind w:right="-10"/>
              <w:jc w:val="left"/>
              <w:rPr>
                <w:rFonts w:cs="Times New Roman"/>
                <w:color w:val="auto"/>
                <w:kern w:val="2"/>
                <w:sz w:val="24"/>
                <w:highlight w:val="none"/>
              </w:rPr>
            </w:pPr>
            <w:r>
              <w:rPr>
                <w:rFonts w:hint="eastAsia" w:cs="Times New Roman"/>
                <w:color w:val="auto"/>
                <w:kern w:val="2"/>
                <w:sz w:val="24"/>
                <w:highlight w:val="none"/>
              </w:rPr>
              <w:t>授权书</w:t>
            </w:r>
          </w:p>
        </w:tc>
        <w:tc>
          <w:tcPr>
            <w:tcW w:w="3285" w:type="pct"/>
            <w:vAlign w:val="center"/>
          </w:tcPr>
          <w:p w14:paraId="6C4E692B">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比选</w:t>
            </w:r>
            <w:r>
              <w:rPr>
                <w:rFonts w:hint="eastAsia" w:cs="Times New Roman"/>
                <w:color w:val="auto"/>
                <w:kern w:val="2"/>
                <w:sz w:val="24"/>
                <w:szCs w:val="22"/>
                <w:highlight w:val="none"/>
              </w:rPr>
              <w:t>文件要求。</w:t>
            </w:r>
          </w:p>
        </w:tc>
      </w:tr>
      <w:tr w14:paraId="4441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9FE2A34">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6</w:t>
            </w:r>
          </w:p>
        </w:tc>
        <w:tc>
          <w:tcPr>
            <w:tcW w:w="1304" w:type="pct"/>
            <w:vAlign w:val="center"/>
          </w:tcPr>
          <w:p w14:paraId="7001AB94">
            <w:pPr>
              <w:adjustRightInd w:val="0"/>
              <w:snapToGrid w:val="0"/>
              <w:ind w:right="-10"/>
              <w:jc w:val="left"/>
              <w:rPr>
                <w:rFonts w:cs="Times New Roman"/>
                <w:color w:val="auto"/>
                <w:kern w:val="2"/>
                <w:sz w:val="24"/>
                <w:highlight w:val="none"/>
              </w:rPr>
            </w:pPr>
            <w:r>
              <w:rPr>
                <w:rFonts w:hint="eastAsia" w:cs="Times New Roman"/>
                <w:color w:val="auto"/>
                <w:kern w:val="2"/>
                <w:sz w:val="24"/>
                <w:highlight w:val="none"/>
                <w:lang w:eastAsia="zh-CN"/>
              </w:rPr>
              <w:t>比选</w:t>
            </w:r>
            <w:r>
              <w:rPr>
                <w:rFonts w:hint="eastAsia" w:cs="Times New Roman"/>
                <w:color w:val="auto"/>
                <w:kern w:val="2"/>
                <w:sz w:val="24"/>
                <w:highlight w:val="none"/>
              </w:rPr>
              <w:t>报价</w:t>
            </w:r>
          </w:p>
        </w:tc>
        <w:tc>
          <w:tcPr>
            <w:tcW w:w="3285" w:type="pct"/>
            <w:vAlign w:val="center"/>
          </w:tcPr>
          <w:p w14:paraId="19BFC89D">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比选</w:t>
            </w:r>
            <w:r>
              <w:rPr>
                <w:rFonts w:hint="eastAsia" w:cs="Times New Roman"/>
                <w:color w:val="auto"/>
                <w:kern w:val="2"/>
                <w:sz w:val="24"/>
                <w:szCs w:val="22"/>
                <w:highlight w:val="none"/>
              </w:rPr>
              <w:t>文件要求。</w:t>
            </w:r>
          </w:p>
        </w:tc>
      </w:tr>
      <w:tr w14:paraId="45F8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75CD135">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7</w:t>
            </w:r>
          </w:p>
        </w:tc>
        <w:tc>
          <w:tcPr>
            <w:tcW w:w="1304" w:type="pct"/>
            <w:vAlign w:val="center"/>
          </w:tcPr>
          <w:p w14:paraId="681604FC">
            <w:pPr>
              <w:adjustRightInd w:val="0"/>
              <w:snapToGrid w:val="0"/>
              <w:ind w:right="-10"/>
              <w:jc w:val="left"/>
              <w:rPr>
                <w:rFonts w:cs="Times New Roman"/>
                <w:color w:val="auto"/>
                <w:kern w:val="2"/>
                <w:sz w:val="24"/>
                <w:highlight w:val="none"/>
              </w:rPr>
            </w:pPr>
            <w:r>
              <w:rPr>
                <w:rFonts w:hint="eastAsia" w:cs="Times New Roman"/>
                <w:color w:val="auto"/>
                <w:kern w:val="2"/>
                <w:sz w:val="24"/>
                <w:highlight w:val="none"/>
              </w:rPr>
              <w:t>有效的食品经营许可证或食品生产许可证</w:t>
            </w:r>
          </w:p>
        </w:tc>
        <w:tc>
          <w:tcPr>
            <w:tcW w:w="3285" w:type="pct"/>
            <w:vAlign w:val="center"/>
          </w:tcPr>
          <w:p w14:paraId="1E434417">
            <w:pPr>
              <w:adjustRightInd w:val="0"/>
              <w:snapToGrid w:val="0"/>
              <w:spacing w:line="360" w:lineRule="auto"/>
              <w:ind w:right="-10"/>
              <w:rPr>
                <w:rFonts w:cs="Times New Roman"/>
                <w:color w:val="auto"/>
                <w:kern w:val="2"/>
                <w:sz w:val="24"/>
                <w:szCs w:val="22"/>
                <w:highlight w:val="none"/>
              </w:rPr>
            </w:pPr>
            <w:r>
              <w:rPr>
                <w:rFonts w:hint="eastAsia" w:cs="Times New Roman"/>
                <w:color w:val="auto"/>
                <w:kern w:val="2"/>
                <w:sz w:val="24"/>
                <w:szCs w:val="22"/>
                <w:highlight w:val="none"/>
              </w:rPr>
              <w:t>提供扫描件或者影印件</w:t>
            </w:r>
          </w:p>
        </w:tc>
      </w:tr>
      <w:tr w14:paraId="55D5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998DF08">
            <w:pPr>
              <w:adjustRightInd w:val="0"/>
              <w:snapToGrid w:val="0"/>
              <w:ind w:right="-10"/>
              <w:jc w:val="center"/>
              <w:rPr>
                <w:rFonts w:hint="default" w:cs="Times New Roman"/>
                <w:color w:val="auto"/>
                <w:kern w:val="2"/>
                <w:sz w:val="24"/>
                <w:highlight w:val="none"/>
                <w:lang w:val="en-US" w:eastAsia="zh-CN"/>
              </w:rPr>
            </w:pPr>
            <w:r>
              <w:rPr>
                <w:rFonts w:hint="eastAsia" w:cs="Times New Roman"/>
                <w:color w:val="auto"/>
                <w:kern w:val="2"/>
                <w:sz w:val="24"/>
                <w:highlight w:val="none"/>
                <w:lang w:val="en-US" w:eastAsia="zh-CN"/>
              </w:rPr>
              <w:t>8</w:t>
            </w:r>
          </w:p>
        </w:tc>
        <w:tc>
          <w:tcPr>
            <w:tcW w:w="1304" w:type="pct"/>
            <w:vAlign w:val="center"/>
          </w:tcPr>
          <w:p w14:paraId="791B7A17">
            <w:pPr>
              <w:adjustRightInd w:val="0"/>
              <w:snapToGrid w:val="0"/>
              <w:ind w:right="-10"/>
              <w:jc w:val="left"/>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现场踏勘表</w:t>
            </w:r>
          </w:p>
        </w:tc>
        <w:tc>
          <w:tcPr>
            <w:tcW w:w="3285" w:type="pct"/>
            <w:vAlign w:val="center"/>
          </w:tcPr>
          <w:p w14:paraId="2802A12F">
            <w:pPr>
              <w:adjustRightInd w:val="0"/>
              <w:snapToGrid w:val="0"/>
              <w:spacing w:line="360" w:lineRule="auto"/>
              <w:ind w:right="-10"/>
              <w:rPr>
                <w:rFonts w:hint="eastAsia" w:cs="Times New Roman"/>
                <w:color w:val="auto"/>
                <w:kern w:val="2"/>
                <w:sz w:val="24"/>
                <w:szCs w:val="22"/>
                <w:highlight w:val="none"/>
              </w:rPr>
            </w:pPr>
            <w:r>
              <w:rPr>
                <w:rFonts w:hint="eastAsia" w:cs="Times New Roman"/>
                <w:color w:val="auto"/>
                <w:kern w:val="2"/>
                <w:sz w:val="24"/>
                <w:szCs w:val="22"/>
                <w:highlight w:val="none"/>
              </w:rPr>
              <w:t>提供扫描件或者影印件</w:t>
            </w:r>
          </w:p>
        </w:tc>
      </w:tr>
      <w:tr w14:paraId="370C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vAlign w:val="center"/>
          </w:tcPr>
          <w:p w14:paraId="18A1871B">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9</w:t>
            </w:r>
          </w:p>
        </w:tc>
        <w:tc>
          <w:tcPr>
            <w:tcW w:w="1304" w:type="pct"/>
            <w:vAlign w:val="center"/>
          </w:tcPr>
          <w:p w14:paraId="60CF3BE8">
            <w:pPr>
              <w:adjustRightInd w:val="0"/>
              <w:snapToGrid w:val="0"/>
              <w:ind w:right="-10"/>
              <w:jc w:val="left"/>
              <w:rPr>
                <w:rFonts w:cs="Times New Roman"/>
                <w:color w:val="auto"/>
                <w:kern w:val="2"/>
                <w:sz w:val="24"/>
                <w:highlight w:val="none"/>
              </w:rPr>
            </w:pPr>
            <w:r>
              <w:rPr>
                <w:rFonts w:hint="eastAsia" w:cs="Times New Roman"/>
                <w:color w:val="auto"/>
                <w:kern w:val="2"/>
                <w:sz w:val="24"/>
                <w:highlight w:val="none"/>
              </w:rPr>
              <w:t>其他要求</w:t>
            </w:r>
          </w:p>
        </w:tc>
        <w:tc>
          <w:tcPr>
            <w:tcW w:w="3285" w:type="pct"/>
            <w:vAlign w:val="center"/>
          </w:tcPr>
          <w:p w14:paraId="6E0DEB70">
            <w:pPr>
              <w:adjustRightInd w:val="0"/>
              <w:snapToGrid w:val="0"/>
              <w:ind w:right="-10"/>
              <w:rPr>
                <w:rFonts w:cs="Times New Roman"/>
                <w:color w:val="auto"/>
                <w:kern w:val="2"/>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比选</w:t>
            </w:r>
            <w:r>
              <w:rPr>
                <w:rFonts w:hint="eastAsia"/>
                <w:color w:val="auto"/>
                <w:sz w:val="24"/>
                <w:szCs w:val="28"/>
                <w:highlight w:val="none"/>
              </w:rPr>
              <w:t>文件列明的其他要求。</w:t>
            </w:r>
          </w:p>
        </w:tc>
      </w:tr>
      <w:tr w14:paraId="6EF4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34684313">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r>
    </w:tbl>
    <w:p w14:paraId="511D25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2BC9C0B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01F4A0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评审委员会按照下表对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50015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具体评分细则如下：</w:t>
      </w:r>
    </w:p>
    <w:tbl>
      <w:tblPr>
        <w:tblStyle w:val="29"/>
        <w:tblW w:w="83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3"/>
        <w:gridCol w:w="5950"/>
        <w:gridCol w:w="925"/>
      </w:tblGrid>
      <w:tr w14:paraId="4EF6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33" w:type="dxa"/>
            <w:vAlign w:val="center"/>
          </w:tcPr>
          <w:p w14:paraId="4CC4EF18">
            <w:pPr>
              <w:pStyle w:val="28"/>
              <w:spacing w:before="78"/>
              <w:jc w:val="center"/>
              <w:rPr>
                <w:rFonts w:cs="方正仿宋_GB2312"/>
                <w:b/>
                <w:bCs/>
                <w:color w:val="auto"/>
                <w:highlight w:val="none"/>
              </w:rPr>
            </w:pPr>
            <w:r>
              <w:rPr>
                <w:rFonts w:hint="eastAsia" w:cs="方正仿宋_GB2312"/>
                <w:b/>
                <w:bCs/>
                <w:color w:val="auto"/>
                <w:spacing w:val="-3"/>
                <w:highlight w:val="none"/>
              </w:rPr>
              <w:t>内容</w:t>
            </w:r>
          </w:p>
        </w:tc>
        <w:tc>
          <w:tcPr>
            <w:tcW w:w="5950" w:type="dxa"/>
            <w:vAlign w:val="center"/>
          </w:tcPr>
          <w:p w14:paraId="790BA212">
            <w:pPr>
              <w:pStyle w:val="28"/>
              <w:spacing w:before="78"/>
              <w:jc w:val="center"/>
              <w:rPr>
                <w:rFonts w:cs="方正仿宋_GB2312"/>
                <w:b/>
                <w:bCs/>
                <w:color w:val="auto"/>
                <w:highlight w:val="none"/>
                <w:lang w:eastAsia="zh-CN"/>
              </w:rPr>
            </w:pPr>
            <w:r>
              <w:rPr>
                <w:rFonts w:hint="eastAsia" w:cs="方正仿宋_GB2312"/>
                <w:b/>
                <w:bCs/>
                <w:color w:val="auto"/>
                <w:spacing w:val="-7"/>
                <w:highlight w:val="none"/>
                <w:lang w:eastAsia="zh-CN"/>
              </w:rPr>
              <w:t>评分标准</w:t>
            </w:r>
          </w:p>
        </w:tc>
        <w:tc>
          <w:tcPr>
            <w:tcW w:w="925" w:type="dxa"/>
            <w:vAlign w:val="center"/>
          </w:tcPr>
          <w:p w14:paraId="7F96E361">
            <w:pPr>
              <w:pStyle w:val="28"/>
              <w:spacing w:before="78"/>
              <w:jc w:val="center"/>
              <w:rPr>
                <w:rFonts w:cs="方正仿宋_GB2312"/>
                <w:b/>
                <w:bCs/>
                <w:color w:val="auto"/>
                <w:spacing w:val="-7"/>
                <w:highlight w:val="none"/>
                <w:lang w:eastAsia="zh-CN"/>
              </w:rPr>
            </w:pPr>
            <w:r>
              <w:rPr>
                <w:rFonts w:hint="eastAsia" w:cs="方正仿宋_GB2312"/>
                <w:b/>
                <w:bCs/>
                <w:color w:val="auto"/>
                <w:spacing w:val="-3"/>
                <w:highlight w:val="none"/>
                <w:lang w:eastAsia="zh-CN"/>
              </w:rPr>
              <w:t>分值</w:t>
            </w:r>
          </w:p>
        </w:tc>
      </w:tr>
      <w:tr w14:paraId="6A860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33" w:type="dxa"/>
            <w:vAlign w:val="center"/>
          </w:tcPr>
          <w:p w14:paraId="2096DBAB">
            <w:pPr>
              <w:pStyle w:val="28"/>
              <w:spacing w:before="78" w:line="440" w:lineRule="exact"/>
              <w:jc w:val="center"/>
              <w:rPr>
                <w:rFonts w:cs="方正仿宋_GB2312"/>
                <w:color w:val="auto"/>
                <w:highlight w:val="none"/>
                <w:lang w:eastAsia="zh-CN"/>
              </w:rPr>
            </w:pPr>
            <w:r>
              <w:rPr>
                <w:rFonts w:hint="eastAsia" w:cs="方正仿宋_GB2312"/>
                <w:color w:val="auto"/>
                <w:highlight w:val="none"/>
                <w:lang w:eastAsia="zh-CN"/>
              </w:rPr>
              <w:t>供应商业绩</w:t>
            </w:r>
          </w:p>
        </w:tc>
        <w:tc>
          <w:tcPr>
            <w:tcW w:w="5950" w:type="dxa"/>
          </w:tcPr>
          <w:p w14:paraId="7594622A">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自202</w:t>
            </w:r>
            <w:r>
              <w:rPr>
                <w:rFonts w:hint="eastAsia" w:ascii="宋体" w:hAnsi="宋体" w:eastAsia="宋体" w:cs="宋体"/>
                <w:color w:val="auto"/>
                <w:highlight w:val="none"/>
                <w:lang w:val="en-US" w:eastAsia="zh-CN"/>
              </w:rPr>
              <w:t>3</w:t>
            </w:r>
            <w:r>
              <w:rPr>
                <w:rFonts w:ascii="宋体" w:hAnsi="宋体" w:eastAsia="宋体" w:cs="宋体"/>
                <w:color w:val="auto"/>
                <w:highlight w:val="none"/>
                <w:lang w:eastAsia="zh-CN"/>
              </w:rPr>
              <w:t>年1月1日以来（以合同签订时间为准），供应商具有</w:t>
            </w:r>
            <w:r>
              <w:rPr>
                <w:rFonts w:hint="eastAsia" w:ascii="宋体" w:hAnsi="宋体" w:eastAsia="宋体" w:cs="宋体"/>
                <w:color w:val="auto"/>
                <w:highlight w:val="none"/>
                <w:lang w:val="en-US" w:eastAsia="zh-CN"/>
              </w:rPr>
              <w:t>食堂运营</w:t>
            </w:r>
            <w:r>
              <w:rPr>
                <w:rFonts w:ascii="宋体" w:hAnsi="宋体" w:eastAsia="宋体" w:cs="宋体"/>
                <w:color w:val="auto"/>
                <w:highlight w:val="none"/>
                <w:lang w:eastAsia="zh-CN"/>
              </w:rPr>
              <w:t>业绩（含在管或已履约完毕），每提供一个得</w:t>
            </w:r>
            <w:r>
              <w:rPr>
                <w:rFonts w:hint="eastAsia" w:ascii="宋体" w:hAnsi="宋体" w:eastAsia="宋体" w:cs="宋体"/>
                <w:color w:val="auto"/>
                <w:highlight w:val="none"/>
                <w:lang w:val="en-US" w:eastAsia="zh-CN"/>
              </w:rPr>
              <w:t>3</w:t>
            </w:r>
            <w:r>
              <w:rPr>
                <w:rFonts w:ascii="宋体" w:hAnsi="宋体" w:eastAsia="宋体" w:cs="宋体"/>
                <w:color w:val="auto"/>
                <w:highlight w:val="none"/>
                <w:lang w:eastAsia="zh-CN"/>
              </w:rPr>
              <w:t>分，最高得</w:t>
            </w:r>
            <w:r>
              <w:rPr>
                <w:rFonts w:hint="eastAsia" w:ascii="宋体" w:hAnsi="宋体" w:eastAsia="宋体" w:cs="宋体"/>
                <w:color w:val="auto"/>
                <w:highlight w:val="none"/>
                <w:lang w:val="en-US" w:eastAsia="zh-CN"/>
              </w:rPr>
              <w:t>9</w:t>
            </w:r>
            <w:r>
              <w:rPr>
                <w:rFonts w:ascii="宋体" w:hAnsi="宋体" w:eastAsia="宋体" w:cs="宋体"/>
                <w:color w:val="auto"/>
                <w:highlight w:val="none"/>
                <w:lang w:eastAsia="zh-CN"/>
              </w:rPr>
              <w:t>分；</w:t>
            </w:r>
          </w:p>
          <w:p w14:paraId="29BEE2F3">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注：响应文件中提供业绩合同扫描件，若合同中无法体现签订时间、服务内容等关键评审因素的，须同时提供业主（合同甲方）证明材料，否则不得分。</w:t>
            </w:r>
          </w:p>
        </w:tc>
        <w:tc>
          <w:tcPr>
            <w:tcW w:w="925" w:type="dxa"/>
            <w:vAlign w:val="center"/>
          </w:tcPr>
          <w:p w14:paraId="019C4015">
            <w:pPr>
              <w:pStyle w:val="28"/>
              <w:spacing w:before="33" w:line="440" w:lineRule="exact"/>
              <w:ind w:left="112" w:right="101"/>
              <w:jc w:val="center"/>
              <w:rPr>
                <w:rFonts w:cs="方正仿宋_GB2312"/>
                <w:color w:val="auto"/>
                <w:spacing w:val="-2"/>
                <w:highlight w:val="none"/>
                <w:lang w:eastAsia="zh-CN"/>
              </w:rPr>
            </w:pPr>
            <w:r>
              <w:rPr>
                <w:rFonts w:hint="eastAsia" w:cs="方正仿宋_GB2312"/>
                <w:color w:val="auto"/>
                <w:spacing w:val="-13"/>
                <w:highlight w:val="none"/>
                <w:lang w:eastAsia="zh-CN"/>
              </w:rPr>
              <w:t>0-</w:t>
            </w:r>
            <w:r>
              <w:rPr>
                <w:rFonts w:hint="eastAsia" w:cs="方正仿宋_GB2312"/>
                <w:color w:val="auto"/>
                <w:spacing w:val="-13"/>
                <w:highlight w:val="none"/>
                <w:lang w:val="en-US" w:eastAsia="zh-CN"/>
              </w:rPr>
              <w:t>9</w:t>
            </w:r>
            <w:r>
              <w:rPr>
                <w:rFonts w:hint="eastAsia" w:cs="方正仿宋_GB2312"/>
                <w:color w:val="auto"/>
                <w:spacing w:val="-13"/>
                <w:highlight w:val="none"/>
                <w:lang w:eastAsia="zh-CN"/>
              </w:rPr>
              <w:t>分</w:t>
            </w:r>
          </w:p>
        </w:tc>
      </w:tr>
      <w:tr w14:paraId="23B5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33" w:type="dxa"/>
            <w:vAlign w:val="center"/>
          </w:tcPr>
          <w:p w14:paraId="7AB8404F">
            <w:pPr>
              <w:pStyle w:val="28"/>
              <w:spacing w:before="78" w:line="440" w:lineRule="exact"/>
              <w:jc w:val="center"/>
              <w:rPr>
                <w:rFonts w:hint="eastAsia" w:cs="方正仿宋_GB2312"/>
                <w:color w:val="auto"/>
                <w:highlight w:val="none"/>
                <w:lang w:eastAsia="zh-CN"/>
              </w:rPr>
            </w:pPr>
            <w:r>
              <w:rPr>
                <w:rFonts w:hint="eastAsia" w:cs="方正仿宋_GB2312"/>
                <w:color w:val="auto"/>
                <w:highlight w:val="none"/>
                <w:lang w:eastAsia="zh-CN"/>
              </w:rPr>
              <w:t>荣誉</w:t>
            </w:r>
          </w:p>
          <w:p w14:paraId="2C832F99">
            <w:pPr>
              <w:pStyle w:val="28"/>
              <w:spacing w:before="78" w:line="440" w:lineRule="exact"/>
              <w:jc w:val="center"/>
              <w:rPr>
                <w:rFonts w:hint="eastAsia" w:cs="方正仿宋_GB2312"/>
                <w:color w:val="auto"/>
                <w:highlight w:val="none"/>
                <w:lang w:eastAsia="zh-CN"/>
              </w:rPr>
            </w:pPr>
            <w:r>
              <w:rPr>
                <w:rFonts w:hint="eastAsia" w:cs="方正仿宋_GB2312"/>
                <w:color w:val="auto"/>
                <w:highlight w:val="none"/>
                <w:lang w:eastAsia="zh-CN"/>
              </w:rPr>
              <w:t>奖项</w:t>
            </w:r>
          </w:p>
        </w:tc>
        <w:tc>
          <w:tcPr>
            <w:tcW w:w="5950" w:type="dxa"/>
          </w:tcPr>
          <w:p w14:paraId="7558B648">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自2020年1月1日以来（以获奖时间为准）</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eastAsia="zh-CN"/>
              </w:rPr>
              <w:t>或其服务项目获得行政主管部门或在国内依法登记注册的协会（或学会）颁发的餐饮行业奖项或荣誉的，省级及以上每个得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分，地市级及以下每个得</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lang w:eastAsia="zh-CN"/>
              </w:rPr>
              <w:t>分，本项满分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668E43A4">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1.投标文件中须提供获奖证书、批复、颁奖单位颁奖文件、网上公示截图（具有其中之一即可）等证明材料。以上材料提供扫描件，须能体现投标单位名称，如无法体现，须另附颁奖单位的相关证明材料，未提供或提供不全的不得分。</w:t>
            </w:r>
          </w:p>
          <w:p w14:paraId="44A3BDBA">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2.如上述奖项或荣誉为所服务项目，投标文件中须同时提供业绩合同扫描件。</w:t>
            </w:r>
          </w:p>
          <w:p w14:paraId="3F8F100B">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hint="eastAsia" w:ascii="宋体" w:hAnsi="宋体" w:eastAsia="宋体" w:cs="宋体"/>
                <w:color w:val="auto"/>
                <w:highlight w:val="none"/>
                <w:lang w:eastAsia="zh-CN"/>
              </w:rPr>
              <w:t>3.“国内依法登记注册”以中国社会组织政务服务平台查询结果为准。投标文件中须提供该协会（学会）在中中国社会组织政务服务平台查询结果截图。民政部公布的“离岸社团”、“山寨社团”颁发的荣誉、奖励均无效。</w:t>
            </w:r>
          </w:p>
        </w:tc>
        <w:tc>
          <w:tcPr>
            <w:tcW w:w="925" w:type="dxa"/>
            <w:vAlign w:val="center"/>
          </w:tcPr>
          <w:p w14:paraId="78FB5D5D">
            <w:pPr>
              <w:pStyle w:val="28"/>
              <w:spacing w:before="33" w:line="440" w:lineRule="exact"/>
              <w:ind w:left="112" w:right="101"/>
              <w:jc w:val="center"/>
              <w:rPr>
                <w:rFonts w:hint="eastAsia" w:cs="方正仿宋_GB2312"/>
                <w:color w:val="auto"/>
                <w:spacing w:val="-13"/>
                <w:highlight w:val="none"/>
                <w:lang w:eastAsia="zh-CN"/>
              </w:rPr>
            </w:pPr>
            <w:r>
              <w:rPr>
                <w:rFonts w:hint="eastAsia" w:cs="方正仿宋_GB2312"/>
                <w:color w:val="auto"/>
                <w:spacing w:val="-13"/>
                <w:highlight w:val="none"/>
                <w:lang w:eastAsia="zh-CN"/>
              </w:rPr>
              <w:t>0-</w:t>
            </w:r>
            <w:r>
              <w:rPr>
                <w:rFonts w:hint="eastAsia" w:cs="方正仿宋_GB2312"/>
                <w:color w:val="auto"/>
                <w:spacing w:val="-13"/>
                <w:highlight w:val="none"/>
                <w:lang w:val="en-US" w:eastAsia="zh-CN"/>
              </w:rPr>
              <w:t>3</w:t>
            </w:r>
            <w:r>
              <w:rPr>
                <w:rFonts w:hint="eastAsia" w:cs="方正仿宋_GB2312"/>
                <w:color w:val="auto"/>
                <w:spacing w:val="-13"/>
                <w:highlight w:val="none"/>
                <w:lang w:eastAsia="zh-CN"/>
              </w:rPr>
              <w:t>分</w:t>
            </w:r>
          </w:p>
        </w:tc>
      </w:tr>
      <w:tr w14:paraId="6FC36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33" w:type="dxa"/>
            <w:vAlign w:val="center"/>
          </w:tcPr>
          <w:p w14:paraId="682CA88B">
            <w:pPr>
              <w:pStyle w:val="28"/>
              <w:spacing w:before="78" w:line="440" w:lineRule="exact"/>
              <w:jc w:val="center"/>
              <w:rPr>
                <w:rFonts w:hint="default" w:cs="方正仿宋_GB2312"/>
                <w:color w:val="auto"/>
                <w:highlight w:val="none"/>
                <w:lang w:val="en-US" w:eastAsia="zh-CN"/>
              </w:rPr>
            </w:pPr>
            <w:r>
              <w:rPr>
                <w:rFonts w:hint="eastAsia" w:cs="方正仿宋_GB2312"/>
                <w:color w:val="auto"/>
                <w:highlight w:val="none"/>
                <w:lang w:val="en-US" w:eastAsia="zh-CN"/>
              </w:rPr>
              <w:t>供应商人员资质</w:t>
            </w:r>
          </w:p>
        </w:tc>
        <w:tc>
          <w:tcPr>
            <w:tcW w:w="5950" w:type="dxa"/>
          </w:tcPr>
          <w:p w14:paraId="766149AF">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项目经理1名（满分</w:t>
            </w:r>
            <w:r>
              <w:rPr>
                <w:rFonts w:hint="eastAsia" w:ascii="宋体" w:hAnsi="宋体" w:eastAsia="宋体" w:cs="宋体"/>
                <w:color w:val="auto"/>
                <w:highlight w:val="none"/>
                <w:lang w:val="en-US" w:eastAsia="zh-CN"/>
              </w:rPr>
              <w:t>2</w:t>
            </w:r>
            <w:r>
              <w:rPr>
                <w:rFonts w:ascii="宋体" w:hAnsi="宋体" w:eastAsia="宋体" w:cs="宋体"/>
                <w:color w:val="auto"/>
                <w:highlight w:val="none"/>
                <w:lang w:eastAsia="zh-CN"/>
              </w:rPr>
              <w:t>分）</w:t>
            </w:r>
          </w:p>
          <w:p w14:paraId="771C25EA">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1.提供</w:t>
            </w:r>
            <w:r>
              <w:rPr>
                <w:rFonts w:ascii="宋体" w:hAnsi="宋体" w:eastAsia="宋体" w:cs="宋体"/>
                <w:color w:val="auto"/>
                <w:highlight w:val="none"/>
                <w:lang w:eastAsia="zh-CN"/>
              </w:rPr>
              <w:t>餐饮业职业经理人证书</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得1分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需提供扫描件或影印件</w:t>
            </w:r>
            <w:r>
              <w:rPr>
                <w:rFonts w:hint="eastAsia" w:ascii="宋体" w:hAnsi="宋体" w:eastAsia="宋体" w:cs="宋体"/>
                <w:color w:val="auto"/>
                <w:highlight w:val="none"/>
                <w:lang w:eastAsia="zh-CN"/>
              </w:rPr>
              <w:t>）；</w:t>
            </w:r>
          </w:p>
          <w:p w14:paraId="278103BB">
            <w:pPr>
              <w:pStyle w:val="28"/>
              <w:spacing w:line="360" w:lineRule="auto"/>
              <w:ind w:left="60" w:leftChars="30" w:right="40" w:rightChars="20" w:firstLine="0" w:firstLineChars="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ascii="宋体" w:hAnsi="宋体" w:eastAsia="宋体" w:cs="宋体"/>
                <w:color w:val="auto"/>
                <w:highlight w:val="none"/>
                <w:lang w:eastAsia="zh-CN"/>
              </w:rPr>
              <w:t>自2020年1月1日以来（以合同签订时间为准），</w:t>
            </w:r>
            <w:r>
              <w:rPr>
                <w:rFonts w:hint="eastAsia" w:ascii="宋体" w:hAnsi="宋体" w:eastAsia="宋体" w:cs="宋体"/>
                <w:color w:val="auto"/>
                <w:highlight w:val="none"/>
                <w:lang w:val="en-US" w:eastAsia="zh-CN"/>
              </w:rPr>
              <w:t>项目经理</w:t>
            </w:r>
            <w:r>
              <w:rPr>
                <w:rFonts w:ascii="宋体" w:hAnsi="宋体" w:eastAsia="宋体" w:cs="宋体"/>
                <w:color w:val="auto"/>
                <w:highlight w:val="none"/>
                <w:lang w:eastAsia="zh-CN"/>
              </w:rPr>
              <w:t>具有</w:t>
            </w:r>
            <w:r>
              <w:rPr>
                <w:rFonts w:hint="eastAsia" w:ascii="宋体" w:hAnsi="宋体" w:eastAsia="宋体" w:cs="宋体"/>
                <w:color w:val="auto"/>
                <w:highlight w:val="none"/>
                <w:lang w:val="en-US" w:eastAsia="zh-CN"/>
              </w:rPr>
              <w:t>食堂运营</w:t>
            </w:r>
            <w:r>
              <w:rPr>
                <w:rFonts w:ascii="宋体" w:hAnsi="宋体" w:eastAsia="宋体" w:cs="宋体"/>
                <w:color w:val="auto"/>
                <w:highlight w:val="none"/>
                <w:lang w:eastAsia="zh-CN"/>
              </w:rPr>
              <w:t>业绩（含在管或已履约完毕）</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得1分</w:t>
            </w:r>
          </w:p>
          <w:p w14:paraId="134C158F">
            <w:pPr>
              <w:pStyle w:val="28"/>
              <w:spacing w:line="360" w:lineRule="auto"/>
              <w:ind w:left="60" w:leftChars="30" w:right="40" w:rightChars="20" w:firstLine="0" w:firstLineChars="0"/>
              <w:jc w:val="left"/>
              <w:rPr>
                <w:rFonts w:hint="default" w:ascii="宋体" w:hAnsi="宋体" w:eastAsia="宋体" w:cs="宋体"/>
                <w:color w:val="auto"/>
                <w:highlight w:val="none"/>
                <w:lang w:val="en-US" w:eastAsia="zh-CN"/>
              </w:rPr>
            </w:pPr>
            <w:r>
              <w:rPr>
                <w:rFonts w:ascii="宋体" w:hAnsi="宋体" w:eastAsia="宋体" w:cs="宋体"/>
                <w:color w:val="auto"/>
                <w:highlight w:val="none"/>
                <w:lang w:eastAsia="zh-CN"/>
              </w:rPr>
              <w:t>注：响应文件中提供业绩合同扫描件，若合同中无法体现签订时间、服务内容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项目经理姓名</w:t>
            </w:r>
            <w:r>
              <w:rPr>
                <w:rFonts w:ascii="宋体" w:hAnsi="宋体" w:eastAsia="宋体" w:cs="宋体"/>
                <w:color w:val="auto"/>
                <w:highlight w:val="none"/>
                <w:lang w:eastAsia="zh-CN"/>
              </w:rPr>
              <w:t>等关键评审因素的，须同时提供业主（合同甲方）证明材料，否则不得分。</w:t>
            </w:r>
            <w:r>
              <w:rPr>
                <w:rFonts w:hint="eastAsia" w:ascii="宋体" w:hAnsi="宋体" w:eastAsia="宋体" w:cs="宋体"/>
                <w:color w:val="auto"/>
                <w:highlight w:val="none"/>
                <w:lang w:val="en-US" w:eastAsia="zh-CN"/>
              </w:rPr>
              <w:t>项目经理业绩可以和供应商业绩重复，项目经理需在该项目承担项目经理职位。</w:t>
            </w:r>
          </w:p>
          <w:p w14:paraId="5804D046">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总厨</w:t>
            </w:r>
            <w:r>
              <w:rPr>
                <w:rFonts w:ascii="宋体" w:hAnsi="宋体" w:eastAsia="宋体" w:cs="宋体"/>
                <w:color w:val="auto"/>
                <w:highlight w:val="none"/>
                <w:lang w:eastAsia="zh-CN"/>
              </w:rPr>
              <w:t>1名（满分</w:t>
            </w:r>
            <w:r>
              <w:rPr>
                <w:rFonts w:hint="eastAsia" w:ascii="宋体" w:hAnsi="宋体" w:eastAsia="宋体" w:cs="宋体"/>
                <w:color w:val="auto"/>
                <w:highlight w:val="none"/>
                <w:lang w:val="en-US" w:eastAsia="zh-CN"/>
              </w:rPr>
              <w:t>3</w:t>
            </w:r>
            <w:r>
              <w:rPr>
                <w:rFonts w:ascii="宋体" w:hAnsi="宋体" w:eastAsia="宋体" w:cs="宋体"/>
                <w:color w:val="auto"/>
                <w:highlight w:val="none"/>
                <w:lang w:eastAsia="zh-CN"/>
              </w:rPr>
              <w:t>分）</w:t>
            </w:r>
          </w:p>
          <w:p w14:paraId="331C1344">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具有一级中式烹调师证书或一级中式面点师证书得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分；具有二级中式烹调师证书或二级中式面点师证书得2分；具有三级中式烹调师证书或三级中式面点师证书得1分；本项以最高等级证书赋分，不累加，满分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74DFD4EB">
            <w:pPr>
              <w:pStyle w:val="28"/>
              <w:spacing w:line="360" w:lineRule="auto"/>
              <w:ind w:left="60" w:leftChars="30" w:right="40" w:rightChars="2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副厨2名（满分3分，同一人员提供的不同证书不累计计分）</w:t>
            </w:r>
          </w:p>
          <w:p w14:paraId="162E04FF">
            <w:pPr>
              <w:pStyle w:val="28"/>
              <w:spacing w:line="360" w:lineRule="auto"/>
              <w:ind w:left="60" w:leftChars="30" w:right="40" w:rightChars="2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具有三级及以上中式烹调师证书的得1.5分；</w:t>
            </w:r>
          </w:p>
          <w:p w14:paraId="2BA3CC8D">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具有三级及以上中式面点师证书的得1.5分；</w:t>
            </w:r>
          </w:p>
          <w:p w14:paraId="66157DFF">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其他人员（除项目经理、</w:t>
            </w:r>
            <w:r>
              <w:rPr>
                <w:rFonts w:hint="eastAsia" w:ascii="宋体" w:hAnsi="宋体" w:eastAsia="宋体" w:cs="宋体"/>
                <w:color w:val="auto"/>
                <w:highlight w:val="none"/>
                <w:lang w:val="en-US" w:eastAsia="zh-CN"/>
              </w:rPr>
              <w:t>总厨、副厨</w:t>
            </w:r>
            <w:r>
              <w:rPr>
                <w:rFonts w:ascii="宋体" w:hAnsi="宋体" w:eastAsia="宋体" w:cs="宋体"/>
                <w:color w:val="auto"/>
                <w:highlight w:val="none"/>
                <w:lang w:eastAsia="zh-CN"/>
              </w:rPr>
              <w:t>）以外</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具有以下任一证书的，每项证书仅可计分一次</w:t>
            </w:r>
            <w:r>
              <w:rPr>
                <w:rFonts w:ascii="宋体" w:hAnsi="宋体" w:eastAsia="宋体" w:cs="宋体"/>
                <w:color w:val="auto"/>
                <w:highlight w:val="none"/>
                <w:lang w:eastAsia="zh-CN"/>
              </w:rPr>
              <w:t>（满分</w:t>
            </w:r>
            <w:r>
              <w:rPr>
                <w:rFonts w:hint="eastAsia" w:ascii="宋体" w:hAnsi="宋体" w:eastAsia="宋体" w:cs="宋体"/>
                <w:color w:val="auto"/>
                <w:highlight w:val="none"/>
                <w:lang w:val="en-US" w:eastAsia="zh-CN"/>
              </w:rPr>
              <w:t>2</w:t>
            </w:r>
            <w:r>
              <w:rPr>
                <w:rFonts w:ascii="宋体" w:hAnsi="宋体" w:eastAsia="宋体" w:cs="宋体"/>
                <w:color w:val="auto"/>
                <w:highlight w:val="none"/>
                <w:lang w:eastAsia="zh-CN"/>
              </w:rPr>
              <w:t>分）</w:t>
            </w:r>
          </w:p>
          <w:p w14:paraId="130614A7">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ascii="宋体" w:hAnsi="宋体" w:eastAsia="宋体" w:cs="宋体"/>
                <w:color w:val="auto"/>
                <w:highlight w:val="none"/>
                <w:lang w:eastAsia="zh-CN"/>
              </w:rPr>
              <w:t>具有公共营养师或营养配餐员</w:t>
            </w:r>
            <w:r>
              <w:rPr>
                <w:rFonts w:hint="eastAsia" w:ascii="宋体" w:hAnsi="宋体" w:eastAsia="宋体" w:cs="宋体"/>
                <w:color w:val="auto"/>
                <w:highlight w:val="none"/>
                <w:lang w:val="en-US" w:eastAsia="zh-CN"/>
              </w:rPr>
              <w:t>或健康管理师</w:t>
            </w:r>
            <w:r>
              <w:rPr>
                <w:rFonts w:ascii="宋体" w:hAnsi="宋体" w:eastAsia="宋体" w:cs="宋体"/>
                <w:color w:val="auto"/>
                <w:highlight w:val="none"/>
                <w:lang w:eastAsia="zh-CN"/>
              </w:rPr>
              <w:t>证书</w:t>
            </w:r>
            <w:r>
              <w:rPr>
                <w:rFonts w:hint="eastAsia" w:ascii="宋体" w:hAnsi="宋体" w:eastAsia="宋体" w:cs="宋体"/>
                <w:color w:val="auto"/>
                <w:highlight w:val="none"/>
                <w:lang w:val="en-US" w:eastAsia="zh-CN"/>
              </w:rPr>
              <w:t>的</w:t>
            </w:r>
            <w:r>
              <w:rPr>
                <w:rFonts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ascii="宋体" w:hAnsi="宋体" w:eastAsia="宋体" w:cs="宋体"/>
                <w:color w:val="auto"/>
                <w:highlight w:val="none"/>
                <w:lang w:eastAsia="zh-CN"/>
              </w:rPr>
              <w:t>分；</w:t>
            </w:r>
          </w:p>
          <w:p w14:paraId="3A572492">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ascii="宋体" w:hAnsi="宋体" w:eastAsia="宋体" w:cs="宋体"/>
                <w:color w:val="auto"/>
                <w:highlight w:val="none"/>
                <w:lang w:eastAsia="zh-CN"/>
              </w:rPr>
              <w:t>.具有应急部门颁发的生产安全负责人证书</w:t>
            </w:r>
            <w:r>
              <w:rPr>
                <w:rFonts w:hint="eastAsia" w:ascii="宋体" w:hAnsi="宋体" w:eastAsia="宋体" w:cs="宋体"/>
                <w:color w:val="auto"/>
                <w:highlight w:val="none"/>
                <w:lang w:val="en-US" w:eastAsia="zh-CN"/>
              </w:rPr>
              <w:t>的</w:t>
            </w:r>
            <w:r>
              <w:rPr>
                <w:rFonts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ascii="宋体" w:hAnsi="宋体" w:eastAsia="宋体" w:cs="宋体"/>
                <w:color w:val="auto"/>
                <w:highlight w:val="none"/>
                <w:lang w:eastAsia="zh-CN"/>
              </w:rPr>
              <w:t>分</w:t>
            </w:r>
            <w:r>
              <w:rPr>
                <w:rFonts w:hint="eastAsia" w:ascii="宋体" w:hAnsi="宋体" w:eastAsia="宋体" w:cs="宋体"/>
                <w:color w:val="auto"/>
                <w:highlight w:val="none"/>
                <w:lang w:eastAsia="zh-CN"/>
              </w:rPr>
              <w:t>；</w:t>
            </w:r>
          </w:p>
          <w:p w14:paraId="251AA4E3">
            <w:pPr>
              <w:pStyle w:val="28"/>
              <w:spacing w:line="360" w:lineRule="auto"/>
              <w:ind w:left="60" w:leftChars="30" w:right="40" w:rightChars="20" w:firstLine="0" w:firstLineChars="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3.具有食品安全管理员培训合格证书的</w:t>
            </w:r>
            <w:r>
              <w:rPr>
                <w:rFonts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ascii="宋体" w:hAnsi="宋体" w:eastAsia="宋体" w:cs="宋体"/>
                <w:color w:val="auto"/>
                <w:highlight w:val="none"/>
                <w:lang w:eastAsia="zh-CN"/>
              </w:rPr>
              <w:t>分</w:t>
            </w:r>
            <w:r>
              <w:rPr>
                <w:rFonts w:hint="eastAsia" w:ascii="宋体" w:hAnsi="宋体" w:eastAsia="宋体" w:cs="宋体"/>
                <w:color w:val="auto"/>
                <w:highlight w:val="none"/>
                <w:lang w:eastAsia="zh-CN"/>
              </w:rPr>
              <w:t>；</w:t>
            </w:r>
          </w:p>
          <w:p w14:paraId="60AC9172">
            <w:pPr>
              <w:pStyle w:val="28"/>
              <w:spacing w:line="360" w:lineRule="auto"/>
              <w:ind w:left="60" w:leftChars="30" w:right="40" w:rightChars="20" w:firstLine="0" w:firstLineChars="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4.具有农产品食品检验员或食品检验工证书的</w:t>
            </w:r>
            <w:r>
              <w:rPr>
                <w:rFonts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ascii="宋体" w:hAnsi="宋体" w:eastAsia="宋体" w:cs="宋体"/>
                <w:color w:val="auto"/>
                <w:highlight w:val="none"/>
                <w:lang w:eastAsia="zh-CN"/>
              </w:rPr>
              <w:t>分</w:t>
            </w:r>
            <w:r>
              <w:rPr>
                <w:rFonts w:hint="eastAsia" w:ascii="宋体" w:hAnsi="宋体" w:eastAsia="宋体" w:cs="宋体"/>
                <w:color w:val="auto"/>
                <w:highlight w:val="none"/>
                <w:lang w:eastAsia="zh-CN"/>
              </w:rPr>
              <w:t>；</w:t>
            </w:r>
          </w:p>
          <w:p w14:paraId="2D4E65F7">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注：上述人员不得兼任，投标文件中同时提供以下证明材料：</w:t>
            </w:r>
          </w:p>
          <w:p w14:paraId="6248547B">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人员名单（格式自拟）；</w:t>
            </w:r>
          </w:p>
          <w:p w14:paraId="34320F81">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投标文件中须提供以上人员证书扫描件或影印件，中式烹调师、中式</w:t>
            </w:r>
            <w:r>
              <w:rPr>
                <w:rFonts w:hint="eastAsia" w:ascii="宋体" w:hAnsi="宋体" w:eastAsia="宋体" w:cs="宋体"/>
                <w:color w:val="auto"/>
                <w:highlight w:val="none"/>
                <w:lang w:val="en-US" w:eastAsia="zh-CN"/>
              </w:rPr>
              <w:t>面点师、</w:t>
            </w:r>
            <w:r>
              <w:rPr>
                <w:rFonts w:hint="eastAsia" w:ascii="宋体" w:hAnsi="宋体" w:eastAsia="宋体" w:cs="宋体"/>
                <w:color w:val="auto"/>
                <w:highlight w:val="none"/>
                <w:lang w:eastAsia="zh-CN"/>
              </w:rPr>
              <w:t>公共营养师</w:t>
            </w:r>
            <w:r>
              <w:rPr>
                <w:rFonts w:ascii="宋体" w:hAnsi="宋体" w:eastAsia="宋体" w:cs="宋体"/>
                <w:color w:val="auto"/>
                <w:highlight w:val="none"/>
                <w:lang w:eastAsia="zh-CN"/>
              </w:rPr>
              <w:t>、营养配餐员</w:t>
            </w:r>
            <w:r>
              <w:rPr>
                <w:rFonts w:hint="eastAsia" w:ascii="宋体" w:hAnsi="宋体" w:eastAsia="宋体" w:cs="宋体"/>
                <w:color w:val="auto"/>
                <w:highlight w:val="none"/>
                <w:lang w:eastAsia="zh-CN"/>
              </w:rPr>
              <w:t>、健康管理师、</w:t>
            </w:r>
            <w:r>
              <w:rPr>
                <w:rFonts w:hint="eastAsia" w:cs="宋体"/>
                <w:color w:val="000000" w:themeColor="text1"/>
                <w:highlight w:val="none"/>
                <w:lang w:eastAsia="zh-CN"/>
                <w14:textFill>
                  <w14:solidFill>
                    <w14:schemeClr w14:val="tx1"/>
                  </w14:solidFill>
                </w14:textFill>
              </w:rPr>
              <w:t>食品安全管理</w:t>
            </w:r>
            <w:r>
              <w:rPr>
                <w:rFonts w:hint="eastAsia" w:cs="宋体"/>
                <w:color w:val="000000" w:themeColor="text1"/>
                <w:highlight w:val="none"/>
                <w:lang w:val="en-US" w:eastAsia="zh-CN"/>
                <w14:textFill>
                  <w14:solidFill>
                    <w14:schemeClr w14:val="tx1"/>
                  </w14:solidFill>
                </w14:textFill>
              </w:rPr>
              <w:t>员</w:t>
            </w:r>
            <w:r>
              <w:rPr>
                <w:rFonts w:hint="eastAsia" w:cs="宋体"/>
                <w:color w:val="000000" w:themeColor="text1"/>
                <w:highlight w:val="none"/>
                <w:lang w:eastAsia="zh-CN"/>
                <w14:textFill>
                  <w14:solidFill>
                    <w14:schemeClr w14:val="tx1"/>
                  </w14:solidFill>
                </w14:textFill>
              </w:rPr>
              <w:t>、</w:t>
            </w:r>
            <w:r>
              <w:rPr>
                <w:rFonts w:hint="eastAsia" w:ascii="宋体" w:hAnsi="宋体" w:eastAsia="宋体" w:cs="宋体"/>
                <w:color w:val="auto"/>
                <w:highlight w:val="none"/>
                <w:lang w:eastAsia="zh-CN"/>
              </w:rPr>
              <w:t>农产品食品检验员、食品检验工</w:t>
            </w:r>
            <w:r>
              <w:rPr>
                <w:rFonts w:ascii="宋体" w:hAnsi="宋体" w:eastAsia="宋体" w:cs="宋体"/>
                <w:color w:val="auto"/>
                <w:highlight w:val="none"/>
                <w:lang w:eastAsia="zh-CN"/>
              </w:rPr>
              <w:t>须提供“</w:t>
            </w:r>
            <w:r>
              <w:rPr>
                <w:rFonts w:hint="eastAsia" w:ascii="宋体" w:hAnsi="宋体" w:eastAsia="宋体" w:cs="宋体"/>
                <w:color w:val="auto"/>
                <w:highlight w:val="none"/>
                <w:lang w:eastAsia="zh-CN"/>
              </w:rPr>
              <w:t>技能人才评价证书全国联网查询</w:t>
            </w: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w:t>
            </w:r>
            <w:r>
              <w:rPr>
                <w:rFonts w:ascii="宋体" w:hAnsi="宋体" w:eastAsia="宋体" w:cs="宋体"/>
                <w:color w:val="auto"/>
                <w:highlight w:val="none"/>
                <w:lang w:eastAsia="zh-CN"/>
              </w:rPr>
              <w:t>应急部门的人员证书须在应急部门网站查询截图；未提供或提供不全不得分。</w:t>
            </w:r>
          </w:p>
          <w:p w14:paraId="4DA5833F">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投标文件中须提供上述人员证书复印件及投标人为其缴纳近半年内任意三个月的社保证明材料（提供任意五险之一即可）。具体可通过下述形式之一：</w:t>
            </w: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lang w:eastAsia="zh-CN"/>
              </w:rPr>
              <w:t>社保局官方网站查询的个人缴费记录截图打印件；</w:t>
            </w: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lang w:eastAsia="zh-CN"/>
              </w:rPr>
              <w:t>社保局的书面证明材料；</w:t>
            </w:r>
            <w:r>
              <w:rPr>
                <w:rFonts w:hint="eastAsia" w:ascii="宋体" w:hAnsi="宋体" w:eastAsia="宋体" w:cs="宋体"/>
                <w:color w:val="auto"/>
                <w:highlight w:val="none"/>
                <w:lang w:val="en-US" w:eastAsia="zh-CN"/>
              </w:rPr>
              <w:t>③</w:t>
            </w:r>
            <w:r>
              <w:rPr>
                <w:rFonts w:hint="eastAsia" w:ascii="宋体" w:hAnsi="宋体" w:eastAsia="宋体" w:cs="宋体"/>
                <w:color w:val="auto"/>
                <w:highlight w:val="none"/>
                <w:lang w:eastAsia="zh-CN"/>
              </w:rPr>
              <w:t>经投标人委托的第三方人力资源服务机构或与投标人有直接隶属关系的机构可以代缴社保，但须提供有关证明材料并经评委会确认。未提供或提供不全不得分。</w:t>
            </w:r>
          </w:p>
        </w:tc>
        <w:tc>
          <w:tcPr>
            <w:tcW w:w="925" w:type="dxa"/>
            <w:vAlign w:val="center"/>
          </w:tcPr>
          <w:p w14:paraId="4A62DFB8">
            <w:pPr>
              <w:pStyle w:val="28"/>
              <w:spacing w:before="33" w:line="440" w:lineRule="exact"/>
              <w:ind w:left="112" w:right="101"/>
              <w:jc w:val="center"/>
              <w:rPr>
                <w:rFonts w:hint="default" w:cs="方正仿宋_GB2312"/>
                <w:color w:val="auto"/>
                <w:spacing w:val="-13"/>
                <w:highlight w:val="none"/>
                <w:lang w:val="en-US" w:eastAsia="zh-CN"/>
              </w:rPr>
            </w:pPr>
            <w:r>
              <w:rPr>
                <w:rFonts w:hint="eastAsia" w:cs="方正仿宋_GB2312"/>
                <w:color w:val="auto"/>
                <w:spacing w:val="-13"/>
                <w:highlight w:val="none"/>
                <w:lang w:val="en-US" w:eastAsia="zh-CN"/>
              </w:rPr>
              <w:t>0-10分</w:t>
            </w:r>
          </w:p>
        </w:tc>
      </w:tr>
      <w:tr w14:paraId="3218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33" w:type="dxa"/>
            <w:vAlign w:val="center"/>
          </w:tcPr>
          <w:p w14:paraId="3EA0AF18">
            <w:pPr>
              <w:pStyle w:val="28"/>
              <w:spacing w:before="78" w:line="440" w:lineRule="exact"/>
              <w:jc w:val="center"/>
              <w:rPr>
                <w:rFonts w:hint="eastAsia" w:cs="方正仿宋_GB2312"/>
                <w:color w:val="auto"/>
                <w:highlight w:val="none"/>
                <w:lang w:eastAsia="zh-CN"/>
              </w:rPr>
            </w:pPr>
            <w:r>
              <w:rPr>
                <w:rFonts w:hint="eastAsia" w:cs="方正仿宋_GB2312"/>
                <w:color w:val="auto"/>
                <w:highlight w:val="none"/>
                <w:lang w:eastAsia="zh-CN"/>
              </w:rPr>
              <w:t>经营</w:t>
            </w:r>
          </w:p>
          <w:p w14:paraId="5BD78C10">
            <w:pPr>
              <w:pStyle w:val="28"/>
              <w:spacing w:before="78" w:line="440" w:lineRule="exact"/>
              <w:jc w:val="center"/>
              <w:rPr>
                <w:rFonts w:hint="eastAsia" w:cs="方正仿宋_GB2312"/>
                <w:color w:val="auto"/>
                <w:highlight w:val="none"/>
                <w:lang w:eastAsia="zh-CN"/>
              </w:rPr>
            </w:pPr>
            <w:r>
              <w:rPr>
                <w:rFonts w:hint="eastAsia" w:cs="方正仿宋_GB2312"/>
                <w:color w:val="auto"/>
                <w:highlight w:val="none"/>
                <w:lang w:eastAsia="zh-CN"/>
              </w:rPr>
              <w:t>承诺</w:t>
            </w:r>
          </w:p>
        </w:tc>
        <w:tc>
          <w:tcPr>
            <w:tcW w:w="5950" w:type="dxa"/>
          </w:tcPr>
          <w:p w14:paraId="6CC83C05">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供应商</w:t>
            </w:r>
            <w:r>
              <w:rPr>
                <w:rFonts w:ascii="宋体" w:hAnsi="宋体" w:eastAsia="宋体" w:cs="宋体"/>
                <w:color w:val="auto"/>
                <w:highlight w:val="none"/>
                <w:lang w:eastAsia="zh-CN"/>
              </w:rPr>
              <w:t>针对本项目提供经营承诺，内容包括：</w:t>
            </w:r>
          </w:p>
          <w:p w14:paraId="2EEE4466">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①服务态度（文明经营）承诺</w:t>
            </w:r>
          </w:p>
          <w:p w14:paraId="78921496">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②食品安全承诺</w:t>
            </w:r>
          </w:p>
          <w:p w14:paraId="6EDDD51B">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③风险责任承诺</w:t>
            </w:r>
          </w:p>
          <w:p w14:paraId="79FAA34E">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④购买安全责任险和公众责任险承诺</w:t>
            </w:r>
          </w:p>
          <w:p w14:paraId="6E265795">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⑤消防承诺</w:t>
            </w:r>
          </w:p>
          <w:p w14:paraId="4974D6B3">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每提供上述一项承诺得</w:t>
            </w:r>
            <w:r>
              <w:rPr>
                <w:rFonts w:hint="eastAsia" w:ascii="宋体" w:hAnsi="宋体" w:eastAsia="宋体" w:cs="宋体"/>
                <w:color w:val="auto"/>
                <w:highlight w:val="none"/>
                <w:lang w:val="en-US" w:eastAsia="zh-CN"/>
              </w:rPr>
              <w:t>4</w:t>
            </w:r>
            <w:r>
              <w:rPr>
                <w:rFonts w:ascii="宋体" w:hAnsi="宋体" w:eastAsia="宋体" w:cs="宋体"/>
                <w:color w:val="auto"/>
                <w:highlight w:val="none"/>
                <w:lang w:eastAsia="zh-CN"/>
              </w:rPr>
              <w:t>分，本项满分</w:t>
            </w:r>
            <w:r>
              <w:rPr>
                <w:rFonts w:hint="eastAsia" w:ascii="宋体" w:hAnsi="宋体" w:eastAsia="宋体" w:cs="宋体"/>
                <w:color w:val="auto"/>
                <w:highlight w:val="none"/>
                <w:lang w:val="en-US" w:eastAsia="zh-CN"/>
              </w:rPr>
              <w:t>20</w:t>
            </w:r>
            <w:r>
              <w:rPr>
                <w:rFonts w:ascii="宋体" w:hAnsi="宋体" w:eastAsia="宋体" w:cs="宋体"/>
                <w:color w:val="auto"/>
                <w:highlight w:val="none"/>
                <w:lang w:eastAsia="zh-CN"/>
              </w:rPr>
              <w:t>分。</w:t>
            </w:r>
          </w:p>
          <w:p w14:paraId="2AC9EAD9">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注：未提供或提供不全的不得分。</w:t>
            </w:r>
          </w:p>
        </w:tc>
        <w:tc>
          <w:tcPr>
            <w:tcW w:w="925" w:type="dxa"/>
            <w:vAlign w:val="center"/>
          </w:tcPr>
          <w:p w14:paraId="55F58D44">
            <w:pPr>
              <w:pStyle w:val="28"/>
              <w:spacing w:before="33" w:line="440" w:lineRule="exact"/>
              <w:ind w:left="112" w:right="101"/>
              <w:jc w:val="center"/>
              <w:rPr>
                <w:rFonts w:hint="eastAsia" w:cs="方正仿宋_GB2312"/>
                <w:color w:val="auto"/>
                <w:spacing w:val="-13"/>
                <w:highlight w:val="none"/>
                <w:lang w:eastAsia="zh-CN"/>
              </w:rPr>
            </w:pPr>
            <w:r>
              <w:rPr>
                <w:rFonts w:hint="eastAsia" w:cs="方正仿宋_GB2312"/>
                <w:color w:val="auto"/>
                <w:spacing w:val="-13"/>
                <w:highlight w:val="none"/>
                <w:lang w:eastAsia="zh-CN"/>
              </w:rPr>
              <w:t>0-</w:t>
            </w:r>
            <w:r>
              <w:rPr>
                <w:rFonts w:hint="eastAsia" w:cs="方正仿宋_GB2312"/>
                <w:color w:val="auto"/>
                <w:spacing w:val="-13"/>
                <w:highlight w:val="none"/>
                <w:lang w:val="en-US" w:eastAsia="zh-CN"/>
              </w:rPr>
              <w:t>20</w:t>
            </w:r>
            <w:r>
              <w:rPr>
                <w:rFonts w:hint="eastAsia" w:cs="方正仿宋_GB2312"/>
                <w:color w:val="auto"/>
                <w:spacing w:val="-13"/>
                <w:highlight w:val="none"/>
                <w:lang w:eastAsia="zh-CN"/>
              </w:rPr>
              <w:t>分</w:t>
            </w:r>
          </w:p>
        </w:tc>
      </w:tr>
      <w:tr w14:paraId="00B36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33" w:type="dxa"/>
            <w:vAlign w:val="center"/>
          </w:tcPr>
          <w:p w14:paraId="48BCCE54">
            <w:pPr>
              <w:pStyle w:val="28"/>
              <w:spacing w:before="78" w:line="440" w:lineRule="exact"/>
              <w:jc w:val="center"/>
              <w:rPr>
                <w:rFonts w:hint="eastAsia" w:ascii="宋体" w:hAnsi="宋体" w:eastAsia="宋体" w:cs="方正仿宋_GB2312"/>
                <w:color w:val="auto"/>
                <w:highlight w:val="none"/>
                <w:lang w:val="en-US" w:eastAsia="zh-CN"/>
              </w:rPr>
            </w:pPr>
            <w:r>
              <w:rPr>
                <w:rFonts w:hint="eastAsia" w:ascii="宋体" w:hAnsi="宋体" w:eastAsia="宋体" w:cs="方正仿宋_GB2312"/>
                <w:color w:val="auto"/>
                <w:highlight w:val="none"/>
                <w:lang w:val="en-US" w:eastAsia="zh-CN"/>
              </w:rPr>
              <w:t>经营</w:t>
            </w:r>
          </w:p>
          <w:p w14:paraId="2474D8AA">
            <w:pPr>
              <w:pStyle w:val="28"/>
              <w:spacing w:before="78" w:line="440" w:lineRule="exact"/>
              <w:jc w:val="center"/>
              <w:rPr>
                <w:rFonts w:cs="方正仿宋_GB2312"/>
                <w:color w:val="auto"/>
                <w:spacing w:val="-3"/>
                <w:highlight w:val="none"/>
                <w:lang w:eastAsia="zh-CN"/>
              </w:rPr>
            </w:pPr>
            <w:r>
              <w:rPr>
                <w:rFonts w:hint="eastAsia" w:ascii="宋体" w:hAnsi="宋体" w:eastAsia="宋体" w:cs="方正仿宋_GB2312"/>
                <w:color w:val="auto"/>
                <w:highlight w:val="none"/>
                <w:lang w:val="en-US" w:eastAsia="zh-CN"/>
              </w:rPr>
              <w:t>方案</w:t>
            </w:r>
          </w:p>
        </w:tc>
        <w:tc>
          <w:tcPr>
            <w:tcW w:w="5950" w:type="dxa"/>
          </w:tcPr>
          <w:p w14:paraId="616221B1">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围绕经营管理、原材料采购、饭菜品种、价格、食品安全环境卫生、食品质量控制、服务质量控制、卫生管理控制食品卫生、人员卫生、环境卫生、垃圾处理等内容编制经营方案，</w:t>
            </w:r>
            <w:r>
              <w:rPr>
                <w:rFonts w:hint="eastAsia" w:ascii="宋体" w:hAnsi="宋体" w:eastAsia="宋体" w:cs="宋体"/>
                <w:color w:val="auto"/>
                <w:highlight w:val="none"/>
                <w:lang w:val="en-US" w:eastAsia="zh-CN"/>
              </w:rPr>
              <w:t>比选小组</w:t>
            </w:r>
            <w:r>
              <w:rPr>
                <w:rFonts w:hint="eastAsia" w:ascii="宋体" w:hAnsi="宋体" w:eastAsia="宋体" w:cs="宋体"/>
                <w:color w:val="auto"/>
                <w:highlight w:val="none"/>
                <w:lang w:eastAsia="zh-CN"/>
              </w:rPr>
              <w:t>根据上述内容综合评分：。</w:t>
            </w:r>
          </w:p>
          <w:p w14:paraId="7EAC24CB">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方案全面，针对性强，可行性高得</w:t>
            </w:r>
            <w:r>
              <w:rPr>
                <w:rFonts w:hint="eastAsia" w:ascii="宋体" w:hAnsi="宋体" w:eastAsia="宋体" w:cs="宋体"/>
                <w:color w:val="auto"/>
                <w:highlight w:val="none"/>
                <w:lang w:val="en-US" w:eastAsia="zh-CN"/>
              </w:rPr>
              <w:t>30-40</w:t>
            </w:r>
            <w:r>
              <w:rPr>
                <w:rFonts w:hint="eastAsia" w:ascii="宋体" w:hAnsi="宋体" w:eastAsia="宋体" w:cs="宋体"/>
                <w:color w:val="auto"/>
                <w:highlight w:val="none"/>
                <w:lang w:eastAsia="zh-CN"/>
              </w:rPr>
              <w:t>分；</w:t>
            </w:r>
          </w:p>
          <w:p w14:paraId="0E63CEBF">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方案较全面，针对性较强，可行性较高得</w:t>
            </w:r>
            <w:r>
              <w:rPr>
                <w:rFonts w:hint="eastAsia" w:ascii="宋体" w:hAnsi="宋体" w:eastAsia="宋体" w:cs="宋体"/>
                <w:color w:val="auto"/>
                <w:highlight w:val="none"/>
                <w:lang w:val="en-US" w:eastAsia="zh-CN"/>
              </w:rPr>
              <w:t>20-30</w:t>
            </w:r>
            <w:r>
              <w:rPr>
                <w:rFonts w:hint="eastAsia" w:ascii="宋体" w:hAnsi="宋体" w:eastAsia="宋体" w:cs="宋体"/>
                <w:color w:val="auto"/>
                <w:highlight w:val="none"/>
                <w:lang w:eastAsia="zh-CN"/>
              </w:rPr>
              <w:t>分；</w:t>
            </w:r>
          </w:p>
          <w:p w14:paraId="44217416">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方案不完整，针对性不强，可行性低得</w:t>
            </w:r>
            <w:r>
              <w:rPr>
                <w:rFonts w:hint="eastAsia" w:ascii="宋体" w:hAnsi="宋体" w:eastAsia="宋体" w:cs="宋体"/>
                <w:color w:val="auto"/>
                <w:highlight w:val="none"/>
                <w:lang w:val="en-US" w:eastAsia="zh-CN"/>
              </w:rPr>
              <w:t>0-20</w:t>
            </w:r>
            <w:r>
              <w:rPr>
                <w:rFonts w:hint="eastAsia" w:ascii="宋体" w:hAnsi="宋体" w:eastAsia="宋体" w:cs="宋体"/>
                <w:color w:val="auto"/>
                <w:highlight w:val="none"/>
                <w:lang w:eastAsia="zh-CN"/>
              </w:rPr>
              <w:t>分。</w:t>
            </w:r>
          </w:p>
        </w:tc>
        <w:tc>
          <w:tcPr>
            <w:tcW w:w="925" w:type="dxa"/>
            <w:vAlign w:val="center"/>
          </w:tcPr>
          <w:p w14:paraId="34428340">
            <w:pPr>
              <w:pStyle w:val="28"/>
              <w:spacing w:before="33" w:line="440" w:lineRule="exact"/>
              <w:ind w:left="112" w:right="101"/>
              <w:jc w:val="center"/>
              <w:rPr>
                <w:rFonts w:cs="方正仿宋_GB2312"/>
                <w:color w:val="auto"/>
                <w:spacing w:val="-2"/>
                <w:highlight w:val="none"/>
                <w:lang w:eastAsia="zh-CN"/>
              </w:rPr>
            </w:pPr>
            <w:r>
              <w:rPr>
                <w:rFonts w:hint="eastAsia" w:cs="方正仿宋_GB2312"/>
                <w:color w:val="auto"/>
                <w:spacing w:val="-13"/>
                <w:highlight w:val="none"/>
                <w:lang w:eastAsia="zh-CN"/>
              </w:rPr>
              <w:t>0-</w:t>
            </w:r>
            <w:r>
              <w:rPr>
                <w:rFonts w:hint="eastAsia" w:cs="方正仿宋_GB2312"/>
                <w:color w:val="auto"/>
                <w:spacing w:val="-13"/>
                <w:highlight w:val="none"/>
                <w:lang w:val="en-US" w:eastAsia="zh-CN"/>
              </w:rPr>
              <w:t>40</w:t>
            </w:r>
            <w:r>
              <w:rPr>
                <w:rFonts w:hint="eastAsia" w:cs="方正仿宋_GB2312"/>
                <w:color w:val="auto"/>
                <w:spacing w:val="-13"/>
                <w:highlight w:val="none"/>
                <w:lang w:eastAsia="zh-CN"/>
              </w:rPr>
              <w:t>分</w:t>
            </w:r>
          </w:p>
        </w:tc>
      </w:tr>
      <w:tr w14:paraId="15D88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33" w:type="dxa"/>
            <w:vAlign w:val="center"/>
          </w:tcPr>
          <w:p w14:paraId="2AC8C7DC">
            <w:pPr>
              <w:pStyle w:val="28"/>
              <w:spacing w:before="78" w:line="440" w:lineRule="exact"/>
              <w:jc w:val="center"/>
              <w:rPr>
                <w:rFonts w:cs="方正仿宋_GB2312"/>
                <w:color w:val="auto"/>
                <w:spacing w:val="-4"/>
                <w:highlight w:val="none"/>
                <w:lang w:eastAsia="zh-CN"/>
              </w:rPr>
            </w:pPr>
            <w:r>
              <w:rPr>
                <w:rFonts w:hint="eastAsia"/>
                <w:color w:val="auto"/>
                <w:highlight w:val="none"/>
              </w:rPr>
              <w:t>食堂食品质量、卫生等内部管理制度</w:t>
            </w:r>
          </w:p>
        </w:tc>
        <w:tc>
          <w:tcPr>
            <w:tcW w:w="5950" w:type="dxa"/>
          </w:tcPr>
          <w:p w14:paraId="35FA0F57">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按照《食品安全法》要求提供，采购索证、出入库台账制度、食品加工、销售、存储、餐具消毒制度、财务管理制度、员工管理制度、员工服务规范、着装、文明用语、意见反映渠道、反馈流程与改进方案等内容制定企业内部管理制度，</w:t>
            </w:r>
            <w:r>
              <w:rPr>
                <w:rFonts w:hint="eastAsia" w:ascii="宋体" w:hAnsi="宋体" w:eastAsia="宋体" w:cs="宋体"/>
                <w:color w:val="auto"/>
                <w:highlight w:val="none"/>
                <w:lang w:val="en-US" w:eastAsia="zh-CN"/>
              </w:rPr>
              <w:t>比选小组</w:t>
            </w:r>
            <w:r>
              <w:rPr>
                <w:rFonts w:hint="eastAsia" w:ascii="宋体" w:hAnsi="宋体" w:eastAsia="宋体" w:cs="宋体"/>
                <w:color w:val="auto"/>
                <w:highlight w:val="none"/>
                <w:lang w:eastAsia="zh-CN"/>
              </w:rPr>
              <w:t>根据上述内容综合评分</w:t>
            </w:r>
          </w:p>
          <w:p w14:paraId="3BC3AF8B">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制度详尽健全,科学合理的，得</w:t>
            </w:r>
            <w:r>
              <w:rPr>
                <w:rFonts w:hint="eastAsia" w:ascii="宋体" w:hAnsi="宋体" w:eastAsia="宋体" w:cs="宋体"/>
                <w:color w:val="auto"/>
                <w:highlight w:val="none"/>
                <w:lang w:val="en-US" w:eastAsia="zh-CN"/>
              </w:rPr>
              <w:t>3-5</w:t>
            </w:r>
            <w:r>
              <w:rPr>
                <w:rFonts w:hint="eastAsia" w:ascii="宋体" w:hAnsi="宋体" w:eastAsia="宋体" w:cs="宋体"/>
                <w:color w:val="auto"/>
                <w:highlight w:val="none"/>
                <w:lang w:eastAsia="zh-CN"/>
              </w:rPr>
              <w:t>分；</w:t>
            </w:r>
          </w:p>
          <w:p w14:paraId="6451D616">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制度符合实际，具有实用性的，得</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lang w:eastAsia="zh-CN"/>
              </w:rPr>
              <w:t>分；</w:t>
            </w:r>
          </w:p>
          <w:p w14:paraId="335FC689">
            <w:pPr>
              <w:pStyle w:val="28"/>
              <w:spacing w:line="360" w:lineRule="auto"/>
              <w:ind w:left="60" w:leftChars="30" w:right="40" w:rightChars="20" w:firstLine="0" w:firstLineChars="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制度基本符合要求的，得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分。</w:t>
            </w:r>
          </w:p>
          <w:p w14:paraId="6B2BD47C">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hint="eastAsia" w:ascii="宋体" w:hAnsi="宋体" w:eastAsia="宋体" w:cs="宋体"/>
                <w:color w:val="auto"/>
                <w:highlight w:val="none"/>
                <w:lang w:eastAsia="zh-CN"/>
              </w:rPr>
              <w:t>无相关内容得0分。</w:t>
            </w:r>
          </w:p>
        </w:tc>
        <w:tc>
          <w:tcPr>
            <w:tcW w:w="925" w:type="dxa"/>
            <w:vAlign w:val="center"/>
          </w:tcPr>
          <w:p w14:paraId="20092248">
            <w:pPr>
              <w:pStyle w:val="28"/>
              <w:spacing w:before="33" w:line="440" w:lineRule="exact"/>
              <w:ind w:left="112" w:right="101"/>
              <w:jc w:val="center"/>
              <w:rPr>
                <w:rFonts w:cs="方正仿宋_GB2312"/>
                <w:color w:val="auto"/>
                <w:spacing w:val="-13"/>
                <w:highlight w:val="none"/>
                <w:lang w:eastAsia="zh-CN"/>
              </w:rPr>
            </w:pPr>
            <w:r>
              <w:rPr>
                <w:rFonts w:hint="eastAsia" w:cs="方正仿宋_GB2312"/>
                <w:color w:val="auto"/>
                <w:spacing w:val="-13"/>
                <w:highlight w:val="none"/>
                <w:lang w:eastAsia="zh-CN"/>
              </w:rPr>
              <w:t>0-</w:t>
            </w:r>
            <w:r>
              <w:rPr>
                <w:rFonts w:hint="eastAsia" w:cs="方正仿宋_GB2312"/>
                <w:color w:val="auto"/>
                <w:spacing w:val="-13"/>
                <w:highlight w:val="none"/>
                <w:lang w:val="en-US" w:eastAsia="zh-CN"/>
              </w:rPr>
              <w:t>5</w:t>
            </w:r>
            <w:r>
              <w:rPr>
                <w:rFonts w:hint="eastAsia" w:cs="方正仿宋_GB2312"/>
                <w:color w:val="auto"/>
                <w:spacing w:val="-13"/>
                <w:highlight w:val="none"/>
                <w:lang w:eastAsia="zh-CN"/>
              </w:rPr>
              <w:t>分</w:t>
            </w:r>
          </w:p>
        </w:tc>
      </w:tr>
      <w:tr w14:paraId="2586E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33" w:type="dxa"/>
            <w:vAlign w:val="center"/>
          </w:tcPr>
          <w:p w14:paraId="6DF576C6">
            <w:pPr>
              <w:pStyle w:val="28"/>
              <w:spacing w:before="78" w:line="440" w:lineRule="exact"/>
              <w:jc w:val="center"/>
              <w:rPr>
                <w:rFonts w:hint="eastAsia" w:eastAsia="宋体" w:cs="方正仿宋_GB2312"/>
                <w:color w:val="auto"/>
                <w:highlight w:val="none"/>
                <w:lang w:eastAsia="zh-CN"/>
              </w:rPr>
            </w:pPr>
            <w:r>
              <w:rPr>
                <w:rFonts w:hint="eastAsia"/>
                <w:color w:val="auto"/>
                <w:highlight w:val="none"/>
              </w:rPr>
              <w:t>应急方案</w:t>
            </w:r>
          </w:p>
        </w:tc>
        <w:tc>
          <w:tcPr>
            <w:tcW w:w="5950" w:type="dxa"/>
          </w:tcPr>
          <w:p w14:paraId="60364295">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针对突发事件应急预案完善等方面综合评审。</w:t>
            </w:r>
          </w:p>
          <w:p w14:paraId="2CC4E96C">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应急预案完整，针对性强得</w:t>
            </w:r>
            <w:r>
              <w:rPr>
                <w:rFonts w:hint="eastAsia" w:ascii="宋体" w:hAnsi="宋体" w:eastAsia="宋体" w:cs="宋体"/>
                <w:color w:val="auto"/>
                <w:highlight w:val="none"/>
                <w:lang w:val="en-US" w:eastAsia="zh-CN"/>
              </w:rPr>
              <w:t>5-8</w:t>
            </w:r>
            <w:r>
              <w:rPr>
                <w:rFonts w:ascii="宋体" w:hAnsi="宋体" w:eastAsia="宋体" w:cs="宋体"/>
                <w:color w:val="auto"/>
                <w:highlight w:val="none"/>
                <w:lang w:eastAsia="zh-CN"/>
              </w:rPr>
              <w:t>分；</w:t>
            </w:r>
          </w:p>
          <w:p w14:paraId="3FADE976">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应急预案较完整，针对性较强得</w:t>
            </w:r>
            <w:r>
              <w:rPr>
                <w:rFonts w:hint="eastAsia" w:ascii="宋体" w:hAnsi="宋体" w:eastAsia="宋体" w:cs="宋体"/>
                <w:color w:val="auto"/>
                <w:highlight w:val="none"/>
                <w:lang w:val="en-US" w:eastAsia="zh-CN"/>
              </w:rPr>
              <w:t>3-5</w:t>
            </w:r>
            <w:r>
              <w:rPr>
                <w:rFonts w:ascii="宋体" w:hAnsi="宋体" w:eastAsia="宋体" w:cs="宋体"/>
                <w:color w:val="auto"/>
                <w:highlight w:val="none"/>
                <w:lang w:eastAsia="zh-CN"/>
              </w:rPr>
              <w:t>分；</w:t>
            </w:r>
          </w:p>
          <w:p w14:paraId="73149F6B">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ascii="宋体" w:hAnsi="宋体" w:eastAsia="宋体" w:cs="宋体"/>
                <w:color w:val="auto"/>
                <w:highlight w:val="none"/>
                <w:lang w:eastAsia="zh-CN"/>
              </w:rPr>
              <w:t>应急预案不完整，针对性不强得</w:t>
            </w:r>
            <w:r>
              <w:rPr>
                <w:rFonts w:hint="eastAsia" w:ascii="宋体" w:hAnsi="宋体" w:eastAsia="宋体" w:cs="宋体"/>
                <w:color w:val="auto"/>
                <w:highlight w:val="none"/>
                <w:lang w:val="en-US" w:eastAsia="zh-CN"/>
              </w:rPr>
              <w:t>1-3</w:t>
            </w:r>
            <w:r>
              <w:rPr>
                <w:rFonts w:ascii="宋体" w:hAnsi="宋体" w:eastAsia="宋体" w:cs="宋体"/>
                <w:color w:val="auto"/>
                <w:highlight w:val="none"/>
                <w:lang w:eastAsia="zh-CN"/>
              </w:rPr>
              <w:t>分。</w:t>
            </w:r>
          </w:p>
          <w:p w14:paraId="2F576A79">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ascii="宋体" w:hAnsi="宋体" w:eastAsia="宋体" w:cs="宋体"/>
                <w:color w:val="auto"/>
                <w:highlight w:val="none"/>
                <w:lang w:eastAsia="zh-CN"/>
              </w:rPr>
              <w:t>无相关内容得0分。</w:t>
            </w:r>
          </w:p>
        </w:tc>
        <w:tc>
          <w:tcPr>
            <w:tcW w:w="925" w:type="dxa"/>
            <w:vAlign w:val="center"/>
          </w:tcPr>
          <w:p w14:paraId="61B514E8">
            <w:pPr>
              <w:pStyle w:val="28"/>
              <w:spacing w:before="118" w:line="440" w:lineRule="exact"/>
              <w:ind w:left="112" w:right="101"/>
              <w:jc w:val="center"/>
              <w:rPr>
                <w:rFonts w:cs="方正仿宋_GB2312"/>
                <w:color w:val="auto"/>
                <w:spacing w:val="-1"/>
                <w:highlight w:val="none"/>
                <w:lang w:eastAsia="zh-CN"/>
              </w:rPr>
            </w:pPr>
            <w:r>
              <w:rPr>
                <w:rFonts w:hint="eastAsia" w:cs="方正仿宋_GB2312"/>
                <w:color w:val="auto"/>
                <w:spacing w:val="-3"/>
                <w:highlight w:val="none"/>
                <w:lang w:eastAsia="zh-CN"/>
              </w:rPr>
              <w:t>0-</w:t>
            </w:r>
            <w:r>
              <w:rPr>
                <w:rFonts w:hint="eastAsia" w:cs="方正仿宋_GB2312"/>
                <w:color w:val="auto"/>
                <w:spacing w:val="-3"/>
                <w:highlight w:val="none"/>
                <w:lang w:val="en-US" w:eastAsia="zh-CN"/>
              </w:rPr>
              <w:t>8</w:t>
            </w:r>
            <w:r>
              <w:rPr>
                <w:rFonts w:hint="eastAsia" w:cs="方正仿宋_GB2312"/>
                <w:color w:val="auto"/>
                <w:spacing w:val="-3"/>
                <w:highlight w:val="none"/>
                <w:lang w:eastAsia="zh-CN"/>
              </w:rPr>
              <w:t>分</w:t>
            </w:r>
          </w:p>
        </w:tc>
      </w:tr>
      <w:tr w14:paraId="4505A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33" w:type="dxa"/>
            <w:vAlign w:val="center"/>
          </w:tcPr>
          <w:p w14:paraId="3BCD28E5">
            <w:pPr>
              <w:pStyle w:val="28"/>
              <w:spacing w:before="78" w:line="440" w:lineRule="exact"/>
              <w:jc w:val="center"/>
              <w:rPr>
                <w:rFonts w:cs="方正仿宋_GB2312"/>
                <w:color w:val="auto"/>
                <w:spacing w:val="-4"/>
                <w:highlight w:val="none"/>
                <w:lang w:eastAsia="zh-CN"/>
              </w:rPr>
            </w:pPr>
            <w:r>
              <w:rPr>
                <w:rFonts w:hint="eastAsia" w:cs="方正仿宋_GB2312"/>
                <w:color w:val="auto"/>
                <w:spacing w:val="-4"/>
                <w:highlight w:val="none"/>
                <w:lang w:eastAsia="zh-CN"/>
              </w:rPr>
              <w:t>价格分</w:t>
            </w:r>
          </w:p>
        </w:tc>
        <w:tc>
          <w:tcPr>
            <w:tcW w:w="5950" w:type="dxa"/>
          </w:tcPr>
          <w:p w14:paraId="73BC3A03">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（1）确定评审价</w:t>
            </w:r>
          </w:p>
          <w:p w14:paraId="58425EFE">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评审价=报价表中报价大写金额；</w:t>
            </w:r>
          </w:p>
          <w:p w14:paraId="3AE6EDED">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价格分统一采用平均值法，即满足比选文件要求的供应商的报价的平均值作为评审基准价。</w:t>
            </w:r>
          </w:p>
          <w:p w14:paraId="0A04B99C">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（2）评审价的偏差率计算</w:t>
            </w:r>
          </w:p>
          <w:p w14:paraId="62301D84">
            <w:pPr>
              <w:pStyle w:val="28"/>
              <w:spacing w:line="360" w:lineRule="auto"/>
              <w:ind w:left="60" w:leftChars="30" w:right="40" w:rightChars="20" w:firstLine="0" w:firstLineChars="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偏差率=100%×（供应商的评审价-评审基准价）/评审基准价偏差率保留两位小数（小数点后第三位“四舍五入”），即为*.**%。</w:t>
            </w:r>
          </w:p>
          <w:p w14:paraId="1D456D36">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（3）评审价得分计算</w:t>
            </w:r>
          </w:p>
          <w:p w14:paraId="029F0D63">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①当供应商评审价＞评审基准价，评审价得分=F-偏差率*100</w:t>
            </w:r>
          </w:p>
          <w:p w14:paraId="4EFC6EF3">
            <w:pPr>
              <w:pStyle w:val="28"/>
              <w:spacing w:line="360" w:lineRule="auto"/>
              <w:ind w:left="60" w:leftChars="30" w:right="40" w:rightChars="2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②当供应商评审价≤评审基准价，评审价得分=F+偏差率*100</w:t>
            </w:r>
          </w:p>
          <w:p w14:paraId="38E7E7B1">
            <w:pPr>
              <w:pStyle w:val="28"/>
              <w:spacing w:line="360" w:lineRule="auto"/>
              <w:ind w:left="60" w:leftChars="30" w:right="40" w:rightChars="20" w:firstLine="0" w:firstLineChars="0"/>
              <w:jc w:val="left"/>
              <w:rPr>
                <w:rFonts w:ascii="宋体" w:hAnsi="宋体" w:eastAsia="宋体" w:cs="宋体"/>
                <w:color w:val="auto"/>
                <w:highlight w:val="none"/>
                <w:lang w:eastAsia="zh-CN"/>
              </w:rPr>
            </w:pPr>
            <w:r>
              <w:rPr>
                <w:rFonts w:hint="eastAsia" w:ascii="宋体" w:hAnsi="宋体" w:eastAsia="宋体" w:cs="宋体"/>
                <w:color w:val="auto"/>
                <w:highlight w:val="none"/>
                <w:lang w:eastAsia="zh-CN"/>
              </w:rPr>
              <w:t>其中:F是评审价所占的权重分值。当价格分得分为负时，均按0分计算。</w:t>
            </w:r>
          </w:p>
        </w:tc>
        <w:tc>
          <w:tcPr>
            <w:tcW w:w="925" w:type="dxa"/>
            <w:vAlign w:val="center"/>
          </w:tcPr>
          <w:p w14:paraId="24680AFC">
            <w:pPr>
              <w:pStyle w:val="28"/>
              <w:spacing w:before="118" w:line="440" w:lineRule="exact"/>
              <w:ind w:left="112" w:right="101"/>
              <w:jc w:val="center"/>
              <w:rPr>
                <w:rFonts w:cs="方正仿宋_GB2312"/>
                <w:color w:val="auto"/>
                <w:spacing w:val="-3"/>
                <w:highlight w:val="none"/>
                <w:lang w:eastAsia="zh-CN"/>
              </w:rPr>
            </w:pPr>
            <w:r>
              <w:rPr>
                <w:rFonts w:hint="eastAsia" w:cs="方正仿宋_GB2312"/>
                <w:color w:val="auto"/>
                <w:spacing w:val="-3"/>
                <w:highlight w:val="none"/>
                <w:lang w:eastAsia="zh-CN"/>
              </w:rPr>
              <w:t>0-</w:t>
            </w:r>
            <w:r>
              <w:rPr>
                <w:rFonts w:hint="eastAsia" w:cs="方正仿宋_GB2312"/>
                <w:color w:val="auto"/>
                <w:spacing w:val="-3"/>
                <w:highlight w:val="none"/>
                <w:lang w:val="en-US" w:eastAsia="zh-CN"/>
              </w:rPr>
              <w:t>5</w:t>
            </w:r>
            <w:r>
              <w:rPr>
                <w:rFonts w:hint="eastAsia" w:cs="方正仿宋_GB2312"/>
                <w:color w:val="auto"/>
                <w:spacing w:val="-3"/>
                <w:highlight w:val="none"/>
                <w:lang w:eastAsia="zh-CN"/>
              </w:rPr>
              <w:t>分</w:t>
            </w:r>
          </w:p>
        </w:tc>
      </w:tr>
    </w:tbl>
    <w:p w14:paraId="6076542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369CF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评审委员会</w:t>
      </w:r>
      <w:r>
        <w:rPr>
          <w:rFonts w:asciiTheme="minorEastAsia" w:hAnsiTheme="minorEastAsia" w:eastAsiaTheme="minorEastAsia"/>
          <w:color w:val="auto"/>
          <w:sz w:val="24"/>
          <w:highlight w:val="none"/>
        </w:rPr>
        <w:t>各成员应当独立对每个有效响应的文件进行评价、打分，然后汇总每个</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每项评分因素的得分，再取各位评委评分之平均值，四舍五入保留至小数点后两位数，得到该</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的技术资信分。</w:t>
      </w:r>
    </w:p>
    <w:p w14:paraId="52A9BB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的技术资信分加上根据上述标准计算出的价格分，即为该</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的综合总得分。</w:t>
      </w:r>
    </w:p>
    <w:p w14:paraId="33EF9E03">
      <w:pPr>
        <w:spacing w:line="360" w:lineRule="auto"/>
        <w:ind w:firstLine="435"/>
        <w:rPr>
          <w:rFonts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小组根据供应商最终综合得分（商务技术得分+报价得分）由高到低推荐1名成交候选人。若出现综合得分相同的情况，则按报价低的列前。（取小数点后两位，第三位四舍五入）。</w:t>
      </w:r>
    </w:p>
    <w:p w14:paraId="6752193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F7BE9FC">
      <w:pPr>
        <w:ind w:left="0" w:leftChars="0" w:firstLine="0" w:firstLineChars="0"/>
        <w:jc w:val="center"/>
        <w:outlineLvl w:val="1"/>
        <w:rPr>
          <w:rFonts w:asciiTheme="minorEastAsia" w:hAnsiTheme="minorEastAsia" w:eastAsiaTheme="minorEastAsia"/>
          <w:b/>
          <w:color w:val="auto"/>
          <w:sz w:val="28"/>
          <w:highlight w:val="none"/>
        </w:rPr>
      </w:pPr>
      <w:bookmarkStart w:id="11" w:name="_Toc22321"/>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合同</w:t>
      </w:r>
      <w:bookmarkEnd w:id="11"/>
    </w:p>
    <w:p w14:paraId="6BED1A6D">
      <w:pPr>
        <w:ind w:left="0" w:leftChars="0" w:firstLine="0" w:firstLineChars="0"/>
        <w:jc w:val="center"/>
        <w:rPr>
          <w:b/>
          <w:bCs/>
          <w:color w:val="auto"/>
          <w:highlight w:val="none"/>
        </w:rPr>
      </w:pPr>
      <w:bookmarkStart w:id="12" w:name="_Toc26882"/>
      <w:r>
        <w:rPr>
          <w:rFonts w:hint="eastAsia"/>
          <w:color w:val="auto"/>
          <w:highlight w:val="none"/>
        </w:rPr>
        <w:t>（</w:t>
      </w:r>
      <w:r>
        <w:rPr>
          <w:rFonts w:hint="eastAsia"/>
          <w:color w:val="auto"/>
          <w:highlight w:val="none"/>
          <w:lang w:val="en-US" w:eastAsia="zh-CN"/>
        </w:rPr>
        <w:t>合同双方依法签订</w:t>
      </w:r>
      <w:r>
        <w:rPr>
          <w:rFonts w:hint="eastAsia"/>
          <w:color w:val="auto"/>
          <w:highlight w:val="none"/>
        </w:rPr>
        <w:t>）</w:t>
      </w:r>
      <w:bookmarkEnd w:id="12"/>
    </w:p>
    <w:p w14:paraId="10C85136">
      <w:pPr>
        <w:spacing w:line="360" w:lineRule="auto"/>
        <w:jc w:val="left"/>
        <w:rPr>
          <w:rFonts w:asciiTheme="minorEastAsia" w:hAnsiTheme="minorEastAsia" w:eastAsiaTheme="minorEastAsia"/>
          <w:b/>
          <w:color w:val="auto"/>
          <w:sz w:val="28"/>
          <w:highlight w:val="none"/>
        </w:rPr>
      </w:pPr>
    </w:p>
    <w:p w14:paraId="28F80552">
      <w:pPr>
        <w:spacing w:line="360" w:lineRule="auto"/>
        <w:jc w:val="left"/>
        <w:rPr>
          <w:rFonts w:asciiTheme="minorEastAsia" w:hAnsiTheme="minorEastAsia" w:eastAsiaTheme="minorEastAsia"/>
          <w:b/>
          <w:color w:val="auto"/>
          <w:sz w:val="28"/>
          <w:highlight w:val="none"/>
        </w:rPr>
      </w:pPr>
    </w:p>
    <w:p w14:paraId="6F274377">
      <w:pPr>
        <w:spacing w:line="360" w:lineRule="auto"/>
        <w:jc w:val="left"/>
        <w:rPr>
          <w:rFonts w:asciiTheme="minorEastAsia" w:hAnsiTheme="minorEastAsia" w:eastAsiaTheme="minorEastAsia"/>
          <w:b/>
          <w:color w:val="auto"/>
          <w:sz w:val="28"/>
          <w:highlight w:val="none"/>
        </w:rPr>
      </w:pPr>
    </w:p>
    <w:p w14:paraId="258344DD">
      <w:pPr>
        <w:spacing w:line="360" w:lineRule="auto"/>
        <w:jc w:val="left"/>
        <w:rPr>
          <w:rFonts w:asciiTheme="minorEastAsia" w:hAnsiTheme="minorEastAsia" w:eastAsiaTheme="minorEastAsia"/>
          <w:b/>
          <w:color w:val="auto"/>
          <w:sz w:val="28"/>
          <w:highlight w:val="none"/>
        </w:rPr>
      </w:pPr>
    </w:p>
    <w:p w14:paraId="37907E8D">
      <w:pPr>
        <w:spacing w:line="360" w:lineRule="auto"/>
        <w:jc w:val="left"/>
        <w:rPr>
          <w:rFonts w:asciiTheme="minorEastAsia" w:hAnsiTheme="minorEastAsia" w:eastAsiaTheme="minorEastAsia"/>
          <w:b/>
          <w:color w:val="auto"/>
          <w:sz w:val="28"/>
          <w:highlight w:val="none"/>
        </w:rPr>
      </w:pPr>
    </w:p>
    <w:p w14:paraId="326C73CD">
      <w:pPr>
        <w:spacing w:line="360" w:lineRule="auto"/>
        <w:jc w:val="left"/>
        <w:rPr>
          <w:rFonts w:asciiTheme="minorEastAsia" w:hAnsiTheme="minorEastAsia" w:eastAsiaTheme="minorEastAsia"/>
          <w:b/>
          <w:color w:val="auto"/>
          <w:sz w:val="28"/>
          <w:highlight w:val="none"/>
        </w:rPr>
      </w:pPr>
    </w:p>
    <w:p w14:paraId="6116CA97">
      <w:pPr>
        <w:spacing w:line="360" w:lineRule="auto"/>
        <w:jc w:val="left"/>
        <w:rPr>
          <w:rFonts w:asciiTheme="minorEastAsia" w:hAnsiTheme="minorEastAsia" w:eastAsiaTheme="minorEastAsia"/>
          <w:b/>
          <w:color w:val="auto"/>
          <w:sz w:val="28"/>
          <w:highlight w:val="none"/>
        </w:rPr>
      </w:pPr>
    </w:p>
    <w:p w14:paraId="24EB6104">
      <w:pPr>
        <w:spacing w:line="360" w:lineRule="auto"/>
        <w:jc w:val="left"/>
        <w:rPr>
          <w:rFonts w:asciiTheme="minorEastAsia" w:hAnsiTheme="minorEastAsia" w:eastAsiaTheme="minorEastAsia"/>
          <w:b/>
          <w:color w:val="auto"/>
          <w:sz w:val="28"/>
          <w:highlight w:val="none"/>
        </w:rPr>
      </w:pPr>
    </w:p>
    <w:p w14:paraId="75B71B41">
      <w:pPr>
        <w:spacing w:line="360" w:lineRule="auto"/>
        <w:jc w:val="left"/>
        <w:rPr>
          <w:rFonts w:asciiTheme="minorEastAsia" w:hAnsiTheme="minorEastAsia" w:eastAsiaTheme="minorEastAsia"/>
          <w:b/>
          <w:color w:val="auto"/>
          <w:sz w:val="28"/>
          <w:highlight w:val="none"/>
        </w:rPr>
      </w:pPr>
    </w:p>
    <w:p w14:paraId="5C3C01DC">
      <w:pPr>
        <w:spacing w:line="360" w:lineRule="auto"/>
        <w:jc w:val="left"/>
        <w:rPr>
          <w:rFonts w:asciiTheme="minorEastAsia" w:hAnsiTheme="minorEastAsia" w:eastAsiaTheme="minorEastAsia"/>
          <w:b/>
          <w:color w:val="auto"/>
          <w:sz w:val="28"/>
          <w:highlight w:val="none"/>
        </w:rPr>
      </w:pPr>
    </w:p>
    <w:p w14:paraId="6F6B442A">
      <w:pPr>
        <w:spacing w:line="360" w:lineRule="auto"/>
        <w:jc w:val="left"/>
        <w:rPr>
          <w:rFonts w:asciiTheme="minorEastAsia" w:hAnsiTheme="minorEastAsia" w:eastAsiaTheme="minorEastAsia"/>
          <w:b/>
          <w:color w:val="auto"/>
          <w:sz w:val="28"/>
          <w:highlight w:val="none"/>
        </w:rPr>
      </w:pPr>
    </w:p>
    <w:p w14:paraId="5CBFE6EA">
      <w:pPr>
        <w:spacing w:line="360" w:lineRule="auto"/>
        <w:jc w:val="left"/>
        <w:rPr>
          <w:rFonts w:asciiTheme="minorEastAsia" w:hAnsiTheme="minorEastAsia" w:eastAsiaTheme="minorEastAsia"/>
          <w:b/>
          <w:color w:val="auto"/>
          <w:sz w:val="28"/>
          <w:highlight w:val="none"/>
        </w:rPr>
      </w:pPr>
    </w:p>
    <w:p w14:paraId="5BAD151E">
      <w:pPr>
        <w:spacing w:line="360" w:lineRule="auto"/>
        <w:jc w:val="left"/>
        <w:rPr>
          <w:rFonts w:asciiTheme="minorEastAsia" w:hAnsiTheme="minorEastAsia" w:eastAsiaTheme="minorEastAsia"/>
          <w:b/>
          <w:color w:val="auto"/>
          <w:sz w:val="28"/>
          <w:highlight w:val="none"/>
        </w:rPr>
      </w:pPr>
    </w:p>
    <w:p w14:paraId="27200412">
      <w:pPr>
        <w:spacing w:line="360" w:lineRule="auto"/>
        <w:jc w:val="left"/>
        <w:rPr>
          <w:rFonts w:asciiTheme="minorEastAsia" w:hAnsiTheme="minorEastAsia" w:eastAsiaTheme="minorEastAsia"/>
          <w:b/>
          <w:color w:val="auto"/>
          <w:sz w:val="28"/>
          <w:highlight w:val="none"/>
        </w:rPr>
      </w:pPr>
    </w:p>
    <w:p w14:paraId="64AE8143">
      <w:pPr>
        <w:spacing w:line="360" w:lineRule="auto"/>
        <w:jc w:val="center"/>
        <w:outlineLvl w:val="1"/>
        <w:rPr>
          <w:rFonts w:hint="eastAsia" w:asciiTheme="minorEastAsia" w:hAnsiTheme="minorEastAsia" w:eastAsiaTheme="minorEastAsia"/>
          <w:b/>
          <w:color w:val="auto"/>
          <w:sz w:val="28"/>
          <w:highlight w:val="none"/>
        </w:rPr>
      </w:pPr>
    </w:p>
    <w:p w14:paraId="6391B667">
      <w:pPr>
        <w:spacing w:line="360" w:lineRule="auto"/>
        <w:jc w:val="center"/>
        <w:outlineLvl w:val="1"/>
        <w:rPr>
          <w:rFonts w:hint="eastAsia" w:asciiTheme="minorEastAsia" w:hAnsiTheme="minorEastAsia" w:eastAsiaTheme="minorEastAsia"/>
          <w:b/>
          <w:color w:val="auto"/>
          <w:sz w:val="28"/>
          <w:highlight w:val="none"/>
        </w:rPr>
      </w:pPr>
    </w:p>
    <w:p w14:paraId="3EFCF38D">
      <w:pPr>
        <w:spacing w:line="360" w:lineRule="auto"/>
        <w:jc w:val="center"/>
        <w:outlineLvl w:val="1"/>
        <w:rPr>
          <w:rFonts w:hint="eastAsia" w:asciiTheme="minorEastAsia" w:hAnsiTheme="minorEastAsia" w:eastAsiaTheme="minorEastAsia"/>
          <w:b/>
          <w:color w:val="auto"/>
          <w:sz w:val="28"/>
          <w:highlight w:val="none"/>
        </w:rPr>
      </w:pPr>
    </w:p>
    <w:p w14:paraId="2040564C">
      <w:pPr>
        <w:spacing w:line="360" w:lineRule="auto"/>
        <w:jc w:val="center"/>
        <w:outlineLvl w:val="1"/>
        <w:rPr>
          <w:rFonts w:hint="eastAsia" w:asciiTheme="minorEastAsia" w:hAnsiTheme="minorEastAsia" w:eastAsiaTheme="minorEastAsia"/>
          <w:b/>
          <w:color w:val="auto"/>
          <w:sz w:val="28"/>
          <w:highlight w:val="none"/>
        </w:rPr>
      </w:pPr>
    </w:p>
    <w:p w14:paraId="1748582B">
      <w:pPr>
        <w:spacing w:line="360" w:lineRule="auto"/>
        <w:jc w:val="center"/>
        <w:outlineLvl w:val="1"/>
        <w:rPr>
          <w:rFonts w:hint="eastAsia" w:asciiTheme="minorEastAsia" w:hAnsiTheme="minorEastAsia" w:eastAsiaTheme="minorEastAsia"/>
          <w:b/>
          <w:color w:val="auto"/>
          <w:sz w:val="28"/>
          <w:highlight w:val="none"/>
        </w:rPr>
      </w:pPr>
    </w:p>
    <w:p w14:paraId="629F08F9">
      <w:pPr>
        <w:spacing w:line="360" w:lineRule="auto"/>
        <w:jc w:val="center"/>
        <w:outlineLvl w:val="1"/>
        <w:rPr>
          <w:rFonts w:hint="eastAsia" w:asciiTheme="minorEastAsia" w:hAnsiTheme="minorEastAsia" w:eastAsiaTheme="minorEastAsia"/>
          <w:b/>
          <w:color w:val="auto"/>
          <w:sz w:val="28"/>
          <w:highlight w:val="none"/>
        </w:rPr>
      </w:pPr>
    </w:p>
    <w:p w14:paraId="7D5A4628">
      <w:pPr>
        <w:spacing w:line="360" w:lineRule="auto"/>
        <w:jc w:val="center"/>
        <w:outlineLvl w:val="1"/>
        <w:rPr>
          <w:rFonts w:hint="eastAsia" w:asciiTheme="minorEastAsia" w:hAnsiTheme="minorEastAsia" w:eastAsiaTheme="minorEastAsia"/>
          <w:b/>
          <w:color w:val="auto"/>
          <w:sz w:val="28"/>
          <w:highlight w:val="none"/>
        </w:rPr>
      </w:pPr>
    </w:p>
    <w:p w14:paraId="66C6E24D">
      <w:pPr>
        <w:spacing w:line="360" w:lineRule="auto"/>
        <w:jc w:val="center"/>
        <w:outlineLvl w:val="1"/>
        <w:rPr>
          <w:rFonts w:asciiTheme="minorEastAsia" w:hAnsiTheme="minorEastAsia" w:eastAsiaTheme="minorEastAsia"/>
          <w:b/>
          <w:color w:val="auto"/>
          <w:sz w:val="28"/>
          <w:highlight w:val="none"/>
        </w:rPr>
      </w:pPr>
      <w:bookmarkStart w:id="13" w:name="_Toc20460"/>
      <w:r>
        <w:rPr>
          <w:rFonts w:hint="eastAsia" w:asciiTheme="minorEastAsia" w:hAnsiTheme="minorEastAsia" w:eastAsiaTheme="minorEastAsia"/>
          <w:b/>
          <w:color w:val="auto"/>
          <w:sz w:val="28"/>
          <w:highlight w:val="none"/>
        </w:rPr>
        <w:t>第六章  响应文件格式</w:t>
      </w:r>
      <w:bookmarkEnd w:id="13"/>
    </w:p>
    <w:p w14:paraId="1EEF3792">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32"/>
          <w:highlight w:val="none"/>
          <w:lang w:eastAsia="zh-CN"/>
        </w:rPr>
        <w:t>桃花镇机关食堂服务外包</w:t>
      </w:r>
      <w:r>
        <w:rPr>
          <w:rFonts w:hint="eastAsia" w:asciiTheme="minorEastAsia" w:hAnsiTheme="minorEastAsia" w:eastAsiaTheme="minorEastAsia"/>
          <w:b/>
          <w:color w:val="auto"/>
          <w:sz w:val="32"/>
          <w:highlight w:val="none"/>
        </w:rPr>
        <w:t xml:space="preserve"> </w:t>
      </w:r>
    </w:p>
    <w:p w14:paraId="5BBABE43">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40E449EE">
      <w:pPr>
        <w:spacing w:line="900" w:lineRule="exact"/>
        <w:jc w:val="center"/>
        <w:rPr>
          <w:rFonts w:asciiTheme="minorEastAsia" w:hAnsiTheme="minorEastAsia" w:eastAsiaTheme="minorEastAsia"/>
          <w:b/>
          <w:color w:val="auto"/>
          <w:sz w:val="72"/>
          <w:highlight w:val="none"/>
        </w:rPr>
      </w:pPr>
    </w:p>
    <w:p w14:paraId="6F740509">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572F3B39">
      <w:pPr>
        <w:spacing w:line="900" w:lineRule="exact"/>
        <w:jc w:val="center"/>
        <w:rPr>
          <w:rFonts w:asciiTheme="minorEastAsia" w:hAnsiTheme="minorEastAsia" w:eastAsiaTheme="minorEastAsia"/>
          <w:b/>
          <w:color w:val="auto"/>
          <w:sz w:val="72"/>
          <w:highlight w:val="none"/>
        </w:rPr>
      </w:pPr>
    </w:p>
    <w:p w14:paraId="2198DF26">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39C3E663">
      <w:pPr>
        <w:spacing w:line="900" w:lineRule="exact"/>
        <w:jc w:val="center"/>
        <w:rPr>
          <w:rFonts w:asciiTheme="minorEastAsia" w:hAnsiTheme="minorEastAsia" w:eastAsiaTheme="minorEastAsia"/>
          <w:b/>
          <w:color w:val="auto"/>
          <w:sz w:val="72"/>
          <w:highlight w:val="none"/>
        </w:rPr>
      </w:pPr>
    </w:p>
    <w:p w14:paraId="0D489DB9">
      <w:pPr>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1838DB8">
      <w:pPr>
        <w:spacing w:after="156" w:afterLines="50"/>
        <w:jc w:val="center"/>
        <w:rPr>
          <w:rFonts w:asciiTheme="minorEastAsia" w:hAnsiTheme="minorEastAsia" w:eastAsiaTheme="minorEastAsia"/>
          <w:b/>
          <w:color w:val="auto"/>
          <w:sz w:val="72"/>
          <w:highlight w:val="none"/>
        </w:rPr>
      </w:pPr>
    </w:p>
    <w:p w14:paraId="0F67C10D">
      <w:pPr>
        <w:spacing w:after="156" w:afterLines="50" w:line="500" w:lineRule="exact"/>
        <w:jc w:val="center"/>
        <w:rPr>
          <w:rFonts w:asciiTheme="minorEastAsia" w:hAnsiTheme="minorEastAsia" w:eastAsiaTheme="minorEastAsia"/>
          <w:b/>
          <w:color w:val="auto"/>
          <w:sz w:val="28"/>
          <w:szCs w:val="28"/>
          <w:highlight w:val="none"/>
        </w:rPr>
      </w:pPr>
    </w:p>
    <w:p w14:paraId="2276AB3F">
      <w:pPr>
        <w:spacing w:after="156" w:afterLines="50" w:line="500" w:lineRule="exact"/>
        <w:jc w:val="center"/>
        <w:rPr>
          <w:rFonts w:asciiTheme="minorEastAsia" w:hAnsiTheme="minorEastAsia" w:eastAsiaTheme="minorEastAsia"/>
          <w:b/>
          <w:color w:val="auto"/>
          <w:sz w:val="72"/>
          <w:highlight w:val="none"/>
        </w:rPr>
      </w:pPr>
    </w:p>
    <w:p w14:paraId="1AE12797">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供应商：</w:t>
      </w:r>
      <w:r>
        <w:rPr>
          <w:rFonts w:hint="eastAsia" w:asciiTheme="minorEastAsia" w:hAnsiTheme="minorEastAsia" w:eastAsiaTheme="minorEastAsia"/>
          <w:b/>
          <w:color w:val="auto"/>
          <w:sz w:val="32"/>
          <w:highlight w:val="none"/>
          <w:u w:val="single"/>
        </w:rPr>
        <w:t xml:space="preserve">               </w:t>
      </w:r>
    </w:p>
    <w:p w14:paraId="539B8985">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64B305CF">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A32927E">
      <w:pPr>
        <w:spacing w:before="156" w:beforeLines="50" w:after="156" w:afterLines="50" w:line="360" w:lineRule="auto"/>
        <w:jc w:val="center"/>
        <w:rPr>
          <w:rFonts w:cs="@仿宋_GB2312" w:asciiTheme="minorEastAsia" w:hAnsiTheme="minorEastAsia" w:eastAsiaTheme="minorEastAsia"/>
          <w:b/>
          <w:color w:val="auto"/>
          <w:kern w:val="2"/>
          <w:sz w:val="24"/>
          <w:szCs w:val="24"/>
          <w:highlight w:val="none"/>
        </w:rPr>
      </w:pPr>
      <w:bookmarkStart w:id="14" w:name="_Toc461056631"/>
      <w:bookmarkStart w:id="15" w:name="_Toc461053086"/>
      <w:bookmarkStart w:id="16" w:name="_Toc520983587"/>
      <w:r>
        <w:rPr>
          <w:rFonts w:hint="eastAsia" w:asciiTheme="minorEastAsia" w:hAnsiTheme="minorEastAsia" w:eastAsiaTheme="minorEastAsia"/>
          <w:b/>
          <w:color w:val="auto"/>
          <w:sz w:val="24"/>
          <w:highlight w:val="none"/>
        </w:rPr>
        <w:t>一</w:t>
      </w:r>
      <w:bookmarkEnd w:id="14"/>
      <w:bookmarkEnd w:id="15"/>
      <w:r>
        <w:rPr>
          <w:rFonts w:hint="eastAsia" w:asciiTheme="minorEastAsia" w:hAnsiTheme="minorEastAsia" w:eastAsiaTheme="minorEastAsia"/>
          <w:b/>
          <w:color w:val="auto"/>
          <w:sz w:val="24"/>
          <w:highlight w:val="none"/>
        </w:rPr>
        <w:t>、报价表</w:t>
      </w:r>
      <w:bookmarkEnd w:id="16"/>
    </w:p>
    <w:p w14:paraId="53F65370">
      <w:pPr>
        <w:snapToGrid w:val="0"/>
        <w:spacing w:line="360" w:lineRule="auto"/>
        <w:jc w:val="left"/>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val="en-US" w:eastAsia="zh-CN"/>
        </w:rPr>
        <w:t xml:space="preserve">桃花镇机关食堂服务外包 </w:t>
      </w:r>
    </w:p>
    <w:p w14:paraId="576E38B6">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lang w:eastAsia="zh-CN"/>
        </w:rPr>
        <w:t>项目编号：</w:t>
      </w:r>
      <w:r>
        <w:rPr>
          <w:rFonts w:hint="eastAsia" w:cs="宋体" w:asciiTheme="minorEastAsia" w:hAnsiTheme="minorEastAsia" w:eastAsiaTheme="minorEastAsia"/>
          <w:b/>
          <w:color w:val="auto"/>
          <w:kern w:val="2"/>
          <w:sz w:val="24"/>
          <w:szCs w:val="24"/>
          <w:highlight w:val="none"/>
          <w:u w:val="single"/>
          <w:lang w:eastAsia="zh-CN"/>
        </w:rPr>
        <w:t>2026PHBQ126</w:t>
      </w:r>
      <w:r>
        <w:rPr>
          <w:rFonts w:hint="eastAsia" w:cs="宋体" w:asciiTheme="minorEastAsia" w:hAnsiTheme="minorEastAsia" w:eastAsiaTheme="minorEastAsia"/>
          <w:b/>
          <w:color w:val="auto"/>
          <w:kern w:val="2"/>
          <w:sz w:val="24"/>
          <w:szCs w:val="24"/>
          <w:highlight w:val="none"/>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B5B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92FB698">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5BE3394D">
            <w:pPr>
              <w:rPr>
                <w:rFonts w:cs="宋体" w:asciiTheme="minorEastAsia" w:hAnsiTheme="minorEastAsia" w:eastAsiaTheme="minorEastAsia"/>
                <w:b/>
                <w:color w:val="auto"/>
                <w:kern w:val="2"/>
                <w:sz w:val="24"/>
                <w:szCs w:val="24"/>
                <w:highlight w:val="none"/>
              </w:rPr>
            </w:pPr>
          </w:p>
        </w:tc>
      </w:tr>
      <w:tr w14:paraId="4589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975A1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eastAsia="zh-CN"/>
              </w:rPr>
              <w:t>比选</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64069DE3">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289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A0C6BA6">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1E19B99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7AAE9965">
            <w:pPr>
              <w:snapToGrid w:val="0"/>
              <w:rPr>
                <w:rFonts w:cs="宋体"/>
                <w:color w:val="auto"/>
                <w:kern w:val="2"/>
                <w:sz w:val="24"/>
                <w:szCs w:val="24"/>
                <w:highlight w:val="none"/>
              </w:rPr>
            </w:pPr>
          </w:p>
          <w:p w14:paraId="5E12358C">
            <w:pPr>
              <w:snapToGrid w:val="0"/>
              <w:rPr>
                <w:rFonts w:hint="eastAsia" w:cs="宋体"/>
                <w:bCs/>
                <w:color w:val="auto"/>
                <w:kern w:val="2"/>
                <w:sz w:val="24"/>
                <w:szCs w:val="24"/>
                <w:highlight w:val="none"/>
                <w:lang w:val="en-US" w:eastAsia="zh-CN"/>
              </w:rPr>
            </w:pPr>
          </w:p>
          <w:p w14:paraId="24517725">
            <w:pPr>
              <w:snapToGrid w:val="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lang w:val="en-US" w:eastAsia="zh-CN"/>
              </w:rPr>
              <w:t>大写</w:t>
            </w:r>
            <w:r>
              <w:rPr>
                <w:rFonts w:hint="eastAsia" w:cs="宋体"/>
                <w:bCs/>
                <w:color w:val="auto"/>
                <w:kern w:val="2"/>
                <w:sz w:val="24"/>
                <w:szCs w:val="24"/>
                <w:highlight w:val="none"/>
              </w:rPr>
              <w:t>：</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/年</w:t>
            </w:r>
          </w:p>
          <w:p w14:paraId="64F0C889">
            <w:pPr>
              <w:snapToGrid w:val="0"/>
              <w:rPr>
                <w:rFonts w:hint="eastAsia" w:cs="宋体"/>
                <w:bCs/>
                <w:color w:val="auto"/>
                <w:kern w:val="2"/>
                <w:sz w:val="24"/>
                <w:szCs w:val="24"/>
                <w:highlight w:val="none"/>
                <w:lang w:val="en-US" w:eastAsia="zh-CN"/>
              </w:rPr>
            </w:pPr>
          </w:p>
          <w:p w14:paraId="1F0BBE64">
            <w:pPr>
              <w:snapToGrid w:val="0"/>
              <w:rPr>
                <w:rFonts w:hint="eastAsia" w:cs="宋体"/>
                <w:bCs/>
                <w:color w:val="auto"/>
                <w:kern w:val="2"/>
                <w:sz w:val="24"/>
                <w:szCs w:val="24"/>
                <w:highlight w:val="none"/>
                <w:lang w:val="en-US" w:eastAsia="zh-CN"/>
              </w:rPr>
            </w:pPr>
          </w:p>
          <w:p w14:paraId="6A0CBFB0">
            <w:pPr>
              <w:snapToGrid w:val="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lang w:val="en-US" w:eastAsia="zh-CN"/>
              </w:rPr>
              <w:t>小写</w:t>
            </w:r>
            <w:r>
              <w:rPr>
                <w:rFonts w:hint="eastAsia" w:cs="宋体"/>
                <w:bCs/>
                <w:color w:val="auto"/>
                <w:kern w:val="2"/>
                <w:sz w:val="24"/>
                <w:szCs w:val="24"/>
                <w:highlight w:val="none"/>
              </w:rPr>
              <w:t>：</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/年</w:t>
            </w:r>
          </w:p>
          <w:p w14:paraId="004550E7">
            <w:pPr>
              <w:snapToGrid w:val="0"/>
              <w:rPr>
                <w:rFonts w:cs="宋体" w:asciiTheme="minorEastAsia" w:hAnsiTheme="minorEastAsia" w:eastAsiaTheme="minorEastAsia"/>
                <w:b/>
                <w:color w:val="auto"/>
                <w:kern w:val="2"/>
                <w:sz w:val="24"/>
                <w:szCs w:val="24"/>
                <w:highlight w:val="none"/>
              </w:rPr>
            </w:pPr>
          </w:p>
        </w:tc>
      </w:tr>
      <w:tr w14:paraId="3D67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32E3C58F">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服务期限</w:t>
            </w:r>
          </w:p>
        </w:tc>
        <w:tc>
          <w:tcPr>
            <w:tcW w:w="3557" w:type="pct"/>
            <w:vAlign w:val="center"/>
          </w:tcPr>
          <w:p w14:paraId="1586650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是否响应：</w:t>
            </w:r>
            <w:r>
              <w:rPr>
                <w:rFonts w:hint="eastAsia" w:cs="宋体"/>
                <w:color w:val="auto"/>
                <w:sz w:val="24"/>
                <w:szCs w:val="24"/>
                <w:highlight w:val="none"/>
                <w:lang w:eastAsia="zh-CN"/>
              </w:rPr>
              <w:t>☑</w:t>
            </w:r>
            <w:r>
              <w:rPr>
                <w:rFonts w:hint="eastAsia" w:cs="宋体" w:asciiTheme="minorEastAsia" w:hAnsiTheme="minorEastAsia" w:eastAsiaTheme="minorEastAsia"/>
                <w:b/>
                <w:color w:val="auto"/>
                <w:kern w:val="2"/>
                <w:sz w:val="24"/>
                <w:szCs w:val="24"/>
                <w:highlight w:val="none"/>
              </w:rPr>
              <w:t xml:space="preserve">是  </w:t>
            </w:r>
            <w:r>
              <w:rPr>
                <w:rFonts w:hint="eastAsia" w:cs="宋体"/>
                <w:color w:val="auto"/>
                <w:sz w:val="24"/>
                <w:szCs w:val="24"/>
                <w:highlight w:val="none"/>
              </w:rPr>
              <w:t>□</w:t>
            </w:r>
            <w:r>
              <w:rPr>
                <w:rFonts w:hint="eastAsia" w:cs="宋体" w:asciiTheme="minorEastAsia" w:hAnsiTheme="minorEastAsia" w:eastAsiaTheme="minorEastAsia"/>
                <w:b/>
                <w:color w:val="auto"/>
                <w:kern w:val="2"/>
                <w:sz w:val="24"/>
                <w:szCs w:val="24"/>
                <w:highlight w:val="none"/>
              </w:rPr>
              <w:t>否</w:t>
            </w:r>
          </w:p>
        </w:tc>
      </w:tr>
      <w:tr w14:paraId="2CAE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42" w:type="pct"/>
            <w:vAlign w:val="center"/>
          </w:tcPr>
          <w:p w14:paraId="4909559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vAlign w:val="center"/>
          </w:tcPr>
          <w:p w14:paraId="023A8D86">
            <w:pPr>
              <w:jc w:val="both"/>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本项目无二次报价</w:t>
            </w:r>
          </w:p>
        </w:tc>
      </w:tr>
    </w:tbl>
    <w:p w14:paraId="6C77C7AC">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供应商电子签章或公章：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13C1FC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55CCBC5F">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FFECA16">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w:t>
      </w:r>
      <w:r>
        <w:rPr>
          <w:rFonts w:hint="eastAsia" w:cs="宋体" w:asciiTheme="minorEastAsia" w:hAnsiTheme="minorEastAsia" w:eastAsiaTheme="minorEastAsia"/>
          <w:b/>
          <w:bCs/>
          <w:color w:val="auto"/>
          <w:kern w:val="2"/>
          <w:sz w:val="24"/>
          <w:szCs w:val="24"/>
          <w:highlight w:val="none"/>
          <w:lang w:eastAsia="zh-CN"/>
        </w:rPr>
        <w:t>比选</w:t>
      </w:r>
      <w:r>
        <w:rPr>
          <w:rFonts w:hint="eastAsia" w:cs="宋体" w:asciiTheme="minorEastAsia" w:hAnsiTheme="minorEastAsia" w:eastAsiaTheme="minorEastAsia"/>
          <w:b/>
          <w:bCs/>
          <w:color w:val="auto"/>
          <w:kern w:val="2"/>
          <w:sz w:val="24"/>
          <w:szCs w:val="24"/>
          <w:highlight w:val="none"/>
        </w:rPr>
        <w:t>文件要求包括了</w:t>
      </w:r>
      <w:r>
        <w:rPr>
          <w:rFonts w:hint="eastAsia" w:cs="宋体" w:asciiTheme="minorEastAsia" w:hAnsiTheme="minorEastAsia" w:eastAsiaTheme="minorEastAsia"/>
          <w:b/>
          <w:bCs/>
          <w:color w:val="auto"/>
          <w:kern w:val="2"/>
          <w:sz w:val="24"/>
          <w:szCs w:val="24"/>
          <w:highlight w:val="none"/>
          <w:lang w:eastAsia="zh-CN"/>
        </w:rPr>
        <w:t>比选</w:t>
      </w:r>
      <w:r>
        <w:rPr>
          <w:rFonts w:hint="eastAsia" w:cs="宋体" w:asciiTheme="minorEastAsia" w:hAnsiTheme="minorEastAsia" w:eastAsiaTheme="minorEastAsia"/>
          <w:b/>
          <w:bCs/>
          <w:color w:val="auto"/>
          <w:kern w:val="2"/>
          <w:sz w:val="24"/>
          <w:szCs w:val="24"/>
          <w:highlight w:val="none"/>
        </w:rPr>
        <w:t>文件要求提供的全部内容的所有费用。</w:t>
      </w:r>
    </w:p>
    <w:p w14:paraId="16A9E3CE">
      <w:pPr>
        <w:adjustRightInd w:val="0"/>
        <w:snapToGrid w:val="0"/>
        <w:spacing w:line="360" w:lineRule="auto"/>
        <w:ind w:firstLine="482" w:firstLineChars="200"/>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w:t>
      </w:r>
      <w:r>
        <w:rPr>
          <w:rFonts w:hint="eastAsia" w:cs="宋体" w:asciiTheme="minorEastAsia" w:hAnsiTheme="minorEastAsia" w:eastAsiaTheme="minorEastAsia"/>
          <w:b/>
          <w:color w:val="auto"/>
          <w:kern w:val="2"/>
          <w:sz w:val="24"/>
          <w:szCs w:val="24"/>
          <w:highlight w:val="none"/>
        </w:rPr>
        <w:t>说明</w:t>
      </w:r>
      <w:r>
        <w:rPr>
          <w:rFonts w:hint="eastAsia" w:cs="宋体" w:asciiTheme="minorEastAsia" w:hAnsiTheme="minorEastAsia" w:eastAsiaTheme="minorEastAsia"/>
          <w:b/>
          <w:bCs/>
          <w:color w:val="auto"/>
          <w:kern w:val="2"/>
          <w:sz w:val="24"/>
          <w:szCs w:val="24"/>
          <w:highlight w:val="none"/>
        </w:rPr>
        <w:t>中注明。</w:t>
      </w:r>
    </w:p>
    <w:p w14:paraId="2404EF41">
      <w:pPr>
        <w:pStyle w:val="2"/>
        <w:rPr>
          <w:highlight w:val="none"/>
        </w:rPr>
      </w:pPr>
    </w:p>
    <w:p w14:paraId="3633AADE">
      <w:pPr>
        <w:pStyle w:val="2"/>
        <w:rPr>
          <w:highlight w:val="none"/>
        </w:rPr>
      </w:pPr>
    </w:p>
    <w:p w14:paraId="785E6000">
      <w:pPr>
        <w:pStyle w:val="2"/>
        <w:rPr>
          <w:highlight w:val="none"/>
        </w:rPr>
      </w:pPr>
    </w:p>
    <w:p w14:paraId="14B728FB">
      <w:pPr>
        <w:pStyle w:val="2"/>
        <w:rPr>
          <w:highlight w:val="none"/>
        </w:rPr>
      </w:pPr>
    </w:p>
    <w:p w14:paraId="0CA24306">
      <w:pPr>
        <w:pStyle w:val="2"/>
        <w:ind w:left="0" w:leftChars="0" w:firstLine="0" w:firstLineChars="0"/>
        <w:rPr>
          <w:highlight w:val="none"/>
        </w:rPr>
      </w:pPr>
    </w:p>
    <w:p w14:paraId="62066414">
      <w:pPr>
        <w:rPr>
          <w:rFonts w:hint="eastAsia"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br w:type="page"/>
      </w:r>
    </w:p>
    <w:p w14:paraId="27BE07B7">
      <w:pPr>
        <w:spacing w:line="360" w:lineRule="auto"/>
        <w:jc w:val="center"/>
        <w:outlineLvl w:val="2"/>
        <w:rPr>
          <w:rFonts w:cs="宋体"/>
          <w:color w:val="auto"/>
          <w:sz w:val="32"/>
          <w:szCs w:val="32"/>
          <w:highlight w:val="none"/>
        </w:rPr>
      </w:pPr>
      <w:bookmarkStart w:id="17" w:name="_Toc520983591"/>
      <w:r>
        <w:rPr>
          <w:rFonts w:hint="eastAsia" w:asciiTheme="minorEastAsia" w:hAnsiTheme="minorEastAsia" w:eastAsiaTheme="minorEastAsia"/>
          <w:b/>
          <w:color w:val="auto"/>
          <w:sz w:val="24"/>
          <w:highlight w:val="none"/>
        </w:rPr>
        <w:t>二、供应商综合情况简介</w:t>
      </w:r>
    </w:p>
    <w:p w14:paraId="3D78C812">
      <w:pPr>
        <w:spacing w:before="156" w:beforeLines="50" w:after="156" w:afterLines="50" w:line="360" w:lineRule="auto"/>
        <w:ind w:firstLine="235" w:firstLineChars="98"/>
        <w:jc w:val="center"/>
        <w:rPr>
          <w:rFonts w:cs="Times New Roman"/>
          <w:color w:val="auto"/>
          <w:sz w:val="24"/>
          <w:szCs w:val="28"/>
          <w:highlight w:val="none"/>
        </w:rPr>
      </w:pPr>
      <w:r>
        <w:rPr>
          <w:rFonts w:hint="eastAsia" w:cs="Times New Roman"/>
          <w:color w:val="auto"/>
          <w:sz w:val="24"/>
          <w:szCs w:val="28"/>
          <w:highlight w:val="none"/>
        </w:rPr>
        <w:t>（</w:t>
      </w:r>
      <w:r>
        <w:rPr>
          <w:rFonts w:hint="eastAsia" w:cs="Times New Roman"/>
          <w:color w:val="auto"/>
          <w:sz w:val="24"/>
          <w:szCs w:val="18"/>
          <w:highlight w:val="none"/>
        </w:rPr>
        <w:t>供应商</w:t>
      </w:r>
      <w:r>
        <w:rPr>
          <w:rFonts w:hint="eastAsia" w:cs="Times New Roman"/>
          <w:color w:val="auto"/>
          <w:sz w:val="24"/>
          <w:szCs w:val="28"/>
          <w:highlight w:val="none"/>
        </w:rPr>
        <w:t>可自行制作格式）</w:t>
      </w:r>
    </w:p>
    <w:p w14:paraId="463628D1">
      <w:pPr>
        <w:widowControl/>
        <w:jc w:val="left"/>
        <w:rPr>
          <w:rFonts w:asciiTheme="minorEastAsia" w:hAnsiTheme="minorEastAsia" w:eastAsiaTheme="minorEastAsia"/>
          <w:b/>
          <w:color w:val="auto"/>
          <w:sz w:val="24"/>
          <w:highlight w:val="none"/>
        </w:rPr>
      </w:pPr>
    </w:p>
    <w:p w14:paraId="7E1C6284">
      <w:pPr>
        <w:widowControl/>
        <w:jc w:val="center"/>
        <w:rPr>
          <w:rFonts w:hint="eastAsia" w:asciiTheme="minorEastAsia" w:hAnsiTheme="minorEastAsia" w:eastAsiaTheme="minorEastAsia"/>
          <w:b/>
          <w:color w:val="auto"/>
          <w:sz w:val="24"/>
          <w:highlight w:val="none"/>
        </w:rPr>
      </w:pPr>
    </w:p>
    <w:p w14:paraId="2059E0FE">
      <w:pPr>
        <w:widowControl/>
        <w:jc w:val="center"/>
        <w:rPr>
          <w:rFonts w:hint="eastAsia" w:asciiTheme="minorEastAsia" w:hAnsiTheme="minorEastAsia" w:eastAsiaTheme="minorEastAsia"/>
          <w:b/>
          <w:color w:val="auto"/>
          <w:sz w:val="24"/>
          <w:highlight w:val="none"/>
        </w:rPr>
      </w:pPr>
    </w:p>
    <w:p w14:paraId="1EE8D4D6">
      <w:pPr>
        <w:widowControl/>
        <w:jc w:val="center"/>
        <w:rPr>
          <w:rFonts w:hint="eastAsia" w:asciiTheme="minorEastAsia" w:hAnsiTheme="minorEastAsia" w:eastAsiaTheme="minorEastAsia"/>
          <w:b/>
          <w:color w:val="auto"/>
          <w:sz w:val="24"/>
          <w:highlight w:val="none"/>
        </w:rPr>
      </w:pPr>
    </w:p>
    <w:p w14:paraId="21EB041D">
      <w:pPr>
        <w:widowControl/>
        <w:jc w:val="center"/>
        <w:rPr>
          <w:rFonts w:hint="eastAsia" w:asciiTheme="minorEastAsia" w:hAnsiTheme="minorEastAsia" w:eastAsiaTheme="minorEastAsia"/>
          <w:b/>
          <w:color w:val="auto"/>
          <w:sz w:val="24"/>
          <w:highlight w:val="none"/>
        </w:rPr>
      </w:pPr>
    </w:p>
    <w:p w14:paraId="0B797B48">
      <w:pPr>
        <w:widowControl/>
        <w:jc w:val="center"/>
        <w:rPr>
          <w:rFonts w:hint="eastAsia" w:asciiTheme="minorEastAsia" w:hAnsiTheme="minorEastAsia" w:eastAsiaTheme="minorEastAsia"/>
          <w:b/>
          <w:color w:val="auto"/>
          <w:sz w:val="24"/>
          <w:highlight w:val="none"/>
        </w:rPr>
      </w:pPr>
    </w:p>
    <w:p w14:paraId="45CBBDAF">
      <w:pPr>
        <w:widowControl/>
        <w:jc w:val="center"/>
        <w:rPr>
          <w:rFonts w:hint="eastAsia" w:asciiTheme="minorEastAsia" w:hAnsiTheme="minorEastAsia" w:eastAsiaTheme="minorEastAsia"/>
          <w:b/>
          <w:color w:val="auto"/>
          <w:sz w:val="24"/>
          <w:highlight w:val="none"/>
        </w:rPr>
      </w:pPr>
    </w:p>
    <w:p w14:paraId="026A9786">
      <w:pPr>
        <w:widowControl/>
        <w:jc w:val="center"/>
        <w:rPr>
          <w:rFonts w:hint="eastAsia" w:asciiTheme="minorEastAsia" w:hAnsiTheme="minorEastAsia" w:eastAsiaTheme="minorEastAsia"/>
          <w:b/>
          <w:color w:val="auto"/>
          <w:sz w:val="24"/>
          <w:highlight w:val="none"/>
        </w:rPr>
      </w:pPr>
    </w:p>
    <w:p w14:paraId="54C49C13">
      <w:pPr>
        <w:widowControl/>
        <w:jc w:val="center"/>
        <w:rPr>
          <w:rFonts w:hint="eastAsia" w:asciiTheme="minorEastAsia" w:hAnsiTheme="minorEastAsia" w:eastAsiaTheme="minorEastAsia"/>
          <w:b/>
          <w:color w:val="auto"/>
          <w:sz w:val="24"/>
          <w:highlight w:val="none"/>
        </w:rPr>
      </w:pPr>
    </w:p>
    <w:p w14:paraId="25C12B41">
      <w:pPr>
        <w:widowControl/>
        <w:jc w:val="center"/>
        <w:rPr>
          <w:rFonts w:hint="eastAsia" w:asciiTheme="minorEastAsia" w:hAnsiTheme="minorEastAsia" w:eastAsiaTheme="minorEastAsia"/>
          <w:b/>
          <w:color w:val="auto"/>
          <w:sz w:val="24"/>
          <w:highlight w:val="none"/>
        </w:rPr>
      </w:pPr>
    </w:p>
    <w:p w14:paraId="2BFBDF75">
      <w:pPr>
        <w:widowControl/>
        <w:jc w:val="center"/>
        <w:rPr>
          <w:rFonts w:hint="eastAsia" w:asciiTheme="minorEastAsia" w:hAnsiTheme="minorEastAsia" w:eastAsiaTheme="minorEastAsia"/>
          <w:b/>
          <w:color w:val="auto"/>
          <w:sz w:val="24"/>
          <w:highlight w:val="none"/>
        </w:rPr>
      </w:pPr>
    </w:p>
    <w:p w14:paraId="3D7124C7">
      <w:pPr>
        <w:widowControl/>
        <w:jc w:val="center"/>
        <w:rPr>
          <w:rFonts w:hint="eastAsia" w:asciiTheme="minorEastAsia" w:hAnsiTheme="minorEastAsia" w:eastAsiaTheme="minorEastAsia"/>
          <w:b/>
          <w:color w:val="auto"/>
          <w:sz w:val="24"/>
          <w:highlight w:val="none"/>
        </w:rPr>
      </w:pPr>
    </w:p>
    <w:p w14:paraId="75BA8BA7">
      <w:pPr>
        <w:widowControl/>
        <w:jc w:val="center"/>
        <w:rPr>
          <w:rFonts w:hint="eastAsia" w:asciiTheme="minorEastAsia" w:hAnsiTheme="minorEastAsia" w:eastAsiaTheme="minorEastAsia"/>
          <w:b/>
          <w:color w:val="auto"/>
          <w:sz w:val="24"/>
          <w:highlight w:val="none"/>
        </w:rPr>
      </w:pPr>
    </w:p>
    <w:p w14:paraId="28249F9A">
      <w:pPr>
        <w:widowControl/>
        <w:jc w:val="center"/>
        <w:rPr>
          <w:rFonts w:hint="eastAsia" w:asciiTheme="minorEastAsia" w:hAnsiTheme="minorEastAsia" w:eastAsiaTheme="minorEastAsia"/>
          <w:b/>
          <w:color w:val="auto"/>
          <w:sz w:val="24"/>
          <w:highlight w:val="none"/>
        </w:rPr>
      </w:pPr>
    </w:p>
    <w:p w14:paraId="72CEC7FE">
      <w:pPr>
        <w:widowControl/>
        <w:jc w:val="center"/>
        <w:rPr>
          <w:rFonts w:hint="eastAsia" w:asciiTheme="minorEastAsia" w:hAnsiTheme="minorEastAsia" w:eastAsiaTheme="minorEastAsia"/>
          <w:b/>
          <w:color w:val="auto"/>
          <w:sz w:val="24"/>
          <w:highlight w:val="none"/>
        </w:rPr>
      </w:pPr>
    </w:p>
    <w:p w14:paraId="5F11DFD7">
      <w:pPr>
        <w:widowControl/>
        <w:jc w:val="center"/>
        <w:rPr>
          <w:rFonts w:hint="eastAsia" w:asciiTheme="minorEastAsia" w:hAnsiTheme="minorEastAsia" w:eastAsiaTheme="minorEastAsia"/>
          <w:b/>
          <w:color w:val="auto"/>
          <w:sz w:val="24"/>
          <w:highlight w:val="none"/>
        </w:rPr>
      </w:pPr>
    </w:p>
    <w:p w14:paraId="28211697">
      <w:pPr>
        <w:widowControl/>
        <w:jc w:val="center"/>
        <w:rPr>
          <w:rFonts w:hint="eastAsia" w:asciiTheme="minorEastAsia" w:hAnsiTheme="minorEastAsia" w:eastAsiaTheme="minorEastAsia"/>
          <w:b/>
          <w:color w:val="auto"/>
          <w:sz w:val="24"/>
          <w:highlight w:val="none"/>
        </w:rPr>
      </w:pPr>
    </w:p>
    <w:p w14:paraId="12D0169A">
      <w:pPr>
        <w:widowControl/>
        <w:jc w:val="center"/>
        <w:rPr>
          <w:rFonts w:hint="eastAsia" w:asciiTheme="minorEastAsia" w:hAnsiTheme="minorEastAsia" w:eastAsiaTheme="minorEastAsia"/>
          <w:b/>
          <w:color w:val="auto"/>
          <w:sz w:val="24"/>
          <w:highlight w:val="none"/>
        </w:rPr>
      </w:pPr>
    </w:p>
    <w:p w14:paraId="17DC409F">
      <w:pPr>
        <w:widowControl/>
        <w:jc w:val="center"/>
        <w:rPr>
          <w:rFonts w:hint="eastAsia" w:asciiTheme="minorEastAsia" w:hAnsiTheme="minorEastAsia" w:eastAsiaTheme="minorEastAsia"/>
          <w:b/>
          <w:color w:val="auto"/>
          <w:sz w:val="24"/>
          <w:highlight w:val="none"/>
        </w:rPr>
      </w:pPr>
    </w:p>
    <w:p w14:paraId="4D0C4520">
      <w:pPr>
        <w:pStyle w:val="2"/>
        <w:rPr>
          <w:rFonts w:hint="eastAsia" w:asciiTheme="minorEastAsia" w:hAnsiTheme="minorEastAsia" w:eastAsiaTheme="minorEastAsia"/>
          <w:b/>
          <w:color w:val="auto"/>
          <w:sz w:val="24"/>
          <w:highlight w:val="none"/>
        </w:rPr>
      </w:pPr>
    </w:p>
    <w:p w14:paraId="3E5EC813">
      <w:pPr>
        <w:pStyle w:val="2"/>
        <w:rPr>
          <w:rFonts w:hint="eastAsia" w:asciiTheme="minorEastAsia" w:hAnsiTheme="minorEastAsia" w:eastAsiaTheme="minorEastAsia"/>
          <w:b/>
          <w:color w:val="auto"/>
          <w:sz w:val="24"/>
          <w:highlight w:val="none"/>
        </w:rPr>
      </w:pPr>
    </w:p>
    <w:p w14:paraId="1F288D55">
      <w:pPr>
        <w:pStyle w:val="2"/>
        <w:rPr>
          <w:rFonts w:hint="eastAsia" w:asciiTheme="minorEastAsia" w:hAnsiTheme="minorEastAsia" w:eastAsiaTheme="minorEastAsia"/>
          <w:b/>
          <w:color w:val="auto"/>
          <w:sz w:val="24"/>
          <w:highlight w:val="none"/>
        </w:rPr>
      </w:pPr>
    </w:p>
    <w:p w14:paraId="349DA8A8">
      <w:pPr>
        <w:pStyle w:val="2"/>
        <w:rPr>
          <w:rFonts w:hint="eastAsia" w:asciiTheme="minorEastAsia" w:hAnsiTheme="minorEastAsia" w:eastAsiaTheme="minorEastAsia"/>
          <w:b/>
          <w:color w:val="auto"/>
          <w:sz w:val="24"/>
          <w:highlight w:val="none"/>
        </w:rPr>
      </w:pPr>
    </w:p>
    <w:p w14:paraId="404957FB">
      <w:pPr>
        <w:pStyle w:val="2"/>
        <w:rPr>
          <w:rFonts w:hint="eastAsia" w:asciiTheme="minorEastAsia" w:hAnsiTheme="minorEastAsia" w:eastAsiaTheme="minorEastAsia"/>
          <w:b/>
          <w:color w:val="auto"/>
          <w:sz w:val="24"/>
          <w:highlight w:val="none"/>
        </w:rPr>
      </w:pPr>
    </w:p>
    <w:p w14:paraId="27423527">
      <w:pPr>
        <w:pStyle w:val="2"/>
        <w:rPr>
          <w:rFonts w:hint="eastAsia" w:asciiTheme="minorEastAsia" w:hAnsiTheme="minorEastAsia" w:eastAsiaTheme="minorEastAsia"/>
          <w:b/>
          <w:color w:val="auto"/>
          <w:sz w:val="24"/>
          <w:highlight w:val="none"/>
        </w:rPr>
      </w:pPr>
    </w:p>
    <w:p w14:paraId="5E47C56F">
      <w:pPr>
        <w:pStyle w:val="2"/>
        <w:rPr>
          <w:rFonts w:hint="eastAsia" w:asciiTheme="minorEastAsia" w:hAnsiTheme="minorEastAsia" w:eastAsiaTheme="minorEastAsia"/>
          <w:b/>
          <w:color w:val="auto"/>
          <w:sz w:val="24"/>
          <w:highlight w:val="none"/>
        </w:rPr>
      </w:pPr>
    </w:p>
    <w:p w14:paraId="47B4F999">
      <w:pPr>
        <w:pStyle w:val="2"/>
        <w:rPr>
          <w:rFonts w:hint="eastAsia" w:asciiTheme="minorEastAsia" w:hAnsiTheme="minorEastAsia" w:eastAsiaTheme="minorEastAsia"/>
          <w:b/>
          <w:color w:val="auto"/>
          <w:sz w:val="24"/>
          <w:highlight w:val="none"/>
        </w:rPr>
      </w:pPr>
    </w:p>
    <w:p w14:paraId="576EC483">
      <w:pPr>
        <w:pStyle w:val="2"/>
        <w:rPr>
          <w:rFonts w:hint="eastAsia" w:asciiTheme="minorEastAsia" w:hAnsiTheme="minorEastAsia" w:eastAsiaTheme="minorEastAsia"/>
          <w:b/>
          <w:color w:val="auto"/>
          <w:sz w:val="24"/>
          <w:highlight w:val="none"/>
        </w:rPr>
      </w:pPr>
    </w:p>
    <w:p w14:paraId="0312888F">
      <w:pPr>
        <w:pStyle w:val="2"/>
        <w:rPr>
          <w:rFonts w:hint="eastAsia" w:asciiTheme="minorEastAsia" w:hAnsiTheme="minorEastAsia" w:eastAsiaTheme="minorEastAsia"/>
          <w:b/>
          <w:color w:val="auto"/>
          <w:sz w:val="24"/>
          <w:highlight w:val="none"/>
        </w:rPr>
      </w:pPr>
    </w:p>
    <w:p w14:paraId="519184B7">
      <w:pPr>
        <w:pStyle w:val="2"/>
        <w:rPr>
          <w:rFonts w:hint="eastAsia" w:asciiTheme="minorEastAsia" w:hAnsiTheme="minorEastAsia" w:eastAsiaTheme="minorEastAsia"/>
          <w:b/>
          <w:color w:val="auto"/>
          <w:sz w:val="24"/>
          <w:highlight w:val="none"/>
        </w:rPr>
      </w:pPr>
    </w:p>
    <w:p w14:paraId="3CBB7209">
      <w:pPr>
        <w:pStyle w:val="2"/>
        <w:rPr>
          <w:rFonts w:hint="eastAsia" w:asciiTheme="minorEastAsia" w:hAnsiTheme="minorEastAsia" w:eastAsiaTheme="minorEastAsia"/>
          <w:b/>
          <w:color w:val="auto"/>
          <w:sz w:val="24"/>
          <w:highlight w:val="none"/>
        </w:rPr>
      </w:pPr>
    </w:p>
    <w:p w14:paraId="3C5DA560">
      <w:pPr>
        <w:pStyle w:val="2"/>
        <w:rPr>
          <w:rFonts w:hint="eastAsia" w:asciiTheme="minorEastAsia" w:hAnsiTheme="minorEastAsia" w:eastAsiaTheme="minorEastAsia"/>
          <w:b/>
          <w:color w:val="auto"/>
          <w:sz w:val="24"/>
          <w:highlight w:val="none"/>
        </w:rPr>
      </w:pPr>
    </w:p>
    <w:p w14:paraId="6B46A106">
      <w:pPr>
        <w:pStyle w:val="2"/>
        <w:rPr>
          <w:rFonts w:hint="eastAsia" w:asciiTheme="minorEastAsia" w:hAnsiTheme="minorEastAsia" w:eastAsiaTheme="minorEastAsia"/>
          <w:b/>
          <w:color w:val="auto"/>
          <w:sz w:val="24"/>
          <w:highlight w:val="none"/>
        </w:rPr>
      </w:pPr>
    </w:p>
    <w:p w14:paraId="6709C9CD">
      <w:pPr>
        <w:pStyle w:val="2"/>
        <w:ind w:left="0" w:leftChars="0" w:firstLine="0" w:firstLineChars="0"/>
        <w:rPr>
          <w:rFonts w:hint="eastAsia" w:asciiTheme="minorEastAsia" w:hAnsiTheme="minorEastAsia" w:eastAsiaTheme="minorEastAsia"/>
          <w:b/>
          <w:color w:val="auto"/>
          <w:sz w:val="24"/>
          <w:highlight w:val="none"/>
        </w:rPr>
      </w:pPr>
    </w:p>
    <w:p w14:paraId="5951C8A4">
      <w:pPr>
        <w:widowControl/>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响应函</w:t>
      </w:r>
    </w:p>
    <w:p w14:paraId="28BB999C">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肥西县桃花镇人民政府</w:t>
      </w:r>
    </w:p>
    <w:p w14:paraId="59643052">
      <w:pPr>
        <w:spacing w:line="360" w:lineRule="auto"/>
        <w:ind w:firstLine="482" w:firstLineChars="200"/>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u w:val="single"/>
          <w:lang w:eastAsia="zh-CN"/>
        </w:rPr>
        <w:t>肥西县公共资源交易有限责任公司</w:t>
      </w:r>
    </w:p>
    <w:p w14:paraId="1BEB944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文件，我方承诺如下：</w:t>
      </w:r>
    </w:p>
    <w:p w14:paraId="607EFA97">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文件的</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须知、合同条款、业主单位要求及其他有关文件后，我方接受上述文件要求。我方</w:t>
      </w:r>
      <w:r>
        <w:rPr>
          <w:rFonts w:hint="eastAsia" w:cs="宋体" w:asciiTheme="minorEastAsia" w:hAnsiTheme="minorEastAsia" w:eastAsiaTheme="minorEastAsia"/>
          <w:bCs/>
          <w:color w:val="auto"/>
          <w:kern w:val="2"/>
          <w:sz w:val="24"/>
          <w:szCs w:val="24"/>
          <w:highlight w:val="none"/>
        </w:rPr>
        <w:t>承诺按本</w:t>
      </w:r>
      <w:r>
        <w:rPr>
          <w:rFonts w:hint="eastAsia" w:cs="宋体" w:asciiTheme="minorEastAsia" w:hAnsiTheme="minorEastAsia" w:eastAsiaTheme="minorEastAsia"/>
          <w:bCs/>
          <w:color w:val="auto"/>
          <w:kern w:val="2"/>
          <w:sz w:val="24"/>
          <w:szCs w:val="24"/>
          <w:highlight w:val="none"/>
          <w:lang w:eastAsia="zh-CN"/>
        </w:rPr>
        <w:t>比选</w:t>
      </w:r>
      <w:r>
        <w:rPr>
          <w:rFonts w:hint="eastAsia" w:cs="宋体" w:asciiTheme="minorEastAsia" w:hAnsiTheme="minorEastAsia" w:eastAsiaTheme="minorEastAsia"/>
          <w:bCs/>
          <w:color w:val="auto"/>
          <w:kern w:val="2"/>
          <w:sz w:val="24"/>
          <w:szCs w:val="24"/>
          <w:highlight w:val="none"/>
        </w:rPr>
        <w:t>文件、合同条款和业主单位要求承担上述项目的全部内容。</w:t>
      </w:r>
    </w:p>
    <w:p w14:paraId="2F9FECA1">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2.我方已详细审核全部</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文件，包括</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文件的补疑、澄清、变更或补充（如有），参考资料及有关附件，我方正式认可并遵守本次</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文件，并对</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文件各项条款（包括</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时间）、规定及要求均无异议。且我方自愿放弃针对上述各项条款提出异议的权利。</w:t>
      </w:r>
    </w:p>
    <w:p w14:paraId="5E83897A">
      <w:pPr>
        <w:spacing w:line="360" w:lineRule="auto"/>
        <w:ind w:firstLine="480" w:firstLineChars="200"/>
        <w:rPr>
          <w:color w:val="auto"/>
          <w:sz w:val="24"/>
          <w:highlight w:val="none"/>
        </w:rPr>
      </w:pPr>
      <w:r>
        <w:rPr>
          <w:rFonts w:hint="eastAsia"/>
          <w:color w:val="auto"/>
          <w:sz w:val="24"/>
          <w:highlight w:val="none"/>
        </w:rPr>
        <w:t>3.如我方成交，我方承诺愿意按</w:t>
      </w:r>
      <w:r>
        <w:rPr>
          <w:rFonts w:hint="eastAsia"/>
          <w:color w:val="auto"/>
          <w:sz w:val="24"/>
          <w:highlight w:val="none"/>
          <w:lang w:eastAsia="zh-CN"/>
        </w:rPr>
        <w:t>比选</w:t>
      </w:r>
      <w:r>
        <w:rPr>
          <w:rFonts w:hint="eastAsia"/>
          <w:color w:val="auto"/>
          <w:sz w:val="24"/>
          <w:highlight w:val="none"/>
        </w:rPr>
        <w:t>文件规定缴纳履约保证金和代理费用。按本次</w:t>
      </w:r>
      <w:r>
        <w:rPr>
          <w:rFonts w:hint="eastAsia"/>
          <w:color w:val="auto"/>
          <w:sz w:val="24"/>
          <w:highlight w:val="none"/>
          <w:lang w:eastAsia="zh-CN"/>
        </w:rPr>
        <w:t>比选</w:t>
      </w:r>
      <w:r>
        <w:rPr>
          <w:rFonts w:hint="eastAsia"/>
          <w:color w:val="auto"/>
          <w:sz w:val="24"/>
          <w:highlight w:val="none"/>
        </w:rPr>
        <w:t>文件规定及</w:t>
      </w:r>
      <w:r>
        <w:rPr>
          <w:rFonts w:cs="宋体"/>
          <w:color w:val="auto"/>
          <w:sz w:val="24"/>
          <w:szCs w:val="24"/>
          <w:highlight w:val="none"/>
        </w:rPr>
        <w:t>最终报价</w:t>
      </w:r>
      <w:r>
        <w:rPr>
          <w:rFonts w:hint="eastAsia"/>
          <w:color w:val="auto"/>
          <w:sz w:val="24"/>
          <w:highlight w:val="none"/>
        </w:rPr>
        <w:t>承诺提供服务。</w:t>
      </w:r>
    </w:p>
    <w:p w14:paraId="4E5BB122">
      <w:pPr>
        <w:spacing w:line="360" w:lineRule="auto"/>
        <w:ind w:firstLine="480" w:firstLineChars="200"/>
        <w:rPr>
          <w:color w:val="auto"/>
          <w:sz w:val="24"/>
          <w:highlight w:val="none"/>
        </w:rPr>
      </w:pPr>
      <w:r>
        <w:rPr>
          <w:rFonts w:hint="eastAsia"/>
          <w:color w:val="auto"/>
          <w:sz w:val="24"/>
          <w:highlight w:val="none"/>
        </w:rPr>
        <w:t>4.我方根据本次</w:t>
      </w:r>
      <w:r>
        <w:rPr>
          <w:rFonts w:hint="eastAsia"/>
          <w:color w:val="auto"/>
          <w:sz w:val="24"/>
          <w:highlight w:val="none"/>
          <w:lang w:eastAsia="zh-CN"/>
        </w:rPr>
        <w:t>比选</w:t>
      </w:r>
      <w:r>
        <w:rPr>
          <w:rFonts w:hint="eastAsia"/>
          <w:color w:val="auto"/>
          <w:sz w:val="24"/>
          <w:highlight w:val="none"/>
        </w:rPr>
        <w:t>文件的规定，严格履行合同的责任和义务</w:t>
      </w:r>
      <w:r>
        <w:rPr>
          <w:color w:val="auto"/>
          <w:sz w:val="24"/>
          <w:highlight w:val="none"/>
        </w:rPr>
        <w:t>,</w:t>
      </w:r>
      <w:r>
        <w:rPr>
          <w:rFonts w:hint="eastAsia"/>
          <w:color w:val="auto"/>
          <w:sz w:val="24"/>
          <w:highlight w:val="none"/>
        </w:rPr>
        <w:t>并保证于你方要求的日期内完成合同规定的全部义务。</w:t>
      </w:r>
    </w:p>
    <w:p w14:paraId="0037E016">
      <w:pPr>
        <w:spacing w:line="360" w:lineRule="auto"/>
        <w:ind w:firstLine="480" w:firstLineChars="200"/>
        <w:rPr>
          <w:color w:val="auto"/>
          <w:sz w:val="24"/>
          <w:highlight w:val="none"/>
        </w:rPr>
      </w:pPr>
      <w:r>
        <w:rPr>
          <w:rFonts w:hint="eastAsia"/>
          <w:color w:val="auto"/>
          <w:sz w:val="24"/>
          <w:highlight w:val="none"/>
        </w:rPr>
        <w:t>5.我方同意按你方要求在</w:t>
      </w:r>
      <w:r>
        <w:rPr>
          <w:rFonts w:hint="eastAsia"/>
          <w:color w:val="auto"/>
          <w:sz w:val="24"/>
          <w:highlight w:val="none"/>
          <w:lang w:eastAsia="zh-CN"/>
        </w:rPr>
        <w:t>比选</w:t>
      </w:r>
      <w:r>
        <w:rPr>
          <w:rFonts w:hint="eastAsia"/>
          <w:color w:val="auto"/>
          <w:sz w:val="24"/>
          <w:highlight w:val="none"/>
        </w:rPr>
        <w:t>规定时间内向你方提供与其</w:t>
      </w:r>
      <w:r>
        <w:rPr>
          <w:rFonts w:hint="eastAsia"/>
          <w:color w:val="auto"/>
          <w:sz w:val="24"/>
          <w:highlight w:val="none"/>
          <w:lang w:eastAsia="zh-CN"/>
        </w:rPr>
        <w:t>比选</w:t>
      </w:r>
      <w:r>
        <w:rPr>
          <w:rFonts w:hint="eastAsia"/>
          <w:color w:val="auto"/>
          <w:sz w:val="24"/>
          <w:highlight w:val="none"/>
        </w:rPr>
        <w:t>有关的任何证据或补充资料，否则，我方的响应文件可被你方拒绝。</w:t>
      </w:r>
    </w:p>
    <w:p w14:paraId="035BD473">
      <w:pPr>
        <w:spacing w:line="360" w:lineRule="auto"/>
        <w:ind w:firstLine="480" w:firstLineChars="200"/>
        <w:rPr>
          <w:color w:val="auto"/>
          <w:sz w:val="24"/>
          <w:highlight w:val="none"/>
        </w:rPr>
      </w:pPr>
      <w:r>
        <w:rPr>
          <w:rFonts w:hint="eastAsia"/>
          <w:color w:val="auto"/>
          <w:sz w:val="24"/>
          <w:highlight w:val="none"/>
        </w:rPr>
        <w:t>6.我方完全理解你方不一定接受最低报价的</w:t>
      </w:r>
      <w:r>
        <w:rPr>
          <w:rFonts w:hint="eastAsia"/>
          <w:color w:val="auto"/>
          <w:sz w:val="24"/>
          <w:highlight w:val="none"/>
          <w:lang w:eastAsia="zh-CN"/>
        </w:rPr>
        <w:t>比选</w:t>
      </w:r>
      <w:r>
        <w:rPr>
          <w:rFonts w:hint="eastAsia"/>
          <w:color w:val="auto"/>
          <w:sz w:val="24"/>
          <w:highlight w:val="none"/>
        </w:rPr>
        <w:t>。</w:t>
      </w:r>
    </w:p>
    <w:p w14:paraId="46BFF3D4">
      <w:pPr>
        <w:spacing w:line="360" w:lineRule="auto"/>
        <w:ind w:firstLine="480" w:firstLineChars="200"/>
        <w:rPr>
          <w:color w:val="auto"/>
          <w:sz w:val="24"/>
          <w:highlight w:val="none"/>
        </w:rPr>
      </w:pPr>
      <w:r>
        <w:rPr>
          <w:rFonts w:hint="eastAsia"/>
          <w:color w:val="auto"/>
          <w:sz w:val="24"/>
          <w:highlight w:val="none"/>
        </w:rPr>
        <w:t>7.我方同意</w:t>
      </w:r>
      <w:r>
        <w:rPr>
          <w:rFonts w:hint="eastAsia"/>
          <w:color w:val="auto"/>
          <w:sz w:val="24"/>
          <w:highlight w:val="none"/>
          <w:lang w:eastAsia="zh-CN"/>
        </w:rPr>
        <w:t>比选</w:t>
      </w:r>
      <w:r>
        <w:rPr>
          <w:rFonts w:hint="eastAsia"/>
          <w:color w:val="auto"/>
          <w:sz w:val="24"/>
          <w:highlight w:val="none"/>
        </w:rPr>
        <w:t>文件规定的付款方式、服务期限。</w:t>
      </w:r>
    </w:p>
    <w:p w14:paraId="0F3B4E51">
      <w:pPr>
        <w:spacing w:line="360" w:lineRule="auto"/>
        <w:ind w:firstLine="480" w:firstLineChars="200"/>
        <w:rPr>
          <w:color w:val="auto"/>
          <w:sz w:val="24"/>
          <w:highlight w:val="none"/>
        </w:rPr>
      </w:pPr>
      <w:r>
        <w:rPr>
          <w:rFonts w:hint="eastAsia"/>
          <w:color w:val="auto"/>
          <w:sz w:val="24"/>
          <w:highlight w:val="none"/>
        </w:rPr>
        <w:t>8.我方对响应文件中所提供资料、文件、证书及证件的真实性和有效性负责。</w:t>
      </w:r>
    </w:p>
    <w:p w14:paraId="1E816EA4">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9.我方同意所提交的响应文件在</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文件规定的</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有效期内有效，在此期间内如果成交，我方将受此约束。</w:t>
      </w:r>
    </w:p>
    <w:p w14:paraId="7D1961DB">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10.除非另外达成协议并生效，你方的成交通知书和本响应文件以及</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文件、</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文件澄清、修改、补充将成为约束双方的合同文件的组成部分。</w:t>
      </w:r>
    </w:p>
    <w:p w14:paraId="286F504E">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11.我方不存在</w:t>
      </w:r>
      <w:r>
        <w:rPr>
          <w:rFonts w:hint="eastAsia" w:cs="宋体" w:asciiTheme="minorEastAsia" w:hAnsiTheme="minorEastAsia" w:eastAsiaTheme="minorEastAsia"/>
          <w:color w:val="auto"/>
          <w:kern w:val="2"/>
          <w:sz w:val="24"/>
          <w:szCs w:val="24"/>
          <w:highlight w:val="none"/>
          <w:lang w:eastAsia="zh-CN"/>
        </w:rPr>
        <w:t>比选</w:t>
      </w:r>
      <w:r>
        <w:rPr>
          <w:rFonts w:hint="eastAsia" w:cs="宋体" w:asciiTheme="minorEastAsia" w:hAnsiTheme="minorEastAsia" w:eastAsiaTheme="minorEastAsia"/>
          <w:color w:val="auto"/>
          <w:kern w:val="2"/>
          <w:sz w:val="24"/>
          <w:szCs w:val="24"/>
          <w:highlight w:val="none"/>
        </w:rPr>
        <w:t>公告中“供应商资格要求”的“不良信用记录情形”规定的任何一种情形。</w:t>
      </w:r>
    </w:p>
    <w:p w14:paraId="0A2D3B9E">
      <w:pPr>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12.我方声明下述内容真实有效，如有虚假，将依法承担相应责任：</w:t>
      </w:r>
    </w:p>
    <w:p w14:paraId="3E76D124">
      <w:pPr>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与我单位存在单位负责人为同一人或者存在直接控股、管理关系的其他法人单位信息如下：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8A3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62029EC">
            <w:pPr>
              <w:widowControl/>
              <w:spacing w:before="156" w:beforeLines="50" w:after="10"/>
              <w:jc w:val="center"/>
              <w:rPr>
                <w:rFonts w:cs="宋体"/>
                <w:color w:val="auto"/>
                <w:sz w:val="24"/>
                <w:szCs w:val="24"/>
                <w:highlight w:val="none"/>
                <w:lang w:bidi="ar"/>
              </w:rPr>
            </w:pPr>
            <w:r>
              <w:rPr>
                <w:rFonts w:hint="eastAsia" w:cs="宋体"/>
                <w:color w:val="auto"/>
                <w:sz w:val="24"/>
                <w:szCs w:val="24"/>
                <w:highlight w:val="none"/>
                <w:lang w:bidi="ar"/>
              </w:rPr>
              <w:t>序号</w:t>
            </w:r>
          </w:p>
        </w:tc>
        <w:tc>
          <w:tcPr>
            <w:tcW w:w="2841" w:type="dxa"/>
          </w:tcPr>
          <w:p w14:paraId="53CE0405">
            <w:pPr>
              <w:pStyle w:val="3"/>
              <w:spacing w:before="156" w:beforeLines="50" w:after="10"/>
              <w:ind w:left="300"/>
              <w:jc w:val="center"/>
              <w:rPr>
                <w:rFonts w:ascii="宋体" w:hAnsi="宋体" w:eastAsia="宋体" w:cs="宋体"/>
                <w:color w:val="auto"/>
                <w:sz w:val="24"/>
                <w:highlight w:val="none"/>
                <w:lang w:val="en-US" w:bidi="ar"/>
              </w:rPr>
            </w:pPr>
            <w:r>
              <w:rPr>
                <w:rFonts w:hint="eastAsia" w:ascii="宋体" w:hAnsi="宋体" w:eastAsia="宋体" w:cs="宋体"/>
                <w:color w:val="auto"/>
                <w:sz w:val="24"/>
                <w:highlight w:val="none"/>
                <w:lang w:val="en-US" w:bidi="ar"/>
              </w:rPr>
              <w:t>单位名称</w:t>
            </w:r>
          </w:p>
        </w:tc>
        <w:tc>
          <w:tcPr>
            <w:tcW w:w="2841" w:type="dxa"/>
          </w:tcPr>
          <w:p w14:paraId="4F04880A">
            <w:pPr>
              <w:pStyle w:val="3"/>
              <w:spacing w:before="156" w:beforeLines="50" w:after="10"/>
              <w:ind w:left="300"/>
              <w:jc w:val="center"/>
              <w:rPr>
                <w:rFonts w:ascii="宋体" w:hAnsi="宋体" w:eastAsia="宋体" w:cs="宋体"/>
                <w:color w:val="auto"/>
                <w:sz w:val="24"/>
                <w:highlight w:val="none"/>
                <w:lang w:val="en-US" w:bidi="ar"/>
              </w:rPr>
            </w:pPr>
            <w:r>
              <w:rPr>
                <w:rFonts w:hint="eastAsia" w:ascii="宋体" w:hAnsi="宋体" w:eastAsia="宋体" w:cs="宋体"/>
                <w:color w:val="auto"/>
                <w:sz w:val="24"/>
                <w:highlight w:val="none"/>
                <w:lang w:val="en-US" w:bidi="ar"/>
              </w:rPr>
              <w:t>相互关系</w:t>
            </w:r>
          </w:p>
        </w:tc>
      </w:tr>
      <w:tr w14:paraId="073F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3079326">
            <w:pPr>
              <w:pStyle w:val="3"/>
              <w:spacing w:before="156" w:beforeLines="50" w:after="10"/>
              <w:ind w:left="300"/>
              <w:jc w:val="center"/>
              <w:rPr>
                <w:rFonts w:ascii="宋体" w:hAnsi="宋体" w:eastAsia="宋体" w:cs="宋体"/>
                <w:color w:val="auto"/>
                <w:sz w:val="24"/>
                <w:highlight w:val="none"/>
                <w:lang w:val="en-US" w:bidi="ar"/>
              </w:rPr>
            </w:pPr>
            <w:r>
              <w:rPr>
                <w:rFonts w:hint="eastAsia" w:ascii="宋体" w:hAnsi="宋体" w:eastAsia="宋体" w:cs="宋体"/>
                <w:color w:val="auto"/>
                <w:sz w:val="24"/>
                <w:highlight w:val="none"/>
                <w:lang w:val="en-US" w:bidi="ar"/>
              </w:rPr>
              <w:t>1</w:t>
            </w:r>
          </w:p>
        </w:tc>
        <w:tc>
          <w:tcPr>
            <w:tcW w:w="2841" w:type="dxa"/>
          </w:tcPr>
          <w:p w14:paraId="569B0F9E">
            <w:pPr>
              <w:pStyle w:val="3"/>
              <w:spacing w:before="156" w:beforeLines="50" w:after="10"/>
              <w:ind w:left="300"/>
              <w:jc w:val="center"/>
              <w:rPr>
                <w:rFonts w:ascii="宋体" w:hAnsi="宋体" w:eastAsia="宋体" w:cs="宋体"/>
                <w:color w:val="auto"/>
                <w:sz w:val="24"/>
                <w:highlight w:val="none"/>
                <w:lang w:val="en-US" w:bidi="ar"/>
              </w:rPr>
            </w:pPr>
          </w:p>
        </w:tc>
        <w:tc>
          <w:tcPr>
            <w:tcW w:w="2841" w:type="dxa"/>
          </w:tcPr>
          <w:p w14:paraId="6714FFA7">
            <w:pPr>
              <w:pStyle w:val="3"/>
              <w:spacing w:before="156" w:beforeLines="50" w:after="10"/>
              <w:ind w:left="300"/>
              <w:jc w:val="center"/>
              <w:rPr>
                <w:rFonts w:ascii="宋体" w:hAnsi="宋体" w:eastAsia="宋体" w:cs="宋体"/>
                <w:color w:val="auto"/>
                <w:sz w:val="24"/>
                <w:highlight w:val="none"/>
                <w:lang w:val="en-US" w:bidi="ar"/>
              </w:rPr>
            </w:pPr>
          </w:p>
        </w:tc>
      </w:tr>
      <w:tr w14:paraId="5424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7179E21">
            <w:pPr>
              <w:pStyle w:val="3"/>
              <w:spacing w:before="156" w:beforeLines="50" w:after="10"/>
              <w:ind w:left="300"/>
              <w:jc w:val="center"/>
              <w:rPr>
                <w:rFonts w:ascii="宋体" w:hAnsi="宋体" w:eastAsia="宋体" w:cs="宋体"/>
                <w:color w:val="auto"/>
                <w:sz w:val="24"/>
                <w:highlight w:val="none"/>
                <w:lang w:val="en-US" w:bidi="ar"/>
              </w:rPr>
            </w:pPr>
            <w:r>
              <w:rPr>
                <w:rFonts w:hint="eastAsia" w:ascii="宋体" w:hAnsi="宋体" w:eastAsia="宋体" w:cs="宋体"/>
                <w:color w:val="auto"/>
                <w:sz w:val="24"/>
                <w:highlight w:val="none"/>
                <w:lang w:val="en-US" w:bidi="ar"/>
              </w:rPr>
              <w:t>2</w:t>
            </w:r>
          </w:p>
        </w:tc>
        <w:tc>
          <w:tcPr>
            <w:tcW w:w="2841" w:type="dxa"/>
          </w:tcPr>
          <w:p w14:paraId="2C809F36">
            <w:pPr>
              <w:pStyle w:val="3"/>
              <w:spacing w:before="156" w:beforeLines="50" w:after="10"/>
              <w:ind w:left="300"/>
              <w:jc w:val="center"/>
              <w:rPr>
                <w:rFonts w:ascii="宋体" w:hAnsi="宋体" w:eastAsia="宋体" w:cs="宋体"/>
                <w:color w:val="auto"/>
                <w:sz w:val="24"/>
                <w:highlight w:val="none"/>
                <w:lang w:val="en-US" w:bidi="ar"/>
              </w:rPr>
            </w:pPr>
          </w:p>
        </w:tc>
        <w:tc>
          <w:tcPr>
            <w:tcW w:w="2841" w:type="dxa"/>
          </w:tcPr>
          <w:p w14:paraId="07B3BF7F">
            <w:pPr>
              <w:pStyle w:val="3"/>
              <w:spacing w:before="156" w:beforeLines="50" w:after="10"/>
              <w:ind w:left="300"/>
              <w:jc w:val="center"/>
              <w:rPr>
                <w:rFonts w:ascii="宋体" w:hAnsi="宋体" w:eastAsia="宋体" w:cs="宋体"/>
                <w:color w:val="auto"/>
                <w:sz w:val="24"/>
                <w:highlight w:val="none"/>
                <w:lang w:val="en-US" w:bidi="ar"/>
              </w:rPr>
            </w:pPr>
          </w:p>
        </w:tc>
      </w:tr>
      <w:tr w14:paraId="162A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9DC441">
            <w:pPr>
              <w:pStyle w:val="3"/>
              <w:spacing w:before="156" w:beforeLines="50" w:after="10"/>
              <w:ind w:left="300"/>
              <w:jc w:val="center"/>
              <w:rPr>
                <w:rFonts w:ascii="宋体" w:hAnsi="宋体" w:eastAsia="宋体" w:cs="宋体"/>
                <w:color w:val="auto"/>
                <w:sz w:val="24"/>
                <w:highlight w:val="none"/>
                <w:lang w:val="en-US" w:bidi="ar"/>
              </w:rPr>
            </w:pPr>
          </w:p>
        </w:tc>
        <w:tc>
          <w:tcPr>
            <w:tcW w:w="2841" w:type="dxa"/>
          </w:tcPr>
          <w:p w14:paraId="2EA06AE0">
            <w:pPr>
              <w:pStyle w:val="3"/>
              <w:spacing w:before="156" w:beforeLines="50" w:after="10"/>
              <w:ind w:left="300"/>
              <w:jc w:val="center"/>
              <w:rPr>
                <w:rFonts w:ascii="宋体" w:hAnsi="宋体" w:eastAsia="宋体" w:cs="宋体"/>
                <w:color w:val="auto"/>
                <w:sz w:val="24"/>
                <w:highlight w:val="none"/>
                <w:lang w:val="en-US" w:bidi="ar"/>
              </w:rPr>
            </w:pPr>
          </w:p>
        </w:tc>
        <w:tc>
          <w:tcPr>
            <w:tcW w:w="2841" w:type="dxa"/>
          </w:tcPr>
          <w:p w14:paraId="5E8E9102">
            <w:pPr>
              <w:pStyle w:val="3"/>
              <w:spacing w:before="156" w:beforeLines="50" w:after="10"/>
              <w:ind w:left="300"/>
              <w:jc w:val="center"/>
              <w:rPr>
                <w:rFonts w:ascii="宋体" w:hAnsi="宋体" w:eastAsia="宋体" w:cs="宋体"/>
                <w:color w:val="auto"/>
                <w:sz w:val="24"/>
                <w:highlight w:val="none"/>
                <w:lang w:val="en-US" w:bidi="ar"/>
              </w:rPr>
            </w:pPr>
          </w:p>
        </w:tc>
      </w:tr>
    </w:tbl>
    <w:p w14:paraId="7C9A0945">
      <w:pPr>
        <w:spacing w:line="360" w:lineRule="auto"/>
        <w:ind w:firstLine="480" w:firstLineChars="200"/>
        <w:rPr>
          <w:rFonts w:cs="宋体" w:asciiTheme="minorEastAsia" w:hAnsiTheme="minorEastAsia" w:eastAsiaTheme="minorEastAsia"/>
          <w:color w:val="auto"/>
          <w:kern w:val="2"/>
          <w:sz w:val="24"/>
          <w:szCs w:val="24"/>
          <w:highlight w:val="none"/>
        </w:rPr>
      </w:pPr>
    </w:p>
    <w:p w14:paraId="6EE70C47">
      <w:pPr>
        <w:spacing w:line="360" w:lineRule="auto"/>
        <w:ind w:firstLine="480" w:firstLineChars="200"/>
        <w:rPr>
          <w:color w:val="auto"/>
          <w:highlight w:val="none"/>
        </w:rPr>
      </w:pPr>
      <w:r>
        <w:rPr>
          <w:rFonts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rPr>
        <w:t>3.其他补充说明：</w:t>
      </w:r>
      <w:r>
        <w:rPr>
          <w:rFonts w:hint="eastAsia" w:cs="宋体" w:asciiTheme="minorEastAsia" w:hAnsiTheme="minorEastAsia" w:eastAsiaTheme="minorEastAsia"/>
          <w:color w:val="auto"/>
          <w:kern w:val="2"/>
          <w:sz w:val="24"/>
          <w:szCs w:val="24"/>
          <w:highlight w:val="none"/>
          <w:u w:val="single"/>
        </w:rPr>
        <w:t xml:space="preserve">             补充说明事项（如有）       </w:t>
      </w:r>
    </w:p>
    <w:p w14:paraId="22353D07">
      <w:pPr>
        <w:pStyle w:val="2"/>
        <w:ind w:firstLine="200"/>
        <w:rPr>
          <w:color w:val="auto"/>
          <w:highlight w:val="none"/>
        </w:rPr>
      </w:pPr>
    </w:p>
    <w:p w14:paraId="171EDF9D">
      <w:pPr>
        <w:spacing w:line="360" w:lineRule="auto"/>
        <w:ind w:firstLine="4800" w:firstLineChars="2000"/>
        <w:rPr>
          <w:rFonts w:cs="@仿宋_GB2312"/>
          <w:color w:val="auto"/>
          <w:kern w:val="2"/>
          <w:sz w:val="24"/>
          <w:highlight w:val="none"/>
        </w:rPr>
      </w:pPr>
      <w:r>
        <w:rPr>
          <w:rFonts w:hint="eastAsia" w:cs="@仿宋_GB2312"/>
          <w:color w:val="auto"/>
          <w:kern w:val="2"/>
          <w:sz w:val="24"/>
          <w:szCs w:val="24"/>
          <w:highlight w:val="none"/>
        </w:rPr>
        <w:t>供应商电子签章或公章</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14:paraId="3982CFE1">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70A2F0B">
      <w:pPr>
        <w:widowControl/>
        <w:jc w:val="left"/>
        <w:rPr>
          <w:rFonts w:asciiTheme="minorEastAsia" w:hAnsiTheme="minorEastAsia" w:eastAsiaTheme="minorEastAsia"/>
          <w:b/>
          <w:color w:val="auto"/>
          <w:sz w:val="24"/>
          <w:highlight w:val="none"/>
        </w:rPr>
      </w:pPr>
      <w:r>
        <w:rPr>
          <w:color w:val="auto"/>
          <w:sz w:val="24"/>
          <w:highlight w:val="none"/>
        </w:rPr>
        <w:br w:type="page"/>
      </w:r>
    </w:p>
    <w:p w14:paraId="1F5084E1">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四、无不良信用记录声明函</w:t>
      </w:r>
    </w:p>
    <w:p w14:paraId="521BB276">
      <w:pPr>
        <w:spacing w:line="360" w:lineRule="auto"/>
        <w:ind w:firstLine="480" w:firstLineChars="200"/>
        <w:jc w:val="center"/>
        <w:rPr>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比选</w:t>
      </w:r>
      <w:r>
        <w:rPr>
          <w:rFonts w:hint="eastAsia"/>
          <w:color w:val="auto"/>
          <w:sz w:val="24"/>
          <w:szCs w:val="24"/>
          <w:highlight w:val="none"/>
        </w:rPr>
        <w:t>的，联合体双方均须提供）</w:t>
      </w:r>
    </w:p>
    <w:p w14:paraId="420A3F31">
      <w:pPr>
        <w:spacing w:line="360" w:lineRule="auto"/>
        <w:ind w:firstLine="480" w:firstLineChars="200"/>
        <w:rPr>
          <w:color w:val="auto"/>
          <w:sz w:val="24"/>
          <w:szCs w:val="24"/>
          <w:highlight w:val="none"/>
        </w:rPr>
      </w:pPr>
      <w:r>
        <w:rPr>
          <w:rFonts w:hint="eastAsia"/>
          <w:color w:val="auto"/>
          <w:sz w:val="24"/>
          <w:szCs w:val="24"/>
          <w:highlight w:val="none"/>
        </w:rPr>
        <w:t>1、本单位郑重声明，我单位无以下不良信用记录情形：</w:t>
      </w:r>
    </w:p>
    <w:p w14:paraId="0EFEEF59">
      <w:pPr>
        <w:spacing w:line="360" w:lineRule="auto"/>
        <w:ind w:firstLine="480" w:firstLineChars="200"/>
        <w:rPr>
          <w:color w:val="auto"/>
          <w:sz w:val="24"/>
          <w:szCs w:val="24"/>
          <w:highlight w:val="none"/>
        </w:rPr>
      </w:pPr>
      <w:r>
        <w:rPr>
          <w:rFonts w:hint="eastAsia"/>
          <w:color w:val="auto"/>
          <w:sz w:val="24"/>
          <w:szCs w:val="24"/>
          <w:highlight w:val="none"/>
        </w:rPr>
        <w:t>（1）在最近三年内（自</w:t>
      </w:r>
      <w:r>
        <w:rPr>
          <w:rFonts w:hint="eastAsia"/>
          <w:color w:val="auto"/>
          <w:sz w:val="24"/>
          <w:szCs w:val="24"/>
          <w:highlight w:val="none"/>
          <w:lang w:eastAsia="zh-CN"/>
        </w:rPr>
        <w:t>比选</w:t>
      </w:r>
      <w:r>
        <w:rPr>
          <w:rFonts w:hint="eastAsia"/>
          <w:color w:val="auto"/>
          <w:sz w:val="24"/>
          <w:szCs w:val="24"/>
          <w:highlight w:val="none"/>
        </w:rPr>
        <w:t>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56B4DDE8">
      <w:pPr>
        <w:spacing w:line="360" w:lineRule="auto"/>
        <w:ind w:firstLine="480" w:firstLineChars="200"/>
        <w:rPr>
          <w:color w:val="auto"/>
          <w:sz w:val="24"/>
          <w:szCs w:val="24"/>
          <w:highlight w:val="none"/>
        </w:rPr>
      </w:pPr>
      <w:r>
        <w:rPr>
          <w:rFonts w:hint="eastAsia"/>
          <w:color w:val="auto"/>
          <w:sz w:val="24"/>
          <w:szCs w:val="24"/>
          <w:highlight w:val="none"/>
        </w:rPr>
        <w:t>（2）被责令停业，暂扣或吊销执照，或吊销资质证书；</w:t>
      </w:r>
    </w:p>
    <w:p w14:paraId="074784C9">
      <w:pPr>
        <w:spacing w:line="360" w:lineRule="auto"/>
        <w:ind w:firstLine="480" w:firstLineChars="200"/>
        <w:rPr>
          <w:color w:val="auto"/>
          <w:sz w:val="24"/>
          <w:szCs w:val="24"/>
          <w:highlight w:val="none"/>
        </w:rPr>
      </w:pPr>
      <w:r>
        <w:rPr>
          <w:rFonts w:hint="eastAsia"/>
          <w:color w:val="auto"/>
          <w:sz w:val="24"/>
          <w:szCs w:val="24"/>
          <w:highlight w:val="none"/>
        </w:rPr>
        <w:t>（3）进入清算程序，或被宣告破产，或其他丧失履约能力的情形；</w:t>
      </w:r>
    </w:p>
    <w:p w14:paraId="67865BBA">
      <w:pPr>
        <w:spacing w:line="360" w:lineRule="auto"/>
        <w:ind w:firstLine="480" w:firstLineChars="200"/>
        <w:rPr>
          <w:color w:val="auto"/>
          <w:sz w:val="24"/>
          <w:szCs w:val="24"/>
          <w:highlight w:val="none"/>
        </w:rPr>
      </w:pPr>
      <w:r>
        <w:rPr>
          <w:rFonts w:hint="eastAsia"/>
          <w:color w:val="auto"/>
          <w:sz w:val="24"/>
          <w:szCs w:val="24"/>
          <w:highlight w:val="none"/>
        </w:rPr>
        <w:t>（4）在国家企业信用信息公示系统（http://www.gsxt.gov.cn/）中被列入严重违法失信企业名单；</w:t>
      </w:r>
    </w:p>
    <w:p w14:paraId="3E978455">
      <w:pPr>
        <w:spacing w:line="360" w:lineRule="auto"/>
        <w:ind w:firstLine="480" w:firstLineChars="200"/>
        <w:rPr>
          <w:color w:val="auto"/>
          <w:sz w:val="24"/>
          <w:szCs w:val="24"/>
          <w:highlight w:val="none"/>
        </w:rPr>
      </w:pPr>
      <w:r>
        <w:rPr>
          <w:rFonts w:hint="eastAsia"/>
          <w:color w:val="auto"/>
          <w:sz w:val="24"/>
          <w:szCs w:val="24"/>
          <w:highlight w:val="none"/>
        </w:rPr>
        <w:t>（5）在“信用中国”网站（http://www.creditchina.gov.cn/）中被列入失信被执行人名单；</w:t>
      </w:r>
    </w:p>
    <w:p w14:paraId="2874F9FE">
      <w:pPr>
        <w:spacing w:line="360" w:lineRule="auto"/>
        <w:ind w:firstLine="480" w:firstLineChars="200"/>
        <w:rPr>
          <w:color w:val="auto"/>
          <w:sz w:val="24"/>
          <w:szCs w:val="24"/>
          <w:highlight w:val="none"/>
        </w:rPr>
      </w:pPr>
      <w:r>
        <w:rPr>
          <w:rFonts w:hint="eastAsia"/>
          <w:color w:val="auto"/>
          <w:sz w:val="24"/>
          <w:szCs w:val="24"/>
          <w:highlight w:val="none"/>
        </w:rPr>
        <w:t>（6）在“信用中国”网站（http://www.creditchina.gov.cn/）中被列入重大税收违法案件当事人名单；</w:t>
      </w:r>
    </w:p>
    <w:p w14:paraId="3DC6875C">
      <w:pPr>
        <w:spacing w:line="360" w:lineRule="auto"/>
        <w:ind w:firstLine="480" w:firstLineChars="200"/>
        <w:rPr>
          <w:color w:val="auto"/>
          <w:sz w:val="24"/>
          <w:szCs w:val="24"/>
          <w:highlight w:val="none"/>
        </w:rPr>
      </w:pPr>
      <w:r>
        <w:rPr>
          <w:rFonts w:hint="eastAsia"/>
          <w:color w:val="auto"/>
          <w:sz w:val="24"/>
          <w:szCs w:val="24"/>
          <w:highlight w:val="none"/>
        </w:rPr>
        <w:t>（7）供应商被设区的市级及以上建设行政主管部门/房屋建筑和市政基础设施工程招标投标活动的监督部门因安全生产责任事故限制本次</w:t>
      </w:r>
      <w:r>
        <w:rPr>
          <w:rFonts w:hint="eastAsia"/>
          <w:color w:val="auto"/>
          <w:sz w:val="24"/>
          <w:szCs w:val="24"/>
          <w:highlight w:val="none"/>
          <w:lang w:eastAsia="zh-CN"/>
        </w:rPr>
        <w:t>比选</w:t>
      </w:r>
      <w:r>
        <w:rPr>
          <w:rFonts w:hint="eastAsia"/>
          <w:color w:val="auto"/>
          <w:sz w:val="24"/>
          <w:szCs w:val="24"/>
          <w:highlight w:val="none"/>
        </w:rPr>
        <w:t>项目工程所在地或公共资源交易平台所在地承接新的工程项目且在限制期内。</w:t>
      </w:r>
    </w:p>
    <w:p w14:paraId="37DEC306">
      <w:pPr>
        <w:spacing w:line="360" w:lineRule="auto"/>
        <w:ind w:firstLine="480" w:firstLineChars="200"/>
        <w:rPr>
          <w:color w:val="auto"/>
          <w:sz w:val="28"/>
          <w:szCs w:val="28"/>
          <w:highlight w:val="none"/>
        </w:rPr>
      </w:pPr>
      <w:r>
        <w:rPr>
          <w:rFonts w:hint="eastAsia"/>
          <w:color w:val="auto"/>
          <w:sz w:val="24"/>
          <w:szCs w:val="24"/>
          <w:highlight w:val="none"/>
        </w:rPr>
        <w:t>本单位对上述声明的真实性负责。如有虚假，将依法承担相应责任。</w:t>
      </w:r>
    </w:p>
    <w:p w14:paraId="19CF840B">
      <w:pPr>
        <w:spacing w:line="360" w:lineRule="auto"/>
        <w:ind w:left="4400" w:leftChars="2200"/>
        <w:jc w:val="left"/>
        <w:rPr>
          <w:color w:val="auto"/>
          <w:sz w:val="24"/>
          <w:szCs w:val="24"/>
          <w:highlight w:val="none"/>
        </w:rPr>
      </w:pPr>
      <w:r>
        <w:rPr>
          <w:rFonts w:hint="eastAsia"/>
          <w:color w:val="auto"/>
          <w:sz w:val="24"/>
          <w:szCs w:val="24"/>
          <w:highlight w:val="none"/>
        </w:rPr>
        <w:t xml:space="preserve">供应商电子签章：                     </w:t>
      </w:r>
    </w:p>
    <w:p w14:paraId="67FFCBB7">
      <w:pPr>
        <w:spacing w:line="360" w:lineRule="auto"/>
        <w:ind w:left="4400" w:leftChars="2200"/>
        <w:jc w:val="left"/>
        <w:rPr>
          <w:rFonts w:asciiTheme="minorEastAsia" w:hAnsiTheme="minorEastAsia" w:eastAsiaTheme="minorEastAsia"/>
          <w:b/>
          <w:color w:val="auto"/>
          <w:highlight w:val="none"/>
        </w:rPr>
      </w:pPr>
      <w:r>
        <w:rPr>
          <w:rFonts w:hint="eastAsia"/>
          <w:color w:val="auto"/>
          <w:sz w:val="24"/>
          <w:szCs w:val="24"/>
          <w:highlight w:val="none"/>
        </w:rPr>
        <w:t>日期：</w:t>
      </w:r>
      <w:r>
        <w:rPr>
          <w:rFonts w:hint="eastAsia" w:asciiTheme="minorEastAsia" w:hAnsiTheme="minorEastAsia" w:eastAsiaTheme="minorEastAsia"/>
          <w:b/>
          <w:color w:val="auto"/>
          <w:sz w:val="24"/>
          <w:szCs w:val="24"/>
          <w:highlight w:val="none"/>
        </w:rPr>
        <w:t xml:space="preserve">                 </w:t>
      </w:r>
      <w:r>
        <w:rPr>
          <w:rFonts w:hint="eastAsia" w:asciiTheme="minorEastAsia" w:hAnsiTheme="minorEastAsia" w:eastAsiaTheme="minorEastAsia"/>
          <w:b/>
          <w:color w:val="auto"/>
          <w:highlight w:val="none"/>
        </w:rPr>
        <w:t xml:space="preserve">    </w:t>
      </w:r>
    </w:p>
    <w:p w14:paraId="3CCC7D02">
      <w:pPr>
        <w:widowControl/>
        <w:jc w:val="left"/>
        <w:rPr>
          <w:color w:val="auto"/>
          <w:sz w:val="24"/>
          <w:highlight w:val="none"/>
        </w:rPr>
      </w:pPr>
      <w:r>
        <w:rPr>
          <w:rFonts w:hint="eastAsia" w:asciiTheme="minorEastAsia" w:hAnsiTheme="minorEastAsia" w:eastAsiaTheme="minorEastAsia"/>
          <w:b/>
          <w:color w:val="auto"/>
          <w:sz w:val="24"/>
          <w:highlight w:val="none"/>
        </w:rPr>
        <w:br w:type="page"/>
      </w:r>
      <w:bookmarkEnd w:id="17"/>
    </w:p>
    <w:p w14:paraId="40762808">
      <w:pPr>
        <w:spacing w:line="360" w:lineRule="auto"/>
        <w:jc w:val="center"/>
        <w:outlineLvl w:val="2"/>
        <w:rPr>
          <w:rFonts w:asciiTheme="minorEastAsia" w:hAnsiTheme="minorEastAsia" w:eastAsiaTheme="minorEastAsia"/>
          <w:b/>
          <w:color w:val="auto"/>
          <w:sz w:val="24"/>
          <w:highlight w:val="none"/>
        </w:rPr>
      </w:pPr>
      <w:bookmarkStart w:id="18" w:name="_Toc121626298"/>
      <w:bookmarkStart w:id="19" w:name="_Toc204594911"/>
      <w:bookmarkStart w:id="20" w:name="_Toc520983594"/>
      <w:bookmarkStart w:id="21" w:name="_Toc516969106"/>
      <w:r>
        <w:rPr>
          <w:rFonts w:hint="eastAsia" w:asciiTheme="minorEastAsia" w:hAnsiTheme="minorEastAsia" w:eastAsiaTheme="minorEastAsia"/>
          <w:b/>
          <w:color w:val="auto"/>
          <w:sz w:val="24"/>
          <w:highlight w:val="none"/>
        </w:rPr>
        <w:t>五、授权书</w:t>
      </w:r>
      <w:bookmarkEnd w:id="18"/>
      <w:bookmarkEnd w:id="19"/>
      <w:bookmarkEnd w:id="20"/>
      <w:bookmarkEnd w:id="21"/>
    </w:p>
    <w:p w14:paraId="2DC56D65">
      <w:pPr>
        <w:spacing w:line="360" w:lineRule="auto"/>
        <w:jc w:val="center"/>
        <w:rPr>
          <w:rFonts w:asciiTheme="minorEastAsia" w:hAnsiTheme="minorEastAsia" w:eastAsiaTheme="minorEastAsia"/>
          <w:b/>
          <w:color w:val="auto"/>
          <w:sz w:val="24"/>
          <w:highlight w:val="none"/>
        </w:rPr>
      </w:pPr>
    </w:p>
    <w:p w14:paraId="558C6A2A">
      <w:pPr>
        <w:pStyle w:val="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lang w:eastAsia="zh-CN"/>
        </w:rPr>
        <w:t>比选</w:t>
      </w:r>
      <w:r>
        <w:rPr>
          <w:rFonts w:hint="eastAsia" w:hAnsi="宋体" w:eastAsia="宋体"/>
          <w:bCs/>
          <w:color w:val="auto"/>
          <w:sz w:val="24"/>
          <w:szCs w:val="28"/>
          <w:highlight w:val="none"/>
        </w:rPr>
        <w:t>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比选</w:t>
      </w:r>
      <w:r>
        <w:rPr>
          <w:rFonts w:hint="eastAsia" w:hAnsi="宋体" w:eastAsia="宋体"/>
          <w:color w:val="auto"/>
          <w:sz w:val="24"/>
          <w:szCs w:val="28"/>
          <w:highlight w:val="none"/>
        </w:rPr>
        <w:t>过程的一切事宜，包括但不限于：提交响应文件、参与</w:t>
      </w:r>
      <w:r>
        <w:rPr>
          <w:rFonts w:hint="eastAsia" w:hAnsi="宋体" w:eastAsia="宋体"/>
          <w:color w:val="auto"/>
          <w:sz w:val="24"/>
          <w:szCs w:val="28"/>
          <w:highlight w:val="none"/>
          <w:lang w:eastAsia="zh-CN"/>
        </w:rPr>
        <w:t>比选</w:t>
      </w:r>
      <w:r>
        <w:rPr>
          <w:rFonts w:hint="eastAsia" w:hAnsi="宋体" w:eastAsia="宋体"/>
          <w:color w:val="auto"/>
          <w:sz w:val="24"/>
          <w:szCs w:val="28"/>
          <w:highlight w:val="none"/>
        </w:rPr>
        <w:t>、签约等。供应商授权代表在</w:t>
      </w:r>
      <w:r>
        <w:rPr>
          <w:rFonts w:hint="eastAsia" w:hAnsi="宋体" w:eastAsia="宋体"/>
          <w:color w:val="auto"/>
          <w:sz w:val="24"/>
          <w:szCs w:val="28"/>
          <w:highlight w:val="none"/>
          <w:lang w:eastAsia="zh-CN"/>
        </w:rPr>
        <w:t>比选</w:t>
      </w:r>
      <w:r>
        <w:rPr>
          <w:rFonts w:hint="eastAsia" w:hAnsi="宋体" w:eastAsia="宋体"/>
          <w:color w:val="auto"/>
          <w:sz w:val="24"/>
          <w:szCs w:val="28"/>
          <w:highlight w:val="none"/>
        </w:rPr>
        <w:t>活动过程中所签署的一切文件和处理与之有关的一切事务，本公司均予以认可并对此承担责任。供应商授权代表无转委托权。特此授权。</w:t>
      </w:r>
    </w:p>
    <w:p w14:paraId="4E904DBC">
      <w:pPr>
        <w:pStyle w:val="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1E13B6B">
      <w:pPr>
        <w:pStyle w:val="9"/>
        <w:snapToGrid w:val="0"/>
        <w:spacing w:line="360" w:lineRule="auto"/>
        <w:ind w:firstLine="480" w:firstLineChars="200"/>
        <w:jc w:val="left"/>
        <w:rPr>
          <w:rFonts w:hAnsi="宋体" w:eastAsia="宋体"/>
          <w:color w:val="auto"/>
          <w:sz w:val="24"/>
          <w:highlight w:val="none"/>
        </w:rPr>
      </w:pPr>
    </w:p>
    <w:p w14:paraId="137E9C6F">
      <w:pPr>
        <w:pStyle w:val="9"/>
        <w:snapToGrid w:val="0"/>
        <w:spacing w:line="360" w:lineRule="auto"/>
        <w:ind w:firstLine="480" w:firstLineChars="200"/>
        <w:jc w:val="left"/>
        <w:rPr>
          <w:rFonts w:hAnsi="宋体" w:eastAsia="宋体"/>
          <w:color w:val="auto"/>
          <w:sz w:val="24"/>
          <w:highlight w:val="none"/>
        </w:rPr>
      </w:pPr>
    </w:p>
    <w:p w14:paraId="6145AC17">
      <w:pPr>
        <w:pStyle w:val="9"/>
        <w:snapToGrid w:val="0"/>
        <w:spacing w:line="360" w:lineRule="auto"/>
        <w:ind w:firstLine="480" w:firstLineChars="200"/>
        <w:jc w:val="left"/>
        <w:rPr>
          <w:rFonts w:hAnsi="宋体" w:eastAsia="宋体"/>
          <w:color w:val="auto"/>
          <w:sz w:val="24"/>
          <w:highlight w:val="none"/>
        </w:rPr>
      </w:pPr>
    </w:p>
    <w:p w14:paraId="7C818E86">
      <w:pPr>
        <w:pStyle w:val="9"/>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4CDB834">
      <w:pPr>
        <w:pStyle w:val="9"/>
        <w:snapToGrid w:val="0"/>
        <w:spacing w:line="360" w:lineRule="auto"/>
        <w:ind w:firstLine="480" w:firstLineChars="200"/>
        <w:jc w:val="left"/>
        <w:rPr>
          <w:rFonts w:hAnsi="宋体" w:eastAsia="宋体"/>
          <w:color w:val="auto"/>
          <w:sz w:val="24"/>
          <w:szCs w:val="28"/>
          <w:highlight w:val="none"/>
        </w:rPr>
      </w:pPr>
    </w:p>
    <w:p w14:paraId="2B2BAE5C">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0AFD7C2">
      <w:pPr>
        <w:spacing w:line="360" w:lineRule="auto"/>
        <w:rPr>
          <w:color w:val="auto"/>
          <w:sz w:val="24"/>
          <w:szCs w:val="28"/>
          <w:highlight w:val="none"/>
        </w:rPr>
      </w:pPr>
    </w:p>
    <w:p w14:paraId="585B5B6A">
      <w:pPr>
        <w:spacing w:line="360" w:lineRule="auto"/>
        <w:rPr>
          <w:bCs/>
          <w:color w:val="auto"/>
          <w:sz w:val="24"/>
          <w:szCs w:val="28"/>
          <w:highlight w:val="none"/>
        </w:rPr>
      </w:pPr>
      <w:r>
        <w:rPr>
          <w:rFonts w:hint="eastAsia" w:cs="@仿宋_GB2312"/>
          <w:color w:val="auto"/>
          <w:kern w:val="2"/>
          <w:sz w:val="24"/>
          <w:szCs w:val="24"/>
          <w:highlight w:val="none"/>
        </w:rPr>
        <w:t>供应商电子签章或公章</w:t>
      </w:r>
      <w:r>
        <w:rPr>
          <w:rFonts w:hint="eastAsia"/>
          <w:bCs/>
          <w:color w:val="auto"/>
          <w:sz w:val="24"/>
          <w:szCs w:val="28"/>
          <w:highlight w:val="none"/>
        </w:rPr>
        <w:t>：</w:t>
      </w:r>
      <w:r>
        <w:rPr>
          <w:rFonts w:hint="eastAsia"/>
          <w:bCs/>
          <w:color w:val="auto"/>
          <w:sz w:val="24"/>
          <w:szCs w:val="28"/>
          <w:highlight w:val="none"/>
          <w:u w:val="single"/>
        </w:rPr>
        <w:t xml:space="preserve">                    </w:t>
      </w:r>
    </w:p>
    <w:p w14:paraId="39F54B72">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0206BE40">
      <w:pPr>
        <w:spacing w:line="360" w:lineRule="auto"/>
        <w:rPr>
          <w:color w:val="auto"/>
          <w:sz w:val="24"/>
          <w:szCs w:val="28"/>
          <w:highlight w:val="none"/>
        </w:rPr>
      </w:pPr>
    </w:p>
    <w:p w14:paraId="23EE6377">
      <w:pPr>
        <w:spacing w:line="360" w:lineRule="auto"/>
        <w:rPr>
          <w:color w:val="auto"/>
          <w:sz w:val="24"/>
          <w:szCs w:val="28"/>
          <w:highlight w:val="none"/>
        </w:rPr>
      </w:pPr>
    </w:p>
    <w:p w14:paraId="4D018CFB">
      <w:pPr>
        <w:pStyle w:val="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91F3734">
      <w:pPr>
        <w:pStyle w:val="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w:t>
      </w:r>
    </w:p>
    <w:p w14:paraId="158970CE">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比选</w:t>
      </w:r>
      <w:r>
        <w:rPr>
          <w:rFonts w:hint="eastAsia"/>
          <w:color w:val="auto"/>
          <w:sz w:val="24"/>
          <w:highlight w:val="none"/>
        </w:rPr>
        <w:t>的无需提供授权书，仅提供法定代表人身份证明书。</w:t>
      </w:r>
    </w:p>
    <w:p w14:paraId="4D8238A5">
      <w:pPr>
        <w:widowControl/>
        <w:jc w:val="left"/>
        <w:rPr>
          <w:color w:val="auto"/>
          <w:sz w:val="24"/>
          <w:highlight w:val="none"/>
        </w:rPr>
      </w:pPr>
      <w:r>
        <w:rPr>
          <w:color w:val="auto"/>
          <w:sz w:val="24"/>
          <w:highlight w:val="none"/>
        </w:rPr>
        <w:br w:type="page"/>
      </w:r>
    </w:p>
    <w:p w14:paraId="6723D7B1">
      <w:pPr>
        <w:keepNext/>
        <w:keepLines/>
        <w:spacing w:before="260" w:after="260" w:line="416" w:lineRule="auto"/>
        <w:jc w:val="center"/>
        <w:outlineLvl w:val="2"/>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六、法定代表人身份证明书</w:t>
      </w:r>
    </w:p>
    <w:p w14:paraId="78035032">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7DDD1A2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5985E9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62F071A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351A55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4B8F262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935B9F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6C395023">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3E08482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2ADF122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4CE24FEE">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709F3D5C">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5A188C5A">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8CFF6C7">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632B3E5D">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6396AFF">
      <w:pPr>
        <w:spacing w:line="360" w:lineRule="auto"/>
        <w:ind w:firstLine="3840" w:firstLineChars="1600"/>
        <w:rPr>
          <w:rFonts w:cs="宋体"/>
          <w:color w:val="auto"/>
          <w:kern w:val="2"/>
          <w:sz w:val="24"/>
          <w:szCs w:val="24"/>
          <w:highlight w:val="none"/>
        </w:rPr>
      </w:pPr>
      <w:r>
        <w:rPr>
          <w:rFonts w:hint="eastAsia" w:cs="@仿宋_GB2312"/>
          <w:color w:val="auto"/>
          <w:kern w:val="2"/>
          <w:sz w:val="24"/>
          <w:szCs w:val="24"/>
          <w:highlight w:val="none"/>
        </w:rPr>
        <w:t>供应商电子签章或公章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96B212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8F3B48F">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AF0D076">
      <w:pPr>
        <w:keepNext/>
        <w:keepLines/>
        <w:spacing w:before="260" w:after="260" w:line="416" w:lineRule="auto"/>
        <w:jc w:val="center"/>
        <w:outlineLvl w:val="2"/>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七、业绩及证明材料</w:t>
      </w:r>
    </w:p>
    <w:p w14:paraId="6BF2F0EC">
      <w:pPr>
        <w:keepNext/>
        <w:keepLines/>
        <w:numPr>
          <w:ilvl w:val="0"/>
          <w:numId w:val="3"/>
        </w:numPr>
        <w:jc w:val="center"/>
        <w:rPr>
          <w:color w:val="auto"/>
          <w:sz w:val="24"/>
          <w:szCs w:val="24"/>
          <w:highlight w:val="none"/>
        </w:rPr>
      </w:pPr>
      <w:r>
        <w:rPr>
          <w:rFonts w:hint="eastAsia"/>
          <w:color w:val="auto"/>
          <w:sz w:val="24"/>
          <w:szCs w:val="24"/>
          <w:highlight w:val="none"/>
        </w:rPr>
        <w:t>业绩表</w:t>
      </w:r>
    </w:p>
    <w:p w14:paraId="00FCFA18">
      <w:pPr>
        <w:keepNext/>
        <w:keepLines/>
        <w:jc w:val="center"/>
        <w:rPr>
          <w:color w:val="auto"/>
          <w:sz w:val="24"/>
          <w:szCs w:val="24"/>
          <w:highlight w:val="none"/>
        </w:rPr>
      </w:pPr>
      <w:r>
        <w:rPr>
          <w:rFonts w:hint="eastAsia"/>
          <w:color w:val="auto"/>
          <w:sz w:val="24"/>
          <w:szCs w:val="24"/>
          <w:highlight w:val="none"/>
        </w:rPr>
        <w:t>（格式仅供参考）</w:t>
      </w:r>
    </w:p>
    <w:p w14:paraId="48F61096">
      <w:pPr>
        <w:rPr>
          <w:rFonts w:eastAsia="@仿宋_GB2312" w:cs="@仿宋_GB2312"/>
          <w:color w:val="auto"/>
          <w:kern w:val="2"/>
          <w:sz w:val="21"/>
          <w:highlight w:val="none"/>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1BA9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5FB6E472">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序号</w:t>
            </w:r>
          </w:p>
        </w:tc>
        <w:tc>
          <w:tcPr>
            <w:tcW w:w="971" w:type="pct"/>
            <w:vAlign w:val="center"/>
          </w:tcPr>
          <w:p w14:paraId="4E1A8CEF">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p>
        </w:tc>
        <w:tc>
          <w:tcPr>
            <w:tcW w:w="874" w:type="pct"/>
            <w:vAlign w:val="center"/>
          </w:tcPr>
          <w:p w14:paraId="03A12E77">
            <w:pPr>
              <w:widowControl/>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项目内容</w:t>
            </w:r>
          </w:p>
        </w:tc>
        <w:tc>
          <w:tcPr>
            <w:tcW w:w="918" w:type="pct"/>
            <w:vAlign w:val="center"/>
          </w:tcPr>
          <w:p w14:paraId="4EC252DE">
            <w:pPr>
              <w:widowControl/>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合同总金额</w:t>
            </w:r>
          </w:p>
        </w:tc>
        <w:tc>
          <w:tcPr>
            <w:tcW w:w="1043" w:type="pct"/>
            <w:vAlign w:val="center"/>
          </w:tcPr>
          <w:p w14:paraId="3E4C88BD">
            <w:pPr>
              <w:widowControl/>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业绩合同甲方及联系电话</w:t>
            </w:r>
          </w:p>
        </w:tc>
        <w:tc>
          <w:tcPr>
            <w:tcW w:w="636" w:type="pct"/>
            <w:vAlign w:val="center"/>
          </w:tcPr>
          <w:p w14:paraId="2AFC5278">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w:t>
            </w:r>
          </w:p>
        </w:tc>
      </w:tr>
      <w:tr w14:paraId="0274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6F2F1E18">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供应商初审业绩（资格门槛业绩）</w:t>
            </w:r>
          </w:p>
        </w:tc>
      </w:tr>
      <w:tr w14:paraId="1C04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C52BD06">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971" w:type="pct"/>
            <w:vAlign w:val="center"/>
          </w:tcPr>
          <w:p w14:paraId="699300C2">
            <w:pPr>
              <w:spacing w:line="360" w:lineRule="auto"/>
              <w:rPr>
                <w:rFonts w:cs="宋体" w:asciiTheme="minorEastAsia" w:hAnsiTheme="minorEastAsia" w:eastAsiaTheme="minorEastAsia"/>
                <w:bCs/>
                <w:color w:val="auto"/>
                <w:kern w:val="2"/>
                <w:sz w:val="24"/>
                <w:szCs w:val="24"/>
                <w:highlight w:val="none"/>
              </w:rPr>
            </w:pPr>
          </w:p>
        </w:tc>
        <w:tc>
          <w:tcPr>
            <w:tcW w:w="874" w:type="pct"/>
            <w:vAlign w:val="center"/>
          </w:tcPr>
          <w:p w14:paraId="7D0D343D">
            <w:pPr>
              <w:spacing w:line="360" w:lineRule="auto"/>
              <w:rPr>
                <w:rFonts w:cs="宋体" w:asciiTheme="minorEastAsia" w:hAnsiTheme="minorEastAsia" w:eastAsiaTheme="minorEastAsia"/>
                <w:bCs/>
                <w:color w:val="auto"/>
                <w:kern w:val="2"/>
                <w:sz w:val="24"/>
                <w:szCs w:val="24"/>
                <w:highlight w:val="none"/>
              </w:rPr>
            </w:pPr>
          </w:p>
        </w:tc>
        <w:tc>
          <w:tcPr>
            <w:tcW w:w="918" w:type="pct"/>
            <w:vAlign w:val="center"/>
          </w:tcPr>
          <w:p w14:paraId="5757F6C4">
            <w:pPr>
              <w:spacing w:line="360" w:lineRule="auto"/>
              <w:rPr>
                <w:rFonts w:cs="宋体" w:asciiTheme="minorEastAsia" w:hAnsiTheme="minorEastAsia" w:eastAsiaTheme="minorEastAsia"/>
                <w:bCs/>
                <w:color w:val="auto"/>
                <w:kern w:val="2"/>
                <w:sz w:val="24"/>
                <w:szCs w:val="24"/>
                <w:highlight w:val="none"/>
              </w:rPr>
            </w:pPr>
          </w:p>
        </w:tc>
        <w:tc>
          <w:tcPr>
            <w:tcW w:w="1043" w:type="pct"/>
            <w:vAlign w:val="center"/>
          </w:tcPr>
          <w:p w14:paraId="01C915A3">
            <w:pPr>
              <w:spacing w:line="360" w:lineRule="auto"/>
              <w:rPr>
                <w:rFonts w:cs="宋体" w:asciiTheme="minorEastAsia" w:hAnsiTheme="minorEastAsia" w:eastAsiaTheme="minorEastAsia"/>
                <w:bCs/>
                <w:color w:val="auto"/>
                <w:kern w:val="2"/>
                <w:sz w:val="24"/>
                <w:szCs w:val="24"/>
                <w:highlight w:val="none"/>
              </w:rPr>
            </w:pPr>
          </w:p>
        </w:tc>
        <w:tc>
          <w:tcPr>
            <w:tcW w:w="636" w:type="pct"/>
            <w:vAlign w:val="center"/>
          </w:tcPr>
          <w:p w14:paraId="22F15EC5">
            <w:pPr>
              <w:spacing w:line="360" w:lineRule="auto"/>
              <w:rPr>
                <w:rFonts w:cs="宋体" w:asciiTheme="minorEastAsia" w:hAnsiTheme="minorEastAsia" w:eastAsiaTheme="minorEastAsia"/>
                <w:bCs/>
                <w:color w:val="auto"/>
                <w:kern w:val="2"/>
                <w:sz w:val="24"/>
                <w:szCs w:val="24"/>
                <w:highlight w:val="none"/>
              </w:rPr>
            </w:pPr>
          </w:p>
        </w:tc>
      </w:tr>
      <w:tr w14:paraId="415D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2F3A5F8">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项目负责人初审业绩（资格门槛业绩）</w:t>
            </w:r>
          </w:p>
        </w:tc>
      </w:tr>
      <w:tr w14:paraId="4FD0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97FC5D4">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971" w:type="pct"/>
            <w:vAlign w:val="center"/>
          </w:tcPr>
          <w:p w14:paraId="58DE7CCE">
            <w:pPr>
              <w:spacing w:line="360" w:lineRule="auto"/>
              <w:rPr>
                <w:rFonts w:cs="宋体" w:asciiTheme="minorEastAsia" w:hAnsiTheme="minorEastAsia" w:eastAsiaTheme="minorEastAsia"/>
                <w:bCs/>
                <w:color w:val="auto"/>
                <w:kern w:val="2"/>
                <w:sz w:val="24"/>
                <w:szCs w:val="24"/>
                <w:highlight w:val="none"/>
              </w:rPr>
            </w:pPr>
          </w:p>
        </w:tc>
        <w:tc>
          <w:tcPr>
            <w:tcW w:w="874" w:type="pct"/>
            <w:vAlign w:val="center"/>
          </w:tcPr>
          <w:p w14:paraId="3243052D">
            <w:pPr>
              <w:spacing w:line="360" w:lineRule="auto"/>
              <w:rPr>
                <w:rFonts w:cs="宋体" w:asciiTheme="minorEastAsia" w:hAnsiTheme="minorEastAsia" w:eastAsiaTheme="minorEastAsia"/>
                <w:bCs/>
                <w:color w:val="auto"/>
                <w:kern w:val="2"/>
                <w:sz w:val="24"/>
                <w:szCs w:val="24"/>
                <w:highlight w:val="none"/>
              </w:rPr>
            </w:pPr>
          </w:p>
        </w:tc>
        <w:tc>
          <w:tcPr>
            <w:tcW w:w="918" w:type="pct"/>
            <w:vAlign w:val="center"/>
          </w:tcPr>
          <w:p w14:paraId="5910CF3C">
            <w:pPr>
              <w:spacing w:line="360" w:lineRule="auto"/>
              <w:rPr>
                <w:rFonts w:cs="宋体" w:asciiTheme="minorEastAsia" w:hAnsiTheme="minorEastAsia" w:eastAsiaTheme="minorEastAsia"/>
                <w:bCs/>
                <w:color w:val="auto"/>
                <w:kern w:val="2"/>
                <w:sz w:val="24"/>
                <w:szCs w:val="24"/>
                <w:highlight w:val="none"/>
              </w:rPr>
            </w:pPr>
          </w:p>
        </w:tc>
        <w:tc>
          <w:tcPr>
            <w:tcW w:w="1043" w:type="pct"/>
            <w:vAlign w:val="center"/>
          </w:tcPr>
          <w:p w14:paraId="5FA60412">
            <w:pPr>
              <w:spacing w:line="360" w:lineRule="auto"/>
              <w:rPr>
                <w:rFonts w:cs="宋体" w:asciiTheme="minorEastAsia" w:hAnsiTheme="minorEastAsia" w:eastAsiaTheme="minorEastAsia"/>
                <w:bCs/>
                <w:color w:val="auto"/>
                <w:kern w:val="2"/>
                <w:sz w:val="24"/>
                <w:szCs w:val="24"/>
                <w:highlight w:val="none"/>
              </w:rPr>
            </w:pPr>
          </w:p>
        </w:tc>
        <w:tc>
          <w:tcPr>
            <w:tcW w:w="636" w:type="pct"/>
            <w:vAlign w:val="center"/>
          </w:tcPr>
          <w:p w14:paraId="0C11B07B">
            <w:pPr>
              <w:spacing w:line="360" w:lineRule="auto"/>
              <w:rPr>
                <w:rFonts w:cs="宋体" w:asciiTheme="minorEastAsia" w:hAnsiTheme="minorEastAsia" w:eastAsiaTheme="minorEastAsia"/>
                <w:bCs/>
                <w:color w:val="auto"/>
                <w:kern w:val="2"/>
                <w:sz w:val="24"/>
                <w:szCs w:val="24"/>
                <w:highlight w:val="none"/>
              </w:rPr>
            </w:pPr>
          </w:p>
        </w:tc>
      </w:tr>
      <w:tr w14:paraId="0E3E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CDAD2EE">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供应商评审业绩（打分业绩）</w:t>
            </w:r>
          </w:p>
        </w:tc>
      </w:tr>
      <w:tr w14:paraId="223A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729E6B10">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971" w:type="pct"/>
            <w:vAlign w:val="center"/>
          </w:tcPr>
          <w:p w14:paraId="465C3600">
            <w:pPr>
              <w:spacing w:line="360" w:lineRule="auto"/>
              <w:rPr>
                <w:rFonts w:cs="宋体" w:asciiTheme="minorEastAsia" w:hAnsiTheme="minorEastAsia" w:eastAsiaTheme="minorEastAsia"/>
                <w:bCs/>
                <w:color w:val="auto"/>
                <w:kern w:val="2"/>
                <w:sz w:val="24"/>
                <w:szCs w:val="24"/>
                <w:highlight w:val="none"/>
              </w:rPr>
            </w:pPr>
          </w:p>
        </w:tc>
        <w:tc>
          <w:tcPr>
            <w:tcW w:w="874" w:type="pct"/>
            <w:vAlign w:val="center"/>
          </w:tcPr>
          <w:p w14:paraId="6960E64A">
            <w:pPr>
              <w:spacing w:line="360" w:lineRule="auto"/>
              <w:rPr>
                <w:rFonts w:cs="宋体" w:asciiTheme="minorEastAsia" w:hAnsiTheme="minorEastAsia" w:eastAsiaTheme="minorEastAsia"/>
                <w:bCs/>
                <w:color w:val="auto"/>
                <w:kern w:val="2"/>
                <w:sz w:val="24"/>
                <w:szCs w:val="24"/>
                <w:highlight w:val="none"/>
              </w:rPr>
            </w:pPr>
          </w:p>
        </w:tc>
        <w:tc>
          <w:tcPr>
            <w:tcW w:w="918" w:type="pct"/>
            <w:vAlign w:val="center"/>
          </w:tcPr>
          <w:p w14:paraId="5CB881E3">
            <w:pPr>
              <w:spacing w:line="360" w:lineRule="auto"/>
              <w:rPr>
                <w:rFonts w:cs="宋体" w:asciiTheme="minorEastAsia" w:hAnsiTheme="minorEastAsia" w:eastAsiaTheme="minorEastAsia"/>
                <w:bCs/>
                <w:color w:val="auto"/>
                <w:kern w:val="2"/>
                <w:sz w:val="24"/>
                <w:szCs w:val="24"/>
                <w:highlight w:val="none"/>
              </w:rPr>
            </w:pPr>
          </w:p>
        </w:tc>
        <w:tc>
          <w:tcPr>
            <w:tcW w:w="1043" w:type="pct"/>
            <w:vAlign w:val="center"/>
          </w:tcPr>
          <w:p w14:paraId="100863E5">
            <w:pPr>
              <w:spacing w:line="360" w:lineRule="auto"/>
              <w:rPr>
                <w:rFonts w:cs="宋体" w:asciiTheme="minorEastAsia" w:hAnsiTheme="minorEastAsia" w:eastAsiaTheme="minorEastAsia"/>
                <w:bCs/>
                <w:color w:val="auto"/>
                <w:kern w:val="2"/>
                <w:sz w:val="24"/>
                <w:szCs w:val="24"/>
                <w:highlight w:val="none"/>
              </w:rPr>
            </w:pPr>
          </w:p>
        </w:tc>
        <w:tc>
          <w:tcPr>
            <w:tcW w:w="636" w:type="pct"/>
            <w:vAlign w:val="center"/>
          </w:tcPr>
          <w:p w14:paraId="2F23C7D2">
            <w:pPr>
              <w:spacing w:line="360" w:lineRule="auto"/>
              <w:rPr>
                <w:rFonts w:cs="宋体" w:asciiTheme="minorEastAsia" w:hAnsiTheme="minorEastAsia" w:eastAsiaTheme="minorEastAsia"/>
                <w:bCs/>
                <w:color w:val="auto"/>
                <w:kern w:val="2"/>
                <w:sz w:val="24"/>
                <w:szCs w:val="24"/>
                <w:highlight w:val="none"/>
              </w:rPr>
            </w:pPr>
          </w:p>
        </w:tc>
      </w:tr>
      <w:tr w14:paraId="4E7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E3F3B2C">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2</w:t>
            </w:r>
          </w:p>
        </w:tc>
        <w:tc>
          <w:tcPr>
            <w:tcW w:w="971" w:type="pct"/>
            <w:vAlign w:val="center"/>
          </w:tcPr>
          <w:p w14:paraId="4545F32D">
            <w:pPr>
              <w:spacing w:line="360" w:lineRule="auto"/>
              <w:rPr>
                <w:rFonts w:cs="宋体" w:asciiTheme="minorEastAsia" w:hAnsiTheme="minorEastAsia" w:eastAsiaTheme="minorEastAsia"/>
                <w:bCs/>
                <w:color w:val="auto"/>
                <w:kern w:val="2"/>
                <w:sz w:val="24"/>
                <w:szCs w:val="24"/>
                <w:highlight w:val="none"/>
              </w:rPr>
            </w:pPr>
          </w:p>
        </w:tc>
        <w:tc>
          <w:tcPr>
            <w:tcW w:w="874" w:type="pct"/>
            <w:vAlign w:val="center"/>
          </w:tcPr>
          <w:p w14:paraId="7D755D93">
            <w:pPr>
              <w:spacing w:line="360" w:lineRule="auto"/>
              <w:rPr>
                <w:rFonts w:cs="宋体" w:asciiTheme="minorEastAsia" w:hAnsiTheme="minorEastAsia" w:eastAsiaTheme="minorEastAsia"/>
                <w:bCs/>
                <w:color w:val="auto"/>
                <w:kern w:val="2"/>
                <w:sz w:val="24"/>
                <w:szCs w:val="24"/>
                <w:highlight w:val="none"/>
              </w:rPr>
            </w:pPr>
          </w:p>
        </w:tc>
        <w:tc>
          <w:tcPr>
            <w:tcW w:w="918" w:type="pct"/>
            <w:vAlign w:val="center"/>
          </w:tcPr>
          <w:p w14:paraId="5F1FB2CF">
            <w:pPr>
              <w:spacing w:line="360" w:lineRule="auto"/>
              <w:rPr>
                <w:rFonts w:cs="宋体" w:asciiTheme="minorEastAsia" w:hAnsiTheme="minorEastAsia" w:eastAsiaTheme="minorEastAsia"/>
                <w:bCs/>
                <w:color w:val="auto"/>
                <w:kern w:val="2"/>
                <w:sz w:val="24"/>
                <w:szCs w:val="24"/>
                <w:highlight w:val="none"/>
              </w:rPr>
            </w:pPr>
          </w:p>
        </w:tc>
        <w:tc>
          <w:tcPr>
            <w:tcW w:w="1043" w:type="pct"/>
            <w:vAlign w:val="center"/>
          </w:tcPr>
          <w:p w14:paraId="6C73E560">
            <w:pPr>
              <w:spacing w:line="360" w:lineRule="auto"/>
              <w:rPr>
                <w:rFonts w:cs="宋体" w:asciiTheme="minorEastAsia" w:hAnsiTheme="minorEastAsia" w:eastAsiaTheme="minorEastAsia"/>
                <w:bCs/>
                <w:color w:val="auto"/>
                <w:kern w:val="2"/>
                <w:sz w:val="24"/>
                <w:szCs w:val="24"/>
                <w:highlight w:val="none"/>
              </w:rPr>
            </w:pPr>
          </w:p>
        </w:tc>
        <w:tc>
          <w:tcPr>
            <w:tcW w:w="636" w:type="pct"/>
            <w:vAlign w:val="center"/>
          </w:tcPr>
          <w:p w14:paraId="018CA15B">
            <w:pPr>
              <w:spacing w:line="360" w:lineRule="auto"/>
              <w:rPr>
                <w:rFonts w:cs="宋体" w:asciiTheme="minorEastAsia" w:hAnsiTheme="minorEastAsia" w:eastAsiaTheme="minorEastAsia"/>
                <w:bCs/>
                <w:color w:val="auto"/>
                <w:kern w:val="2"/>
                <w:sz w:val="24"/>
                <w:szCs w:val="24"/>
                <w:highlight w:val="none"/>
              </w:rPr>
            </w:pPr>
          </w:p>
        </w:tc>
      </w:tr>
      <w:tr w14:paraId="3996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AB90673">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项目负责人评审业绩（打分业绩）</w:t>
            </w:r>
          </w:p>
        </w:tc>
      </w:tr>
      <w:tr w14:paraId="4E4F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7E493FFB">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971" w:type="pct"/>
            <w:vAlign w:val="center"/>
          </w:tcPr>
          <w:p w14:paraId="6DDBB605">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200A8847">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30D4153F">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5E36929E">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4219EB2F">
            <w:pPr>
              <w:spacing w:line="360" w:lineRule="auto"/>
              <w:rPr>
                <w:rFonts w:cs="宋体" w:asciiTheme="minorEastAsia" w:hAnsiTheme="minorEastAsia" w:eastAsiaTheme="minorEastAsia"/>
                <w:b/>
                <w:color w:val="auto"/>
                <w:kern w:val="2"/>
                <w:sz w:val="24"/>
                <w:szCs w:val="24"/>
                <w:highlight w:val="none"/>
              </w:rPr>
            </w:pPr>
          </w:p>
        </w:tc>
      </w:tr>
      <w:tr w14:paraId="0F32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22275CC">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2</w:t>
            </w:r>
          </w:p>
        </w:tc>
        <w:tc>
          <w:tcPr>
            <w:tcW w:w="971" w:type="pct"/>
            <w:vAlign w:val="center"/>
          </w:tcPr>
          <w:p w14:paraId="700EE779">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2D541FB7">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26987178">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66B4728A">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5BBB99CC">
            <w:pPr>
              <w:spacing w:line="360" w:lineRule="auto"/>
              <w:rPr>
                <w:rFonts w:cs="宋体" w:asciiTheme="minorEastAsia" w:hAnsiTheme="minorEastAsia" w:eastAsiaTheme="minorEastAsia"/>
                <w:b/>
                <w:color w:val="auto"/>
                <w:kern w:val="2"/>
                <w:sz w:val="24"/>
                <w:szCs w:val="24"/>
                <w:highlight w:val="none"/>
              </w:rPr>
            </w:pPr>
          </w:p>
        </w:tc>
      </w:tr>
      <w:tr w14:paraId="395F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22146AB">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w:t>
            </w:r>
          </w:p>
        </w:tc>
        <w:tc>
          <w:tcPr>
            <w:tcW w:w="971" w:type="pct"/>
            <w:vAlign w:val="center"/>
          </w:tcPr>
          <w:p w14:paraId="63EA039E">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2D5A9F46">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64BC71B8">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1789033D">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72921D7D">
            <w:pPr>
              <w:spacing w:line="360" w:lineRule="auto"/>
              <w:rPr>
                <w:rFonts w:cs="宋体" w:asciiTheme="minorEastAsia" w:hAnsiTheme="minorEastAsia" w:eastAsiaTheme="minorEastAsia"/>
                <w:b/>
                <w:color w:val="auto"/>
                <w:kern w:val="2"/>
                <w:sz w:val="24"/>
                <w:szCs w:val="24"/>
                <w:highlight w:val="none"/>
              </w:rPr>
            </w:pPr>
          </w:p>
        </w:tc>
      </w:tr>
    </w:tbl>
    <w:p w14:paraId="4EDD8A03">
      <w:pPr>
        <w:widowControl/>
        <w:jc w:val="left"/>
        <w:rPr>
          <w:rFonts w:asciiTheme="minorEastAsia" w:hAnsiTheme="minorEastAsia" w:eastAsiaTheme="minorEastAsia"/>
          <w:b/>
          <w:color w:val="auto"/>
          <w:sz w:val="24"/>
          <w:highlight w:val="none"/>
        </w:rPr>
      </w:pPr>
    </w:p>
    <w:p w14:paraId="32337DA3">
      <w:pPr>
        <w:keepNext/>
        <w:keepLines/>
        <w:rPr>
          <w:color w:val="auto"/>
          <w:sz w:val="24"/>
          <w:szCs w:val="24"/>
          <w:highlight w:val="none"/>
        </w:rPr>
      </w:pPr>
    </w:p>
    <w:p w14:paraId="1719A5AE">
      <w:pPr>
        <w:keepNext/>
        <w:keepLines/>
        <w:numPr>
          <w:ilvl w:val="0"/>
          <w:numId w:val="3"/>
        </w:numPr>
        <w:spacing w:line="360" w:lineRule="auto"/>
        <w:jc w:val="center"/>
        <w:rPr>
          <w:color w:val="auto"/>
          <w:sz w:val="24"/>
          <w:szCs w:val="24"/>
          <w:highlight w:val="none"/>
        </w:rPr>
      </w:pPr>
      <w:r>
        <w:rPr>
          <w:rFonts w:hint="eastAsia"/>
          <w:color w:val="auto"/>
          <w:sz w:val="24"/>
          <w:szCs w:val="24"/>
          <w:highlight w:val="none"/>
        </w:rPr>
        <w:t>业绩证明材料</w:t>
      </w:r>
    </w:p>
    <w:p w14:paraId="00C1B5E1">
      <w:pPr>
        <w:keepNext/>
        <w:keepLines/>
        <w:spacing w:line="360" w:lineRule="auto"/>
        <w:jc w:val="center"/>
        <w:rPr>
          <w:rFonts w:asciiTheme="minorEastAsia" w:hAnsiTheme="minorEastAsia" w:eastAsiaTheme="minorEastAsia"/>
          <w:b/>
          <w:color w:val="auto"/>
          <w:sz w:val="24"/>
          <w:highlight w:val="none"/>
        </w:rPr>
      </w:pPr>
      <w:r>
        <w:rPr>
          <w:rFonts w:hint="eastAsia"/>
          <w:color w:val="auto"/>
          <w:sz w:val="24"/>
          <w:szCs w:val="24"/>
          <w:highlight w:val="none"/>
        </w:rPr>
        <w:t>（建议与上述“（一）业绩表”填写的业绩一一对应）</w:t>
      </w:r>
      <w:r>
        <w:rPr>
          <w:rFonts w:asciiTheme="minorEastAsia" w:hAnsiTheme="minorEastAsia" w:eastAsiaTheme="minorEastAsia"/>
          <w:b/>
          <w:color w:val="auto"/>
          <w:sz w:val="24"/>
          <w:highlight w:val="none"/>
        </w:rPr>
        <w:br w:type="page"/>
      </w:r>
    </w:p>
    <w:p w14:paraId="179CEAD0">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p>
    <w:p w14:paraId="6BA59323">
      <w:pPr>
        <w:spacing w:line="360" w:lineRule="auto"/>
        <w:jc w:val="center"/>
        <w:rPr>
          <w:color w:val="auto"/>
          <w:sz w:val="24"/>
          <w:szCs w:val="24"/>
          <w:highlight w:val="none"/>
        </w:rPr>
      </w:pPr>
      <w:bookmarkStart w:id="22" w:name="_Toc29973"/>
      <w:bookmarkStart w:id="23" w:name="_Toc19685"/>
      <w:r>
        <w:rPr>
          <w:rFonts w:hint="eastAsia"/>
          <w:color w:val="auto"/>
          <w:sz w:val="24"/>
          <w:szCs w:val="24"/>
          <w:highlight w:val="none"/>
        </w:rPr>
        <w:t>供应商按照第四章评审方法和标准放置的其他资料。</w:t>
      </w:r>
      <w:bookmarkEnd w:id="22"/>
      <w:bookmarkEnd w:id="23"/>
    </w:p>
    <w:p w14:paraId="21FB7CEF">
      <w:pPr>
        <w:rPr>
          <w:color w:val="auto"/>
          <w:sz w:val="24"/>
          <w:szCs w:val="22"/>
          <w:highlight w:val="none"/>
        </w:rPr>
      </w:pPr>
      <w:r>
        <w:rPr>
          <w:rFonts w:hint="eastAsia"/>
          <w:color w:val="auto"/>
          <w:sz w:val="24"/>
          <w:szCs w:val="22"/>
          <w:highlight w:val="none"/>
        </w:rPr>
        <w:br w:type="page"/>
      </w:r>
    </w:p>
    <w:p w14:paraId="79E1E032">
      <w:pPr>
        <w:spacing w:line="360" w:lineRule="auto"/>
        <w:ind w:firstLine="435"/>
        <w:rPr>
          <w:rFonts w:cs="宋体"/>
          <w:b/>
          <w:bCs/>
          <w:color w:val="auto"/>
          <w:sz w:val="44"/>
          <w:szCs w:val="44"/>
          <w:highlight w:val="none"/>
        </w:rPr>
      </w:pPr>
      <w:r>
        <w:rPr>
          <w:rFonts w:hint="eastAsia" w:cs="宋体"/>
          <w:b/>
          <w:bCs/>
          <w:color w:val="auto"/>
          <w:sz w:val="44"/>
          <w:szCs w:val="44"/>
          <w:highlight w:val="none"/>
        </w:rPr>
        <w:t>附件：全流程电子招标采购具体要求</w:t>
      </w:r>
      <w:r>
        <w:rPr>
          <w:rStyle w:val="21"/>
          <w:rFonts w:hint="eastAsia" w:cs="宋体"/>
          <w:b/>
          <w:bCs/>
          <w:color w:val="auto"/>
          <w:sz w:val="44"/>
          <w:szCs w:val="44"/>
          <w:highlight w:val="none"/>
        </w:rPr>
        <w:footnoteReference w:id="0"/>
      </w:r>
    </w:p>
    <w:p w14:paraId="4478645D">
      <w:pPr>
        <w:spacing w:line="400" w:lineRule="exact"/>
        <w:ind w:firstLine="400" w:firstLineChars="200"/>
        <w:rPr>
          <w:rFonts w:cs="宋体"/>
          <w:color w:val="auto"/>
          <w:szCs w:val="24"/>
          <w:highlight w:val="none"/>
        </w:rPr>
      </w:pPr>
      <w:r>
        <w:rPr>
          <w:rFonts w:hint="eastAsia" w:cs="宋体"/>
          <w:color w:val="auto"/>
          <w:szCs w:val="24"/>
          <w:highlight w:val="none"/>
        </w:rPr>
        <w:t>说明：当采用非招标方式进行全流程电子采购活动时，按照本规定执行，其中本要求“参审单位”按“</w:t>
      </w:r>
      <w:r>
        <w:rPr>
          <w:rFonts w:hint="eastAsia"/>
          <w:color w:val="auto"/>
          <w:szCs w:val="18"/>
          <w:highlight w:val="none"/>
        </w:rPr>
        <w:t>参审单位</w:t>
      </w:r>
      <w:r>
        <w:rPr>
          <w:rFonts w:hint="eastAsia" w:cs="宋体"/>
          <w:color w:val="auto"/>
          <w:szCs w:val="24"/>
          <w:highlight w:val="none"/>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13468E9B">
      <w:pPr>
        <w:spacing w:line="400" w:lineRule="exact"/>
        <w:ind w:firstLine="400" w:firstLineChars="200"/>
        <w:rPr>
          <w:rFonts w:cs="宋体"/>
          <w:color w:val="auto"/>
          <w:szCs w:val="24"/>
          <w:highlight w:val="none"/>
        </w:rPr>
      </w:pPr>
    </w:p>
    <w:p w14:paraId="5BE1D6AC">
      <w:pPr>
        <w:spacing w:line="400" w:lineRule="exact"/>
        <w:ind w:firstLine="400" w:firstLineChars="200"/>
        <w:rPr>
          <w:rFonts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573942F7">
      <w:pPr>
        <w:spacing w:line="400" w:lineRule="exact"/>
        <w:ind w:firstLine="400" w:firstLineChars="200"/>
        <w:rPr>
          <w:rFonts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rPr>
        <w:t>参审单位</w:t>
      </w:r>
      <w:r>
        <w:rPr>
          <w:rFonts w:hint="eastAsia" w:cs="宋体"/>
          <w:color w:val="auto"/>
          <w:highlight w:val="none"/>
        </w:rPr>
        <w:t>应及时办理CA证书，用于对投标文件进行电子签章及加、解密。</w:t>
      </w:r>
    </w:p>
    <w:p w14:paraId="044F198C">
      <w:pPr>
        <w:spacing w:line="400" w:lineRule="exact"/>
        <w:ind w:firstLine="400" w:firstLineChars="200"/>
        <w:rPr>
          <w:rFonts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278E26C5">
      <w:pPr>
        <w:spacing w:line="400" w:lineRule="exact"/>
        <w:rPr>
          <w:rFonts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20"/>
          <w:rFonts w:hint="eastAsia" w:cs="宋体"/>
          <w:bCs/>
          <w:color w:val="auto"/>
          <w:highlight w:val="none"/>
        </w:rPr>
        <w:t>http://www.youzhicai.com/ActivityTopic/AdviceDetail/8f80a7ec-911f-4c4d-a123-f</w:t>
      </w:r>
      <w:bookmarkStart w:id="24" w:name="_Hlt105085547"/>
      <w:bookmarkStart w:id="25" w:name="_Hlt105085548"/>
      <w:r>
        <w:rPr>
          <w:rStyle w:val="20"/>
          <w:rFonts w:hint="eastAsia" w:cs="宋体"/>
          <w:bCs/>
          <w:color w:val="auto"/>
          <w:highlight w:val="none"/>
        </w:rPr>
        <w:t>8</w:t>
      </w:r>
      <w:bookmarkEnd w:id="24"/>
      <w:bookmarkEnd w:id="25"/>
      <w:r>
        <w:rPr>
          <w:rStyle w:val="20"/>
          <w:rFonts w:hint="eastAsia" w:cs="宋体"/>
          <w:bCs/>
          <w:color w:val="auto"/>
          <w:highlight w:val="none"/>
        </w:rPr>
        <w:t>849880f045</w:t>
      </w:r>
      <w:r>
        <w:rPr>
          <w:rStyle w:val="20"/>
          <w:rFonts w:hint="eastAsia" w:cs="宋体"/>
          <w:bCs/>
          <w:color w:val="auto"/>
          <w:highlight w:val="none"/>
        </w:rPr>
        <w:fldChar w:fldCharType="end"/>
      </w:r>
      <w:r>
        <w:rPr>
          <w:rFonts w:hint="eastAsia" w:cs="宋体"/>
          <w:bCs/>
          <w:color w:val="auto"/>
          <w:highlight w:val="none"/>
        </w:rPr>
        <w:t>。</w:t>
      </w:r>
    </w:p>
    <w:p w14:paraId="3B85E49A">
      <w:pPr>
        <w:spacing w:line="400" w:lineRule="exact"/>
        <w:ind w:firstLine="400" w:firstLineChars="200"/>
        <w:rPr>
          <w:rFonts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到期或即将到期，须在递交投标文件前办理续期。</w:t>
      </w:r>
    </w:p>
    <w:p w14:paraId="41222AC0">
      <w:pPr>
        <w:spacing w:line="400" w:lineRule="exact"/>
        <w:ind w:firstLine="420"/>
        <w:rPr>
          <w:rFonts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遗失、损坏等无法使用，须在递交投标文件前补办CA锁。</w:t>
      </w:r>
    </w:p>
    <w:p w14:paraId="2D15E1CB">
      <w:pPr>
        <w:spacing w:line="400" w:lineRule="exact"/>
        <w:ind w:firstLine="420"/>
        <w:rPr>
          <w:rFonts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信息（包括但不限于企业名称和法定代表人信息）发生变更的，须在递交投标文件前变更CA证书。</w:t>
      </w:r>
    </w:p>
    <w:p w14:paraId="3C7ED8B1">
      <w:pPr>
        <w:spacing w:line="400" w:lineRule="exact"/>
        <w:rPr>
          <w:rFonts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参审单位</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遗失、损坏、更换、续期、企业信息变更等情况导致投标文件无法解密的，由</w:t>
      </w:r>
      <w:r>
        <w:rPr>
          <w:rFonts w:hint="eastAsia"/>
          <w:color w:val="auto"/>
          <w:szCs w:val="18"/>
          <w:highlight w:val="none"/>
        </w:rPr>
        <w:t>参审单位</w:t>
      </w:r>
      <w:r>
        <w:rPr>
          <w:rFonts w:hint="eastAsia" w:cs="宋体"/>
          <w:color w:val="auto"/>
          <w:szCs w:val="24"/>
          <w:highlight w:val="none"/>
        </w:rPr>
        <w:t>自行承担责任；</w:t>
      </w:r>
    </w:p>
    <w:p w14:paraId="4EF2251C">
      <w:pPr>
        <w:spacing w:line="400" w:lineRule="exact"/>
        <w:ind w:firstLine="400" w:firstLineChars="200"/>
        <w:rPr>
          <w:rFonts w:cs="宋体"/>
          <w:color w:val="auto"/>
          <w:szCs w:val="24"/>
          <w:highlight w:val="none"/>
        </w:rPr>
      </w:pPr>
      <w:r>
        <w:rPr>
          <w:rFonts w:hint="eastAsia" w:cs="宋体"/>
          <w:color w:val="auto"/>
          <w:szCs w:val="24"/>
          <w:highlight w:val="none"/>
        </w:rPr>
        <w:t>7.加密和解密投标文件</w:t>
      </w:r>
      <w:r>
        <w:rPr>
          <w:rFonts w:hint="eastAsia" w:cs="宋体"/>
          <w:color w:val="auto"/>
          <w:highlight w:val="none"/>
        </w:rPr>
        <w:t>必须使用同一个CA证书</w:t>
      </w:r>
      <w:r>
        <w:rPr>
          <w:rFonts w:hint="eastAsia" w:cs="宋体"/>
          <w:color w:val="auto"/>
          <w:szCs w:val="24"/>
          <w:highlight w:val="none"/>
        </w:rPr>
        <w:t>。</w:t>
      </w:r>
    </w:p>
    <w:p w14:paraId="38DE7522">
      <w:pPr>
        <w:spacing w:line="400" w:lineRule="exact"/>
        <w:ind w:firstLine="400" w:firstLineChars="200"/>
        <w:rPr>
          <w:rFonts w:cs="宋体"/>
          <w:color w:val="auto"/>
          <w:szCs w:val="24"/>
          <w:highlight w:val="none"/>
        </w:rPr>
      </w:pPr>
      <w:r>
        <w:rPr>
          <w:rFonts w:hint="eastAsia" w:cs="宋体"/>
          <w:color w:val="auto"/>
          <w:szCs w:val="24"/>
          <w:highlight w:val="none"/>
        </w:rPr>
        <w:t>二、制作、签章、加密、上传电子投标文件</w:t>
      </w:r>
    </w:p>
    <w:p w14:paraId="5BA87BAE">
      <w:pPr>
        <w:spacing w:line="400" w:lineRule="exact"/>
        <w:ind w:firstLine="400" w:firstLineChars="200"/>
        <w:rPr>
          <w:rStyle w:val="20"/>
          <w:rFonts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rPr>
        <w:t>参审单位</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电子投标文件，</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20"/>
          <w:rFonts w:hint="eastAsia" w:cs="宋体"/>
          <w:color w:val="auto"/>
          <w:highlight w:val="none"/>
        </w:rPr>
        <w:t>https://toolcdn.youzhicai.com/tools/BidderTools.zip</w:t>
      </w:r>
      <w:r>
        <w:rPr>
          <w:rStyle w:val="20"/>
          <w:rFonts w:hint="eastAsia" w:cs="宋体"/>
          <w:color w:val="auto"/>
          <w:highlight w:val="none"/>
        </w:rPr>
        <w:fldChar w:fldCharType="end"/>
      </w:r>
      <w:r>
        <w:rPr>
          <w:rStyle w:val="20"/>
          <w:rFonts w:hint="eastAsia" w:cs="宋体"/>
          <w:color w:val="auto"/>
          <w:highlight w:val="none"/>
        </w:rPr>
        <w:t>。</w:t>
      </w:r>
    </w:p>
    <w:p w14:paraId="1CF29DEE">
      <w:pPr>
        <w:spacing w:line="400" w:lineRule="exact"/>
        <w:ind w:firstLine="400" w:firstLineChars="200"/>
        <w:rPr>
          <w:rStyle w:val="20"/>
          <w:rFonts w:cs="宋体"/>
          <w:color w:val="auto"/>
          <w:highlight w:val="none"/>
          <w:u w:val="none"/>
        </w:rPr>
      </w:pPr>
      <w:r>
        <w:rPr>
          <w:rStyle w:val="20"/>
          <w:rFonts w:hint="eastAsia" w:cs="宋体"/>
          <w:color w:val="auto"/>
          <w:highlight w:val="none"/>
          <w:u w:val="none"/>
        </w:rPr>
        <w:tab/>
      </w:r>
      <w:r>
        <w:rPr>
          <w:rStyle w:val="20"/>
          <w:rFonts w:hint="eastAsia" w:cs="宋体"/>
          <w:color w:val="auto"/>
          <w:highlight w:val="none"/>
          <w:u w:val="none"/>
        </w:rPr>
        <w:t>8.1.投标工具建议在window7或windows10操作系统下使用；</w:t>
      </w:r>
    </w:p>
    <w:p w14:paraId="0609943F">
      <w:pPr>
        <w:spacing w:line="400" w:lineRule="exact"/>
        <w:ind w:firstLine="400" w:firstLineChars="200"/>
        <w:rPr>
          <w:rFonts w:cs="宋体"/>
          <w:bCs/>
          <w:color w:val="auto"/>
          <w:sz w:val="18"/>
          <w:highlight w:val="none"/>
        </w:rPr>
      </w:pPr>
      <w:r>
        <w:rPr>
          <w:rStyle w:val="20"/>
          <w:rFonts w:hint="eastAsia" w:cs="宋体"/>
          <w:color w:val="auto"/>
          <w:highlight w:val="none"/>
          <w:u w:val="none"/>
        </w:rPr>
        <w:tab/>
      </w:r>
      <w:r>
        <w:rPr>
          <w:rStyle w:val="20"/>
          <w:rFonts w:hint="eastAsia" w:cs="宋体"/>
          <w:color w:val="auto"/>
          <w:highlight w:val="none"/>
          <w:u w:val="none"/>
        </w:rPr>
        <w:t>8.2.电子投标文件编制建议使用</w:t>
      </w:r>
      <w:r>
        <w:rPr>
          <w:rFonts w:hint="eastAsia" w:cs="宋体"/>
          <w:color w:val="auto"/>
          <w:highlight w:val="none"/>
        </w:rPr>
        <w:t>office2010版本。</w:t>
      </w:r>
    </w:p>
    <w:p w14:paraId="3A667162">
      <w:pPr>
        <w:wordWrap w:val="0"/>
        <w:spacing w:line="400" w:lineRule="exact"/>
        <w:rPr>
          <w:rFonts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rPr>
        <w:t>参审单位</w:t>
      </w:r>
      <w:r>
        <w:rPr>
          <w:rFonts w:hint="eastAsia" w:cs="宋体"/>
          <w:color w:val="auto"/>
          <w:highlight w:val="none"/>
        </w:rPr>
        <w:t>制作电子投标文件后，需在</w:t>
      </w:r>
      <w:r>
        <w:rPr>
          <w:rFonts w:hint="eastAsia" w:cs="宋体"/>
          <w:color w:val="auto"/>
          <w:szCs w:val="24"/>
          <w:highlight w:val="none"/>
        </w:rPr>
        <w:t>投标工具</w:t>
      </w:r>
      <w:r>
        <w:rPr>
          <w:rFonts w:hint="eastAsia" w:cs="宋体"/>
          <w:color w:val="auto"/>
          <w:highlight w:val="none"/>
        </w:rPr>
        <w:t>对电子投标文件进行电子签章（项目有特殊说明的除外），并使用CA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20"/>
          <w:rFonts w:hint="eastAsia" w:cs="宋体"/>
          <w:color w:val="auto"/>
          <w:highlight w:val="none"/>
        </w:rPr>
        <w:t>https://toolcdn.youzhicai.com/ca.zip</w:t>
      </w:r>
      <w:r>
        <w:rPr>
          <w:rStyle w:val="20"/>
          <w:rFonts w:hint="eastAsia" w:cs="宋体"/>
          <w:color w:val="auto"/>
          <w:highlight w:val="none"/>
        </w:rPr>
        <w:fldChar w:fldCharType="end"/>
      </w:r>
      <w:r>
        <w:rPr>
          <w:rStyle w:val="20"/>
          <w:rFonts w:hint="eastAsia" w:cs="宋体"/>
          <w:color w:val="auto"/>
          <w:highlight w:val="none"/>
        </w:rPr>
        <w:t>。</w:t>
      </w:r>
    </w:p>
    <w:p w14:paraId="197B4046">
      <w:pPr>
        <w:wordWrap w:val="0"/>
        <w:spacing w:line="400" w:lineRule="exact"/>
        <w:rPr>
          <w:rFonts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rPr>
        <w:t>参审单位</w:t>
      </w:r>
      <w:r>
        <w:rPr>
          <w:rFonts w:hint="eastAsia" w:cs="宋体"/>
          <w:color w:val="auto"/>
          <w:szCs w:val="24"/>
          <w:highlight w:val="none"/>
        </w:rPr>
        <w:t>完成制作、签章、加密投标文件后，需在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）系统的时间为准，如未在投标截止时间前完成电子投标文件上传，系统将自动关闭上传通道。潜在</w:t>
      </w:r>
      <w:r>
        <w:rPr>
          <w:rFonts w:hint="eastAsia"/>
          <w:color w:val="auto"/>
          <w:szCs w:val="18"/>
          <w:highlight w:val="none"/>
        </w:rPr>
        <w:t>参审单位</w:t>
      </w:r>
      <w:r>
        <w:rPr>
          <w:rFonts w:hint="eastAsia" w:cs="宋体"/>
          <w:color w:val="auto"/>
          <w:szCs w:val="24"/>
          <w:highlight w:val="none"/>
        </w:rPr>
        <w:t>未完成电子投标文件上传的，视为没有递交投标文件。</w:t>
      </w:r>
    </w:p>
    <w:p w14:paraId="1C9389B9">
      <w:pPr>
        <w:wordWrap w:val="0"/>
        <w:spacing w:line="400" w:lineRule="exact"/>
        <w:ind w:firstLine="420"/>
        <w:rPr>
          <w:rFonts w:cs="宋体"/>
          <w:color w:val="auto"/>
          <w:szCs w:val="24"/>
          <w:highlight w:val="none"/>
        </w:rPr>
      </w:pPr>
      <w:r>
        <w:rPr>
          <w:rFonts w:hint="eastAsia" w:cs="宋体"/>
          <w:color w:val="auto"/>
          <w:szCs w:val="24"/>
          <w:highlight w:val="none"/>
        </w:rPr>
        <w:t>11.潜在</w:t>
      </w:r>
      <w:r>
        <w:rPr>
          <w:rFonts w:hint="eastAsia"/>
          <w:color w:val="auto"/>
          <w:szCs w:val="18"/>
          <w:highlight w:val="none"/>
        </w:rPr>
        <w:t>参审单位</w:t>
      </w:r>
      <w:r>
        <w:rPr>
          <w:rFonts w:hint="eastAsia" w:cs="宋体"/>
          <w:color w:val="auto"/>
          <w:szCs w:val="24"/>
          <w:highlight w:val="none"/>
        </w:rPr>
        <w:t>在投标文件递交截止时间前，可以对其所递交的电子投标文件进行撤回，修改后重新上传。</w:t>
      </w:r>
    </w:p>
    <w:p w14:paraId="32BAFC12">
      <w:pPr>
        <w:spacing w:line="400" w:lineRule="exact"/>
        <w:ind w:firstLine="400" w:firstLineChars="200"/>
        <w:rPr>
          <w:rFonts w:cs="宋体"/>
          <w:color w:val="auto"/>
          <w:szCs w:val="24"/>
          <w:highlight w:val="none"/>
        </w:rPr>
      </w:pPr>
      <w:r>
        <w:rPr>
          <w:rFonts w:hint="eastAsia" w:cs="宋体"/>
          <w:color w:val="auto"/>
          <w:szCs w:val="24"/>
          <w:highlight w:val="none"/>
        </w:rPr>
        <w:t>12.潜在</w:t>
      </w:r>
      <w:r>
        <w:rPr>
          <w:rFonts w:hint="eastAsia"/>
          <w:color w:val="auto"/>
          <w:szCs w:val="18"/>
          <w:highlight w:val="none"/>
        </w:rPr>
        <w:t>参审单位</w:t>
      </w:r>
      <w:r>
        <w:rPr>
          <w:rFonts w:hint="eastAsia" w:cs="宋体"/>
          <w:color w:val="auto"/>
          <w:szCs w:val="24"/>
          <w:highlight w:val="none"/>
        </w:rPr>
        <w:t>在制作、签章、加密、上传电子投标文件过程中，若存在技术操作问题，请及时联系优质采云采购平台客服人员，客服电话：400-0099-555，0551-62220164。</w:t>
      </w:r>
    </w:p>
    <w:p w14:paraId="628A1E55">
      <w:pPr>
        <w:spacing w:line="400" w:lineRule="exact"/>
        <w:ind w:firstLine="400" w:firstLineChars="200"/>
        <w:rPr>
          <w:rFonts w:cs="宋体"/>
          <w:color w:val="auto"/>
          <w:szCs w:val="24"/>
          <w:highlight w:val="none"/>
        </w:rPr>
      </w:pPr>
      <w:r>
        <w:rPr>
          <w:rFonts w:hint="eastAsia" w:cs="宋体"/>
          <w:color w:val="auto"/>
          <w:szCs w:val="24"/>
          <w:highlight w:val="none"/>
        </w:rPr>
        <w:t>三、开标和解密</w:t>
      </w:r>
    </w:p>
    <w:p w14:paraId="7438784E">
      <w:pPr>
        <w:spacing w:line="400" w:lineRule="exact"/>
        <w:ind w:firstLine="400" w:firstLineChars="200"/>
        <w:rPr>
          <w:rFonts w:cs="宋体"/>
          <w:color w:val="auto"/>
          <w:szCs w:val="24"/>
          <w:highlight w:val="none"/>
        </w:rPr>
      </w:pPr>
      <w:r>
        <w:rPr>
          <w:rFonts w:hint="eastAsia" w:cs="宋体"/>
          <w:color w:val="auto"/>
          <w:szCs w:val="24"/>
          <w:highlight w:val="none"/>
        </w:rPr>
        <w:t>13.</w:t>
      </w:r>
      <w:r>
        <w:rPr>
          <w:rFonts w:hint="eastAsia"/>
          <w:color w:val="auto"/>
          <w:szCs w:val="18"/>
          <w:highlight w:val="none"/>
        </w:rPr>
        <w:t>业主单位</w:t>
      </w:r>
      <w:r>
        <w:rPr>
          <w:rFonts w:hint="eastAsia" w:cs="宋体"/>
          <w:color w:val="auto"/>
          <w:szCs w:val="24"/>
          <w:highlight w:val="none"/>
        </w:rPr>
        <w:t>或代理机构工作人员（以下简称工作人员）根据有关规定登录系统组织开标。投标文件递交截止时间后由</w:t>
      </w:r>
      <w:r>
        <w:rPr>
          <w:rFonts w:hint="eastAsia"/>
          <w:color w:val="auto"/>
          <w:szCs w:val="18"/>
          <w:highlight w:val="none"/>
        </w:rPr>
        <w:t>参审单位</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解密投标文件，工作人员导入已解密投标文件并公布开标结果。</w:t>
      </w:r>
    </w:p>
    <w:p w14:paraId="6AA1B67E">
      <w:pPr>
        <w:spacing w:line="400" w:lineRule="exact"/>
        <w:ind w:firstLine="400" w:firstLineChars="200"/>
        <w:rPr>
          <w:rFonts w:cs="宋体"/>
          <w:color w:val="auto"/>
          <w:szCs w:val="24"/>
          <w:highlight w:val="none"/>
        </w:rPr>
      </w:pPr>
      <w:r>
        <w:rPr>
          <w:rFonts w:hint="eastAsia" w:cs="宋体"/>
          <w:color w:val="auto"/>
          <w:szCs w:val="24"/>
          <w:highlight w:val="none"/>
        </w:rPr>
        <w:t>14.投标文件可远程解密，</w:t>
      </w:r>
      <w:r>
        <w:rPr>
          <w:rFonts w:hint="eastAsia"/>
          <w:color w:val="auto"/>
          <w:szCs w:val="18"/>
          <w:highlight w:val="none"/>
        </w:rPr>
        <w:t>参审单位</w:t>
      </w:r>
      <w:r>
        <w:rPr>
          <w:rFonts w:hint="eastAsia" w:cs="宋体"/>
          <w:color w:val="auto"/>
          <w:szCs w:val="24"/>
          <w:highlight w:val="none"/>
        </w:rPr>
        <w:t>无需到达开标现场。招标文件“</w:t>
      </w:r>
      <w:r>
        <w:rPr>
          <w:rFonts w:hint="eastAsia"/>
          <w:color w:val="auto"/>
          <w:szCs w:val="18"/>
          <w:highlight w:val="none"/>
        </w:rPr>
        <w:t>参审单位</w:t>
      </w:r>
      <w:r>
        <w:rPr>
          <w:rFonts w:hint="eastAsia" w:cs="宋体"/>
          <w:color w:val="auto"/>
          <w:szCs w:val="24"/>
          <w:highlight w:val="none"/>
        </w:rPr>
        <w:t>须知”中另有规定的，从其规定。</w:t>
      </w:r>
    </w:p>
    <w:p w14:paraId="5B716855">
      <w:pPr>
        <w:spacing w:line="400" w:lineRule="exact"/>
        <w:ind w:firstLine="400" w:firstLineChars="200"/>
        <w:rPr>
          <w:rFonts w:cs="宋体"/>
          <w:color w:val="auto"/>
          <w:szCs w:val="24"/>
          <w:highlight w:val="none"/>
        </w:rPr>
      </w:pPr>
      <w:r>
        <w:rPr>
          <w:rFonts w:hint="eastAsia" w:cs="宋体"/>
          <w:color w:val="auto"/>
          <w:szCs w:val="24"/>
          <w:highlight w:val="none"/>
        </w:rPr>
        <w:t>15.潜在</w:t>
      </w:r>
      <w:r>
        <w:rPr>
          <w:rFonts w:hint="eastAsia"/>
          <w:color w:val="auto"/>
          <w:szCs w:val="18"/>
          <w:highlight w:val="none"/>
        </w:rPr>
        <w:t>参审单位</w:t>
      </w:r>
      <w:r>
        <w:rPr>
          <w:rFonts w:hint="eastAsia" w:cs="宋体"/>
          <w:color w:val="auto"/>
          <w:szCs w:val="24"/>
          <w:highlight w:val="none"/>
        </w:rPr>
        <w:t>须按照招标文件的要求在投标文件递交截止时间前登录投标工具并保持在线，关注开标互动大厅消息直到项目评审结束。</w:t>
      </w:r>
    </w:p>
    <w:p w14:paraId="6CF0FE7F">
      <w:pPr>
        <w:spacing w:line="400" w:lineRule="exact"/>
        <w:ind w:firstLine="400" w:firstLineChars="200"/>
        <w:rPr>
          <w:rFonts w:cs="宋体"/>
          <w:color w:val="auto"/>
          <w:szCs w:val="24"/>
          <w:highlight w:val="none"/>
        </w:rPr>
      </w:pPr>
      <w:r>
        <w:rPr>
          <w:rFonts w:hint="eastAsia" w:cs="宋体"/>
          <w:color w:val="auto"/>
          <w:szCs w:val="24"/>
          <w:highlight w:val="none"/>
        </w:rPr>
        <w:t>16.投标文件解密时限为投标文件递交截止时间后30分钟（招标文件“</w:t>
      </w:r>
      <w:r>
        <w:rPr>
          <w:rFonts w:hint="eastAsia"/>
          <w:color w:val="auto"/>
          <w:szCs w:val="18"/>
          <w:highlight w:val="none"/>
        </w:rPr>
        <w:t>参审单位</w:t>
      </w:r>
      <w:r>
        <w:rPr>
          <w:rFonts w:hint="eastAsia" w:cs="宋体"/>
          <w:color w:val="auto"/>
          <w:szCs w:val="24"/>
          <w:highlight w:val="none"/>
        </w:rPr>
        <w:t>须知”中另有规定的，从其规定）。潜在</w:t>
      </w:r>
      <w:r>
        <w:rPr>
          <w:rFonts w:hint="eastAsia"/>
          <w:color w:val="auto"/>
          <w:szCs w:val="18"/>
          <w:highlight w:val="none"/>
        </w:rPr>
        <w:t>参审单位</w:t>
      </w:r>
      <w:r>
        <w:rPr>
          <w:rFonts w:hint="eastAsia" w:cs="宋体"/>
          <w:color w:val="auto"/>
          <w:szCs w:val="24"/>
          <w:highlight w:val="none"/>
        </w:rPr>
        <w:t>须在投标文件解密时限内完成投标文件解密，未能成功解密的视为放弃投标。招标文件“</w:t>
      </w:r>
      <w:r>
        <w:rPr>
          <w:rFonts w:hint="eastAsia"/>
          <w:color w:val="auto"/>
          <w:szCs w:val="18"/>
          <w:highlight w:val="none"/>
        </w:rPr>
        <w:t>参审单位</w:t>
      </w:r>
      <w:r>
        <w:rPr>
          <w:rFonts w:hint="eastAsia" w:cs="宋体"/>
          <w:color w:val="auto"/>
          <w:szCs w:val="24"/>
          <w:highlight w:val="none"/>
        </w:rPr>
        <w:t>须知”中对投标文件解密设有线下补救方案的，执行该补救方案。</w:t>
      </w:r>
    </w:p>
    <w:p w14:paraId="5D85F0AD">
      <w:pPr>
        <w:spacing w:line="400" w:lineRule="exact"/>
        <w:ind w:firstLine="400" w:firstLineChars="200"/>
        <w:rPr>
          <w:rFonts w:cs="宋体"/>
          <w:color w:val="auto"/>
          <w:szCs w:val="24"/>
          <w:highlight w:val="none"/>
        </w:rPr>
      </w:pPr>
      <w:r>
        <w:rPr>
          <w:rFonts w:hint="eastAsia" w:cs="宋体"/>
          <w:color w:val="auto"/>
          <w:szCs w:val="24"/>
          <w:highlight w:val="none"/>
        </w:rPr>
        <w:t>四、评审和询标</w:t>
      </w:r>
    </w:p>
    <w:p w14:paraId="0ADE0B6E">
      <w:pPr>
        <w:spacing w:line="400" w:lineRule="exact"/>
        <w:ind w:firstLine="400" w:firstLineChars="200"/>
        <w:rPr>
          <w:rFonts w:cs="宋体"/>
          <w:color w:val="auto"/>
          <w:szCs w:val="24"/>
          <w:highlight w:val="none"/>
        </w:rPr>
      </w:pPr>
      <w:r>
        <w:rPr>
          <w:rFonts w:hint="eastAsia" w:cs="宋体"/>
          <w:color w:val="auto"/>
          <w:szCs w:val="24"/>
          <w:highlight w:val="none"/>
        </w:rPr>
        <w:t>17.评审委员会通过优质采电子评审工具将需要澄清、说明或补正的内容以询标函的形式发送给</w:t>
      </w:r>
      <w:r>
        <w:rPr>
          <w:rFonts w:hint="eastAsia"/>
          <w:color w:val="auto"/>
          <w:szCs w:val="18"/>
          <w:highlight w:val="none"/>
        </w:rPr>
        <w:t>参审单位</w:t>
      </w:r>
      <w:r>
        <w:rPr>
          <w:rFonts w:hint="eastAsia" w:cs="宋体"/>
          <w:color w:val="auto"/>
          <w:szCs w:val="24"/>
          <w:highlight w:val="none"/>
        </w:rPr>
        <w:t>，</w:t>
      </w:r>
      <w:r>
        <w:rPr>
          <w:rFonts w:hint="eastAsia"/>
          <w:color w:val="auto"/>
          <w:szCs w:val="18"/>
          <w:highlight w:val="none"/>
        </w:rPr>
        <w:t>参审单位</w:t>
      </w:r>
      <w:r>
        <w:rPr>
          <w:rFonts w:hint="eastAsia" w:cs="宋体"/>
          <w:color w:val="auto"/>
          <w:szCs w:val="24"/>
          <w:highlight w:val="none"/>
        </w:rPr>
        <w:t>应登录投标工具并保持在线状态，以便及时接收评审委员会可能发出的询标函，并在询标函载明的时间内回复，若</w:t>
      </w:r>
      <w:r>
        <w:rPr>
          <w:rFonts w:hint="eastAsia"/>
          <w:color w:val="auto"/>
          <w:szCs w:val="18"/>
          <w:highlight w:val="none"/>
        </w:rPr>
        <w:t>参审单位</w:t>
      </w:r>
      <w:r>
        <w:rPr>
          <w:rFonts w:hint="eastAsia" w:cs="宋体"/>
          <w:color w:val="auto"/>
          <w:szCs w:val="24"/>
          <w:highlight w:val="none"/>
        </w:rPr>
        <w:t>未及时回复，视为放弃澄清。</w:t>
      </w:r>
    </w:p>
    <w:p w14:paraId="6AB4395A">
      <w:pPr>
        <w:spacing w:line="400" w:lineRule="exact"/>
        <w:ind w:firstLine="400" w:firstLineChars="200"/>
        <w:rPr>
          <w:rFonts w:cs="宋体"/>
          <w:color w:val="auto"/>
          <w:highlight w:val="none"/>
        </w:rPr>
      </w:pPr>
      <w:r>
        <w:rPr>
          <w:rFonts w:hint="eastAsia" w:cs="宋体"/>
          <w:color w:val="auto"/>
          <w:highlight w:val="none"/>
        </w:rPr>
        <w:t>五、异常情形</w:t>
      </w:r>
    </w:p>
    <w:p w14:paraId="40111654">
      <w:pPr>
        <w:spacing w:line="400" w:lineRule="exact"/>
        <w:ind w:firstLine="400" w:firstLineChars="200"/>
        <w:rPr>
          <w:rFonts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68B6258A">
      <w:pPr>
        <w:spacing w:line="400" w:lineRule="exact"/>
        <w:ind w:firstLine="400" w:firstLineChars="200"/>
        <w:rPr>
          <w:rFonts w:cs="宋体"/>
          <w:color w:val="auto"/>
          <w:szCs w:val="24"/>
          <w:highlight w:val="none"/>
        </w:rPr>
      </w:pPr>
      <w:r>
        <w:rPr>
          <w:rFonts w:hint="eastAsia" w:cs="宋体"/>
          <w:color w:val="auto"/>
          <w:szCs w:val="24"/>
          <w:highlight w:val="none"/>
        </w:rPr>
        <w:t>(1)网络、服务器、数据库发生故障造成无法访问或使用的；</w:t>
      </w:r>
    </w:p>
    <w:p w14:paraId="1C2BCC23">
      <w:pPr>
        <w:spacing w:line="400" w:lineRule="exact"/>
        <w:ind w:firstLine="400" w:firstLineChars="200"/>
        <w:rPr>
          <w:rFonts w:cs="宋体"/>
          <w:color w:val="auto"/>
          <w:szCs w:val="24"/>
          <w:highlight w:val="none"/>
        </w:rPr>
      </w:pPr>
      <w:r>
        <w:rPr>
          <w:rFonts w:hint="eastAsia" w:cs="宋体"/>
          <w:color w:val="auto"/>
          <w:szCs w:val="24"/>
          <w:highlight w:val="none"/>
        </w:rPr>
        <w:t>(2)电力系统发生故障导致电子服务系统或电子交易系统无法运行；</w:t>
      </w:r>
    </w:p>
    <w:p w14:paraId="75D232EB">
      <w:pPr>
        <w:spacing w:line="400" w:lineRule="exact"/>
        <w:ind w:firstLine="400" w:firstLineChars="200"/>
        <w:rPr>
          <w:rFonts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12064AD4">
      <w:pPr>
        <w:spacing w:line="400" w:lineRule="exact"/>
        <w:ind w:firstLine="400" w:firstLineChars="200"/>
        <w:rPr>
          <w:rFonts w:cs="宋体"/>
          <w:color w:val="auto"/>
          <w:szCs w:val="24"/>
          <w:highlight w:val="none"/>
        </w:rPr>
      </w:pPr>
      <w:r>
        <w:rPr>
          <w:rFonts w:hint="eastAsia" w:cs="宋体"/>
          <w:color w:val="auto"/>
          <w:szCs w:val="24"/>
          <w:highlight w:val="none"/>
        </w:rPr>
        <w:t>(4)其他无法保证招投标过程公平、公正和信息安全的情形。</w:t>
      </w:r>
    </w:p>
    <w:p w14:paraId="2B2956F4">
      <w:pPr>
        <w:spacing w:line="400" w:lineRule="exact"/>
        <w:ind w:firstLine="400" w:firstLineChars="200"/>
        <w:rPr>
          <w:rFonts w:cs="宋体"/>
          <w:color w:val="auto"/>
          <w:highlight w:val="none"/>
        </w:rPr>
      </w:pPr>
      <w:r>
        <w:rPr>
          <w:rFonts w:hint="eastAsia" w:cs="宋体"/>
          <w:color w:val="auto"/>
          <w:highlight w:val="none"/>
        </w:rPr>
        <w:t>六、异常情形处理</w:t>
      </w:r>
    </w:p>
    <w:p w14:paraId="3E0C84A8">
      <w:pPr>
        <w:spacing w:line="400" w:lineRule="exact"/>
        <w:ind w:firstLine="400" w:firstLineChars="200"/>
        <w:rPr>
          <w:rFonts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4215EC6A">
      <w:pPr>
        <w:spacing w:line="400" w:lineRule="exact"/>
        <w:ind w:firstLine="400" w:firstLineChars="200"/>
        <w:rPr>
          <w:rFonts w:cs="宋体"/>
          <w:color w:val="auto"/>
          <w:highlight w:val="none"/>
        </w:rPr>
      </w:pPr>
      <w:r>
        <w:rPr>
          <w:rFonts w:hint="eastAsia" w:cs="宋体"/>
          <w:color w:val="auto"/>
          <w:highlight w:val="none"/>
        </w:rPr>
        <w:t>（1）项目中止，中止期限由</w:t>
      </w:r>
      <w:r>
        <w:rPr>
          <w:rFonts w:hint="eastAsia"/>
          <w:color w:val="auto"/>
          <w:szCs w:val="18"/>
          <w:highlight w:val="none"/>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rPr>
        <w:t>参审单位</w:t>
      </w:r>
      <w:r>
        <w:rPr>
          <w:rFonts w:hint="eastAsia" w:cs="宋体"/>
          <w:color w:val="auto"/>
          <w:highlight w:val="none"/>
        </w:rPr>
        <w:t>发出延长中止期限通知，并发布公布。</w:t>
      </w:r>
    </w:p>
    <w:p w14:paraId="0D348918">
      <w:pPr>
        <w:spacing w:line="400" w:lineRule="exact"/>
        <w:ind w:firstLine="400" w:firstLineChars="200"/>
        <w:rPr>
          <w:rFonts w:cs="宋体"/>
          <w:color w:val="auto"/>
          <w:highlight w:val="none"/>
        </w:rPr>
      </w:pPr>
      <w:r>
        <w:rPr>
          <w:rFonts w:hint="eastAsia" w:cs="宋体"/>
          <w:color w:val="auto"/>
          <w:highlight w:val="none"/>
        </w:rPr>
        <w:t>（2）项目恢复，导致项目中止的情形消除后，</w:t>
      </w:r>
      <w:r>
        <w:rPr>
          <w:rFonts w:hint="eastAsia"/>
          <w:color w:val="auto"/>
          <w:szCs w:val="18"/>
          <w:highlight w:val="none"/>
        </w:rPr>
        <w:t>业主单位</w:t>
      </w:r>
      <w:r>
        <w:rPr>
          <w:rFonts w:hint="eastAsia" w:cs="宋体"/>
          <w:color w:val="auto"/>
          <w:highlight w:val="none"/>
        </w:rPr>
        <w:t>或代理机构应当尽快恢复招投标程序，向</w:t>
      </w:r>
      <w:r>
        <w:rPr>
          <w:rFonts w:hint="eastAsia"/>
          <w:color w:val="auto"/>
          <w:szCs w:val="18"/>
          <w:highlight w:val="none"/>
        </w:rPr>
        <w:t>参审单位</w:t>
      </w:r>
      <w:r>
        <w:rPr>
          <w:rFonts w:hint="eastAsia" w:cs="宋体"/>
          <w:color w:val="auto"/>
          <w:highlight w:val="none"/>
        </w:rPr>
        <w:t>发出恢复交易通知，并发布公布；已发出延长中止期限通知的，按通知执行。</w:t>
      </w:r>
    </w:p>
    <w:p w14:paraId="2C4AF0C6">
      <w:pPr>
        <w:rPr>
          <w:color w:val="auto"/>
          <w:highlight w:val="none"/>
        </w:rPr>
      </w:pPr>
    </w:p>
    <w:p w14:paraId="4E6F8C68">
      <w:pPr>
        <w:tabs>
          <w:tab w:val="left" w:pos="6876"/>
        </w:tabs>
        <w:jc w:val="left"/>
        <w:rPr>
          <w:color w:val="auto"/>
          <w:highlight w:val="none"/>
        </w:rPr>
      </w:pPr>
    </w:p>
    <w:p w14:paraId="61E360D4">
      <w:pPr>
        <w:rPr>
          <w:color w:val="auto"/>
          <w:highlight w:val="none"/>
        </w:rPr>
      </w:pPr>
    </w:p>
    <w:p w14:paraId="529C8CEF">
      <w:pPr>
        <w:rPr>
          <w:color w:val="auto"/>
          <w:highlight w:val="none"/>
        </w:rPr>
      </w:pPr>
    </w:p>
    <w:p w14:paraId="13783D06">
      <w:pPr>
        <w:rPr>
          <w:color w:val="auto"/>
          <w:highlight w:val="none"/>
        </w:rPr>
      </w:pPr>
    </w:p>
    <w:p w14:paraId="5AF9B3B8">
      <w:pPr>
        <w:rPr>
          <w:highlight w:val="none"/>
        </w:rPr>
      </w:pPr>
    </w:p>
    <w:p w14:paraId="10E0DA1D">
      <w:pPr>
        <w:rPr>
          <w:highlight w:val="none"/>
        </w:rPr>
      </w:pPr>
    </w:p>
    <w:p w14:paraId="1B3B2F5C">
      <w:pPr>
        <w:rPr>
          <w:highlight w:val="none"/>
        </w:rPr>
      </w:pPr>
    </w:p>
    <w:sectPr>
      <w:headerReference r:id="rId11" w:type="default"/>
      <w:footerReference r:id="rId12"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A80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442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4DD7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61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02E93">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702E93">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6E6BE">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ABF7E">
                          <w:pPr>
                            <w:pStyle w:val="10"/>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24ABF7E">
                    <w:pPr>
                      <w:pStyle w:val="10"/>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A6379F7">
      <w:pPr>
        <w:pStyle w:val="12"/>
      </w:pPr>
      <w:r>
        <w:rPr>
          <w:rStyle w:val="21"/>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AD30">
    <w:pPr>
      <w:pStyle w:val="11"/>
      <w:jc w:val="left"/>
      <w:rPr>
        <w:rFonts w:eastAsiaTheme="minorEastAsia"/>
      </w:rPr>
    </w:pPr>
    <w:r>
      <w:rPr>
        <w:rFonts w:hint="eastAsia" w:asciiTheme="minorEastAsia" w:hAnsiTheme="minorEastAsia" w:eastAsiaTheme="minorEastAsia"/>
        <w:lang w:eastAsia="zh-CN"/>
      </w:rPr>
      <w:t>比选</w:t>
    </w:r>
    <w:r>
      <w:rPr>
        <w:rFonts w:hint="eastAsia" w:asciiTheme="minorEastAsia" w:hAnsiTheme="minorEastAsia" w:eastAsiaTheme="minorEastAsia"/>
      </w:rPr>
      <w:t>文件示范文本—服务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C790">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8790">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9AC8">
    <w:pPr>
      <w:pStyle w:val="11"/>
      <w:jc w:val="left"/>
      <w:rPr>
        <w:rFonts w:eastAsiaTheme="minorEastAsia"/>
      </w:rPr>
    </w:pPr>
    <w:r>
      <w:rPr>
        <w:rFonts w:hint="eastAsia" w:asciiTheme="minorEastAsia" w:hAnsiTheme="minorEastAsia" w:eastAsiaTheme="minorEastAsia"/>
        <w:lang w:eastAsia="zh-CN"/>
      </w:rPr>
      <w:t>比选</w:t>
    </w:r>
    <w:r>
      <w:rPr>
        <w:rFonts w:hint="eastAsia" w:asciiTheme="minorEastAsia" w:hAnsiTheme="minorEastAsia" w:eastAsiaTheme="minorEastAsia"/>
      </w:rPr>
      <w:t>文件示范文本—服务</w:t>
    </w:r>
  </w:p>
  <w:p w14:paraId="08D110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544EA"/>
    <w:rsid w:val="0B100735"/>
    <w:rsid w:val="11F10AC2"/>
    <w:rsid w:val="1B184A03"/>
    <w:rsid w:val="24051BA8"/>
    <w:rsid w:val="28D0382F"/>
    <w:rsid w:val="2BFC3869"/>
    <w:rsid w:val="2E2C3A3C"/>
    <w:rsid w:val="421D0D04"/>
    <w:rsid w:val="4EA77088"/>
    <w:rsid w:val="4FD8770F"/>
    <w:rsid w:val="51633ED7"/>
    <w:rsid w:val="519544EA"/>
    <w:rsid w:val="51FCB9BC"/>
    <w:rsid w:val="58D44F2B"/>
    <w:rsid w:val="5ACA3880"/>
    <w:rsid w:val="5BEE067A"/>
    <w:rsid w:val="6B0A032C"/>
    <w:rsid w:val="6BFF8FA5"/>
    <w:rsid w:val="72755AC8"/>
    <w:rsid w:val="75037E57"/>
    <w:rsid w:val="76AF506C"/>
    <w:rsid w:val="773FDF10"/>
    <w:rsid w:val="DFF9E372"/>
    <w:rsid w:val="F6D6A07D"/>
    <w:rsid w:val="F7BDBCDF"/>
    <w:rsid w:val="F97D9D7E"/>
    <w:rsid w:val="FFFD7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4">
    <w:name w:val="heading 1"/>
    <w:basedOn w:val="1"/>
    <w:next w:val="5"/>
    <w:qFormat/>
    <w:uiPriority w:val="9"/>
    <w:pPr>
      <w:keepNext/>
      <w:keepLines/>
      <w:spacing w:line="360" w:lineRule="auto"/>
      <w:jc w:val="center"/>
      <w:outlineLvl w:val="0"/>
    </w:pPr>
    <w:rPr>
      <w:rFonts w:ascii="Times New Roman" w:hAnsi="Times New Roman" w:eastAsia="黑体" w:cstheme="minorBidi"/>
      <w:bCs/>
      <w:kern w:val="44"/>
      <w:sz w:val="72"/>
      <w:szCs w:val="44"/>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5">
    <w:name w:val="Title"/>
    <w:basedOn w:val="1"/>
    <w:next w:val="1"/>
    <w:qFormat/>
    <w:uiPriority w:val="0"/>
    <w:pPr>
      <w:spacing w:line="360" w:lineRule="auto"/>
      <w:jc w:val="center"/>
    </w:pPr>
    <w:rPr>
      <w:rFonts w:ascii="宋体" w:hAnsi="宋体" w:eastAsia="黑体"/>
      <w:bCs/>
      <w:smallCaps/>
      <w:snapToGrid w:val="0"/>
      <w:sz w:val="44"/>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qFormat/>
    <w:uiPriority w:val="0"/>
    <w:pPr>
      <w:snapToGrid w:val="0"/>
      <w:spacing w:line="360" w:lineRule="auto"/>
    </w:pPr>
    <w:rPr>
      <w:rFonts w:ascii="Arial" w:hAnsi="Arial"/>
      <w:sz w:val="24"/>
    </w:rPr>
  </w:style>
  <w:style w:type="paragraph" w:styleId="9">
    <w:name w:val="Plain Text"/>
    <w:basedOn w:val="1"/>
    <w:qFormat/>
    <w:uiPriority w:val="0"/>
    <w:rPr>
      <w:rFonts w:hAnsi="Courier New" w:eastAsiaTheme="minorEastAsia"/>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3">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index 1"/>
    <w:basedOn w:val="1"/>
    <w:next w:val="1"/>
    <w:qFormat/>
    <w:uiPriority w:val="0"/>
    <w:pPr>
      <w:jc w:val="center"/>
    </w:pPr>
    <w:rPr>
      <w:rFonts w:ascii="Arial" w:hAnsi="Arial" w:eastAsia="Arial" w:cs="Arial"/>
      <w:b/>
      <w:bCs/>
      <w:sz w:val="28"/>
    </w:r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99"/>
    <w:rPr>
      <w:rFonts w:cs="Times New Roman"/>
    </w:rPr>
  </w:style>
  <w:style w:type="character" w:styleId="20">
    <w:name w:val="Hyperlink"/>
    <w:basedOn w:val="18"/>
    <w:unhideWhenUsed/>
    <w:qFormat/>
    <w:uiPriority w:val="99"/>
    <w:rPr>
      <w:color w:val="0026E5" w:themeColor="hyperlink"/>
      <w:u w:val="single"/>
      <w14:textFill>
        <w14:solidFill>
          <w14:schemeClr w14:val="hlink"/>
        </w14:solidFill>
      </w14:textFill>
    </w:rPr>
  </w:style>
  <w:style w:type="character" w:styleId="21">
    <w:name w:val="footnote reference"/>
    <w:unhideWhenUsed/>
    <w:qFormat/>
    <w:uiPriority w:val="0"/>
    <w:rPr>
      <w:vertAlign w:val="superscript"/>
    </w:rPr>
  </w:style>
  <w:style w:type="paragraph" w:customStyle="1" w:styleId="22">
    <w:name w:val="五级目录"/>
    <w:basedOn w:val="1"/>
    <w:autoRedefine/>
    <w:qFormat/>
    <w:uiPriority w:val="0"/>
    <w:pPr>
      <w:ind w:left="150" w:leftChars="150"/>
      <w:outlineLvl w:val="4"/>
    </w:pPr>
    <w:rPr>
      <w:rFonts w:ascii="黑体" w:hAnsi="Times New Roman"/>
      <w:szCs w:val="28"/>
    </w:rPr>
  </w:style>
  <w:style w:type="paragraph" w:customStyle="1" w:styleId="23">
    <w:name w:val="正文（缩进）"/>
    <w:basedOn w:val="1"/>
    <w:autoRedefine/>
    <w:qFormat/>
    <w:uiPriority w:val="0"/>
    <w:pPr>
      <w:widowControl/>
      <w:spacing w:before="156" w:after="156"/>
      <w:ind w:firstLine="480" w:firstLineChars="200"/>
      <w:jc w:val="left"/>
    </w:pPr>
    <w:rPr>
      <w:sz w:val="24"/>
      <w:szCs w:val="24"/>
    </w:rPr>
  </w:style>
  <w:style w:type="paragraph" w:customStyle="1" w:styleId="24">
    <w:name w:val="xl31"/>
    <w:basedOn w:val="1"/>
    <w:autoRedefine/>
    <w:qFormat/>
    <w:uiPriority w:val="0"/>
    <w:pPr>
      <w:widowControl/>
      <w:spacing w:before="100" w:beforeAutospacing="1" w:after="100" w:afterAutospacing="1"/>
      <w:jc w:val="center"/>
    </w:pPr>
    <w:rPr>
      <w:b/>
      <w:bCs/>
      <w:sz w:val="28"/>
      <w:szCs w:val="28"/>
    </w:rPr>
  </w:style>
  <w:style w:type="paragraph" w:customStyle="1" w:styleId="25">
    <w:name w:val="D&amp;L"/>
    <w:basedOn w:val="1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26">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2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Table Text"/>
    <w:basedOn w:val="1"/>
    <w:semiHidden/>
    <w:qFormat/>
    <w:uiPriority w:val="0"/>
    <w:rPr>
      <w:rFonts w:cs="宋体"/>
      <w:sz w:val="24"/>
      <w:szCs w:val="24"/>
      <w:lang w:eastAsia="en-US"/>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1571</Words>
  <Characters>2011</Characters>
  <Lines>0</Lines>
  <Paragraphs>0</Paragraphs>
  <TotalTime>55</TotalTime>
  <ScaleCrop>false</ScaleCrop>
  <LinksUpToDate>false</LinksUpToDate>
  <CharactersWithSpaces>4537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2026-01-27T15:33:00Z</dcterms:created>
  <dc:creator>Administrator</dc:creator>
  <cp:lastModifiedBy>随心1403883611</cp:lastModifiedBy>
  <dcterms:modified xsi:type="dcterms:W3CDTF">2026-03-23T02:05:59Z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6AFF59D4E457467597BC8EC6FFB6CD32_13</vt:lpwstr>
  </property>
  <property fmtid="{D5CDD505-2E9C-101B-9397-08002B2CF9AE}" pid="4" name="KSOTemplateDocerSaveRecord">
    <vt:lpwstr>eyJoZGlkIjoiZGE1ODU5ZTc0NGI0M2EzYzU0NmFjZmJjNDVhZjY4ZTMiLCJ1c2VySWQiOiIxNzgwNjI3MSJ9</vt:lpwstr>
  </property>
</Properties>
</file>