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EC716">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14:paraId="02CE254B">
      <w:pPr>
        <w:tabs>
          <w:tab w:val="left" w:pos="315"/>
          <w:tab w:val="left" w:pos="8820"/>
        </w:tabs>
        <w:spacing w:before="240" w:beforeLines="100" w:after="120" w:afterLines="50" w:line="500" w:lineRule="exact"/>
        <w:ind w:right="254" w:rightChars="127"/>
        <w:jc w:val="center"/>
        <w:rPr>
          <w:rFonts w:cs="宋体"/>
          <w:b/>
          <w:bCs/>
          <w:color w:val="auto"/>
          <w:sz w:val="52"/>
          <w:szCs w:val="52"/>
          <w:highlight w:val="none"/>
        </w:rPr>
      </w:pPr>
      <w:r>
        <w:rPr>
          <w:rFonts w:hint="eastAsia" w:cs="宋体"/>
          <w:b/>
          <w:bCs/>
          <w:color w:val="auto"/>
          <w:sz w:val="52"/>
          <w:szCs w:val="52"/>
          <w:highlight w:val="none"/>
        </w:rPr>
        <w:t>工程类</w:t>
      </w:r>
      <w:r>
        <w:rPr>
          <w:rFonts w:hint="eastAsia" w:cs="宋体"/>
          <w:b/>
          <w:bCs/>
          <w:color w:val="auto"/>
          <w:sz w:val="52"/>
          <w:szCs w:val="52"/>
          <w:highlight w:val="none"/>
          <w:lang w:eastAsia="zh-CN"/>
        </w:rPr>
        <w:t>比选</w:t>
      </w:r>
      <w:r>
        <w:rPr>
          <w:rFonts w:hint="eastAsia" w:cs="宋体"/>
          <w:b/>
          <w:bCs/>
          <w:color w:val="auto"/>
          <w:sz w:val="52"/>
          <w:szCs w:val="52"/>
          <w:highlight w:val="none"/>
        </w:rPr>
        <w:t>文件</w:t>
      </w:r>
    </w:p>
    <w:p w14:paraId="2D8A456E">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1CE4B20F">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6D25BAE3">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532BAC1F">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091550F5">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56301AD3">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4CD059E0">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7AA7C2BD">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08646572">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48149205">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561D978A">
      <w:pPr>
        <w:tabs>
          <w:tab w:val="left" w:pos="2410"/>
        </w:tabs>
        <w:autoSpaceDE w:val="0"/>
        <w:autoSpaceDN w:val="0"/>
        <w:adjustRightInd w:val="0"/>
        <w:snapToGrid w:val="0"/>
        <w:spacing w:line="360" w:lineRule="auto"/>
        <w:ind w:left="1806" w:hanging="1806" w:hangingChars="500"/>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0"/>
          <w:sz w:val="32"/>
          <w:szCs w:val="32"/>
          <w:highlight w:val="none"/>
          <w:u w:val="single"/>
          <w:lang w:val="en-US" w:eastAsia="zh-CN"/>
        </w:rPr>
        <w:t>肥西县花木城特色花卉农产品交易市场建设工程项目一期——室内标准化农产品交易大厅地面改造工程</w:t>
      </w:r>
    </w:p>
    <w:p w14:paraId="18FECBE9">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2025PHGQ426</w:t>
      </w:r>
    </w:p>
    <w:p w14:paraId="19E1DA2F">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cs="宋体"/>
          <w:b/>
          <w:color w:val="auto"/>
          <w:spacing w:val="20"/>
          <w:sz w:val="32"/>
          <w:szCs w:val="32"/>
          <w:highlight w:val="none"/>
        </w:rPr>
        <w:t>业主单位</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肥西乡侬商业管理有限公司</w:t>
      </w:r>
    </w:p>
    <w:p w14:paraId="27AB1F0F">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4F98A97D">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14:paraId="128549C5">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09</w:t>
      </w:r>
      <w:r>
        <w:rPr>
          <w:rFonts w:hint="eastAsia" w:cs="宋体"/>
          <w:b/>
          <w:color w:val="auto"/>
          <w:sz w:val="36"/>
          <w:highlight w:val="none"/>
        </w:rPr>
        <w:t>月</w:t>
      </w:r>
    </w:p>
    <w:p w14:paraId="60709F84">
      <w:pPr>
        <w:jc w:val="center"/>
        <w:rPr>
          <w:rFonts w:cs="宋体"/>
          <w:b/>
          <w:color w:val="auto"/>
          <w:sz w:val="24"/>
          <w:szCs w:val="24"/>
          <w:highlight w:val="none"/>
        </w:rPr>
      </w:pPr>
      <w:r>
        <w:rPr>
          <w:rFonts w:hint="eastAsia" w:cs="宋体"/>
          <w:b/>
          <w:color w:val="auto"/>
          <w:sz w:val="24"/>
          <w:szCs w:val="24"/>
          <w:highlight w:val="none"/>
        </w:rPr>
        <w:t>目  录</w:t>
      </w:r>
    </w:p>
    <w:p w14:paraId="07522411">
      <w:pPr>
        <w:tabs>
          <w:tab w:val="left" w:pos="2410"/>
        </w:tabs>
        <w:autoSpaceDE w:val="0"/>
        <w:autoSpaceDN w:val="0"/>
        <w:adjustRightInd w:val="0"/>
        <w:snapToGrid w:val="0"/>
        <w:spacing w:line="360" w:lineRule="auto"/>
        <w:jc w:val="center"/>
        <w:rPr>
          <w:rFonts w:cs="宋体"/>
          <w:b/>
          <w:color w:val="auto"/>
          <w:sz w:val="24"/>
          <w:szCs w:val="24"/>
          <w:highlight w:val="none"/>
        </w:rPr>
      </w:pPr>
    </w:p>
    <w:p w14:paraId="28CFF663">
      <w:pPr>
        <w:pStyle w:val="14"/>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 xml:space="preserve">第一章  </w:t>
      </w:r>
      <w:r>
        <w:rPr>
          <w:rFonts w:hint="eastAsia" w:cs="宋体"/>
          <w:b/>
          <w:bCs/>
          <w:color w:val="auto"/>
          <w:sz w:val="24"/>
          <w:szCs w:val="24"/>
          <w:highlight w:val="none"/>
          <w:lang w:eastAsia="zh-CN"/>
        </w:rPr>
        <w:t>比选</w:t>
      </w:r>
      <w:r>
        <w:rPr>
          <w:rFonts w:hint="eastAsia" w:cs="宋体"/>
          <w:b/>
          <w:bCs/>
          <w:color w:val="auto"/>
          <w:sz w:val="24"/>
          <w:szCs w:val="24"/>
          <w:highlight w:val="none"/>
        </w:rPr>
        <w:t>邀请</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1</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026231AB">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供应商</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4</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69BF74C2">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29</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5A65DD9B">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35</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5C980AD0">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14:paraId="2527B968">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第六章  响应文件格式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14:paraId="1252B425">
      <w:pPr>
        <w:pStyle w:val="16"/>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14:paraId="2AF888BB">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3D00AEC4">
      <w:pPr>
        <w:spacing w:line="360" w:lineRule="auto"/>
        <w:jc w:val="center"/>
        <w:outlineLvl w:val="0"/>
        <w:rPr>
          <w:b/>
          <w:color w:val="auto"/>
          <w:sz w:val="28"/>
          <w:highlight w:val="none"/>
        </w:rPr>
      </w:pPr>
      <w:bookmarkStart w:id="1" w:name="_Toc17195"/>
      <w:r>
        <w:rPr>
          <w:rFonts w:hint="eastAsia"/>
          <w:b/>
          <w:color w:val="auto"/>
          <w:sz w:val="28"/>
          <w:highlight w:val="none"/>
        </w:rPr>
        <w:t xml:space="preserve">第一章 </w:t>
      </w:r>
      <w:r>
        <w:rPr>
          <w:b/>
          <w:color w:val="auto"/>
          <w:sz w:val="28"/>
          <w:highlight w:val="none"/>
        </w:rPr>
        <w:t xml:space="preserve"> </w:t>
      </w:r>
      <w:r>
        <w:rPr>
          <w:rFonts w:hint="eastAsia"/>
          <w:b/>
          <w:color w:val="auto"/>
          <w:sz w:val="28"/>
          <w:highlight w:val="none"/>
          <w:lang w:eastAsia="zh-CN"/>
        </w:rPr>
        <w:t>比选</w:t>
      </w:r>
      <w:r>
        <w:rPr>
          <w:rFonts w:hint="eastAsia"/>
          <w:b/>
          <w:color w:val="auto"/>
          <w:sz w:val="28"/>
          <w:highlight w:val="none"/>
        </w:rPr>
        <w:t>邀请</w:t>
      </w:r>
      <w:bookmarkEnd w:id="1"/>
    </w:p>
    <w:p w14:paraId="6CD9307D">
      <w:pPr>
        <w:spacing w:line="360" w:lineRule="auto"/>
        <w:ind w:firstLine="435"/>
        <w:outlineLvl w:val="1"/>
        <w:rPr>
          <w:b/>
          <w:bCs/>
          <w:color w:val="auto"/>
          <w:sz w:val="24"/>
          <w:szCs w:val="18"/>
          <w:highlight w:val="none"/>
        </w:rPr>
      </w:pPr>
      <w:bookmarkStart w:id="2" w:name="_Toc11391"/>
      <w:bookmarkStart w:id="631" w:name="_GoBack"/>
      <w:r>
        <w:rPr>
          <w:rFonts w:hint="eastAsia"/>
          <w:b/>
          <w:bCs/>
          <w:color w:val="auto"/>
          <w:sz w:val="24"/>
          <w:szCs w:val="18"/>
          <w:highlight w:val="none"/>
        </w:rPr>
        <w:t>一、项目名称及内容</w:t>
      </w:r>
      <w:bookmarkEnd w:id="2"/>
    </w:p>
    <w:p w14:paraId="79AA060F">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2025PHGQ426</w:t>
      </w:r>
    </w:p>
    <w:p w14:paraId="71E95782">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肥西县花木城特色花卉农产品交易市场建设工程项目一期——室内标准化农产品交易大厅地面改造工程</w:t>
      </w:r>
    </w:p>
    <w:p w14:paraId="2B066F7B">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p>
    <w:p w14:paraId="019ECEEC">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r>
        <w:rPr>
          <w:rFonts w:hint="eastAsia"/>
          <w:color w:val="auto"/>
          <w:sz w:val="24"/>
          <w:szCs w:val="18"/>
          <w:highlight w:val="none"/>
          <w:u w:val="none"/>
          <w:lang w:eastAsia="zh-CN"/>
        </w:rPr>
        <w:t>肥西乡侬商业管理有限公司</w:t>
      </w:r>
    </w:p>
    <w:p w14:paraId="41E06B6D">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本项目位于中部花木城，因现状一次地面不满足交易大厅使用需求，改造面积约2300平方米，附属保安休息室约40平方米进行局部维修改造。除特殊说明外，图纸设计范围内的所有内容，均计入。</w:t>
      </w:r>
    </w:p>
    <w:p w14:paraId="45A8970A">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财政资金</w:t>
      </w:r>
    </w:p>
    <w:p w14:paraId="2BE06F86">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7.项目预算：</w:t>
      </w:r>
      <w:r>
        <w:rPr>
          <w:rFonts w:hint="eastAsia"/>
          <w:color w:val="auto"/>
          <w:sz w:val="24"/>
          <w:szCs w:val="18"/>
          <w:highlight w:val="none"/>
          <w:u w:val="none"/>
          <w:lang w:val="en-US" w:eastAsia="zh-CN"/>
        </w:rPr>
        <w:t>579904.96元</w:t>
      </w:r>
    </w:p>
    <w:p w14:paraId="49A94D2F">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8.项目类别：工程施工</w:t>
      </w:r>
    </w:p>
    <w:p w14:paraId="3C5D5A0C">
      <w:pPr>
        <w:spacing w:line="360" w:lineRule="auto"/>
        <w:ind w:firstLine="435"/>
        <w:outlineLvl w:val="1"/>
        <w:rPr>
          <w:b/>
          <w:bCs/>
          <w:color w:val="auto"/>
          <w:sz w:val="24"/>
          <w:szCs w:val="18"/>
          <w:highlight w:val="none"/>
        </w:rPr>
      </w:pPr>
      <w:bookmarkStart w:id="3"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供应商</w:t>
      </w:r>
      <w:r>
        <w:rPr>
          <w:rFonts w:hint="eastAsia"/>
          <w:b/>
          <w:bCs/>
          <w:color w:val="auto"/>
          <w:sz w:val="24"/>
          <w:szCs w:val="18"/>
          <w:highlight w:val="none"/>
        </w:rPr>
        <w:t>资格</w:t>
      </w:r>
      <w:bookmarkEnd w:id="3"/>
    </w:p>
    <w:p w14:paraId="63535ADB">
      <w:pPr>
        <w:spacing w:line="360" w:lineRule="auto"/>
        <w:ind w:firstLine="435"/>
        <w:rPr>
          <w:rFonts w:hint="eastAsia" w:eastAsia="宋体"/>
          <w:color w:val="auto"/>
          <w:sz w:val="24"/>
          <w:szCs w:val="18"/>
          <w:highlight w:val="none"/>
          <w:lang w:eastAsia="zh-CN"/>
        </w:rPr>
      </w:pPr>
      <w:bookmarkStart w:id="4" w:name="OLE_LINK6"/>
      <w:bookmarkStart w:id="5" w:name="OLE_LINK3"/>
      <w:r>
        <w:rPr>
          <w:rFonts w:hint="eastAsia"/>
          <w:color w:val="auto"/>
          <w:sz w:val="24"/>
          <w:szCs w:val="18"/>
          <w:highlight w:val="none"/>
        </w:rPr>
        <w:t>1.</w:t>
      </w:r>
      <w:r>
        <w:rPr>
          <w:rFonts w:hint="eastAsia"/>
          <w:color w:val="auto"/>
          <w:sz w:val="24"/>
          <w:szCs w:val="18"/>
          <w:highlight w:val="none"/>
          <w:lang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14:paraId="74D73EEB">
      <w:pPr>
        <w:spacing w:line="360" w:lineRule="auto"/>
        <w:ind w:firstLine="435"/>
        <w:rPr>
          <w:rFonts w:hint="eastAsia"/>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供应商</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建筑装修装饰工程专业承包贰</w:t>
      </w:r>
      <w:r>
        <w:rPr>
          <w:rFonts w:hint="eastAsia"/>
          <w:color w:val="auto"/>
          <w:sz w:val="24"/>
          <w:szCs w:val="18"/>
          <w:highlight w:val="none"/>
          <w:lang w:eastAsia="zh-CN"/>
        </w:rPr>
        <w:t>级及以上资质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14:paraId="62EB2066">
      <w:pPr>
        <w:spacing w:line="360" w:lineRule="auto"/>
        <w:ind w:firstLine="435"/>
        <w:rPr>
          <w:color w:val="auto"/>
          <w:sz w:val="24"/>
          <w:szCs w:val="18"/>
          <w:highlight w:val="none"/>
        </w:rPr>
      </w:pPr>
      <w:r>
        <w:rPr>
          <w:rFonts w:hint="eastAsia"/>
          <w:color w:val="auto"/>
          <w:sz w:val="24"/>
          <w:szCs w:val="18"/>
          <w:highlight w:val="none"/>
          <w:lang w:val="en-US" w:eastAsia="zh-CN"/>
        </w:rPr>
        <w:t>3</w:t>
      </w:r>
      <w:r>
        <w:rPr>
          <w:rFonts w:hint="eastAsia"/>
          <w:color w:val="auto"/>
          <w:sz w:val="24"/>
          <w:szCs w:val="18"/>
          <w:highlight w:val="none"/>
        </w:rPr>
        <w:t>.项目经理：具备</w:t>
      </w:r>
      <w:r>
        <w:rPr>
          <w:rFonts w:hint="eastAsia"/>
          <w:color w:val="auto"/>
          <w:sz w:val="24"/>
          <w:szCs w:val="18"/>
          <w:highlight w:val="none"/>
          <w:lang w:val="en-US" w:eastAsia="zh-CN"/>
        </w:rPr>
        <w:t>建筑</w:t>
      </w:r>
      <w:r>
        <w:rPr>
          <w:rFonts w:hint="eastAsia"/>
          <w:color w:val="auto"/>
          <w:sz w:val="24"/>
          <w:szCs w:val="18"/>
          <w:highlight w:val="none"/>
          <w:lang w:eastAsia="zh-CN"/>
        </w:rPr>
        <w:t>工程专业二级及以上注册建造师，具备住房和城乡建设主管部门颁发的</w:t>
      </w:r>
      <w:r>
        <w:rPr>
          <w:rFonts w:hint="eastAsia"/>
          <w:color w:val="auto"/>
          <w:sz w:val="24"/>
          <w:szCs w:val="18"/>
          <w:highlight w:val="none"/>
        </w:rPr>
        <w:t>安全生产考核合格证书</w:t>
      </w:r>
      <w:r>
        <w:rPr>
          <w:rFonts w:hint="eastAsia"/>
          <w:color w:val="auto"/>
          <w:sz w:val="24"/>
          <w:szCs w:val="18"/>
          <w:highlight w:val="none"/>
          <w:lang w:eastAsia="zh-CN"/>
        </w:rPr>
        <w:t>（</w:t>
      </w:r>
      <w:r>
        <w:rPr>
          <w:rFonts w:hint="eastAsia"/>
          <w:color w:val="auto"/>
          <w:sz w:val="24"/>
          <w:szCs w:val="18"/>
          <w:highlight w:val="none"/>
          <w:lang w:val="en-US" w:eastAsia="zh-CN"/>
        </w:rPr>
        <w:t>B证</w:t>
      </w:r>
      <w:r>
        <w:rPr>
          <w:rFonts w:hint="eastAsia"/>
          <w:color w:val="auto"/>
          <w:sz w:val="24"/>
          <w:szCs w:val="18"/>
          <w:highlight w:val="none"/>
          <w:lang w:eastAsia="zh-CN"/>
        </w:rPr>
        <w:t>）</w:t>
      </w:r>
      <w:r>
        <w:rPr>
          <w:rFonts w:hint="eastAsia"/>
          <w:color w:val="auto"/>
          <w:sz w:val="24"/>
          <w:szCs w:val="18"/>
          <w:highlight w:val="none"/>
        </w:rPr>
        <w:t>，且目前未在其他项目上任职或虽在其他项目上任职但本项目成交后能够从该项目撤离。</w:t>
      </w:r>
    </w:p>
    <w:bookmarkEnd w:id="4"/>
    <w:p w14:paraId="0C09BC62">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lang w:val="en-US" w:eastAsia="zh-CN"/>
        </w:rPr>
        <w:t>4</w:t>
      </w:r>
      <w:r>
        <w:rPr>
          <w:rFonts w:hint="eastAsia"/>
          <w:color w:val="auto"/>
          <w:sz w:val="24"/>
          <w:szCs w:val="18"/>
          <w:highlight w:val="none"/>
        </w:rPr>
        <w:t>.本项目不接受联合体</w:t>
      </w:r>
      <w:r>
        <w:rPr>
          <w:rFonts w:hint="eastAsia"/>
          <w:color w:val="auto"/>
          <w:sz w:val="24"/>
          <w:szCs w:val="18"/>
          <w:highlight w:val="none"/>
          <w:lang w:eastAsia="zh-CN"/>
        </w:rPr>
        <w:t>比选。</w:t>
      </w:r>
    </w:p>
    <w:bookmarkEnd w:id="5"/>
    <w:p w14:paraId="5F3E31D2">
      <w:pPr>
        <w:spacing w:line="360" w:lineRule="auto"/>
        <w:ind w:firstLine="435"/>
        <w:outlineLvl w:val="1"/>
        <w:rPr>
          <w:b/>
          <w:bCs/>
          <w:color w:val="auto"/>
          <w:sz w:val="24"/>
          <w:szCs w:val="18"/>
          <w:highlight w:val="none"/>
        </w:rPr>
      </w:pPr>
      <w:bookmarkStart w:id="6"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lang w:eastAsia="zh-CN"/>
        </w:rPr>
        <w:t>比选</w:t>
      </w:r>
      <w:r>
        <w:rPr>
          <w:rFonts w:hint="eastAsia"/>
          <w:b/>
          <w:bCs/>
          <w:color w:val="auto"/>
          <w:sz w:val="24"/>
          <w:szCs w:val="18"/>
          <w:highlight w:val="none"/>
        </w:rPr>
        <w:t>文件的获取</w:t>
      </w:r>
      <w:bookmarkEnd w:id="6"/>
    </w:p>
    <w:p w14:paraId="7D007D9A">
      <w:pPr>
        <w:autoSpaceDE w:val="0"/>
        <w:autoSpaceDN w:val="0"/>
        <w:adjustRightInd w:val="0"/>
        <w:spacing w:line="360" w:lineRule="auto"/>
        <w:ind w:firstLine="436" w:firstLineChars="182"/>
        <w:jc w:val="left"/>
        <w:rPr>
          <w:rFonts w:hint="default" w:cs="宋体"/>
          <w:color w:val="auto"/>
          <w:sz w:val="24"/>
          <w:szCs w:val="18"/>
          <w:highlight w:val="none"/>
          <w:lang w:val="en-US"/>
        </w:rPr>
      </w:pPr>
      <w:r>
        <w:rPr>
          <w:rFonts w:hint="eastAsia" w:cs="宋体"/>
          <w:color w:val="auto"/>
          <w:sz w:val="24"/>
          <w:szCs w:val="18"/>
          <w:highlight w:val="none"/>
          <w:lang w:val="en-US" w:eastAsia="zh-CN"/>
        </w:rPr>
        <w:t>1.获取</w:t>
      </w: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09</w:t>
      </w:r>
      <w:r>
        <w:rPr>
          <w:rFonts w:hint="eastAsia" w:cs="宋体"/>
          <w:color w:val="auto"/>
          <w:sz w:val="24"/>
          <w:szCs w:val="18"/>
          <w:highlight w:val="none"/>
        </w:rPr>
        <w:t>月</w:t>
      </w:r>
      <w:r>
        <w:rPr>
          <w:rFonts w:hint="eastAsia" w:cs="宋体"/>
          <w:color w:val="auto"/>
          <w:sz w:val="24"/>
          <w:szCs w:val="18"/>
          <w:highlight w:val="none"/>
          <w:lang w:val="en-US" w:eastAsia="zh-CN"/>
        </w:rPr>
        <w:t>19</w:t>
      </w:r>
      <w:r>
        <w:rPr>
          <w:rFonts w:hint="eastAsia" w:cs="宋体"/>
          <w:color w:val="auto"/>
          <w:sz w:val="24"/>
          <w:szCs w:val="18"/>
          <w:highlight w:val="none"/>
        </w:rPr>
        <w:t>日至</w:t>
      </w:r>
      <w:r>
        <w:rPr>
          <w:rFonts w:hint="eastAsia" w:cs="宋体"/>
          <w:color w:val="auto"/>
          <w:sz w:val="24"/>
          <w:szCs w:val="18"/>
          <w:highlight w:val="none"/>
          <w:lang w:val="en-US" w:eastAsia="zh-CN"/>
        </w:rPr>
        <w:t>比选时间。</w:t>
      </w:r>
    </w:p>
    <w:p w14:paraId="454AEA10">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lang w:val="en-US" w:eastAsia="zh-CN"/>
        </w:rPr>
        <w:t>2.获取</w:t>
      </w:r>
      <w:r>
        <w:rPr>
          <w:rFonts w:hint="eastAsia" w:cs="宋体"/>
          <w:color w:val="auto"/>
          <w:sz w:val="24"/>
          <w:szCs w:val="18"/>
          <w:highlight w:val="none"/>
        </w:rPr>
        <w:t>地点：优质采云采购平台（http://www.youzhicai.com/）</w:t>
      </w:r>
      <w:r>
        <w:rPr>
          <w:rFonts w:hint="eastAsia" w:cs="宋体"/>
          <w:color w:val="auto"/>
          <w:sz w:val="24"/>
          <w:szCs w:val="18"/>
          <w:highlight w:val="none"/>
          <w:lang w:eastAsia="zh-CN"/>
        </w:rPr>
        <w:t>。</w:t>
      </w:r>
    </w:p>
    <w:p w14:paraId="201D6E94">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lang w:val="en-US" w:eastAsia="zh-CN"/>
        </w:rPr>
        <w:t>3.获取</w:t>
      </w:r>
      <w:r>
        <w:rPr>
          <w:rFonts w:hint="eastAsia" w:cs="宋体"/>
          <w:color w:val="auto"/>
          <w:sz w:val="24"/>
          <w:szCs w:val="18"/>
          <w:highlight w:val="none"/>
        </w:rPr>
        <w:t>方式：在线下载</w:t>
      </w:r>
      <w:r>
        <w:rPr>
          <w:rFonts w:hint="eastAsia" w:cs="宋体"/>
          <w:color w:val="auto"/>
          <w:sz w:val="24"/>
          <w:szCs w:val="18"/>
          <w:highlight w:val="none"/>
          <w:lang w:eastAsia="zh-CN"/>
        </w:rPr>
        <w:t>。</w:t>
      </w:r>
    </w:p>
    <w:p w14:paraId="1560D839">
      <w:pPr>
        <w:spacing w:line="360" w:lineRule="auto"/>
        <w:ind w:firstLine="435"/>
        <w:outlineLvl w:val="1"/>
        <w:rPr>
          <w:b/>
          <w:bCs/>
          <w:color w:val="auto"/>
          <w:sz w:val="24"/>
          <w:szCs w:val="18"/>
          <w:highlight w:val="none"/>
        </w:rPr>
      </w:pPr>
      <w:bookmarkStart w:id="7"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lang w:eastAsia="zh-CN"/>
        </w:rPr>
        <w:t>比选</w:t>
      </w:r>
      <w:r>
        <w:rPr>
          <w:rFonts w:hint="eastAsia"/>
          <w:b/>
          <w:bCs/>
          <w:color w:val="auto"/>
          <w:sz w:val="24"/>
          <w:highlight w:val="none"/>
        </w:rPr>
        <w:t>时间及地点</w:t>
      </w:r>
      <w:bookmarkEnd w:id="7"/>
    </w:p>
    <w:p w14:paraId="7D0AFF13">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w:t>
      </w:r>
      <w:r>
        <w:rPr>
          <w:rFonts w:hint="eastAsia" w:cs="宋体"/>
          <w:color w:val="auto"/>
          <w:sz w:val="24"/>
          <w:szCs w:val="18"/>
          <w:highlight w:val="none"/>
          <w:lang w:eastAsia="zh-CN"/>
        </w:rPr>
        <w:t>比选</w:t>
      </w:r>
      <w:r>
        <w:rPr>
          <w:rFonts w:hint="eastAsia" w:cs="宋体"/>
          <w:color w:val="auto"/>
          <w:sz w:val="24"/>
          <w:szCs w:val="18"/>
          <w:highlight w:val="none"/>
        </w:rPr>
        <w:t>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09</w:t>
      </w:r>
      <w:r>
        <w:rPr>
          <w:rFonts w:hint="eastAsia" w:cs="宋体"/>
          <w:color w:val="auto"/>
          <w:sz w:val="24"/>
          <w:szCs w:val="18"/>
          <w:highlight w:val="none"/>
        </w:rPr>
        <w:t>月</w:t>
      </w:r>
      <w:r>
        <w:rPr>
          <w:rFonts w:hint="eastAsia" w:cs="宋体"/>
          <w:color w:val="auto"/>
          <w:sz w:val="24"/>
          <w:szCs w:val="18"/>
          <w:highlight w:val="none"/>
          <w:lang w:val="en-US" w:eastAsia="zh-CN"/>
        </w:rPr>
        <w:t>25</w:t>
      </w:r>
      <w:r>
        <w:rPr>
          <w:rFonts w:hint="eastAsia" w:cs="宋体"/>
          <w:color w:val="auto"/>
          <w:sz w:val="24"/>
          <w:szCs w:val="18"/>
          <w:highlight w:val="none"/>
        </w:rPr>
        <w:t>日1</w:t>
      </w:r>
      <w:r>
        <w:rPr>
          <w:rFonts w:hint="eastAsia" w:cs="宋体"/>
          <w:color w:val="auto"/>
          <w:sz w:val="24"/>
          <w:szCs w:val="18"/>
          <w:highlight w:val="none"/>
          <w:lang w:val="en-US" w:eastAsia="zh-CN"/>
        </w:rPr>
        <w:t>5</w:t>
      </w:r>
      <w:r>
        <w:rPr>
          <w:rFonts w:hint="eastAsia" w:cs="宋体"/>
          <w:color w:val="auto"/>
          <w:sz w:val="24"/>
          <w:szCs w:val="18"/>
          <w:highlight w:val="none"/>
        </w:rPr>
        <w:t>时00分</w:t>
      </w:r>
      <w:r>
        <w:rPr>
          <w:rFonts w:hint="eastAsia" w:cs="宋体"/>
          <w:color w:val="auto"/>
          <w:sz w:val="24"/>
          <w:szCs w:val="18"/>
          <w:highlight w:val="none"/>
          <w:lang w:eastAsia="zh-CN"/>
        </w:rPr>
        <w:t>。</w:t>
      </w:r>
    </w:p>
    <w:p w14:paraId="74A77AA2">
      <w:pPr>
        <w:spacing w:line="360" w:lineRule="auto"/>
        <w:ind w:firstLine="435"/>
        <w:rPr>
          <w:rFonts w:hint="eastAsia" w:eastAsia="宋体"/>
          <w:color w:val="auto"/>
          <w:sz w:val="24"/>
          <w:szCs w:val="18"/>
          <w:highlight w:val="none"/>
          <w:lang w:eastAsia="zh-CN"/>
        </w:rPr>
      </w:pPr>
      <w:r>
        <w:rPr>
          <w:rFonts w:hint="eastAsia" w:cs="宋体"/>
          <w:color w:val="auto"/>
          <w:sz w:val="24"/>
          <w:szCs w:val="18"/>
          <w:highlight w:val="none"/>
        </w:rPr>
        <w:t>2.</w:t>
      </w:r>
      <w:r>
        <w:rPr>
          <w:rFonts w:hint="eastAsia" w:cs="宋体"/>
          <w:color w:val="auto"/>
          <w:sz w:val="24"/>
          <w:szCs w:val="18"/>
          <w:highlight w:val="none"/>
          <w:lang w:eastAsia="zh-CN"/>
        </w:rPr>
        <w:t>比选</w:t>
      </w:r>
      <w:r>
        <w:rPr>
          <w:rFonts w:hint="eastAsia" w:cs="宋体"/>
          <w:color w:val="auto"/>
          <w:sz w:val="24"/>
          <w:szCs w:val="18"/>
          <w:highlight w:val="none"/>
        </w:rPr>
        <w:t>地点：优质采云采购平台（http://www.youzhicai.com/）</w:t>
      </w:r>
      <w:r>
        <w:rPr>
          <w:rFonts w:hint="eastAsia" w:cs="宋体"/>
          <w:color w:val="auto"/>
          <w:sz w:val="24"/>
          <w:szCs w:val="18"/>
          <w:highlight w:val="none"/>
          <w:lang w:eastAsia="zh-CN"/>
        </w:rPr>
        <w:t>。</w:t>
      </w:r>
    </w:p>
    <w:p w14:paraId="08B53FAE">
      <w:pPr>
        <w:spacing w:line="360" w:lineRule="auto"/>
        <w:ind w:firstLine="435"/>
        <w:outlineLvl w:val="1"/>
        <w:rPr>
          <w:b/>
          <w:bCs/>
          <w:color w:val="auto"/>
          <w:sz w:val="24"/>
          <w:szCs w:val="18"/>
          <w:highlight w:val="none"/>
        </w:rPr>
      </w:pPr>
      <w:bookmarkStart w:id="8"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rPr>
        <w:t>响应文件提交截止时间</w:t>
      </w:r>
      <w:bookmarkEnd w:id="8"/>
    </w:p>
    <w:p w14:paraId="573ADA19">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w:t>
      </w:r>
      <w:r>
        <w:rPr>
          <w:rFonts w:hint="eastAsia"/>
          <w:color w:val="auto"/>
          <w:sz w:val="24"/>
          <w:szCs w:val="18"/>
          <w:highlight w:val="none"/>
          <w:lang w:eastAsia="zh-CN"/>
        </w:rPr>
        <w:t>比选</w:t>
      </w:r>
      <w:r>
        <w:rPr>
          <w:rFonts w:hint="eastAsia"/>
          <w:color w:val="auto"/>
          <w:sz w:val="24"/>
          <w:szCs w:val="18"/>
          <w:highlight w:val="none"/>
        </w:rPr>
        <w:t>时间</w:t>
      </w:r>
      <w:r>
        <w:rPr>
          <w:rFonts w:hint="eastAsia"/>
          <w:color w:val="auto"/>
          <w:sz w:val="24"/>
          <w:szCs w:val="18"/>
          <w:highlight w:val="none"/>
          <w:lang w:eastAsia="zh-CN"/>
        </w:rPr>
        <w:t>。</w:t>
      </w:r>
    </w:p>
    <w:p w14:paraId="11255714">
      <w:pPr>
        <w:spacing w:line="360" w:lineRule="auto"/>
        <w:ind w:firstLine="435"/>
        <w:outlineLvl w:val="1"/>
        <w:rPr>
          <w:b/>
          <w:bCs/>
          <w:color w:val="auto"/>
          <w:sz w:val="24"/>
          <w:szCs w:val="18"/>
          <w:highlight w:val="none"/>
        </w:rPr>
      </w:pPr>
      <w:bookmarkStart w:id="9"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9"/>
    </w:p>
    <w:p w14:paraId="2D53141F">
      <w:pPr>
        <w:spacing w:line="360" w:lineRule="auto"/>
        <w:ind w:firstLine="435"/>
        <w:outlineLvl w:val="2"/>
        <w:rPr>
          <w:rFonts w:cs="@仿宋_GB2312"/>
          <w:color w:val="auto"/>
          <w:kern w:val="2"/>
          <w:sz w:val="24"/>
          <w:szCs w:val="18"/>
          <w:highlight w:val="none"/>
        </w:rPr>
      </w:pPr>
      <w:r>
        <w:rPr>
          <w:rFonts w:cs="@仿宋_GB2312"/>
          <w:color w:val="auto"/>
          <w:kern w:val="2"/>
          <w:sz w:val="24"/>
          <w:szCs w:val="18"/>
          <w:highlight w:val="none"/>
        </w:rPr>
        <w:t>1.</w:t>
      </w:r>
      <w:r>
        <w:rPr>
          <w:color w:val="auto"/>
          <w:sz w:val="24"/>
          <w:szCs w:val="18"/>
          <w:highlight w:val="none"/>
        </w:rPr>
        <w:t>业主</w:t>
      </w:r>
      <w:r>
        <w:rPr>
          <w:rFonts w:hint="eastAsia"/>
          <w:color w:val="auto"/>
          <w:sz w:val="24"/>
          <w:szCs w:val="18"/>
          <w:highlight w:val="none"/>
        </w:rPr>
        <w:t>单位</w:t>
      </w:r>
    </w:p>
    <w:p w14:paraId="03063DD2">
      <w:pPr>
        <w:spacing w:line="360" w:lineRule="auto"/>
        <w:ind w:firstLine="435"/>
        <w:rPr>
          <w:rFonts w:hint="eastAsia" w:eastAsia="宋体" w:cs="@仿宋_GB2312"/>
          <w:color w:val="auto"/>
          <w:kern w:val="2"/>
          <w:sz w:val="24"/>
          <w:szCs w:val="18"/>
          <w:highlight w:val="none"/>
          <w:u w:val="none"/>
          <w:lang w:eastAsia="zh-CN"/>
        </w:rPr>
      </w:pPr>
      <w:r>
        <w:rPr>
          <w:color w:val="auto"/>
          <w:sz w:val="24"/>
          <w:szCs w:val="18"/>
          <w:highlight w:val="none"/>
        </w:rPr>
        <w:t>业主</w:t>
      </w:r>
      <w:r>
        <w:rPr>
          <w:rFonts w:hint="eastAsia"/>
          <w:color w:val="auto"/>
          <w:sz w:val="24"/>
          <w:szCs w:val="18"/>
          <w:highlight w:val="none"/>
        </w:rPr>
        <w:t>单位</w:t>
      </w:r>
      <w:r>
        <w:rPr>
          <w:rFonts w:hint="eastAsia" w:cs="@仿宋_GB2312"/>
          <w:color w:val="auto"/>
          <w:kern w:val="2"/>
          <w:sz w:val="24"/>
          <w:szCs w:val="18"/>
          <w:highlight w:val="none"/>
        </w:rPr>
        <w:t>：</w:t>
      </w:r>
      <w:r>
        <w:rPr>
          <w:rFonts w:hint="eastAsia" w:cs="@仿宋_GB2312"/>
          <w:color w:val="auto"/>
          <w:kern w:val="2"/>
          <w:sz w:val="24"/>
          <w:szCs w:val="18"/>
          <w:highlight w:val="none"/>
          <w:u w:val="none"/>
          <w:lang w:eastAsia="zh-CN"/>
        </w:rPr>
        <w:t>肥西乡侬商业管理有限公司</w:t>
      </w:r>
    </w:p>
    <w:p w14:paraId="090BDD2D">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 xml:space="preserve">地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址：安徽省合肥市肥西县上派镇花木城A馆205室</w:t>
      </w:r>
    </w:p>
    <w:p w14:paraId="7A21E5EB">
      <w:pPr>
        <w:spacing w:line="360" w:lineRule="auto"/>
        <w:ind w:firstLine="435"/>
        <w:rPr>
          <w:rFonts w:hint="default" w:cs="@仿宋_GB2312"/>
          <w:color w:val="auto"/>
          <w:kern w:val="2"/>
          <w:sz w:val="24"/>
          <w:szCs w:val="18"/>
          <w:highlight w:val="none"/>
          <w:u w:val="none"/>
          <w:lang w:val="en-US" w:eastAsia="zh-CN"/>
        </w:rPr>
      </w:pPr>
      <w:r>
        <w:rPr>
          <w:rFonts w:hint="eastAsia" w:cs="@仿宋_GB2312"/>
          <w:color w:val="auto"/>
          <w:kern w:val="2"/>
          <w:sz w:val="24"/>
          <w:szCs w:val="18"/>
          <w:highlight w:val="none"/>
          <w:u w:val="none"/>
        </w:rPr>
        <w:t>联 系 人：</w:t>
      </w:r>
      <w:r>
        <w:rPr>
          <w:rFonts w:hint="eastAsia" w:cs="@仿宋_GB2312"/>
          <w:color w:val="auto"/>
          <w:kern w:val="2"/>
          <w:sz w:val="24"/>
          <w:szCs w:val="18"/>
          <w:highlight w:val="none"/>
          <w:u w:val="none"/>
          <w:lang w:val="en-US" w:eastAsia="zh-CN"/>
        </w:rPr>
        <w:t>张工</w:t>
      </w:r>
    </w:p>
    <w:p w14:paraId="498A07E2">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 xml:space="preserve">电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r>
        <w:rPr>
          <w:rFonts w:hint="eastAsia" w:cs="@仿宋_GB2312"/>
          <w:color w:val="auto"/>
          <w:kern w:val="2"/>
          <w:sz w:val="24"/>
          <w:szCs w:val="18"/>
          <w:highlight w:val="none"/>
          <w:u w:val="none"/>
          <w:lang w:val="en-US" w:eastAsia="zh-CN"/>
        </w:rPr>
        <w:t xml:space="preserve">0551-62556137 </w:t>
      </w:r>
    </w:p>
    <w:p w14:paraId="6705EF32">
      <w:pPr>
        <w:spacing w:line="360" w:lineRule="auto"/>
        <w:ind w:firstLine="435"/>
        <w:outlineLvl w:val="2"/>
        <w:rPr>
          <w:rFonts w:cs="@仿宋_GB2312"/>
          <w:b/>
          <w:color w:val="auto"/>
          <w:kern w:val="2"/>
          <w:sz w:val="24"/>
          <w:szCs w:val="18"/>
          <w:highlight w:val="none"/>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p>
    <w:p w14:paraId="5FCE6E6F">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14:paraId="296601CB">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 xml:space="preserve">地  </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14:paraId="1F739F24">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徐工</w:t>
      </w:r>
    </w:p>
    <w:p w14:paraId="067FB011">
      <w:pPr>
        <w:spacing w:line="360" w:lineRule="auto"/>
        <w:ind w:firstLine="435"/>
        <w:rPr>
          <w:rFonts w:hint="default" w:eastAsia="宋体" w:cs="@仿宋_GB2312"/>
          <w:color w:val="auto"/>
          <w:kern w:val="2"/>
          <w:sz w:val="24"/>
          <w:szCs w:val="18"/>
          <w:highlight w:val="none"/>
          <w:u w:val="single"/>
          <w:lang w:val="en-US" w:eastAsia="zh-CN"/>
        </w:rPr>
      </w:pPr>
      <w:r>
        <w:rPr>
          <w:rFonts w:hint="eastAsia" w:cs="@仿宋_GB2312"/>
          <w:color w:val="auto"/>
          <w:kern w:val="2"/>
          <w:sz w:val="24"/>
          <w:szCs w:val="18"/>
          <w:highlight w:val="none"/>
          <w:u w:val="none"/>
        </w:rPr>
        <w:t xml:space="preserve">电 </w:t>
      </w:r>
      <w:r>
        <w:rPr>
          <w:rFonts w:hint="eastAsia" w:cs="@仿宋_GB2312"/>
          <w:color w:val="auto"/>
          <w:kern w:val="2"/>
          <w:sz w:val="24"/>
          <w:szCs w:val="18"/>
          <w:highlight w:val="none"/>
          <w:u w:val="none"/>
          <w:lang w:val="en-US" w:eastAsia="zh-CN"/>
        </w:rPr>
        <w:t xml:space="preserve">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14:paraId="01449847">
      <w:pPr>
        <w:spacing w:line="360" w:lineRule="auto"/>
        <w:ind w:firstLine="435"/>
        <w:outlineLvl w:val="1"/>
        <w:rPr>
          <w:rFonts w:cs="宋体"/>
          <w:color w:val="auto"/>
          <w:sz w:val="24"/>
          <w:szCs w:val="18"/>
          <w:highlight w:val="none"/>
        </w:rPr>
      </w:pPr>
      <w:bookmarkStart w:id="10" w:name="_Toc28019"/>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10"/>
    </w:p>
    <w:p w14:paraId="088DE9C1">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eastAsia="zh-CN"/>
        </w:rPr>
        <w:t>肥西县派合商务服务有限公司</w:t>
      </w:r>
      <w:r>
        <w:rPr>
          <w:rFonts w:hint="eastAsia" w:cs="宋体"/>
          <w:color w:val="auto"/>
          <w:sz w:val="24"/>
          <w:szCs w:val="18"/>
          <w:highlight w:val="none"/>
        </w:rPr>
        <w:t>、优质采云采购平台、安徽省招标投标信息网、中国采购与招标网上发布；</w:t>
      </w:r>
    </w:p>
    <w:p w14:paraId="008EF0A9">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14:paraId="2C0F2468">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供应商</w:t>
      </w:r>
      <w:r>
        <w:rPr>
          <w:rFonts w:hint="eastAsia" w:cs="宋体"/>
          <w:color w:val="auto"/>
          <w:sz w:val="24"/>
          <w:szCs w:val="18"/>
          <w:highlight w:val="none"/>
        </w:rPr>
        <w:t>须登录“优质采云采购平台”（网址：http://www.youzhicai.com/，以下称“优质采平台”）参与本项目</w:t>
      </w:r>
      <w:r>
        <w:rPr>
          <w:rFonts w:hint="eastAsia" w:cs="宋体"/>
          <w:color w:val="auto"/>
          <w:sz w:val="24"/>
          <w:szCs w:val="18"/>
          <w:highlight w:val="none"/>
          <w:lang w:eastAsia="zh-CN"/>
        </w:rPr>
        <w:t>比选</w:t>
      </w:r>
      <w:r>
        <w:rPr>
          <w:rFonts w:hint="eastAsia" w:cs="宋体"/>
          <w:color w:val="auto"/>
          <w:sz w:val="24"/>
          <w:szCs w:val="18"/>
          <w:highlight w:val="none"/>
        </w:rPr>
        <w:t>活动。首次登录须办理注册手续，请务必选择注册为“</w:t>
      </w:r>
      <w:r>
        <w:rPr>
          <w:rFonts w:hint="eastAsia" w:cs="宋体"/>
          <w:color w:val="auto"/>
          <w:sz w:val="24"/>
          <w:szCs w:val="18"/>
          <w:highlight w:val="none"/>
          <w:lang w:val="en-US" w:eastAsia="zh-CN"/>
        </w:rPr>
        <w:t>投标人</w:t>
      </w:r>
      <w:r>
        <w:rPr>
          <w:rFonts w:hint="eastAsia" w:cs="宋体"/>
          <w:color w:val="auto"/>
          <w:sz w:val="24"/>
          <w:szCs w:val="18"/>
          <w:highlight w:val="none"/>
        </w:rPr>
        <w:t>角色”类型。注册流程见优质采平台“用户注册”栏目，咨询电话：400-0099-555。因未及时办理注册手续影响参加</w:t>
      </w:r>
      <w:r>
        <w:rPr>
          <w:rFonts w:hint="eastAsia" w:cs="宋体"/>
          <w:color w:val="auto"/>
          <w:sz w:val="24"/>
          <w:szCs w:val="18"/>
          <w:highlight w:val="none"/>
          <w:lang w:eastAsia="zh-CN"/>
        </w:rPr>
        <w:t>比选</w:t>
      </w:r>
      <w:r>
        <w:rPr>
          <w:rFonts w:hint="eastAsia" w:cs="宋体"/>
          <w:color w:val="auto"/>
          <w:sz w:val="24"/>
          <w:szCs w:val="18"/>
          <w:highlight w:val="none"/>
        </w:rPr>
        <w:t>活动的，责任自负。</w:t>
      </w:r>
    </w:p>
    <w:p w14:paraId="35E56D99">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供应商</w:t>
      </w:r>
      <w:r>
        <w:rPr>
          <w:rFonts w:hint="eastAsia" w:cs="宋体"/>
          <w:color w:val="auto"/>
          <w:sz w:val="24"/>
          <w:szCs w:val="18"/>
          <w:highlight w:val="none"/>
        </w:rPr>
        <w:t>可登录优质采平台获取</w:t>
      </w:r>
      <w:r>
        <w:rPr>
          <w:rFonts w:hint="eastAsia" w:cs="宋体"/>
          <w:color w:val="auto"/>
          <w:sz w:val="24"/>
          <w:szCs w:val="18"/>
          <w:highlight w:val="none"/>
          <w:lang w:eastAsia="zh-CN"/>
        </w:rPr>
        <w:t>比选</w:t>
      </w:r>
      <w:r>
        <w:rPr>
          <w:rFonts w:hint="eastAsia" w:cs="宋体"/>
          <w:color w:val="auto"/>
          <w:sz w:val="24"/>
          <w:szCs w:val="18"/>
          <w:highlight w:val="none"/>
        </w:rPr>
        <w:t>文件，本项目的</w:t>
      </w:r>
      <w:r>
        <w:rPr>
          <w:rFonts w:hint="eastAsia" w:cs="宋体"/>
          <w:color w:val="auto"/>
          <w:sz w:val="24"/>
          <w:szCs w:val="18"/>
          <w:highlight w:val="none"/>
          <w:lang w:eastAsia="zh-CN"/>
        </w:rPr>
        <w:t>比选</w:t>
      </w:r>
      <w:r>
        <w:rPr>
          <w:rFonts w:hint="eastAsia" w:cs="宋体"/>
          <w:color w:val="auto"/>
          <w:sz w:val="24"/>
          <w:szCs w:val="18"/>
          <w:highlight w:val="none"/>
        </w:rPr>
        <w:t>文件及其他资料（含澄清、答疑及相关补充文件）通过优质采平台发布，</w:t>
      </w:r>
      <w:r>
        <w:rPr>
          <w:color w:val="auto"/>
          <w:sz w:val="24"/>
          <w:szCs w:val="18"/>
          <w:highlight w:val="none"/>
        </w:rPr>
        <w:t>业主</w:t>
      </w:r>
      <w:r>
        <w:rPr>
          <w:rFonts w:hint="eastAsia"/>
          <w:color w:val="auto"/>
          <w:sz w:val="24"/>
          <w:szCs w:val="18"/>
          <w:highlight w:val="none"/>
        </w:rPr>
        <w:t>单位</w:t>
      </w:r>
      <w:r>
        <w:rPr>
          <w:rFonts w:hint="eastAsia" w:cs="宋体"/>
          <w:color w:val="auto"/>
          <w:sz w:val="24"/>
          <w:szCs w:val="18"/>
          <w:highlight w:val="none"/>
        </w:rPr>
        <w:t>/代理机构不再另行书面通知，潜在</w:t>
      </w:r>
      <w:r>
        <w:rPr>
          <w:rFonts w:hint="eastAsia"/>
          <w:color w:val="auto"/>
          <w:sz w:val="24"/>
          <w:szCs w:val="18"/>
          <w:highlight w:val="none"/>
          <w:lang w:eastAsia="zh-CN"/>
        </w:rPr>
        <w:t>供应商</w:t>
      </w:r>
      <w:r>
        <w:rPr>
          <w:rFonts w:hint="eastAsia" w:cs="宋体"/>
          <w:color w:val="auto"/>
          <w:sz w:val="24"/>
          <w:szCs w:val="18"/>
          <w:highlight w:val="none"/>
        </w:rPr>
        <w:t>应及时关注、查阅优质采平台。因未及时查看导致不利后果的，责任自负。</w:t>
      </w:r>
    </w:p>
    <w:p w14:paraId="13F84829">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供应商</w:t>
      </w:r>
      <w:r>
        <w:rPr>
          <w:rFonts w:hint="eastAsia" w:cs="宋体"/>
          <w:color w:val="auto"/>
          <w:sz w:val="24"/>
          <w:szCs w:val="18"/>
          <w:highlight w:val="none"/>
        </w:rPr>
        <w:t>若注册信息发生变更（如：与初始注册信息不一致），应及时网上提交变更申请。因未及时变更导致不利后果的，责任自负。</w:t>
      </w:r>
    </w:p>
    <w:p w14:paraId="2D834169">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w:t>
      </w:r>
      <w:r>
        <w:rPr>
          <w:rFonts w:hint="eastAsia" w:cs="宋体"/>
          <w:color w:val="auto"/>
          <w:sz w:val="24"/>
          <w:szCs w:val="18"/>
          <w:highlight w:val="none"/>
          <w:lang w:eastAsia="zh-CN"/>
        </w:rPr>
        <w:t>比选</w:t>
      </w:r>
      <w:r>
        <w:rPr>
          <w:rFonts w:hint="eastAsia" w:cs="宋体"/>
          <w:color w:val="auto"/>
          <w:sz w:val="24"/>
          <w:szCs w:val="18"/>
          <w:highlight w:val="none"/>
        </w:rPr>
        <w:t>方式，潜在</w:t>
      </w:r>
      <w:r>
        <w:rPr>
          <w:rFonts w:hint="eastAsia"/>
          <w:color w:val="auto"/>
          <w:sz w:val="24"/>
          <w:szCs w:val="18"/>
          <w:highlight w:val="none"/>
          <w:lang w:eastAsia="zh-CN"/>
        </w:rPr>
        <w:t>供应商</w:t>
      </w:r>
      <w:r>
        <w:rPr>
          <w:rFonts w:hint="eastAsia" w:cs="宋体"/>
          <w:color w:val="auto"/>
          <w:sz w:val="24"/>
          <w:szCs w:val="18"/>
          <w:highlight w:val="none"/>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4C8D5F52">
      <w:pPr>
        <w:spacing w:line="360" w:lineRule="auto"/>
        <w:ind w:firstLine="437"/>
        <w:rPr>
          <w:rFonts w:hint="eastAsia" w:cs="宋体"/>
          <w:color w:val="auto"/>
          <w:sz w:val="24"/>
          <w:szCs w:val="18"/>
          <w:highlight w:val="none"/>
        </w:rPr>
      </w:pPr>
      <w:r>
        <w:rPr>
          <w:rFonts w:hint="eastAsia" w:cs="宋体"/>
          <w:color w:val="auto"/>
          <w:sz w:val="24"/>
          <w:szCs w:val="18"/>
          <w:highlight w:val="none"/>
        </w:rPr>
        <w:t>（5）响应文件必须使用“优质采投标文件制作工具”制作生成并上传。下载地址：http://toolcdn.youzhicai.com/tools/BidderTools.zip，使用说明书及视频教程下载地址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14:paraId="128ABC34">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szCs w:val="18"/>
          <w:highlight w:val="none"/>
        </w:rPr>
        <w:t>应合理安排</w:t>
      </w:r>
      <w:r>
        <w:rPr>
          <w:rFonts w:hint="eastAsia" w:cs="宋体"/>
          <w:color w:val="auto"/>
          <w:sz w:val="24"/>
          <w:szCs w:val="18"/>
          <w:highlight w:val="none"/>
          <w:lang w:eastAsia="zh-CN"/>
        </w:rPr>
        <w:t>比选</w:t>
      </w:r>
      <w:r>
        <w:rPr>
          <w:rFonts w:hint="eastAsia" w:cs="宋体"/>
          <w:color w:val="auto"/>
          <w:sz w:val="24"/>
          <w:szCs w:val="18"/>
          <w:highlight w:val="none"/>
        </w:rPr>
        <w:t>文件获取时间，特别是网络速度慢的地区防止在系统关闭前网络拥堵无法操作。如果因计算机及网络故障造成无法完成</w:t>
      </w:r>
      <w:r>
        <w:rPr>
          <w:rFonts w:hint="eastAsia" w:cs="宋体"/>
          <w:color w:val="auto"/>
          <w:sz w:val="24"/>
          <w:szCs w:val="18"/>
          <w:highlight w:val="none"/>
          <w:lang w:eastAsia="zh-CN"/>
        </w:rPr>
        <w:t>比选</w:t>
      </w:r>
      <w:r>
        <w:rPr>
          <w:rFonts w:hint="eastAsia" w:cs="宋体"/>
          <w:color w:val="auto"/>
          <w:sz w:val="24"/>
          <w:szCs w:val="18"/>
          <w:highlight w:val="none"/>
        </w:rPr>
        <w:t>文件获取，责任自负。</w:t>
      </w:r>
    </w:p>
    <w:bookmarkEnd w:id="631"/>
    <w:p w14:paraId="36CB5755">
      <w:pPr>
        <w:spacing w:line="360" w:lineRule="auto"/>
        <w:jc w:val="center"/>
        <w:rPr>
          <w:b/>
          <w:color w:val="auto"/>
          <w:sz w:val="28"/>
          <w:highlight w:val="none"/>
        </w:rPr>
      </w:pPr>
      <w:r>
        <w:rPr>
          <w:rFonts w:hint="eastAsia" w:cs="宋体"/>
          <w:color w:val="auto"/>
          <w:sz w:val="24"/>
          <w:szCs w:val="18"/>
          <w:highlight w:val="none"/>
        </w:rPr>
        <w:br w:type="page"/>
      </w:r>
      <w:bookmarkStart w:id="11"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供应商</w:t>
      </w:r>
      <w:r>
        <w:rPr>
          <w:b/>
          <w:color w:val="auto"/>
          <w:sz w:val="28"/>
          <w:highlight w:val="none"/>
        </w:rPr>
        <w:t>须知</w:t>
      </w:r>
      <w:bookmarkEnd w:id="11"/>
    </w:p>
    <w:p w14:paraId="08B15277">
      <w:pPr>
        <w:spacing w:line="360" w:lineRule="auto"/>
        <w:jc w:val="center"/>
        <w:outlineLvl w:val="1"/>
        <w:rPr>
          <w:b/>
          <w:color w:val="auto"/>
          <w:sz w:val="24"/>
          <w:highlight w:val="none"/>
        </w:rPr>
      </w:pPr>
      <w:bookmarkStart w:id="12" w:name="_Toc29910"/>
      <w:r>
        <w:rPr>
          <w:rFonts w:hint="eastAsia"/>
          <w:b/>
          <w:color w:val="auto"/>
          <w:sz w:val="24"/>
          <w:highlight w:val="none"/>
        </w:rPr>
        <w:t>一、</w:t>
      </w:r>
      <w:r>
        <w:rPr>
          <w:rFonts w:hint="eastAsia"/>
          <w:b/>
          <w:color w:val="auto"/>
          <w:sz w:val="24"/>
          <w:szCs w:val="18"/>
          <w:highlight w:val="none"/>
          <w:lang w:eastAsia="zh-CN"/>
        </w:rPr>
        <w:t>供应商</w:t>
      </w:r>
      <w:r>
        <w:rPr>
          <w:b/>
          <w:color w:val="auto"/>
          <w:sz w:val="24"/>
          <w:highlight w:val="none"/>
        </w:rPr>
        <w:t>须知前附表</w:t>
      </w:r>
      <w:bookmarkEnd w:id="12"/>
    </w:p>
    <w:p w14:paraId="2671EDC5">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供应商</w:t>
      </w:r>
      <w:r>
        <w:rPr>
          <w:rFonts w:hint="eastAsia"/>
          <w:color w:val="auto"/>
          <w:sz w:val="24"/>
          <w:szCs w:val="18"/>
          <w:highlight w:val="none"/>
        </w:rPr>
        <w:t>须知的具体补充和修改，如有不一致，以本表为准。</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0DE4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6C2F0B8">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14:paraId="5B7AF0C5">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14:paraId="2507D562">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5F7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FD3D0D5">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14:paraId="30A98BEF">
            <w:pPr>
              <w:pStyle w:val="38"/>
              <w:widowControl w:val="0"/>
              <w:spacing w:before="0" w:beforeAutospacing="0" w:after="0" w:afterAutospacing="0" w:line="360" w:lineRule="auto"/>
              <w:jc w:val="left"/>
              <w:rPr>
                <w:b w:val="0"/>
                <w:bCs w:val="0"/>
                <w:color w:val="auto"/>
                <w:sz w:val="24"/>
                <w:highlight w:val="none"/>
              </w:rPr>
            </w:pPr>
            <w:r>
              <w:rPr>
                <w:b w:val="0"/>
                <w:color w:val="auto"/>
                <w:sz w:val="24"/>
                <w:szCs w:val="18"/>
                <w:highlight w:val="none"/>
              </w:rPr>
              <w:t>业主</w:t>
            </w:r>
            <w:r>
              <w:rPr>
                <w:rFonts w:hint="eastAsia"/>
                <w:b w:val="0"/>
                <w:color w:val="auto"/>
                <w:sz w:val="24"/>
                <w:szCs w:val="18"/>
                <w:highlight w:val="none"/>
              </w:rPr>
              <w:t>单位</w:t>
            </w:r>
          </w:p>
        </w:tc>
        <w:tc>
          <w:tcPr>
            <w:tcW w:w="6020" w:type="dxa"/>
            <w:vAlign w:val="center"/>
          </w:tcPr>
          <w:p w14:paraId="61E9A140">
            <w:pPr>
              <w:pStyle w:val="38"/>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肥西乡侬商业管理有限公司</w:t>
            </w:r>
          </w:p>
        </w:tc>
      </w:tr>
      <w:tr w14:paraId="79A8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D6977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14:paraId="1388EE48">
            <w:pPr>
              <w:pStyle w:val="38"/>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14:paraId="7F7961DB">
            <w:pPr>
              <w:pStyle w:val="38"/>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14:paraId="4103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44506D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14:paraId="06FCB0D2">
            <w:pPr>
              <w:pStyle w:val="38"/>
              <w:widowControl w:val="0"/>
              <w:spacing w:before="0" w:beforeAutospacing="0" w:after="0" w:afterAutospacing="0" w:line="360" w:lineRule="auto"/>
              <w:jc w:val="left"/>
              <w:rPr>
                <w:rFonts w:hint="eastAsia" w:eastAsia="宋体"/>
                <w:b w:val="0"/>
                <w:color w:val="auto"/>
                <w:sz w:val="24"/>
                <w:highlight w:val="none"/>
                <w:lang w:eastAsia="zh-CN"/>
              </w:rPr>
            </w:pPr>
            <w:r>
              <w:rPr>
                <w:rFonts w:hint="eastAsia"/>
                <w:b w:val="0"/>
                <w:bCs w:val="0"/>
                <w:color w:val="auto"/>
                <w:sz w:val="24"/>
                <w:highlight w:val="none"/>
              </w:rPr>
              <w:t>是否允许联合体参加</w:t>
            </w:r>
            <w:r>
              <w:rPr>
                <w:rFonts w:hint="eastAsia"/>
                <w:b w:val="0"/>
                <w:bCs w:val="0"/>
                <w:color w:val="auto"/>
                <w:sz w:val="24"/>
                <w:highlight w:val="none"/>
                <w:lang w:eastAsia="zh-CN"/>
              </w:rPr>
              <w:t>比选</w:t>
            </w:r>
          </w:p>
        </w:tc>
        <w:tc>
          <w:tcPr>
            <w:tcW w:w="6020" w:type="dxa"/>
            <w:vAlign w:val="center"/>
          </w:tcPr>
          <w:p w14:paraId="7F0A961D">
            <w:pPr>
              <w:pStyle w:val="38"/>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14:paraId="6394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A2CDDA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14:paraId="3713A6FE">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14:paraId="0379E20B">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14:paraId="11291A3A">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14:paraId="30D9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215F34F">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14:paraId="52025AB7">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14:paraId="06AD7AF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09</w:t>
            </w:r>
            <w:r>
              <w:rPr>
                <w:rFonts w:hint="eastAsia"/>
                <w:b w:val="0"/>
                <w:color w:val="auto"/>
                <w:sz w:val="24"/>
                <w:highlight w:val="none"/>
              </w:rPr>
              <w:t>月</w:t>
            </w:r>
            <w:r>
              <w:rPr>
                <w:rFonts w:hint="eastAsia"/>
                <w:b w:val="0"/>
                <w:color w:val="auto"/>
                <w:sz w:val="24"/>
                <w:highlight w:val="none"/>
                <w:u w:val="single"/>
                <w:lang w:val="en-US" w:eastAsia="zh-CN"/>
              </w:rPr>
              <w:t>23</w:t>
            </w:r>
            <w:r>
              <w:rPr>
                <w:rFonts w:hint="eastAsia"/>
                <w:b w:val="0"/>
                <w:color w:val="auto"/>
                <w:sz w:val="24"/>
                <w:highlight w:val="none"/>
              </w:rPr>
              <w:t>日17：30前接受网上答疑（逾期不予受理），疑问的提出与答疑获取详见</w:t>
            </w:r>
            <w:r>
              <w:rPr>
                <w:rFonts w:hint="eastAsia"/>
                <w:b w:val="0"/>
                <w:color w:val="auto"/>
                <w:sz w:val="24"/>
                <w:highlight w:val="none"/>
                <w:lang w:eastAsia="zh-CN"/>
              </w:rPr>
              <w:t>比选</w:t>
            </w:r>
            <w:r>
              <w:rPr>
                <w:rFonts w:hint="eastAsia"/>
                <w:b w:val="0"/>
                <w:color w:val="auto"/>
                <w:sz w:val="24"/>
                <w:highlight w:val="none"/>
              </w:rPr>
              <w:t>文件第二章</w:t>
            </w:r>
            <w:r>
              <w:rPr>
                <w:rFonts w:hint="eastAsia"/>
                <w:b w:val="0"/>
                <w:color w:val="auto"/>
                <w:sz w:val="24"/>
                <w:szCs w:val="18"/>
                <w:highlight w:val="none"/>
                <w:lang w:eastAsia="zh-CN"/>
              </w:rPr>
              <w:t>供应商</w:t>
            </w:r>
            <w:r>
              <w:rPr>
                <w:rFonts w:hint="eastAsia"/>
                <w:b w:val="0"/>
                <w:color w:val="auto"/>
                <w:sz w:val="24"/>
                <w:highlight w:val="none"/>
              </w:rPr>
              <w:t>须知。</w:t>
            </w:r>
          </w:p>
          <w:p w14:paraId="4EF3C51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w:t>
            </w:r>
            <w:r>
              <w:rPr>
                <w:rFonts w:hint="eastAsia"/>
                <w:b w:val="0"/>
                <w:color w:val="auto"/>
                <w:sz w:val="24"/>
                <w:highlight w:val="none"/>
                <w:lang w:eastAsia="zh-CN"/>
              </w:rPr>
              <w:t>比选</w:t>
            </w:r>
            <w:r>
              <w:rPr>
                <w:rFonts w:hint="eastAsia"/>
                <w:b w:val="0"/>
                <w:color w:val="auto"/>
                <w:sz w:val="24"/>
                <w:highlight w:val="none"/>
              </w:rPr>
              <w:t>文件进行的澄清、更正或更改，将在网站上及时发布，该公告内容为</w:t>
            </w:r>
            <w:r>
              <w:rPr>
                <w:rFonts w:hint="eastAsia"/>
                <w:b w:val="0"/>
                <w:color w:val="auto"/>
                <w:sz w:val="24"/>
                <w:highlight w:val="none"/>
                <w:lang w:eastAsia="zh-CN"/>
              </w:rPr>
              <w:t>比选</w:t>
            </w:r>
            <w:r>
              <w:rPr>
                <w:rFonts w:hint="eastAsia"/>
                <w:b w:val="0"/>
                <w:color w:val="auto"/>
                <w:sz w:val="24"/>
                <w:highlight w:val="none"/>
              </w:rPr>
              <w:t>文件的组成部分，对</w:t>
            </w:r>
            <w:r>
              <w:rPr>
                <w:rFonts w:hint="eastAsia"/>
                <w:b w:val="0"/>
                <w:color w:val="auto"/>
                <w:sz w:val="24"/>
                <w:szCs w:val="18"/>
                <w:highlight w:val="none"/>
                <w:lang w:eastAsia="zh-CN"/>
              </w:rPr>
              <w:t>供应商</w:t>
            </w:r>
            <w:r>
              <w:rPr>
                <w:rFonts w:hint="eastAsia"/>
                <w:b w:val="0"/>
                <w:color w:val="auto"/>
                <w:sz w:val="24"/>
                <w:highlight w:val="none"/>
              </w:rPr>
              <w:t>具有同样约束力效力。</w:t>
            </w:r>
            <w:r>
              <w:rPr>
                <w:rFonts w:hint="eastAsia"/>
                <w:b w:val="0"/>
                <w:color w:val="auto"/>
                <w:sz w:val="24"/>
                <w:szCs w:val="18"/>
                <w:highlight w:val="none"/>
                <w:lang w:eastAsia="zh-CN"/>
              </w:rPr>
              <w:t>供应商</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供应商</w:t>
            </w:r>
            <w:r>
              <w:rPr>
                <w:rFonts w:hint="eastAsia"/>
                <w:b w:val="0"/>
                <w:color w:val="auto"/>
                <w:sz w:val="24"/>
                <w:highlight w:val="none"/>
              </w:rPr>
              <w:t>未及时关注相关信息引发的相关责任。</w:t>
            </w:r>
          </w:p>
        </w:tc>
      </w:tr>
      <w:tr w14:paraId="35B5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532C7773">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14:paraId="38176198">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020" w:type="dxa"/>
            <w:vAlign w:val="center"/>
          </w:tcPr>
          <w:p w14:paraId="26210D0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highlight w:val="none"/>
              </w:rPr>
              <w:t>不分包     □分为  个包</w:t>
            </w:r>
          </w:p>
          <w:p w14:paraId="3A3FD3BE">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bCs w:val="0"/>
                <w:color w:val="auto"/>
                <w:sz w:val="24"/>
                <w:szCs w:val="24"/>
                <w:highlight w:val="none"/>
              </w:rPr>
              <w:t>参加多个包</w:t>
            </w:r>
            <w:r>
              <w:rPr>
                <w:rFonts w:hint="eastAsia"/>
                <w:b w:val="0"/>
                <w:bCs w:val="0"/>
                <w:color w:val="auto"/>
                <w:sz w:val="24"/>
                <w:szCs w:val="24"/>
                <w:highlight w:val="none"/>
                <w:lang w:eastAsia="zh-CN"/>
              </w:rPr>
              <w:t>比选</w:t>
            </w:r>
            <w:r>
              <w:rPr>
                <w:rFonts w:hint="eastAsia"/>
                <w:b w:val="0"/>
                <w:bCs w:val="0"/>
                <w:color w:val="auto"/>
                <w:sz w:val="24"/>
                <w:szCs w:val="24"/>
                <w:highlight w:val="none"/>
              </w:rPr>
              <w:t>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17E9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14:paraId="0680C971">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14:paraId="7F3BA982">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lang w:eastAsia="zh-CN"/>
              </w:rPr>
              <w:t>比选</w:t>
            </w:r>
            <w:r>
              <w:rPr>
                <w:rFonts w:hint="eastAsia"/>
                <w:b w:val="0"/>
                <w:color w:val="auto"/>
                <w:sz w:val="24"/>
                <w:highlight w:val="none"/>
              </w:rPr>
              <w:t>保证金</w:t>
            </w:r>
          </w:p>
        </w:tc>
        <w:tc>
          <w:tcPr>
            <w:tcW w:w="6020" w:type="dxa"/>
            <w:vAlign w:val="center"/>
          </w:tcPr>
          <w:p w14:paraId="67DF73FD">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供应商</w:t>
            </w:r>
            <w:r>
              <w:rPr>
                <w:rFonts w:hint="eastAsia" w:cs="宋体"/>
                <w:sz w:val="24"/>
                <w:highlight w:val="none"/>
              </w:rPr>
              <w:t>递交</w:t>
            </w:r>
            <w:r>
              <w:rPr>
                <w:rFonts w:hint="eastAsia" w:cs="宋体"/>
                <w:sz w:val="24"/>
                <w:highlight w:val="none"/>
                <w:lang w:eastAsia="zh-CN"/>
              </w:rPr>
              <w:t>比选</w:t>
            </w:r>
            <w:r>
              <w:rPr>
                <w:rFonts w:hint="eastAsia" w:cs="宋体"/>
                <w:sz w:val="24"/>
                <w:highlight w:val="none"/>
              </w:rPr>
              <w:t>保证金：</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bCs/>
                <w:sz w:val="24"/>
                <w:highlight w:val="none"/>
                <w:lang w:eastAsia="zh-CN"/>
              </w:rPr>
              <w:t>□</w:t>
            </w:r>
            <w:r>
              <w:rPr>
                <w:rFonts w:hint="eastAsia" w:cs="宋体"/>
                <w:b/>
                <w:bCs/>
                <w:sz w:val="24"/>
                <w:highlight w:val="none"/>
              </w:rPr>
              <w:t>要求</w:t>
            </w:r>
          </w:p>
        </w:tc>
      </w:tr>
      <w:tr w14:paraId="58B4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14:paraId="2FB17D2B">
            <w:pPr>
              <w:pStyle w:val="39"/>
              <w:pBdr>
                <w:bottom w:val="none" w:color="auto" w:sz="0" w:space="0"/>
              </w:pBdr>
              <w:tabs>
                <w:tab w:val="clear" w:pos="4153"/>
                <w:tab w:val="clear" w:pos="8306"/>
              </w:tabs>
              <w:adjustRightInd/>
              <w:spacing w:line="360" w:lineRule="auto"/>
              <w:textAlignment w:val="auto"/>
              <w:rPr>
                <w:rFonts w:hint="eastAsia" w:ascii="宋体" w:hAnsi="宋体" w:eastAsia="宋体" w:cs="Times New Roman"/>
                <w:bCs/>
                <w:color w:val="auto"/>
                <w:kern w:val="2"/>
                <w:sz w:val="24"/>
                <w:szCs w:val="20"/>
                <w:highlight w:val="none"/>
                <w:lang w:val="en-US" w:eastAsia="zh-CN" w:bidi="ar-SA"/>
              </w:rPr>
            </w:pPr>
            <w:r>
              <w:rPr>
                <w:rFonts w:hint="eastAsia"/>
                <w:bCs/>
                <w:color w:val="auto"/>
                <w:kern w:val="2"/>
                <w:highlight w:val="none"/>
                <w:lang w:val="en-US" w:eastAsia="zh-CN"/>
              </w:rPr>
              <w:t>13.2</w:t>
            </w:r>
          </w:p>
        </w:tc>
        <w:tc>
          <w:tcPr>
            <w:tcW w:w="2031" w:type="dxa"/>
            <w:vAlign w:val="center"/>
          </w:tcPr>
          <w:p w14:paraId="5C9A8BC3">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rPr>
              <w:t>电子交易服务费</w:t>
            </w:r>
          </w:p>
        </w:tc>
        <w:tc>
          <w:tcPr>
            <w:tcW w:w="6020" w:type="dxa"/>
            <w:vAlign w:val="center"/>
          </w:tcPr>
          <w:p w14:paraId="5A8F7B2F">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18B5DB4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7EC046C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6A3D946E">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w:t>
            </w:r>
            <w:r>
              <w:rPr>
                <w:rFonts w:hint="eastAsia" w:cs="@仿宋_GB2312"/>
                <w:b w:val="0"/>
                <w:bCs w:val="0"/>
                <w:kern w:val="2"/>
                <w:sz w:val="24"/>
                <w:szCs w:val="18"/>
                <w:highlight w:val="none"/>
                <w:lang w:val="en-US" w:eastAsia="zh-CN" w:bidi="ar-SA"/>
              </w:rPr>
              <w:t>比选</w:t>
            </w:r>
            <w:r>
              <w:rPr>
                <w:rFonts w:hint="eastAsia" w:ascii="宋体" w:hAnsi="宋体" w:eastAsia="宋体" w:cs="@仿宋_GB2312"/>
                <w:b w:val="0"/>
                <w:bCs w:val="0"/>
                <w:kern w:val="2"/>
                <w:sz w:val="24"/>
                <w:szCs w:val="18"/>
                <w:highlight w:val="none"/>
                <w:lang w:val="en-US" w:eastAsia="zh-CN" w:bidi="ar-SA"/>
              </w:rPr>
              <w:t>时间。</w:t>
            </w:r>
          </w:p>
          <w:p w14:paraId="49B5E3E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应当从供应商账户转出，转出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的账户与供应商响应文件提供的账户信息不一致的，视为未按</w:t>
            </w:r>
            <w:r>
              <w:rPr>
                <w:rFonts w:hint="eastAsia" w:cs="@仿宋_GB2312"/>
                <w:b w:val="0"/>
                <w:bCs w:val="0"/>
                <w:kern w:val="2"/>
                <w:sz w:val="24"/>
                <w:szCs w:val="18"/>
                <w:highlight w:val="none"/>
                <w:lang w:val="en-US" w:eastAsia="zh-CN" w:bidi="ar-SA"/>
              </w:rPr>
              <w:t>比选</w:t>
            </w:r>
            <w:r>
              <w:rPr>
                <w:rFonts w:hint="eastAsia" w:ascii="宋体" w:hAnsi="宋体" w:eastAsia="宋体" w:cs="@仿宋_GB2312"/>
                <w:b w:val="0"/>
                <w:bCs w:val="0"/>
                <w:kern w:val="2"/>
                <w:sz w:val="24"/>
                <w:szCs w:val="18"/>
                <w:highlight w:val="none"/>
                <w:lang w:val="en-US" w:eastAsia="zh-CN" w:bidi="ar-SA"/>
              </w:rPr>
              <w:t>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14:paraId="0578146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535DF00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5F321A3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4E77751F">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账号：6232594999000746410</w:t>
            </w:r>
            <w:r>
              <w:rPr>
                <w:rFonts w:hint="eastAsia" w:cs="@仿宋_GB2312"/>
                <w:b w:val="0"/>
                <w:bCs w:val="0"/>
                <w:kern w:val="2"/>
                <w:sz w:val="24"/>
                <w:szCs w:val="18"/>
                <w:highlight w:val="none"/>
                <w:lang w:val="en-US" w:eastAsia="zh-CN" w:bidi="ar-SA"/>
              </w:rPr>
              <w:t xml:space="preserve"> </w:t>
            </w:r>
          </w:p>
          <w:p w14:paraId="3B24F925">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525E0B8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交纳账号采用动态虚拟账号，请供应商交纳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14:paraId="7C1271E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电子交易服务费</w:t>
            </w:r>
          </w:p>
          <w:p w14:paraId="361E0D50">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供应商如未进行备注的，可能会因评审委员会无法识别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到账情况导致响应文件被否决，责任由供应商自行承担。</w:t>
            </w:r>
          </w:p>
          <w:p w14:paraId="1996A153">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w:t>
            </w:r>
            <w:r>
              <w:rPr>
                <w:rFonts w:hint="eastAsia" w:cs="@仿宋_GB2312"/>
                <w:b w:val="0"/>
                <w:bCs w:val="0"/>
                <w:kern w:val="2"/>
                <w:sz w:val="24"/>
                <w:szCs w:val="18"/>
                <w:highlight w:val="none"/>
                <w:lang w:val="en-US" w:eastAsia="zh-CN" w:bidi="ar-SA"/>
              </w:rPr>
              <w:t>比选</w:t>
            </w:r>
            <w:r>
              <w:rPr>
                <w:rFonts w:hint="eastAsia" w:ascii="宋体" w:hAnsi="宋体" w:eastAsia="宋体" w:cs="@仿宋_GB2312"/>
                <w:b w:val="0"/>
                <w:bCs w:val="0"/>
                <w:kern w:val="2"/>
                <w:sz w:val="24"/>
                <w:szCs w:val="18"/>
                <w:highlight w:val="none"/>
                <w:lang w:val="en-US" w:eastAsia="zh-CN" w:bidi="ar-SA"/>
              </w:rPr>
              <w:t>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14:paraId="097DDFCE">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w:t>
            </w:r>
            <w:r>
              <w:rPr>
                <w:rFonts w:hint="eastAsia" w:cs="@仿宋_GB2312"/>
                <w:b w:val="0"/>
                <w:bCs w:val="0"/>
                <w:kern w:val="2"/>
                <w:sz w:val="24"/>
                <w:szCs w:val="18"/>
                <w:highlight w:val="none"/>
                <w:lang w:val="en-US" w:eastAsia="zh-CN" w:bidi="ar-SA"/>
              </w:rPr>
              <w:t>3</w:t>
            </w:r>
            <w:r>
              <w:rPr>
                <w:rFonts w:hint="eastAsia" w:ascii="宋体" w:hAnsi="宋体" w:eastAsia="宋体" w:cs="@仿宋_GB2312"/>
                <w:b w:val="0"/>
                <w:bCs w:val="0"/>
                <w:kern w:val="2"/>
                <w:sz w:val="24"/>
                <w:szCs w:val="18"/>
                <w:highlight w:val="none"/>
                <w:lang w:val="en-US" w:eastAsia="zh-CN" w:bidi="ar-SA"/>
              </w:rPr>
              <w:t>）供应商参与本项目多个标段</w:t>
            </w:r>
            <w:r>
              <w:rPr>
                <w:rFonts w:hint="eastAsia" w:cs="@仿宋_GB2312"/>
                <w:b w:val="0"/>
                <w:bCs w:val="0"/>
                <w:kern w:val="2"/>
                <w:sz w:val="24"/>
                <w:szCs w:val="18"/>
                <w:highlight w:val="none"/>
                <w:lang w:val="en-US" w:eastAsia="zh-CN" w:bidi="ar-SA"/>
              </w:rPr>
              <w:t>比选</w:t>
            </w:r>
            <w:r>
              <w:rPr>
                <w:rFonts w:hint="eastAsia" w:ascii="宋体" w:hAnsi="宋体" w:eastAsia="宋体" w:cs="@仿宋_GB2312"/>
                <w:b w:val="0"/>
                <w:bCs w:val="0"/>
                <w:kern w:val="2"/>
                <w:sz w:val="24"/>
                <w:szCs w:val="18"/>
                <w:highlight w:val="none"/>
                <w:lang w:val="en-US" w:eastAsia="zh-CN" w:bidi="ar-SA"/>
              </w:rPr>
              <w:t>的（如分多标段的），应该按标段分别递交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的标段，其响应无效。</w:t>
            </w:r>
          </w:p>
        </w:tc>
      </w:tr>
      <w:tr w14:paraId="6544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3CFBCA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14:paraId="5131886D">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比选</w:t>
            </w:r>
            <w:r>
              <w:rPr>
                <w:rFonts w:hint="eastAsia"/>
                <w:b w:val="0"/>
                <w:color w:val="auto"/>
                <w:sz w:val="24"/>
                <w:highlight w:val="none"/>
              </w:rPr>
              <w:t>有效期</w:t>
            </w:r>
          </w:p>
        </w:tc>
        <w:tc>
          <w:tcPr>
            <w:tcW w:w="6020" w:type="dxa"/>
            <w:vAlign w:val="center"/>
          </w:tcPr>
          <w:p w14:paraId="155D5108">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14:paraId="505F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2CD56B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14:paraId="3C8E699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响应文件要求</w:t>
            </w:r>
          </w:p>
        </w:tc>
        <w:tc>
          <w:tcPr>
            <w:tcW w:w="6020" w:type="dxa"/>
            <w:vAlign w:val="center"/>
          </w:tcPr>
          <w:p w14:paraId="3258B60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加密电子响应文件</w:t>
            </w:r>
          </w:p>
        </w:tc>
      </w:tr>
      <w:tr w14:paraId="5404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7E34F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14:paraId="780A90B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比选</w:t>
            </w:r>
            <w:r>
              <w:rPr>
                <w:rFonts w:hint="eastAsia"/>
                <w:b w:val="0"/>
                <w:color w:val="auto"/>
                <w:sz w:val="24"/>
                <w:highlight w:val="none"/>
              </w:rPr>
              <w:t>现场提交的其他材料要求</w:t>
            </w:r>
          </w:p>
        </w:tc>
        <w:tc>
          <w:tcPr>
            <w:tcW w:w="6020" w:type="dxa"/>
            <w:vAlign w:val="center"/>
          </w:tcPr>
          <w:p w14:paraId="592F624A">
            <w:pPr>
              <w:pStyle w:val="38"/>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7E25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EFD308B">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14:paraId="3B7A064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响应文件提交截止时间</w:t>
            </w:r>
          </w:p>
        </w:tc>
        <w:tc>
          <w:tcPr>
            <w:tcW w:w="6020" w:type="dxa"/>
            <w:vAlign w:val="center"/>
          </w:tcPr>
          <w:p w14:paraId="29AB5C7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w:t>
            </w:r>
            <w:r>
              <w:rPr>
                <w:rFonts w:hint="eastAsia"/>
                <w:b w:val="0"/>
                <w:color w:val="auto"/>
                <w:sz w:val="24"/>
                <w:highlight w:val="none"/>
                <w:u w:val="single"/>
                <w:lang w:eastAsia="zh-CN"/>
              </w:rPr>
              <w:t>比选</w:t>
            </w:r>
            <w:r>
              <w:rPr>
                <w:rFonts w:hint="eastAsia"/>
                <w:b w:val="0"/>
                <w:color w:val="auto"/>
                <w:sz w:val="24"/>
                <w:highlight w:val="none"/>
                <w:u w:val="single"/>
              </w:rPr>
              <w:t>邀请</w:t>
            </w:r>
          </w:p>
        </w:tc>
      </w:tr>
      <w:tr w14:paraId="5F7E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C1BE593">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14:paraId="555DD69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020" w:type="dxa"/>
            <w:vAlign w:val="center"/>
          </w:tcPr>
          <w:p w14:paraId="7CCECAFB">
            <w:pPr>
              <w:pStyle w:val="38"/>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rPr>
              <w:t>响应文件提交截止时间后30分钟内（以系统解密倒计时为准）</w:t>
            </w:r>
          </w:p>
          <w:p w14:paraId="1C1850A7">
            <w:pPr>
              <w:pStyle w:val="38"/>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其他要求：响应文件解密可以采用网上远程方式，无需到</w:t>
            </w:r>
            <w:r>
              <w:rPr>
                <w:rFonts w:hint="eastAsia" w:cs="宋体"/>
                <w:bCs w:val="0"/>
                <w:color w:val="auto"/>
                <w:sz w:val="24"/>
                <w:highlight w:val="none"/>
                <w:lang w:eastAsia="zh-CN"/>
              </w:rPr>
              <w:t>比选</w:t>
            </w:r>
            <w:r>
              <w:rPr>
                <w:rFonts w:hint="eastAsia" w:cs="宋体"/>
                <w:bCs w:val="0"/>
                <w:color w:val="auto"/>
                <w:sz w:val="24"/>
                <w:highlight w:val="none"/>
              </w:rPr>
              <w:t>现场进行解密。解密的CA锁必须与响应文件加密的CA锁一致，否则造成的后果由</w:t>
            </w:r>
            <w:r>
              <w:rPr>
                <w:rFonts w:hint="eastAsia"/>
                <w:color w:val="auto"/>
                <w:sz w:val="24"/>
                <w:szCs w:val="18"/>
                <w:highlight w:val="none"/>
                <w:lang w:eastAsia="zh-CN"/>
              </w:rPr>
              <w:t>供应商</w:t>
            </w:r>
            <w:r>
              <w:rPr>
                <w:rFonts w:hint="eastAsia" w:cs="宋体"/>
                <w:bCs w:val="0"/>
                <w:color w:val="auto"/>
                <w:sz w:val="24"/>
                <w:highlight w:val="none"/>
              </w:rPr>
              <w:t>自行承担。</w:t>
            </w:r>
          </w:p>
        </w:tc>
      </w:tr>
      <w:tr w14:paraId="2EA6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2FD07334">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14:paraId="2ECFC4A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比选</w:t>
            </w:r>
            <w:r>
              <w:rPr>
                <w:rFonts w:hint="eastAsia"/>
                <w:b w:val="0"/>
                <w:color w:val="auto"/>
                <w:sz w:val="24"/>
                <w:highlight w:val="none"/>
              </w:rPr>
              <w:t>时间</w:t>
            </w:r>
          </w:p>
        </w:tc>
        <w:tc>
          <w:tcPr>
            <w:tcW w:w="6020" w:type="dxa"/>
            <w:vAlign w:val="center"/>
          </w:tcPr>
          <w:p w14:paraId="36F4D07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w:t>
            </w:r>
            <w:r>
              <w:rPr>
                <w:rFonts w:hint="eastAsia"/>
                <w:b w:val="0"/>
                <w:color w:val="auto"/>
                <w:sz w:val="24"/>
                <w:highlight w:val="none"/>
                <w:u w:val="single"/>
                <w:lang w:eastAsia="zh-CN"/>
              </w:rPr>
              <w:t>比选</w:t>
            </w:r>
            <w:r>
              <w:rPr>
                <w:rFonts w:hint="eastAsia"/>
                <w:b w:val="0"/>
                <w:color w:val="auto"/>
                <w:sz w:val="24"/>
                <w:highlight w:val="none"/>
                <w:u w:val="single"/>
              </w:rPr>
              <w:t>邀请</w:t>
            </w:r>
          </w:p>
        </w:tc>
      </w:tr>
      <w:tr w14:paraId="483D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6B2B15A4">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14:paraId="7593B98F">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比选</w:t>
            </w:r>
            <w:r>
              <w:rPr>
                <w:rFonts w:hint="eastAsia"/>
                <w:b w:val="0"/>
                <w:color w:val="auto"/>
                <w:sz w:val="24"/>
                <w:highlight w:val="none"/>
              </w:rPr>
              <w:t>地点</w:t>
            </w:r>
          </w:p>
        </w:tc>
        <w:tc>
          <w:tcPr>
            <w:tcW w:w="6020" w:type="dxa"/>
            <w:vAlign w:val="center"/>
          </w:tcPr>
          <w:p w14:paraId="5E519B98">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single"/>
              </w:rPr>
              <w:t>详见</w:t>
            </w:r>
            <w:r>
              <w:rPr>
                <w:rFonts w:hint="eastAsia"/>
                <w:b w:val="0"/>
                <w:color w:val="auto"/>
                <w:sz w:val="24"/>
                <w:highlight w:val="none"/>
                <w:u w:val="single"/>
                <w:lang w:eastAsia="zh-CN"/>
              </w:rPr>
              <w:t>比选</w:t>
            </w:r>
            <w:r>
              <w:rPr>
                <w:rFonts w:hint="eastAsia"/>
                <w:b w:val="0"/>
                <w:color w:val="auto"/>
                <w:sz w:val="24"/>
                <w:highlight w:val="none"/>
                <w:u w:val="single"/>
              </w:rPr>
              <w:t>邀请</w:t>
            </w:r>
          </w:p>
          <w:p w14:paraId="16D09008">
            <w:pPr>
              <w:spacing w:line="360" w:lineRule="auto"/>
              <w:rPr>
                <w:rFonts w:hint="eastAsia" w:eastAsia="宋体"/>
                <w:color w:val="auto"/>
                <w:sz w:val="24"/>
                <w:highlight w:val="none"/>
                <w:u w:val="single"/>
                <w:lang w:eastAsia="zh-CN"/>
              </w:rPr>
            </w:pPr>
            <w:r>
              <w:rPr>
                <w:rFonts w:hint="eastAsia"/>
                <w:b/>
                <w:bCs/>
                <w:color w:val="auto"/>
                <w:sz w:val="24"/>
                <w:szCs w:val="18"/>
                <w:highlight w:val="none"/>
                <w:u w:val="single"/>
              </w:rPr>
              <w:t>备注：</w:t>
            </w:r>
            <w:r>
              <w:rPr>
                <w:rFonts w:hint="eastAsia"/>
                <w:b/>
                <w:color w:val="auto"/>
                <w:sz w:val="24"/>
                <w:szCs w:val="18"/>
                <w:highlight w:val="none"/>
                <w:u w:val="single"/>
                <w:lang w:eastAsia="zh-CN"/>
              </w:rPr>
              <w:t>供应商</w:t>
            </w:r>
            <w:r>
              <w:rPr>
                <w:rFonts w:hint="eastAsia"/>
                <w:b/>
                <w:bCs/>
                <w:color w:val="auto"/>
                <w:sz w:val="24"/>
                <w:szCs w:val="18"/>
                <w:highlight w:val="none"/>
                <w:u w:val="single"/>
              </w:rPr>
              <w:t>可以在线解密响应文件，无须现场参加</w:t>
            </w:r>
            <w:r>
              <w:rPr>
                <w:rFonts w:hint="eastAsia"/>
                <w:b/>
                <w:bCs/>
                <w:color w:val="auto"/>
                <w:sz w:val="24"/>
                <w:szCs w:val="18"/>
                <w:highlight w:val="none"/>
                <w:u w:val="single"/>
                <w:lang w:eastAsia="zh-CN"/>
              </w:rPr>
              <w:t>比选</w:t>
            </w:r>
          </w:p>
        </w:tc>
      </w:tr>
      <w:tr w14:paraId="134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A7DE02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14:paraId="1853013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14:paraId="7F97D5BB">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14:paraId="61F0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1B0D2707">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14:paraId="45037D4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确定成交候选人和成交人</w:t>
            </w:r>
          </w:p>
        </w:tc>
        <w:tc>
          <w:tcPr>
            <w:tcW w:w="6020" w:type="dxa"/>
            <w:vAlign w:val="center"/>
          </w:tcPr>
          <w:p w14:paraId="0E9AD6BC">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lang w:eastAsia="zh-CN"/>
              </w:rPr>
              <w:t>比选</w:t>
            </w:r>
            <w:r>
              <w:rPr>
                <w:rFonts w:hint="eastAsia"/>
                <w:b w:val="0"/>
                <w:color w:val="auto"/>
                <w:sz w:val="24"/>
                <w:highlight w:val="none"/>
              </w:rPr>
              <w:t>小组推荐成交</w:t>
            </w:r>
            <w:r>
              <w:rPr>
                <w:b w:val="0"/>
                <w:color w:val="auto"/>
                <w:sz w:val="24"/>
                <w:highlight w:val="none"/>
              </w:rPr>
              <w:t>候选</w:t>
            </w:r>
            <w:r>
              <w:rPr>
                <w:rFonts w:hint="eastAsia"/>
                <w:b w:val="0"/>
                <w:color w:val="auto"/>
                <w:sz w:val="24"/>
                <w:highlight w:val="none"/>
              </w:rPr>
              <w:t>人的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14:paraId="4D5A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104753E2">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14:paraId="04265189">
            <w:pPr>
              <w:pStyle w:val="38"/>
              <w:widowControl w:val="0"/>
              <w:spacing w:before="0" w:beforeAutospacing="0" w:after="0" w:afterAutospacing="0" w:line="360" w:lineRule="auto"/>
              <w:jc w:val="both"/>
              <w:rPr>
                <w:b w:val="0"/>
                <w:color w:val="auto"/>
                <w:sz w:val="24"/>
                <w:highlight w:val="none"/>
              </w:rPr>
            </w:pPr>
          </w:p>
        </w:tc>
        <w:tc>
          <w:tcPr>
            <w:tcW w:w="6020" w:type="dxa"/>
            <w:vAlign w:val="center"/>
          </w:tcPr>
          <w:p w14:paraId="33A2F3B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确定成交人：</w:t>
            </w:r>
          </w:p>
          <w:p w14:paraId="6CE87BF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委托</w:t>
            </w:r>
            <w:r>
              <w:rPr>
                <w:rFonts w:hint="eastAsia"/>
                <w:b w:val="0"/>
                <w:color w:val="auto"/>
                <w:sz w:val="24"/>
                <w:highlight w:val="none"/>
                <w:lang w:eastAsia="zh-CN"/>
              </w:rPr>
              <w:t>比选</w:t>
            </w:r>
            <w:r>
              <w:rPr>
                <w:rFonts w:hint="eastAsia"/>
                <w:b w:val="0"/>
                <w:color w:val="auto"/>
                <w:sz w:val="24"/>
                <w:highlight w:val="none"/>
              </w:rPr>
              <w:t>小组确定  □</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确定</w:t>
            </w:r>
          </w:p>
        </w:tc>
      </w:tr>
      <w:tr w14:paraId="4494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54662C1">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14:paraId="1726E39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020" w:type="dxa"/>
            <w:vAlign w:val="center"/>
          </w:tcPr>
          <w:p w14:paraId="1895010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14:paraId="7816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F906D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14:paraId="663AAF5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w:t>
            </w:r>
            <w:r>
              <w:rPr>
                <w:rFonts w:hint="eastAsia"/>
                <w:b w:val="0"/>
                <w:color w:val="auto"/>
                <w:sz w:val="24"/>
                <w:highlight w:val="none"/>
                <w:lang w:eastAsia="zh-CN"/>
              </w:rPr>
              <w:t>比选</w:t>
            </w:r>
            <w:r>
              <w:rPr>
                <w:rFonts w:hint="eastAsia"/>
                <w:b w:val="0"/>
                <w:color w:val="auto"/>
                <w:sz w:val="24"/>
                <w:highlight w:val="none"/>
              </w:rPr>
              <w:t>结果的形式</w:t>
            </w:r>
          </w:p>
        </w:tc>
        <w:tc>
          <w:tcPr>
            <w:tcW w:w="6020" w:type="dxa"/>
            <w:vAlign w:val="center"/>
          </w:tcPr>
          <w:p w14:paraId="70503DDE">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供应商</w:t>
            </w:r>
            <w:r>
              <w:rPr>
                <w:rFonts w:hint="eastAsia" w:cs="宋体"/>
                <w:b w:val="0"/>
                <w:bCs w:val="0"/>
                <w:color w:val="auto"/>
                <w:sz w:val="24"/>
                <w:szCs w:val="24"/>
                <w:highlight w:val="none"/>
              </w:rPr>
              <w:t>自行登录系统查看</w:t>
            </w:r>
          </w:p>
          <w:p w14:paraId="1B58F45C">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□比选</w:t>
            </w:r>
            <w:r>
              <w:rPr>
                <w:rFonts w:hint="eastAsia"/>
                <w:b w:val="0"/>
                <w:color w:val="auto"/>
                <w:sz w:val="24"/>
                <w:highlight w:val="none"/>
              </w:rPr>
              <w:t>现场告知</w:t>
            </w:r>
          </w:p>
        </w:tc>
      </w:tr>
      <w:tr w14:paraId="448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C7EB95">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14:paraId="248BE60E">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14:paraId="0419F8A9">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不收取</w:t>
            </w:r>
          </w:p>
          <w:p w14:paraId="6F96298B">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A3"/>
            </w:r>
            <w:r>
              <w:rPr>
                <w:rFonts w:hint="eastAsia" w:ascii="宋体" w:hAnsi="宋体" w:eastAsia="宋体" w:cs="宋体"/>
                <w:b w:val="0"/>
                <w:bCs/>
                <w:color w:val="auto"/>
                <w:sz w:val="24"/>
                <w:highlight w:val="none"/>
              </w:rPr>
              <w:t>收取</w:t>
            </w:r>
          </w:p>
          <w:p w14:paraId="35258CC1">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14:paraId="1C03903B">
            <w:pPr>
              <w:pStyle w:val="38"/>
              <w:widowControl w:val="0"/>
              <w:shd w:val="clear"/>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p>
          <w:p w14:paraId="3A0BC7B1">
            <w:pPr>
              <w:pStyle w:val="49"/>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14:paraId="2D17BD5E">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71A230B1">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14:paraId="587918C8">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14:paraId="38B47166">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14:paraId="49983B11">
            <w:pPr>
              <w:pStyle w:val="38"/>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14:paraId="23613F49">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14:paraId="52F6C12D">
            <w:pPr>
              <w:pStyle w:val="38"/>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14:paraId="6965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112144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14:paraId="28BA648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14:paraId="66351B1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14:paraId="08286E85">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14:paraId="6100C78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14:paraId="0C8D2D47">
            <w:pPr>
              <w:pStyle w:val="38"/>
              <w:widowControl w:val="0"/>
              <w:spacing w:before="0" w:beforeAutospacing="0" w:after="0" w:afterAutospacing="0" w:line="360" w:lineRule="auto"/>
              <w:jc w:val="both"/>
              <w:rPr>
                <w:b w:val="0"/>
                <w:color w:val="auto"/>
                <w:sz w:val="24"/>
                <w:highlight w:val="none"/>
                <w:u w:val="single"/>
              </w:rPr>
            </w:pPr>
            <w:r>
              <w:rPr>
                <w:b w:val="0"/>
                <w:color w:val="auto"/>
                <w:sz w:val="24"/>
                <w:highlight w:val="none"/>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rPr>
              <w:t>元</w:t>
            </w:r>
          </w:p>
          <w:p w14:paraId="076B3C67">
            <w:pPr>
              <w:pStyle w:val="38"/>
              <w:widowControl w:val="0"/>
              <w:spacing w:before="0" w:beforeAutospacing="0" w:after="0" w:afterAutospacing="0" w:line="360" w:lineRule="auto"/>
              <w:jc w:val="both"/>
              <w:rPr>
                <w:color w:val="auto"/>
                <w:sz w:val="24"/>
                <w:highlight w:val="none"/>
              </w:rPr>
            </w:pPr>
            <w:r>
              <w:rPr>
                <w:rFonts w:hint="eastAsia"/>
                <w:bCs w:val="0"/>
                <w:color w:val="auto"/>
                <w:sz w:val="24"/>
                <w:highlight w:val="none"/>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供应商</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14:paraId="6782C3D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14:paraId="0EB25F8C">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14:paraId="4DFF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F08971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14:paraId="03E532C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14:paraId="3B517947">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14:paraId="0DAA26F6">
            <w:pPr>
              <w:pStyle w:val="38"/>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14:paraId="492244F1">
            <w:pPr>
              <w:pStyle w:val="38"/>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14:paraId="25DCFFD6">
            <w:pPr>
              <w:pStyle w:val="3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14:paraId="7129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162B187">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14:paraId="20E2DE9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14:paraId="451F184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14:paraId="3260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F004609">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w:t>
            </w:r>
          </w:p>
        </w:tc>
        <w:tc>
          <w:tcPr>
            <w:tcW w:w="2031" w:type="dxa"/>
            <w:vAlign w:val="center"/>
          </w:tcPr>
          <w:p w14:paraId="092DD22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020" w:type="dxa"/>
            <w:vAlign w:val="center"/>
          </w:tcPr>
          <w:p w14:paraId="31674B3D">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53DA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26CD9EF">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14:paraId="0CB7EEB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14:paraId="63378D5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☑工程量清单综合单价报价法</w:t>
            </w:r>
          </w:p>
          <w:p w14:paraId="25835CB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671C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F868589">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14:paraId="411BC13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14:paraId="2A5FC82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12</w:t>
            </w:r>
            <w:r>
              <w:rPr>
                <w:b w:val="0"/>
                <w:color w:val="auto"/>
                <w:sz w:val="24"/>
                <w:highlight w:val="none"/>
              </w:rPr>
              <w:t>日历天</w:t>
            </w:r>
          </w:p>
          <w:p w14:paraId="672C6EEE">
            <w:pPr>
              <w:spacing w:line="360" w:lineRule="auto"/>
              <w:rPr>
                <w:rFonts w:hint="default"/>
                <w:b w:val="0"/>
                <w:color w:val="auto"/>
                <w:sz w:val="24"/>
                <w:highlight w:val="none"/>
                <w:lang w:val="en-US"/>
              </w:rPr>
            </w:pPr>
            <w:r>
              <w:rPr>
                <w:b w:val="0"/>
                <w:color w:val="auto"/>
                <w:sz w:val="24"/>
                <w:highlight w:val="none"/>
              </w:rPr>
              <w:t>计划开工日期</w:t>
            </w:r>
            <w:bookmarkStart w:id="13" w:name="EB2a2e1a22d449405a860670c095486ab8"/>
            <w:r>
              <w:rPr>
                <w:b w:val="0"/>
                <w:color w:val="auto"/>
                <w:sz w:val="24"/>
                <w:highlight w:val="none"/>
              </w:rPr>
              <w:t>：</w:t>
            </w:r>
            <w:bookmarkEnd w:id="13"/>
            <w:r>
              <w:rPr>
                <w:rFonts w:hint="eastAsia"/>
                <w:b w:val="0"/>
                <w:color w:val="auto"/>
                <w:sz w:val="24"/>
                <w:highlight w:val="none"/>
                <w:lang w:val="en-US" w:eastAsia="zh-CN"/>
              </w:rPr>
              <w:t>2025年9月30日</w:t>
            </w:r>
            <w:r>
              <w:rPr>
                <w:rFonts w:hint="default" w:cs="@仿宋_GB2312"/>
                <w:color w:val="auto"/>
                <w:kern w:val="2"/>
                <w:sz w:val="24"/>
                <w:szCs w:val="22"/>
                <w:highlight w:val="none"/>
                <w:lang w:val="en-US" w:eastAsia="zh-CN"/>
              </w:rPr>
              <w:t>。</w:t>
            </w:r>
          </w:p>
        </w:tc>
      </w:tr>
      <w:tr w14:paraId="4B6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653B00">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14:paraId="4342AD7E">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14:paraId="0F00479C">
            <w:pPr>
              <w:pStyle w:val="40"/>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14:paraId="5E48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C0E9C4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14:paraId="5DDC33AD">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14:paraId="68BAA00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w:t>
            </w:r>
            <w:r>
              <w:rPr>
                <w:rFonts w:hint="eastAsia"/>
                <w:b w:val="0"/>
                <w:color w:val="auto"/>
                <w:sz w:val="24"/>
                <w:highlight w:val="none"/>
                <w:lang w:eastAsia="zh-CN"/>
              </w:rPr>
              <w:t>项目经理</w:t>
            </w:r>
            <w:r>
              <w:rPr>
                <w:rFonts w:hint="eastAsia"/>
                <w:b w:val="0"/>
                <w:color w:val="auto"/>
                <w:sz w:val="24"/>
                <w:highlight w:val="none"/>
              </w:rPr>
              <w:t>，以下情形除外：</w:t>
            </w:r>
          </w:p>
          <w:p w14:paraId="269E59C3">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14:paraId="6CFD39A1">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②虽在其他项目上担任项目经理岗位，但本项目成交后能够从该项目撤离，全面履约。</w:t>
            </w:r>
          </w:p>
          <w:p w14:paraId="12F9340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）成交后若项目经理在其他项目上担任项目经理岗位，导致该项目经理无法进场履约的，</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可取消其成交资格。</w:t>
            </w:r>
          </w:p>
        </w:tc>
      </w:tr>
      <w:tr w14:paraId="07E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A1F111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14:paraId="0948869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14:paraId="131E2BD1">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必须确保安全文明施工，符合国家和项目所在地现行相关规定</w:t>
            </w:r>
          </w:p>
        </w:tc>
      </w:tr>
      <w:tr w14:paraId="5F3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BBC781B">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14:paraId="77941D3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14:paraId="097928B5">
            <w:pPr>
              <w:pStyle w:val="38"/>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不得在成交后将工程转包给其它施工单位。</w:t>
            </w:r>
          </w:p>
          <w:p w14:paraId="5F62B7F6">
            <w:pPr>
              <w:spacing w:line="360" w:lineRule="auto"/>
              <w:jc w:val="left"/>
              <w:rPr>
                <w:b/>
                <w:color w:val="auto"/>
                <w:sz w:val="24"/>
                <w:highlight w:val="none"/>
              </w:rPr>
            </w:pPr>
            <w:r>
              <w:rPr>
                <w:rFonts w:hint="eastAsia"/>
                <w:b/>
                <w:color w:val="auto"/>
                <w:sz w:val="24"/>
                <w:highlight w:val="none"/>
              </w:rPr>
              <w:t>分包情况</w:t>
            </w:r>
          </w:p>
          <w:p w14:paraId="7A15F61A">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color w:val="auto"/>
                <w:sz w:val="24"/>
                <w:szCs w:val="18"/>
                <w:highlight w:val="none"/>
              </w:rPr>
              <w:t>业主</w:t>
            </w:r>
            <w:r>
              <w:rPr>
                <w:rFonts w:hint="eastAsia"/>
                <w:color w:val="auto"/>
                <w:sz w:val="24"/>
                <w:szCs w:val="18"/>
                <w:highlight w:val="none"/>
              </w:rPr>
              <w:t>单位</w:t>
            </w:r>
            <w:r>
              <w:rPr>
                <w:rFonts w:hint="eastAsia"/>
                <w:color w:val="auto"/>
                <w:sz w:val="24"/>
                <w:highlight w:val="none"/>
              </w:rPr>
              <w:t>及监理单位同意和认可</w:t>
            </w:r>
          </w:p>
          <w:p w14:paraId="416F6DE6">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14:paraId="5F61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63E501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14:paraId="3BB7965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14:paraId="58ADF31A">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216E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9D5C06F">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14:paraId="695C63A0">
            <w:pPr>
              <w:pStyle w:val="38"/>
              <w:widowControl w:val="0"/>
              <w:spacing w:before="0" w:beforeAutospacing="0" w:after="0" w:afterAutospacing="0" w:line="360" w:lineRule="auto"/>
              <w:jc w:val="both"/>
              <w:rPr>
                <w:b w:val="0"/>
                <w:color w:val="auto"/>
                <w:sz w:val="24"/>
                <w:highlight w:val="none"/>
              </w:rPr>
            </w:pPr>
            <w:r>
              <w:rPr>
                <w:b w:val="0"/>
                <w:color w:val="auto"/>
                <w:sz w:val="24"/>
                <w:szCs w:val="18"/>
                <w:highlight w:val="none"/>
              </w:rPr>
              <w:t>业主</w:t>
            </w:r>
            <w:r>
              <w:rPr>
                <w:rFonts w:hint="eastAsia"/>
                <w:b w:val="0"/>
                <w:color w:val="auto"/>
                <w:sz w:val="24"/>
                <w:szCs w:val="18"/>
                <w:highlight w:val="none"/>
              </w:rPr>
              <w:t>单位</w:t>
            </w:r>
            <w:r>
              <w:rPr>
                <w:rFonts w:hint="eastAsia"/>
                <w:b w:val="0"/>
                <w:bCs w:val="0"/>
                <w:color w:val="auto"/>
                <w:sz w:val="24"/>
                <w:highlight w:val="none"/>
              </w:rPr>
              <w:t>提供的资料</w:t>
            </w:r>
          </w:p>
        </w:tc>
        <w:tc>
          <w:tcPr>
            <w:tcW w:w="6020" w:type="dxa"/>
            <w:vAlign w:val="center"/>
          </w:tcPr>
          <w:p w14:paraId="4048A398">
            <w:pPr>
              <w:adjustRightInd w:val="0"/>
              <w:snapToGrid w:val="0"/>
              <w:spacing w:line="360" w:lineRule="auto"/>
              <w:jc w:val="left"/>
              <w:rPr>
                <w:bCs/>
                <w:color w:val="auto"/>
                <w:sz w:val="24"/>
                <w:szCs w:val="28"/>
                <w:highlight w:val="none"/>
              </w:rPr>
            </w:pPr>
            <w:r>
              <w:rPr>
                <w:rFonts w:hint="eastAsia"/>
                <w:bCs/>
                <w:color w:val="auto"/>
                <w:sz w:val="24"/>
                <w:szCs w:val="28"/>
                <w:highlight w:val="none"/>
              </w:rPr>
              <w:t>☑</w:t>
            </w:r>
            <w:r>
              <w:rPr>
                <w:rFonts w:hint="eastAsia"/>
                <w:bCs/>
                <w:color w:val="auto"/>
                <w:sz w:val="24"/>
                <w:szCs w:val="28"/>
                <w:highlight w:val="none"/>
                <w:lang w:eastAsia="zh-CN"/>
              </w:rPr>
              <w:t>比选</w:t>
            </w:r>
            <w:r>
              <w:rPr>
                <w:rFonts w:hint="eastAsia"/>
                <w:bCs/>
                <w:color w:val="auto"/>
                <w:sz w:val="24"/>
                <w:szCs w:val="28"/>
                <w:highlight w:val="none"/>
              </w:rPr>
              <w:t>文件</w:t>
            </w:r>
          </w:p>
          <w:p w14:paraId="71E258B2">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1B73CFC3">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14:paraId="7DAA61D2">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3EFB359C">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0F8DBF56">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供应商</w:t>
            </w:r>
            <w:r>
              <w:rPr>
                <w:rFonts w:hint="eastAsia"/>
                <w:b/>
                <w:bCs/>
                <w:color w:val="auto"/>
                <w:sz w:val="24"/>
                <w:highlight w:val="none"/>
              </w:rPr>
              <w:t>在获取</w:t>
            </w:r>
            <w:r>
              <w:rPr>
                <w:rFonts w:hint="eastAsia"/>
                <w:b/>
                <w:bCs/>
                <w:color w:val="auto"/>
                <w:sz w:val="24"/>
                <w:highlight w:val="none"/>
                <w:lang w:eastAsia="zh-CN"/>
              </w:rPr>
              <w:t>比选</w:t>
            </w:r>
            <w:r>
              <w:rPr>
                <w:rFonts w:hint="eastAsia"/>
                <w:b/>
                <w:bCs/>
                <w:color w:val="auto"/>
                <w:sz w:val="24"/>
                <w:highlight w:val="none"/>
              </w:rPr>
              <w:t>文件后，自行登陆系统下载本项目附件。</w:t>
            </w:r>
          </w:p>
        </w:tc>
      </w:tr>
      <w:tr w14:paraId="0DE2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7F69540">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10</w:t>
            </w:r>
          </w:p>
        </w:tc>
        <w:tc>
          <w:tcPr>
            <w:tcW w:w="2031" w:type="dxa"/>
            <w:vAlign w:val="center"/>
          </w:tcPr>
          <w:p w14:paraId="148611E2">
            <w:pPr>
              <w:pStyle w:val="38"/>
              <w:widowControl w:val="0"/>
              <w:spacing w:before="0" w:beforeAutospacing="0" w:after="0" w:afterAutospacing="0" w:line="360" w:lineRule="auto"/>
              <w:jc w:val="both"/>
              <w:rPr>
                <w:rFonts w:hint="eastAsia" w:ascii="宋体" w:hAnsi="宋体" w:eastAsia="宋体" w:cs="Times New Roman"/>
                <w:b w:val="0"/>
                <w:color w:val="auto"/>
                <w:sz w:val="24"/>
                <w:szCs w:val="18"/>
                <w:highlight w:val="none"/>
              </w:rPr>
            </w:pPr>
            <w:r>
              <w:rPr>
                <w:rFonts w:hint="eastAsia" w:ascii="宋体" w:hAnsi="宋体" w:eastAsia="宋体" w:cs="Times New Roman"/>
                <w:b w:val="0"/>
                <w:color w:val="auto"/>
                <w:sz w:val="24"/>
                <w:szCs w:val="18"/>
                <w:highlight w:val="none"/>
                <w:lang w:val="en-US" w:eastAsia="zh-CN"/>
              </w:rPr>
              <w:t>工程量清单和最高投标限价（控制价）编制审核费</w:t>
            </w:r>
          </w:p>
        </w:tc>
        <w:tc>
          <w:tcPr>
            <w:tcW w:w="6020" w:type="dxa"/>
            <w:vAlign w:val="center"/>
          </w:tcPr>
          <w:p w14:paraId="0E4258D2">
            <w:pPr>
              <w:adjustRightInd w:val="0"/>
              <w:snapToGrid w:val="0"/>
              <w:spacing w:line="360" w:lineRule="auto"/>
              <w:jc w:val="left"/>
              <w:rPr>
                <w:rFonts w:hint="eastAsia"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□不收取</w:t>
            </w:r>
          </w:p>
          <w:p w14:paraId="1A286D7B">
            <w:pPr>
              <w:adjustRightInd w:val="0"/>
              <w:snapToGrid w:val="0"/>
              <w:spacing w:line="360" w:lineRule="auto"/>
              <w:jc w:val="left"/>
              <w:rPr>
                <w:rFonts w:hint="eastAsia"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☑收取</w:t>
            </w:r>
          </w:p>
          <w:p w14:paraId="12B90F51">
            <w:pPr>
              <w:adjustRightInd w:val="0"/>
              <w:snapToGrid w:val="0"/>
              <w:spacing w:line="360" w:lineRule="auto"/>
              <w:jc w:val="left"/>
              <w:rPr>
                <w:rFonts w:hint="eastAsia" w:ascii="宋体" w:hAnsi="宋体" w:eastAsia="宋体" w:cs="Times New Roman"/>
                <w:bCs/>
                <w:color w:val="auto"/>
                <w:sz w:val="24"/>
                <w:szCs w:val="28"/>
                <w:highlight w:val="none"/>
                <w:lang w:eastAsia="zh-CN"/>
              </w:rPr>
            </w:pPr>
            <w:r>
              <w:rPr>
                <w:rFonts w:hint="eastAsia" w:ascii="宋体" w:hAnsi="宋体" w:eastAsia="宋体" w:cs="Times New Roman"/>
                <w:bCs/>
                <w:color w:val="auto"/>
                <w:sz w:val="24"/>
                <w:szCs w:val="28"/>
                <w:highlight w:val="none"/>
              </w:rPr>
              <w:t>（1）金额</w:t>
            </w:r>
            <w:r>
              <w:rPr>
                <w:rFonts w:hint="eastAsia" w:ascii="宋体" w:hAnsi="宋体" w:eastAsia="宋体" w:cs="Times New Roman"/>
                <w:bCs/>
                <w:color w:val="auto"/>
                <w:sz w:val="24"/>
                <w:szCs w:val="28"/>
                <w:highlight w:val="none"/>
                <w:lang w:eastAsia="zh-CN"/>
              </w:rPr>
              <w:t>：</w:t>
            </w:r>
          </w:p>
          <w:p w14:paraId="57A25B79">
            <w:pPr>
              <w:adjustRightInd w:val="0"/>
              <w:snapToGrid w:val="0"/>
              <w:spacing w:line="360" w:lineRule="auto"/>
              <w:jc w:val="left"/>
              <w:rPr>
                <w:rFonts w:hint="default" w:ascii="宋体" w:hAnsi="宋体" w:eastAsia="宋体" w:cs="Times New Roman"/>
                <w:bCs/>
                <w:color w:val="auto"/>
                <w:sz w:val="24"/>
                <w:szCs w:val="28"/>
                <w:highlight w:val="none"/>
                <w:lang w:val="en-US" w:eastAsia="zh-CN"/>
              </w:rPr>
            </w:pPr>
            <w:r>
              <w:rPr>
                <w:rFonts w:hint="eastAsia" w:ascii="宋体" w:hAnsi="宋体" w:eastAsia="宋体" w:cs="Times New Roman"/>
                <w:bCs/>
                <w:color w:val="auto"/>
                <w:sz w:val="24"/>
                <w:szCs w:val="28"/>
                <w:highlight w:val="none"/>
                <w:lang w:eastAsia="zh-CN"/>
              </w:rPr>
              <w:t>□</w:t>
            </w:r>
            <w:r>
              <w:rPr>
                <w:rFonts w:hint="eastAsia" w:ascii="宋体" w:hAnsi="宋体" w:eastAsia="宋体" w:cs="Times New Roman"/>
                <w:bCs/>
                <w:color w:val="auto"/>
                <w:sz w:val="24"/>
                <w:szCs w:val="28"/>
                <w:highlight w:val="none"/>
              </w:rPr>
              <w:t>定额收取：人民币</w:t>
            </w:r>
            <w:r>
              <w:rPr>
                <w:rFonts w:hint="eastAsia" w:ascii="宋体" w:hAnsi="宋体" w:eastAsia="宋体" w:cs="Times New Roman"/>
                <w:bCs/>
                <w:color w:val="auto"/>
                <w:sz w:val="24"/>
                <w:szCs w:val="28"/>
                <w:highlight w:val="none"/>
                <w:u w:val="single"/>
              </w:rPr>
              <w:t xml:space="preserve"> </w:t>
            </w:r>
            <w:r>
              <w:rPr>
                <w:rFonts w:hint="eastAsia" w:ascii="宋体" w:hAnsi="宋体" w:eastAsia="宋体" w:cs="Times New Roman"/>
                <w:bCs/>
                <w:color w:val="auto"/>
                <w:sz w:val="24"/>
                <w:szCs w:val="28"/>
                <w:highlight w:val="none"/>
                <w:u w:val="single"/>
                <w:lang w:val="en-US" w:eastAsia="zh-CN"/>
              </w:rPr>
              <w:t xml:space="preserve"> </w:t>
            </w:r>
            <w:r>
              <w:rPr>
                <w:rFonts w:hint="eastAsia" w:ascii="宋体" w:hAnsi="宋体" w:eastAsia="宋体" w:cs="Times New Roman"/>
                <w:bCs/>
                <w:color w:val="auto"/>
                <w:sz w:val="24"/>
                <w:szCs w:val="28"/>
                <w:highlight w:val="none"/>
                <w:u w:val="single"/>
              </w:rPr>
              <w:t xml:space="preserve"> </w:t>
            </w:r>
            <w:r>
              <w:rPr>
                <w:rFonts w:hint="eastAsia" w:ascii="宋体" w:hAnsi="宋体" w:eastAsia="宋体" w:cs="Times New Roman"/>
                <w:bCs/>
                <w:color w:val="auto"/>
                <w:sz w:val="24"/>
                <w:szCs w:val="28"/>
                <w:highlight w:val="none"/>
              </w:rPr>
              <w:t>元</w:t>
            </w:r>
          </w:p>
          <w:p w14:paraId="55C1CBC4">
            <w:pPr>
              <w:adjustRightInd w:val="0"/>
              <w:snapToGrid w:val="0"/>
              <w:spacing w:line="360" w:lineRule="auto"/>
              <w:jc w:val="left"/>
              <w:rPr>
                <w:rFonts w:hint="default" w:ascii="宋体" w:hAnsi="宋体" w:eastAsia="宋体" w:cs="Times New Roman"/>
                <w:bCs/>
                <w:color w:val="auto"/>
                <w:sz w:val="24"/>
                <w:szCs w:val="28"/>
                <w:highlight w:val="none"/>
                <w:lang w:val="en-US" w:eastAsia="zh-CN"/>
              </w:rPr>
            </w:pPr>
            <w:r>
              <w:rPr>
                <w:rFonts w:hint="eastAsia" w:ascii="宋体" w:hAnsi="宋体" w:eastAsia="宋体" w:cs="Times New Roman"/>
                <w:bCs/>
                <w:color w:val="auto"/>
                <w:sz w:val="24"/>
                <w:szCs w:val="28"/>
                <w:highlight w:val="none"/>
                <w:lang w:eastAsia="zh-CN"/>
              </w:rPr>
              <w:t>☑</w:t>
            </w:r>
            <w:r>
              <w:rPr>
                <w:rFonts w:hint="eastAsia" w:ascii="宋体" w:hAnsi="宋体" w:eastAsia="宋体" w:cs="Times New Roman"/>
                <w:bCs/>
                <w:color w:val="auto"/>
                <w:sz w:val="24"/>
                <w:szCs w:val="28"/>
                <w:highlight w:val="none"/>
              </w:rPr>
              <w:t>按下列标准收取：以</w:t>
            </w:r>
            <w:r>
              <w:rPr>
                <w:rFonts w:hint="eastAsia" w:ascii="宋体" w:hAnsi="宋体" w:eastAsia="宋体" w:cs="Times New Roman"/>
                <w:bCs/>
                <w:color w:val="auto"/>
                <w:sz w:val="24"/>
                <w:szCs w:val="28"/>
                <w:highlight w:val="none"/>
                <w:lang w:val="en-US" w:eastAsia="zh-CN"/>
              </w:rPr>
              <w:t>成交金额</w:t>
            </w:r>
            <w:r>
              <w:rPr>
                <w:rFonts w:hint="eastAsia" w:ascii="宋体" w:hAnsi="宋体" w:eastAsia="宋体" w:cs="Times New Roman"/>
                <w:bCs/>
                <w:color w:val="auto"/>
                <w:sz w:val="24"/>
                <w:szCs w:val="28"/>
                <w:highlight w:val="none"/>
              </w:rPr>
              <w:t>为计算基数，分标段参照皖价服（2007）86号文件规定的标准收取，不足1000元的按1000元收取。</w:t>
            </w:r>
          </w:p>
          <w:p w14:paraId="30710A2D">
            <w:pPr>
              <w:adjustRightInd w:val="0"/>
              <w:snapToGrid w:val="0"/>
              <w:spacing w:line="360" w:lineRule="auto"/>
              <w:jc w:val="left"/>
              <w:rPr>
                <w:rFonts w:hint="eastAsia"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（2）支付方式：☑转账/电汇</w:t>
            </w:r>
          </w:p>
          <w:p w14:paraId="0C6ABD9D">
            <w:pPr>
              <w:adjustRightInd w:val="0"/>
              <w:snapToGrid w:val="0"/>
              <w:spacing w:line="360" w:lineRule="auto"/>
              <w:jc w:val="left"/>
              <w:rPr>
                <w:rFonts w:hint="eastAsia"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（3）收取单位：</w:t>
            </w:r>
            <w:r>
              <w:rPr>
                <w:rFonts w:hint="eastAsia" w:ascii="宋体" w:hAnsi="宋体" w:eastAsia="宋体" w:cs="Times New Roman"/>
                <w:bCs/>
                <w:color w:val="auto"/>
                <w:sz w:val="24"/>
                <w:szCs w:val="28"/>
                <w:highlight w:val="none"/>
                <w:lang w:eastAsia="zh-CN"/>
              </w:rPr>
              <w:t>肥西县派合商务服务有限公司</w:t>
            </w:r>
          </w:p>
        </w:tc>
      </w:tr>
      <w:tr w14:paraId="1A35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FDBBC8E">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14:paraId="4A0C73BC">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14:paraId="67DE6789">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供应商</w:t>
            </w:r>
            <w:r>
              <w:rPr>
                <w:rFonts w:hint="eastAsia"/>
                <w:bCs/>
                <w:color w:val="auto"/>
                <w:sz w:val="24"/>
                <w:szCs w:val="28"/>
                <w:highlight w:val="none"/>
              </w:rPr>
              <w:t>本单位工作人员，提供虚假资料谋取成交将被依法处罚，记入不良行为记录，并予以曝光。</w:t>
            </w:r>
          </w:p>
          <w:p w14:paraId="57EA8FF5">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14:paraId="1CA26FA9">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供应商</w:t>
            </w:r>
            <w:r>
              <w:rPr>
                <w:rFonts w:hint="eastAsia"/>
                <w:bCs/>
                <w:color w:val="auto"/>
                <w:sz w:val="24"/>
                <w:szCs w:val="28"/>
                <w:highlight w:val="none"/>
              </w:rPr>
              <w:t>对所提交的</w:t>
            </w:r>
            <w:r>
              <w:rPr>
                <w:rFonts w:hint="eastAsia"/>
                <w:color w:val="auto"/>
                <w:sz w:val="24"/>
                <w:szCs w:val="18"/>
                <w:highlight w:val="none"/>
                <w:lang w:eastAsia="zh-CN"/>
              </w:rPr>
              <w:t>供应商</w:t>
            </w:r>
            <w:r>
              <w:rPr>
                <w:rFonts w:hint="eastAsia"/>
                <w:bCs/>
                <w:color w:val="auto"/>
                <w:sz w:val="24"/>
                <w:szCs w:val="28"/>
                <w:highlight w:val="none"/>
              </w:rPr>
              <w:t>或拟派项目经理业绩、</w:t>
            </w:r>
            <w:r>
              <w:rPr>
                <w:rFonts w:hint="eastAsia"/>
                <w:color w:val="auto"/>
                <w:sz w:val="24"/>
                <w:szCs w:val="18"/>
                <w:highlight w:val="none"/>
                <w:lang w:eastAsia="zh-CN"/>
              </w:rPr>
              <w:t>供应商</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75B12F59">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rPr>
              <w:t>业主单位</w:t>
            </w:r>
            <w:r>
              <w:rPr>
                <w:rFonts w:hint="eastAsia"/>
                <w:bCs/>
                <w:color w:val="auto"/>
                <w:sz w:val="24"/>
                <w:szCs w:val="28"/>
                <w:highlight w:val="none"/>
              </w:rPr>
              <w:t>和成交人未履行下述义务的，将依法对</w:t>
            </w:r>
            <w:r>
              <w:rPr>
                <w:rFonts w:hint="eastAsia"/>
                <w:color w:val="auto"/>
                <w:sz w:val="24"/>
                <w:szCs w:val="18"/>
                <w:highlight w:val="none"/>
              </w:rPr>
              <w:t>业主单位</w:t>
            </w:r>
            <w:r>
              <w:rPr>
                <w:rFonts w:hint="eastAsia"/>
                <w:bCs/>
                <w:color w:val="auto"/>
                <w:sz w:val="24"/>
                <w:szCs w:val="28"/>
                <w:highlight w:val="none"/>
              </w:rPr>
              <w:t>和成交人进行处理，追究相关责任：</w:t>
            </w:r>
          </w:p>
          <w:p w14:paraId="034185B5">
            <w:pPr>
              <w:adjustRightInd w:val="0"/>
              <w:spacing w:line="360" w:lineRule="auto"/>
              <w:jc w:val="left"/>
              <w:rPr>
                <w:bCs/>
                <w:color w:val="auto"/>
                <w:sz w:val="24"/>
                <w:szCs w:val="28"/>
                <w:highlight w:val="none"/>
              </w:rPr>
            </w:pPr>
            <w:r>
              <w:rPr>
                <w:rFonts w:hint="eastAsia"/>
                <w:bCs/>
                <w:color w:val="auto"/>
                <w:sz w:val="24"/>
                <w:szCs w:val="28"/>
                <w:highlight w:val="none"/>
              </w:rPr>
              <w:t>①</w:t>
            </w:r>
            <w:r>
              <w:rPr>
                <w:rFonts w:hint="eastAsia"/>
                <w:bCs/>
                <w:color w:val="auto"/>
                <w:sz w:val="24"/>
                <w:szCs w:val="28"/>
                <w:highlight w:val="none"/>
                <w:lang w:eastAsia="zh-CN"/>
              </w:rPr>
              <w:t>比选</w:t>
            </w:r>
            <w:r>
              <w:rPr>
                <w:rFonts w:hint="eastAsia"/>
                <w:bCs/>
                <w:color w:val="auto"/>
                <w:sz w:val="24"/>
                <w:szCs w:val="28"/>
                <w:highlight w:val="none"/>
              </w:rPr>
              <w:t xml:space="preserve">文件载明在规定期限内成交人应领取《成交通知书》，若成交人未在规定期限内领取《成交通知书》， </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0F15545F">
            <w:pPr>
              <w:adjustRightInd w:val="0"/>
              <w:spacing w:line="360" w:lineRule="auto"/>
              <w:jc w:val="left"/>
              <w:rPr>
                <w:bCs/>
                <w:color w:val="auto"/>
                <w:sz w:val="24"/>
                <w:szCs w:val="28"/>
                <w:highlight w:val="none"/>
              </w:rPr>
            </w:pPr>
            <w:r>
              <w:rPr>
                <w:rFonts w:hint="eastAsia"/>
                <w:bCs/>
                <w:color w:val="auto"/>
                <w:sz w:val="24"/>
                <w:szCs w:val="28"/>
                <w:highlight w:val="none"/>
              </w:rPr>
              <w:t>②成交人应在规定期限内提交履约担保并与</w:t>
            </w:r>
            <w:r>
              <w:rPr>
                <w:rFonts w:hint="eastAsia"/>
                <w:color w:val="auto"/>
                <w:sz w:val="24"/>
                <w:szCs w:val="18"/>
                <w:highlight w:val="none"/>
              </w:rPr>
              <w:t>业主单位</w:t>
            </w:r>
            <w:r>
              <w:rPr>
                <w:rFonts w:hint="eastAsia"/>
                <w:bCs/>
                <w:color w:val="auto"/>
                <w:sz w:val="24"/>
                <w:szCs w:val="28"/>
                <w:highlight w:val="none"/>
              </w:rPr>
              <w:t>签订合同，若成交人未能在规定期限内提交履约担保或签订合同，</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09650E02">
            <w:pPr>
              <w:adjustRightInd w:val="0"/>
              <w:spacing w:line="360" w:lineRule="auto"/>
              <w:jc w:val="left"/>
              <w:rPr>
                <w:bCs/>
                <w:color w:val="auto"/>
                <w:sz w:val="24"/>
                <w:szCs w:val="28"/>
                <w:highlight w:val="none"/>
              </w:rPr>
            </w:pPr>
            <w:r>
              <w:rPr>
                <w:rFonts w:hint="eastAsia"/>
                <w:bCs/>
                <w:color w:val="auto"/>
                <w:sz w:val="24"/>
                <w:szCs w:val="28"/>
                <w:highlight w:val="none"/>
              </w:rPr>
              <w:t>③合同签订后，成交人存在规定时间内不组织人员进场开工、不履行供货安装义务等情况，</w:t>
            </w:r>
            <w:r>
              <w:rPr>
                <w:rFonts w:hint="eastAsia"/>
                <w:color w:val="auto"/>
                <w:sz w:val="24"/>
                <w:szCs w:val="18"/>
                <w:highlight w:val="none"/>
              </w:rPr>
              <w:t>业主单位</w:t>
            </w:r>
            <w:r>
              <w:rPr>
                <w:rFonts w:hint="eastAsia"/>
                <w:bCs/>
                <w:color w:val="auto"/>
                <w:sz w:val="24"/>
                <w:szCs w:val="28"/>
                <w:highlight w:val="none"/>
              </w:rPr>
              <w:t>有权解除合同，并追究违约责任，同时将相关违约行为报送监管部门，记不良行为记录，实施信用惩戒；</w:t>
            </w:r>
          </w:p>
          <w:p w14:paraId="0F82D4FA">
            <w:pPr>
              <w:adjustRightInd w:val="0"/>
              <w:spacing w:line="360" w:lineRule="auto"/>
              <w:jc w:val="left"/>
              <w:rPr>
                <w:bCs/>
                <w:color w:val="auto"/>
                <w:sz w:val="24"/>
                <w:szCs w:val="28"/>
                <w:highlight w:val="none"/>
              </w:rPr>
            </w:pPr>
            <w:r>
              <w:rPr>
                <w:rFonts w:hint="eastAsia"/>
                <w:bCs/>
                <w:color w:val="auto"/>
                <w:sz w:val="24"/>
                <w:szCs w:val="28"/>
                <w:highlight w:val="none"/>
              </w:rPr>
              <w:t>④成交人在成交后被监管部门查实存在违法行为，不满足</w:t>
            </w:r>
            <w:r>
              <w:rPr>
                <w:rFonts w:hint="eastAsia"/>
                <w:bCs/>
                <w:color w:val="auto"/>
                <w:sz w:val="24"/>
                <w:szCs w:val="28"/>
                <w:highlight w:val="none"/>
                <w:lang w:eastAsia="zh-CN"/>
              </w:rPr>
              <w:t>比选</w:t>
            </w:r>
            <w:r>
              <w:rPr>
                <w:rFonts w:hint="eastAsia"/>
                <w:bCs/>
                <w:color w:val="auto"/>
                <w:sz w:val="24"/>
                <w:szCs w:val="28"/>
                <w:highlight w:val="none"/>
              </w:rPr>
              <w:t>条件的，由</w:t>
            </w:r>
            <w:r>
              <w:rPr>
                <w:rFonts w:hint="eastAsia"/>
                <w:color w:val="auto"/>
                <w:sz w:val="24"/>
                <w:szCs w:val="18"/>
                <w:highlight w:val="none"/>
              </w:rPr>
              <w:t>业主单位</w:t>
            </w:r>
            <w:r>
              <w:rPr>
                <w:rFonts w:hint="eastAsia"/>
                <w:bCs/>
                <w:color w:val="auto"/>
                <w:sz w:val="24"/>
                <w:szCs w:val="28"/>
                <w:highlight w:val="none"/>
              </w:rPr>
              <w:t>取消其资格，并做好项目后续工作；</w:t>
            </w:r>
          </w:p>
          <w:p w14:paraId="79DABF37">
            <w:pPr>
              <w:adjustRightInd w:val="0"/>
              <w:spacing w:line="360" w:lineRule="auto"/>
              <w:jc w:val="left"/>
              <w:rPr>
                <w:color w:val="auto"/>
                <w:sz w:val="24"/>
                <w:highlight w:val="none"/>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rPr>
              <w:t>业主单位</w:t>
            </w:r>
            <w:r>
              <w:rPr>
                <w:rFonts w:hint="eastAsia"/>
                <w:bCs/>
                <w:color w:val="auto"/>
                <w:sz w:val="24"/>
                <w:szCs w:val="28"/>
                <w:highlight w:val="none"/>
              </w:rPr>
              <w:t>可以解除合同，并追究其违约责任。</w:t>
            </w:r>
          </w:p>
        </w:tc>
      </w:tr>
      <w:tr w14:paraId="447A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3327B71">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14:paraId="39FB43B4">
            <w:pPr>
              <w:pStyle w:val="41"/>
              <w:spacing w:line="360" w:lineRule="auto"/>
              <w:jc w:val="left"/>
              <w:rPr>
                <w:color w:val="auto"/>
                <w:sz w:val="24"/>
                <w:highlight w:val="none"/>
              </w:rPr>
            </w:pPr>
            <w:r>
              <w:rPr>
                <w:color w:val="auto"/>
                <w:sz w:val="24"/>
                <w:highlight w:val="none"/>
              </w:rPr>
              <w:t>同义词语</w:t>
            </w:r>
          </w:p>
        </w:tc>
        <w:tc>
          <w:tcPr>
            <w:tcW w:w="6020" w:type="dxa"/>
            <w:vAlign w:val="center"/>
          </w:tcPr>
          <w:p w14:paraId="5C152013">
            <w:pPr>
              <w:pStyle w:val="41"/>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lang w:eastAsia="zh-CN"/>
              </w:rPr>
              <w:t>比选</w:t>
            </w:r>
            <w:r>
              <w:rPr>
                <w:color w:val="auto"/>
                <w:spacing w:val="-1"/>
                <w:sz w:val="24"/>
                <w:highlight w:val="none"/>
              </w:rPr>
              <w:t xml:space="preserve">文件组成部分的“通用合同条款”、“专用合同条款”、“技术标准和要求”和“工程量清单”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lang w:eastAsia="zh-CN"/>
              </w:rPr>
              <w:t>比选</w:t>
            </w:r>
            <w:r>
              <w:rPr>
                <w:color w:val="auto"/>
                <w:sz w:val="24"/>
                <w:highlight w:val="none"/>
              </w:rPr>
              <w:t>阶段的“</w:t>
            </w:r>
            <w:r>
              <w:rPr>
                <w:rFonts w:hint="eastAsia"/>
                <w:color w:val="auto"/>
                <w:sz w:val="24"/>
                <w:szCs w:val="18"/>
                <w:highlight w:val="none"/>
              </w:rPr>
              <w:t>业主单位</w:t>
            </w:r>
            <w:r>
              <w:rPr>
                <w:color w:val="auto"/>
                <w:sz w:val="24"/>
                <w:highlight w:val="none"/>
              </w:rPr>
              <w:t>”和“</w:t>
            </w:r>
            <w:r>
              <w:rPr>
                <w:rFonts w:hint="eastAsia"/>
                <w:color w:val="auto"/>
                <w:sz w:val="24"/>
                <w:szCs w:val="18"/>
                <w:highlight w:val="none"/>
                <w:lang w:val="en-US" w:eastAsia="zh-CN"/>
              </w:rPr>
              <w:t>成交人</w:t>
            </w:r>
            <w:r>
              <w:rPr>
                <w:color w:val="auto"/>
                <w:sz w:val="24"/>
                <w:highlight w:val="none"/>
              </w:rPr>
              <w:t>”。</w:t>
            </w:r>
          </w:p>
        </w:tc>
      </w:tr>
      <w:tr w14:paraId="005E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FDD6764">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14:paraId="113D66ED">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14:paraId="59CDD449">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14:paraId="479E7A4D">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w:t>
            </w:r>
            <w:r>
              <w:rPr>
                <w:rFonts w:hint="eastAsia"/>
                <w:b w:val="0"/>
                <w:color w:val="auto"/>
                <w:sz w:val="24"/>
                <w:highlight w:val="none"/>
                <w:lang w:eastAsia="zh-CN"/>
              </w:rPr>
              <w:t>比选</w:t>
            </w:r>
            <w:r>
              <w:rPr>
                <w:rFonts w:hint="eastAsia"/>
                <w:b w:val="0"/>
                <w:color w:val="auto"/>
                <w:sz w:val="24"/>
                <w:highlight w:val="none"/>
              </w:rPr>
              <w:t>文件中要求提供的社保</w:t>
            </w:r>
            <w:r>
              <w:rPr>
                <w:b w:val="0"/>
                <w:color w:val="auto"/>
                <w:sz w:val="24"/>
                <w:highlight w:val="none"/>
              </w:rPr>
              <w:t>证明材料</w:t>
            </w:r>
            <w:r>
              <w:rPr>
                <w:rFonts w:hint="eastAsia"/>
                <w:b w:val="0"/>
                <w:color w:val="auto"/>
                <w:sz w:val="24"/>
                <w:highlight w:val="none"/>
              </w:rPr>
              <w:t>为下述形式之一（响应文件中须提供扫描件）：</w:t>
            </w:r>
          </w:p>
          <w:p w14:paraId="5FECB45B">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14:paraId="5B8DED9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14:paraId="1D69E06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供应商</w:t>
            </w:r>
            <w:r>
              <w:rPr>
                <w:b w:val="0"/>
                <w:color w:val="auto"/>
                <w:sz w:val="24"/>
                <w:highlight w:val="none"/>
              </w:rPr>
              <w:t>委托的第三方人力资源服务机构或与</w:t>
            </w:r>
            <w:r>
              <w:rPr>
                <w:rFonts w:hint="eastAsia"/>
                <w:b w:val="0"/>
                <w:color w:val="auto"/>
                <w:sz w:val="24"/>
                <w:szCs w:val="18"/>
                <w:highlight w:val="none"/>
                <w:lang w:eastAsia="zh-CN"/>
              </w:rPr>
              <w:t>供应商</w:t>
            </w:r>
            <w:r>
              <w:rPr>
                <w:b w:val="0"/>
                <w:color w:val="auto"/>
                <w:sz w:val="24"/>
                <w:highlight w:val="none"/>
              </w:rPr>
              <w:t>有直接隶属关系的机构可以代缴社保，但须提供有关证明材料并经</w:t>
            </w:r>
            <w:r>
              <w:rPr>
                <w:rFonts w:hint="eastAsia"/>
                <w:b w:val="0"/>
                <w:color w:val="auto"/>
                <w:sz w:val="24"/>
                <w:highlight w:val="none"/>
                <w:lang w:eastAsia="zh-CN"/>
              </w:rPr>
              <w:t>比选</w:t>
            </w:r>
            <w:r>
              <w:rPr>
                <w:rFonts w:hint="eastAsia"/>
                <w:b w:val="0"/>
                <w:color w:val="auto"/>
                <w:sz w:val="24"/>
                <w:highlight w:val="none"/>
              </w:rPr>
              <w:t>小组</w:t>
            </w:r>
            <w:r>
              <w:rPr>
                <w:b w:val="0"/>
                <w:color w:val="auto"/>
                <w:sz w:val="24"/>
                <w:highlight w:val="none"/>
              </w:rPr>
              <w:t>确认。</w:t>
            </w:r>
          </w:p>
          <w:p w14:paraId="5AB20A4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lang w:eastAsia="zh-CN"/>
              </w:rPr>
              <w:t>比选</w:t>
            </w:r>
            <w:r>
              <w:rPr>
                <w:b w:val="0"/>
                <w:color w:val="auto"/>
                <w:sz w:val="24"/>
                <w:highlight w:val="none"/>
              </w:rPr>
              <w:t>的院校，社保证明可以用以下任意一种：</w:t>
            </w:r>
          </w:p>
          <w:p w14:paraId="1767C9F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供应商</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14:paraId="4E256A9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14:paraId="682C48A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lang w:eastAsia="zh-CN"/>
              </w:rPr>
              <w:t>比选</w:t>
            </w:r>
            <w:r>
              <w:rPr>
                <w:rFonts w:hint="eastAsia"/>
                <w:b w:val="0"/>
                <w:color w:val="auto"/>
                <w:sz w:val="24"/>
                <w:highlight w:val="none"/>
              </w:rPr>
              <w:t>小组</w:t>
            </w:r>
            <w:r>
              <w:rPr>
                <w:b w:val="0"/>
                <w:color w:val="auto"/>
                <w:sz w:val="24"/>
                <w:highlight w:val="none"/>
              </w:rPr>
              <w:t>认可的证明材料。</w:t>
            </w:r>
          </w:p>
          <w:p w14:paraId="2B544DA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14:paraId="210B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707F903">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14:paraId="7E21862F">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14:paraId="71E25ED0">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lang w:eastAsia="zh-CN"/>
              </w:rPr>
              <w:t>比选</w:t>
            </w:r>
            <w:r>
              <w:rPr>
                <w:bCs/>
                <w:color w:val="auto"/>
                <w:sz w:val="24"/>
                <w:szCs w:val="24"/>
                <w:highlight w:val="none"/>
              </w:rPr>
              <w:t>文件的各个组成文件应互为解释，互为说明；</w:t>
            </w:r>
          </w:p>
          <w:p w14:paraId="324DE8EF">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14:paraId="31FDCBDB">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14:paraId="4B4521CD">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lang w:eastAsia="zh-CN"/>
              </w:rPr>
              <w:t>比选</w:t>
            </w:r>
            <w:r>
              <w:rPr>
                <w:bCs/>
                <w:color w:val="auto"/>
                <w:sz w:val="24"/>
                <w:szCs w:val="24"/>
                <w:highlight w:val="none"/>
              </w:rPr>
              <w:t>文件中有特别规定外，仅适用于</w:t>
            </w:r>
            <w:r>
              <w:rPr>
                <w:rFonts w:hint="eastAsia"/>
                <w:bCs/>
                <w:color w:val="auto"/>
                <w:sz w:val="24"/>
                <w:szCs w:val="24"/>
                <w:highlight w:val="none"/>
                <w:lang w:eastAsia="zh-CN"/>
              </w:rPr>
              <w:t>比选</w:t>
            </w:r>
            <w:r>
              <w:rPr>
                <w:rFonts w:hint="eastAsia"/>
                <w:bCs/>
                <w:color w:val="auto"/>
                <w:sz w:val="24"/>
                <w:szCs w:val="24"/>
                <w:highlight w:val="none"/>
              </w:rPr>
              <w:t>及响应文件提交</w:t>
            </w:r>
            <w:r>
              <w:rPr>
                <w:bCs/>
                <w:color w:val="auto"/>
                <w:sz w:val="24"/>
                <w:szCs w:val="24"/>
                <w:highlight w:val="none"/>
              </w:rPr>
              <w:t>阶段的规定，按</w:t>
            </w:r>
            <w:r>
              <w:rPr>
                <w:rFonts w:hint="eastAsia"/>
                <w:bCs/>
                <w:color w:val="auto"/>
                <w:sz w:val="24"/>
                <w:szCs w:val="24"/>
                <w:highlight w:val="none"/>
                <w:lang w:eastAsia="zh-CN"/>
              </w:rPr>
              <w:t>比选</w:t>
            </w:r>
            <w:r>
              <w:rPr>
                <w:bCs/>
                <w:color w:val="auto"/>
                <w:sz w:val="24"/>
                <w:szCs w:val="24"/>
                <w:highlight w:val="none"/>
              </w:rPr>
              <w:t>公告、</w:t>
            </w:r>
            <w:r>
              <w:rPr>
                <w:rFonts w:hint="eastAsia"/>
                <w:bCs/>
                <w:color w:val="auto"/>
                <w:sz w:val="24"/>
                <w:szCs w:val="24"/>
                <w:highlight w:val="none"/>
                <w:lang w:eastAsia="zh-CN"/>
              </w:rPr>
              <w:t>比选</w:t>
            </w:r>
            <w:r>
              <w:rPr>
                <w:rFonts w:hint="eastAsia"/>
                <w:bCs/>
                <w:color w:val="auto"/>
                <w:sz w:val="24"/>
                <w:szCs w:val="24"/>
                <w:highlight w:val="none"/>
              </w:rPr>
              <w:t>邀请、</w:t>
            </w:r>
            <w:r>
              <w:rPr>
                <w:rFonts w:hint="eastAsia"/>
                <w:color w:val="auto"/>
                <w:sz w:val="24"/>
                <w:szCs w:val="18"/>
                <w:highlight w:val="none"/>
                <w:lang w:eastAsia="zh-CN"/>
              </w:rPr>
              <w:t>供应商</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rPr>
              <w:t>响应</w:t>
            </w:r>
            <w:r>
              <w:rPr>
                <w:bCs/>
                <w:color w:val="auto"/>
                <w:sz w:val="24"/>
                <w:szCs w:val="24"/>
                <w:highlight w:val="none"/>
              </w:rPr>
              <w:t>文件格式的先后顺序解释；</w:t>
            </w:r>
          </w:p>
          <w:p w14:paraId="20EF5DE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rPr>
              <w:t>业主单位</w:t>
            </w:r>
            <w:r>
              <w:rPr>
                <w:b w:val="0"/>
                <w:color w:val="auto"/>
                <w:sz w:val="24"/>
                <w:szCs w:val="24"/>
                <w:highlight w:val="none"/>
              </w:rPr>
              <w:t>负责解释。</w:t>
            </w:r>
          </w:p>
        </w:tc>
      </w:tr>
      <w:tr w14:paraId="7D53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4D4349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14:paraId="6C4BC9EA">
            <w:pPr>
              <w:pStyle w:val="38"/>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14:paraId="1F54BB3D">
            <w:pPr>
              <w:pStyle w:val="38"/>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33DC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1FE50CB">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14:paraId="2412780E">
            <w:pPr>
              <w:pStyle w:val="41"/>
              <w:spacing w:line="360" w:lineRule="auto"/>
              <w:jc w:val="center"/>
              <w:rPr>
                <w:color w:val="auto"/>
                <w:sz w:val="24"/>
                <w:highlight w:val="none"/>
              </w:rPr>
            </w:pPr>
            <w:r>
              <w:rPr>
                <w:rFonts w:hint="eastAsia"/>
                <w:color w:val="auto"/>
                <w:sz w:val="24"/>
                <w:szCs w:val="24"/>
                <w:highlight w:val="none"/>
              </w:rPr>
              <w:t>相关政策要求</w:t>
            </w:r>
          </w:p>
        </w:tc>
        <w:tc>
          <w:tcPr>
            <w:tcW w:w="6020" w:type="dxa"/>
          </w:tcPr>
          <w:p w14:paraId="62DFE1C5">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工程建设领域农民工工资专用账户管理暂行办法》（人社部发〔2021〕53 号）执行。本工程工资性工程款及工资性工程进度款按《关于发布合肥市建设工程人工费计算最低标准的通知》（合造价〔2022〕8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14:paraId="5AFB4A9C">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供应商应承诺最终报价中已包含比选文件公布的施工扬尘污染防治费用和建筑工人实名制管理费用。工程竣工结算时，未落实的施工扬尘污染防治和建筑工人实名制管理措施项目, 应按清单所列金额从工程结算价款中扣除。 </w:t>
            </w:r>
          </w:p>
          <w:p w14:paraId="269C57A9">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50A6D922">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14:paraId="4348A428">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14:paraId="495EFDC0">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14:paraId="6F09C086">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14:paraId="2E48C9A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14:paraId="5EC729A3">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14:paraId="7131744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14:paraId="1842E758">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（8）关于比选保证金、履约保证金、工程质量保证金执行《关于加快推进房屋建筑和市政基础设施工程实行工程担保制度的通知》（建市〔2020〕84 号）。 </w:t>
            </w:r>
          </w:p>
          <w:p w14:paraId="642F99F3">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14:paraId="16825FD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（10）采用一级建造师参与比选的应按《住房和城乡建设部办公厅关于全面实行一级建造师电子注册证书的通知》（建办市〔2021〕40号）执行。 </w:t>
            </w:r>
          </w:p>
          <w:p w14:paraId="5DAAEE13">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7943162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29169978">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14:paraId="081A1698">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14:paraId="510A402D">
            <w:pPr>
              <w:pStyle w:val="41"/>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r w14:paraId="7722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F9B819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35.17</w:t>
            </w:r>
          </w:p>
        </w:tc>
        <w:tc>
          <w:tcPr>
            <w:tcW w:w="2031" w:type="dxa"/>
            <w:vAlign w:val="center"/>
          </w:tcPr>
          <w:p w14:paraId="73D5684C">
            <w:pPr>
              <w:pStyle w:val="38"/>
              <w:widowControl w:val="0"/>
              <w:spacing w:before="0" w:beforeAutospacing="0" w:after="0" w:afterAutospacing="0" w:line="360" w:lineRule="auto"/>
              <w:jc w:val="both"/>
              <w:rPr>
                <w:bCs w:val="0"/>
                <w:color w:val="auto"/>
                <w:sz w:val="24"/>
                <w:highlight w:val="none"/>
              </w:rPr>
            </w:pPr>
            <w:r>
              <w:rPr>
                <w:rFonts w:hint="eastAsia"/>
                <w:b w:val="0"/>
                <w:color w:val="auto"/>
                <w:sz w:val="24"/>
                <w:szCs w:val="18"/>
                <w:highlight w:val="none"/>
              </w:rPr>
              <w:t>业主单位</w:t>
            </w:r>
            <w:r>
              <w:rPr>
                <w:rFonts w:hint="eastAsia" w:cs="宋体"/>
                <w:b w:val="0"/>
                <w:color w:val="auto"/>
                <w:sz w:val="24"/>
                <w:szCs w:val="24"/>
                <w:highlight w:val="none"/>
              </w:rPr>
              <w:t>其他要求及重要提示</w:t>
            </w:r>
          </w:p>
        </w:tc>
        <w:tc>
          <w:tcPr>
            <w:tcW w:w="6020" w:type="dxa"/>
            <w:vAlign w:val="center"/>
          </w:tcPr>
          <w:p w14:paraId="3B55050A">
            <w:pPr>
              <w:pStyle w:val="38"/>
              <w:widowControl w:val="0"/>
              <w:spacing w:before="0" w:beforeAutospacing="0" w:after="0" w:afterAutospacing="0" w:line="360" w:lineRule="auto"/>
              <w:jc w:val="both"/>
              <w:rPr>
                <w:bCs w:val="0"/>
                <w:color w:val="auto"/>
                <w:sz w:val="24"/>
                <w:highlight w:val="none"/>
              </w:rPr>
            </w:pPr>
            <w:r>
              <w:rPr>
                <w:rFonts w:hint="eastAsia" w:cs="宋体"/>
                <w:b w:val="0"/>
                <w:color w:val="auto"/>
                <w:sz w:val="24"/>
                <w:szCs w:val="24"/>
                <w:highlight w:val="none"/>
              </w:rPr>
              <w:t>/</w:t>
            </w:r>
          </w:p>
        </w:tc>
      </w:tr>
    </w:tbl>
    <w:p w14:paraId="43905C93">
      <w:pPr>
        <w:spacing w:line="360" w:lineRule="auto"/>
        <w:jc w:val="center"/>
        <w:outlineLvl w:val="1"/>
        <w:rPr>
          <w:b/>
          <w:color w:val="auto"/>
          <w:sz w:val="24"/>
          <w:szCs w:val="24"/>
          <w:highlight w:val="none"/>
        </w:rPr>
      </w:pPr>
      <w:r>
        <w:rPr>
          <w:b/>
          <w:color w:val="auto"/>
          <w:sz w:val="28"/>
          <w:highlight w:val="none"/>
        </w:rPr>
        <w:br w:type="page"/>
      </w:r>
      <w:bookmarkStart w:id="14" w:name="_Toc9679"/>
      <w:r>
        <w:rPr>
          <w:rFonts w:hint="eastAsia"/>
          <w:b/>
          <w:color w:val="auto"/>
          <w:sz w:val="24"/>
          <w:szCs w:val="24"/>
          <w:highlight w:val="none"/>
        </w:rPr>
        <w:t>二、</w:t>
      </w:r>
      <w:r>
        <w:rPr>
          <w:rFonts w:hint="eastAsia"/>
          <w:b/>
          <w:color w:val="auto"/>
          <w:sz w:val="24"/>
          <w:szCs w:val="24"/>
          <w:highlight w:val="none"/>
          <w:lang w:eastAsia="zh-CN"/>
        </w:rPr>
        <w:t>供应商</w:t>
      </w:r>
      <w:r>
        <w:rPr>
          <w:b/>
          <w:color w:val="auto"/>
          <w:sz w:val="24"/>
          <w:szCs w:val="24"/>
          <w:highlight w:val="none"/>
        </w:rPr>
        <w:t>须知</w:t>
      </w:r>
      <w:r>
        <w:rPr>
          <w:rFonts w:hint="eastAsia"/>
          <w:b/>
          <w:color w:val="auto"/>
          <w:sz w:val="24"/>
          <w:szCs w:val="24"/>
          <w:highlight w:val="none"/>
        </w:rPr>
        <w:t>正文</w:t>
      </w:r>
      <w:bookmarkEnd w:id="14"/>
    </w:p>
    <w:p w14:paraId="6CA1B59B">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14:paraId="7A3609C0">
      <w:pPr>
        <w:spacing w:line="360" w:lineRule="auto"/>
        <w:ind w:firstLine="435"/>
        <w:rPr>
          <w:color w:val="auto"/>
          <w:sz w:val="24"/>
          <w:highlight w:val="none"/>
        </w:rPr>
      </w:pPr>
      <w:r>
        <w:rPr>
          <w:color w:val="auto"/>
          <w:sz w:val="24"/>
          <w:highlight w:val="none"/>
        </w:rPr>
        <w:t>1.1</w:t>
      </w:r>
      <w:r>
        <w:rPr>
          <w:rFonts w:hint="eastAsia"/>
          <w:color w:val="auto"/>
          <w:sz w:val="24"/>
          <w:highlight w:val="none"/>
        </w:rPr>
        <w:t>本</w:t>
      </w:r>
      <w:r>
        <w:rPr>
          <w:rFonts w:hint="eastAsia"/>
          <w:color w:val="auto"/>
          <w:sz w:val="24"/>
          <w:highlight w:val="none"/>
          <w:lang w:eastAsia="zh-CN"/>
        </w:rPr>
        <w:t>比选</w:t>
      </w:r>
      <w:r>
        <w:rPr>
          <w:rFonts w:hint="eastAsia"/>
          <w:color w:val="auto"/>
          <w:sz w:val="24"/>
          <w:highlight w:val="none"/>
        </w:rPr>
        <w:t>文件仅适用于本次</w:t>
      </w:r>
      <w:r>
        <w:rPr>
          <w:rFonts w:hint="eastAsia"/>
          <w:color w:val="auto"/>
          <w:sz w:val="24"/>
          <w:highlight w:val="none"/>
          <w:lang w:eastAsia="zh-CN"/>
        </w:rPr>
        <w:t>比选</w:t>
      </w:r>
      <w:r>
        <w:rPr>
          <w:rFonts w:hint="eastAsia"/>
          <w:color w:val="auto"/>
          <w:sz w:val="24"/>
          <w:highlight w:val="none"/>
        </w:rPr>
        <w:t>所述的工程项目。</w:t>
      </w:r>
    </w:p>
    <w:p w14:paraId="235CEBFA">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14:paraId="70A99CF7">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69A0C473">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lang w:eastAsia="zh-CN"/>
        </w:rPr>
        <w:t>比选</w:t>
      </w:r>
      <w:r>
        <w:rPr>
          <w:color w:val="auto"/>
          <w:sz w:val="24"/>
          <w:highlight w:val="none"/>
        </w:rPr>
        <w:t>之日向前追溯X年/月（“X”为“一”及以后整数）起算。</w:t>
      </w:r>
    </w:p>
    <w:p w14:paraId="30E0098C">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lang w:eastAsia="zh-CN"/>
        </w:rPr>
        <w:t>比选</w:t>
      </w:r>
      <w:r>
        <w:rPr>
          <w:color w:val="auto"/>
          <w:sz w:val="24"/>
          <w:highlight w:val="none"/>
        </w:rPr>
        <w:t>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w:t>
      </w:r>
      <w:r>
        <w:rPr>
          <w:rFonts w:hint="eastAsia"/>
          <w:color w:val="auto"/>
          <w:sz w:val="24"/>
          <w:highlight w:val="none"/>
          <w:lang w:eastAsia="zh-CN"/>
        </w:rPr>
        <w:t>比选</w:t>
      </w:r>
      <w:r>
        <w:rPr>
          <w:rFonts w:hint="eastAsia"/>
          <w:color w:val="auto"/>
          <w:sz w:val="24"/>
          <w:highlight w:val="none"/>
        </w:rPr>
        <w:t>文件规定且已交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供应商</w:t>
      </w:r>
      <w:r>
        <w:rPr>
          <w:color w:val="auto"/>
          <w:sz w:val="24"/>
          <w:highlight w:val="none"/>
        </w:rPr>
        <w:t>与其关联公司（如母公司、控股公司、分公司、子公司、同一法定代表人的公司等）之间签订的合同，均不予认可。</w:t>
      </w:r>
    </w:p>
    <w:p w14:paraId="0DCDBCE7">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rPr>
        <w:t>业主单位</w:t>
      </w:r>
      <w:r>
        <w:rPr>
          <w:rFonts w:hint="eastAsia"/>
          <w:b/>
          <w:color w:val="auto"/>
          <w:sz w:val="24"/>
          <w:highlight w:val="none"/>
        </w:rPr>
        <w:t>、代理机构及</w:t>
      </w:r>
      <w:r>
        <w:rPr>
          <w:rFonts w:hint="eastAsia"/>
          <w:b/>
          <w:color w:val="auto"/>
          <w:sz w:val="24"/>
          <w:szCs w:val="18"/>
          <w:highlight w:val="none"/>
          <w:lang w:eastAsia="zh-CN"/>
        </w:rPr>
        <w:t>供应商</w:t>
      </w:r>
    </w:p>
    <w:p w14:paraId="7A3271A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rPr>
        <w:t>业主单位</w:t>
      </w:r>
      <w:r>
        <w:rPr>
          <w:rFonts w:hint="eastAsia" w:cs="宋体"/>
          <w:color w:val="auto"/>
          <w:sz w:val="24"/>
          <w:szCs w:val="24"/>
          <w:highlight w:val="none"/>
          <w:lang w:bidi="ar"/>
        </w:rPr>
        <w:t>：是指依法开展</w:t>
      </w:r>
      <w:r>
        <w:rPr>
          <w:rFonts w:hint="eastAsia" w:cs="宋体"/>
          <w:color w:val="auto"/>
          <w:sz w:val="24"/>
          <w:szCs w:val="24"/>
          <w:highlight w:val="none"/>
          <w:lang w:eastAsia="zh-CN" w:bidi="ar"/>
        </w:rPr>
        <w:t>比选</w:t>
      </w:r>
      <w:r>
        <w:rPr>
          <w:rFonts w:hint="eastAsia" w:cs="宋体"/>
          <w:color w:val="auto"/>
          <w:sz w:val="24"/>
          <w:szCs w:val="24"/>
          <w:highlight w:val="none"/>
          <w:lang w:bidi="ar"/>
        </w:rPr>
        <w:t>活动的法人或者其他组织。本项目的</w:t>
      </w:r>
      <w:r>
        <w:rPr>
          <w:rFonts w:hint="eastAsia"/>
          <w:color w:val="auto"/>
          <w:sz w:val="24"/>
          <w:szCs w:val="18"/>
          <w:highlight w:val="none"/>
        </w:rPr>
        <w:t>业主单位</w:t>
      </w:r>
      <w:r>
        <w:rPr>
          <w:rFonts w:hint="eastAsia" w:cs="宋体"/>
          <w:color w:val="auto"/>
          <w:sz w:val="24"/>
          <w:szCs w:val="24"/>
          <w:highlight w:val="none"/>
          <w:lang w:bidi="ar"/>
        </w:rPr>
        <w:t>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5F5AA86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5D26016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供应商</w:t>
      </w:r>
      <w:r>
        <w:rPr>
          <w:rFonts w:hint="eastAsia" w:cs="宋体"/>
          <w:color w:val="auto"/>
          <w:sz w:val="24"/>
          <w:szCs w:val="24"/>
          <w:highlight w:val="none"/>
          <w:lang w:bidi="ar"/>
        </w:rPr>
        <w:t>：是指向</w:t>
      </w:r>
      <w:r>
        <w:rPr>
          <w:rFonts w:hint="eastAsia"/>
          <w:color w:val="auto"/>
          <w:sz w:val="24"/>
          <w:szCs w:val="18"/>
          <w:highlight w:val="none"/>
        </w:rPr>
        <w:t>业主单位</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供应商</w:t>
      </w:r>
      <w:r>
        <w:rPr>
          <w:rFonts w:hint="eastAsia" w:cs="宋体"/>
          <w:color w:val="auto"/>
          <w:sz w:val="24"/>
          <w:szCs w:val="24"/>
          <w:highlight w:val="none"/>
          <w:lang w:bidi="ar"/>
        </w:rPr>
        <w:t xml:space="preserve">须满足以下条件： </w:t>
      </w:r>
    </w:p>
    <w:p w14:paraId="68CB132A">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2C6587B0">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w:t>
      </w:r>
    </w:p>
    <w:p w14:paraId="19DA863A">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供应商</w:t>
      </w:r>
      <w:r>
        <w:rPr>
          <w:rFonts w:hint="eastAsia" w:cs="宋体"/>
          <w:color w:val="auto"/>
          <w:sz w:val="24"/>
          <w:szCs w:val="24"/>
          <w:highlight w:val="none"/>
          <w:lang w:bidi="ar"/>
        </w:rPr>
        <w:t>须知前附表中允许联合体参加</w:t>
      </w:r>
      <w:r>
        <w:rPr>
          <w:rFonts w:hint="eastAsia" w:cs="宋体"/>
          <w:color w:val="auto"/>
          <w:sz w:val="24"/>
          <w:szCs w:val="24"/>
          <w:highlight w:val="none"/>
          <w:lang w:eastAsia="zh-CN" w:bidi="ar"/>
        </w:rPr>
        <w:t>比选</w:t>
      </w:r>
      <w:r>
        <w:rPr>
          <w:rFonts w:hint="eastAsia" w:cs="宋体"/>
          <w:color w:val="auto"/>
          <w:sz w:val="24"/>
          <w:szCs w:val="24"/>
          <w:highlight w:val="none"/>
          <w:lang w:bidi="ar"/>
        </w:rPr>
        <w:t>，对联合体规定如下：</w:t>
      </w:r>
    </w:p>
    <w:p w14:paraId="6A14435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供应商</w:t>
      </w:r>
      <w:r>
        <w:rPr>
          <w:rFonts w:hint="eastAsia" w:cs="宋体"/>
          <w:color w:val="auto"/>
          <w:sz w:val="24"/>
          <w:szCs w:val="24"/>
          <w:highlight w:val="none"/>
          <w:lang w:bidi="ar"/>
        </w:rPr>
        <w:t>可以组成一个</w:t>
      </w:r>
      <w:r>
        <w:rPr>
          <w:rFonts w:hint="eastAsia" w:cs="宋体"/>
          <w:color w:val="auto"/>
          <w:sz w:val="24"/>
          <w:szCs w:val="24"/>
          <w:highlight w:val="none"/>
          <w:lang w:eastAsia="zh-CN" w:bidi="ar"/>
        </w:rPr>
        <w:t>比选</w:t>
      </w:r>
      <w:r>
        <w:rPr>
          <w:rFonts w:hint="eastAsia" w:cs="宋体"/>
          <w:color w:val="auto"/>
          <w:sz w:val="24"/>
          <w:szCs w:val="24"/>
          <w:highlight w:val="none"/>
          <w:lang w:bidi="ar"/>
        </w:rPr>
        <w:t>联合体，以一个</w:t>
      </w:r>
      <w:r>
        <w:rPr>
          <w:rFonts w:hint="eastAsia"/>
          <w:color w:val="auto"/>
          <w:sz w:val="24"/>
          <w:szCs w:val="18"/>
          <w:highlight w:val="none"/>
          <w:lang w:eastAsia="zh-CN"/>
        </w:rPr>
        <w:t>供应商</w:t>
      </w:r>
      <w:r>
        <w:rPr>
          <w:rFonts w:hint="eastAsia" w:cs="宋体"/>
          <w:color w:val="auto"/>
          <w:sz w:val="24"/>
          <w:szCs w:val="24"/>
          <w:highlight w:val="none"/>
          <w:lang w:bidi="ar"/>
        </w:rPr>
        <w:t>的身份</w:t>
      </w:r>
      <w:r>
        <w:rPr>
          <w:rFonts w:hint="eastAsia" w:cs="宋体"/>
          <w:color w:val="auto"/>
          <w:sz w:val="24"/>
          <w:szCs w:val="24"/>
          <w:highlight w:val="none"/>
          <w:lang w:eastAsia="zh-CN" w:bidi="ar"/>
        </w:rPr>
        <w:t>比选</w:t>
      </w:r>
      <w:r>
        <w:rPr>
          <w:rFonts w:hint="eastAsia" w:cs="宋体"/>
          <w:color w:val="auto"/>
          <w:sz w:val="24"/>
          <w:szCs w:val="24"/>
          <w:highlight w:val="none"/>
          <w:lang w:bidi="ar"/>
        </w:rPr>
        <w:t>。</w:t>
      </w:r>
    </w:p>
    <w:p w14:paraId="4979EA0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rPr>
        <w:t>业主单位</w:t>
      </w:r>
      <w:r>
        <w:rPr>
          <w:rFonts w:hint="eastAsia" w:cs="宋体"/>
          <w:color w:val="auto"/>
          <w:sz w:val="24"/>
          <w:szCs w:val="24"/>
          <w:highlight w:val="none"/>
          <w:lang w:bidi="ar"/>
        </w:rPr>
        <w:t>根据本项目对</w:t>
      </w:r>
      <w:r>
        <w:rPr>
          <w:rFonts w:hint="eastAsia"/>
          <w:color w:val="auto"/>
          <w:sz w:val="24"/>
          <w:szCs w:val="18"/>
          <w:highlight w:val="none"/>
          <w:lang w:eastAsia="zh-CN"/>
        </w:rPr>
        <w:t>供应商</w:t>
      </w:r>
      <w:r>
        <w:rPr>
          <w:rFonts w:hint="eastAsia" w:cs="宋体"/>
          <w:color w:val="auto"/>
          <w:sz w:val="24"/>
          <w:szCs w:val="24"/>
          <w:highlight w:val="none"/>
          <w:lang w:bidi="ar"/>
        </w:rPr>
        <w:t>的特殊要求，联合体中至少应当有一方符合相关规定。</w:t>
      </w:r>
    </w:p>
    <w:p w14:paraId="2F98A34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联合体各方应签订联合体协议，明确约定联合体各方承担的工作和相应的责任，并将联合体协议作为响应文件的一部分提交。</w:t>
      </w:r>
    </w:p>
    <w:p w14:paraId="38A56EC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供应商</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供应商</w:t>
      </w:r>
      <w:r>
        <w:rPr>
          <w:rFonts w:hint="eastAsia" w:cs="宋体"/>
          <w:color w:val="auto"/>
          <w:sz w:val="24"/>
          <w:szCs w:val="24"/>
          <w:highlight w:val="none"/>
          <w:lang w:bidi="ar"/>
        </w:rPr>
        <w:t>确定资质等级。</w:t>
      </w:r>
    </w:p>
    <w:p w14:paraId="0F33E51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供应商</w:t>
      </w:r>
      <w:r>
        <w:rPr>
          <w:rFonts w:hint="eastAsia" w:cs="宋体"/>
          <w:color w:val="auto"/>
          <w:sz w:val="24"/>
          <w:szCs w:val="24"/>
          <w:highlight w:val="none"/>
          <w:lang w:bidi="ar"/>
        </w:rPr>
        <w:t>另外组成联合体参加本项目</w:t>
      </w:r>
      <w:r>
        <w:rPr>
          <w:rFonts w:hint="eastAsia" w:cs="宋体"/>
          <w:color w:val="auto"/>
          <w:sz w:val="24"/>
          <w:szCs w:val="24"/>
          <w:highlight w:val="none"/>
          <w:lang w:eastAsia="zh-CN" w:bidi="ar"/>
        </w:rPr>
        <w:t>比选</w:t>
      </w:r>
      <w:r>
        <w:rPr>
          <w:rFonts w:hint="eastAsia" w:cs="宋体"/>
          <w:color w:val="auto"/>
          <w:sz w:val="24"/>
          <w:szCs w:val="24"/>
          <w:highlight w:val="none"/>
          <w:lang w:bidi="ar"/>
        </w:rPr>
        <w:t>，否则相关响应文件将被认定为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5AF91A27">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w:t>
      </w:r>
      <w:r>
        <w:rPr>
          <w:rFonts w:hint="eastAsia" w:cs="宋体"/>
          <w:color w:val="auto"/>
          <w:sz w:val="24"/>
          <w:szCs w:val="24"/>
          <w:highlight w:val="none"/>
          <w:lang w:eastAsia="zh-CN" w:bidi="ar"/>
        </w:rPr>
        <w:t>比选</w:t>
      </w:r>
      <w:r>
        <w:rPr>
          <w:rFonts w:hint="eastAsia" w:cs="宋体"/>
          <w:color w:val="auto"/>
          <w:sz w:val="24"/>
          <w:szCs w:val="24"/>
          <w:highlight w:val="none"/>
          <w:lang w:bidi="ar"/>
        </w:rPr>
        <w:t>的其他资格要求见</w:t>
      </w:r>
      <w:r>
        <w:rPr>
          <w:rFonts w:hint="eastAsia"/>
          <w:color w:val="auto"/>
          <w:sz w:val="24"/>
          <w:szCs w:val="18"/>
          <w:highlight w:val="none"/>
          <w:lang w:eastAsia="zh-CN"/>
        </w:rPr>
        <w:t>供应商</w:t>
      </w:r>
      <w:r>
        <w:rPr>
          <w:rFonts w:hint="eastAsia" w:cs="宋体"/>
          <w:color w:val="auto"/>
          <w:sz w:val="24"/>
          <w:szCs w:val="24"/>
          <w:highlight w:val="none"/>
          <w:lang w:bidi="ar"/>
        </w:rPr>
        <w:t>资格。</w:t>
      </w:r>
    </w:p>
    <w:p w14:paraId="6D2CBFCB">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供应商</w:t>
      </w:r>
      <w:r>
        <w:rPr>
          <w:rFonts w:hint="eastAsia" w:cs="宋体"/>
          <w:color w:val="auto"/>
          <w:sz w:val="24"/>
          <w:szCs w:val="24"/>
          <w:highlight w:val="none"/>
          <w:lang w:bidi="ar"/>
        </w:rPr>
        <w:t>，不得参加同一合同项下的代理活动。否则其相关响应文件将被认定为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7B80EB3A">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14:paraId="36AF0B2A">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rPr>
        <w:t>业主单位</w:t>
      </w:r>
      <w:r>
        <w:rPr>
          <w:rFonts w:hint="eastAsia" w:cs="宋体"/>
          <w:color w:val="auto"/>
          <w:sz w:val="24"/>
          <w:szCs w:val="24"/>
          <w:highlight w:val="none"/>
          <w:lang w:bidi="ar"/>
        </w:rPr>
        <w:t>已获得足以支付本次</w:t>
      </w:r>
      <w:r>
        <w:rPr>
          <w:rFonts w:hint="eastAsia" w:cs="宋体"/>
          <w:color w:val="auto"/>
          <w:sz w:val="24"/>
          <w:szCs w:val="24"/>
          <w:highlight w:val="none"/>
          <w:lang w:eastAsia="zh-CN" w:bidi="ar"/>
        </w:rPr>
        <w:t>比选</w:t>
      </w:r>
      <w:r>
        <w:rPr>
          <w:rFonts w:hint="eastAsia" w:cs="宋体"/>
          <w:color w:val="auto"/>
          <w:sz w:val="24"/>
          <w:szCs w:val="24"/>
          <w:highlight w:val="none"/>
          <w:lang w:bidi="ar"/>
        </w:rPr>
        <w:t>后所签订的合同项下的资金</w:t>
      </w:r>
      <w:r>
        <w:rPr>
          <w:rFonts w:hint="eastAsia" w:cs="宋体"/>
          <w:color w:val="auto"/>
          <w:sz w:val="24"/>
          <w:szCs w:val="24"/>
          <w:highlight w:val="none"/>
          <w:lang w:eastAsia="zh-CN" w:bidi="ar"/>
        </w:rPr>
        <w:t>。</w:t>
      </w:r>
    </w:p>
    <w:p w14:paraId="36AE0DDE">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w:t>
      </w:r>
      <w:r>
        <w:rPr>
          <w:rFonts w:hint="eastAsia" w:cs="宋体"/>
          <w:color w:val="auto"/>
          <w:sz w:val="24"/>
          <w:szCs w:val="24"/>
          <w:highlight w:val="none"/>
          <w:lang w:eastAsia="zh-CN" w:bidi="ar"/>
        </w:rPr>
        <w:t>比选</w:t>
      </w:r>
      <w:r>
        <w:rPr>
          <w:rFonts w:hint="eastAsia" w:cs="宋体"/>
          <w:color w:val="auto"/>
          <w:sz w:val="24"/>
          <w:szCs w:val="24"/>
          <w:highlight w:val="none"/>
          <w:lang w:bidi="ar"/>
        </w:rPr>
        <w:t>公告。</w:t>
      </w:r>
    </w:p>
    <w:p w14:paraId="0D79ECD7">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lang w:eastAsia="zh-CN"/>
        </w:rPr>
        <w:t>比选</w:t>
      </w:r>
      <w:r>
        <w:rPr>
          <w:rFonts w:hint="eastAsia"/>
          <w:b/>
          <w:color w:val="auto"/>
          <w:sz w:val="24"/>
          <w:highlight w:val="none"/>
        </w:rPr>
        <w:t>费用</w:t>
      </w:r>
    </w:p>
    <w:p w14:paraId="052121A2">
      <w:pPr>
        <w:spacing w:line="360" w:lineRule="auto"/>
        <w:ind w:firstLine="437"/>
        <w:rPr>
          <w:color w:val="auto"/>
          <w:sz w:val="24"/>
          <w:highlight w:val="none"/>
        </w:rPr>
      </w:pPr>
      <w:r>
        <w:rPr>
          <w:rFonts w:hint="eastAsia"/>
          <w:color w:val="auto"/>
          <w:sz w:val="24"/>
          <w:highlight w:val="none"/>
        </w:rPr>
        <w:t>不论</w:t>
      </w:r>
      <w:r>
        <w:rPr>
          <w:rFonts w:hint="eastAsia"/>
          <w:color w:val="auto"/>
          <w:sz w:val="24"/>
          <w:highlight w:val="none"/>
          <w:lang w:eastAsia="zh-CN"/>
        </w:rPr>
        <w:t>比选</w:t>
      </w:r>
      <w:r>
        <w:rPr>
          <w:rFonts w:hint="eastAsia"/>
          <w:color w:val="auto"/>
          <w:sz w:val="24"/>
          <w:highlight w:val="none"/>
        </w:rPr>
        <w:t>的结果如何，</w:t>
      </w:r>
      <w:r>
        <w:rPr>
          <w:rFonts w:hint="eastAsia"/>
          <w:color w:val="auto"/>
          <w:sz w:val="24"/>
          <w:szCs w:val="18"/>
          <w:highlight w:val="none"/>
          <w:lang w:eastAsia="zh-CN"/>
        </w:rPr>
        <w:t>供应商</w:t>
      </w:r>
      <w:r>
        <w:rPr>
          <w:rFonts w:hint="eastAsia"/>
          <w:color w:val="auto"/>
          <w:sz w:val="24"/>
          <w:highlight w:val="none"/>
        </w:rPr>
        <w:t>应承担其所有与准备和参加</w:t>
      </w:r>
      <w:r>
        <w:rPr>
          <w:rFonts w:hint="eastAsia"/>
          <w:color w:val="auto"/>
          <w:sz w:val="24"/>
          <w:highlight w:val="none"/>
          <w:lang w:eastAsia="zh-CN"/>
        </w:rPr>
        <w:t>比选</w:t>
      </w:r>
      <w:r>
        <w:rPr>
          <w:rFonts w:hint="eastAsia"/>
          <w:color w:val="auto"/>
          <w:sz w:val="24"/>
          <w:highlight w:val="none"/>
        </w:rPr>
        <w:t>有关的费用。</w:t>
      </w:r>
    </w:p>
    <w:p w14:paraId="56509C89">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14:paraId="08AEA304">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rPr>
        <w:t>业主单位</w:t>
      </w:r>
      <w:r>
        <w:rPr>
          <w:rFonts w:hint="eastAsia" w:cs="宋体"/>
          <w:color w:val="auto"/>
          <w:sz w:val="24"/>
          <w:szCs w:val="24"/>
          <w:highlight w:val="none"/>
          <w:lang w:bidi="ar"/>
        </w:rPr>
        <w:t>、代理机构、</w:t>
      </w:r>
      <w:r>
        <w:rPr>
          <w:rFonts w:hint="eastAsia"/>
          <w:color w:val="auto"/>
          <w:sz w:val="24"/>
          <w:szCs w:val="18"/>
          <w:highlight w:val="none"/>
          <w:lang w:eastAsia="zh-CN"/>
        </w:rPr>
        <w:t>供应商</w:t>
      </w:r>
      <w:r>
        <w:rPr>
          <w:rFonts w:hint="eastAsia" w:cs="宋体"/>
          <w:color w:val="auto"/>
          <w:sz w:val="24"/>
          <w:szCs w:val="24"/>
          <w:highlight w:val="none"/>
          <w:lang w:bidi="ar"/>
        </w:rPr>
        <w:t>、</w:t>
      </w:r>
      <w:r>
        <w:rPr>
          <w:rFonts w:hint="eastAsia" w:cs="宋体"/>
          <w:color w:val="auto"/>
          <w:sz w:val="24"/>
          <w:szCs w:val="24"/>
          <w:highlight w:val="none"/>
          <w:lang w:eastAsia="zh-CN" w:bidi="ar"/>
        </w:rPr>
        <w:t>比选</w:t>
      </w:r>
      <w:r>
        <w:rPr>
          <w:rFonts w:hint="eastAsia" w:cs="宋体"/>
          <w:color w:val="auto"/>
          <w:sz w:val="24"/>
          <w:szCs w:val="24"/>
          <w:highlight w:val="none"/>
          <w:lang w:bidi="ar"/>
        </w:rPr>
        <w:t>小组的相关行为均受《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14:paraId="2568C7CA">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lang w:eastAsia="zh-CN"/>
        </w:rPr>
        <w:t>比选</w:t>
      </w:r>
      <w:r>
        <w:rPr>
          <w:rFonts w:hint="eastAsia"/>
          <w:b/>
          <w:color w:val="auto"/>
          <w:sz w:val="24"/>
          <w:highlight w:val="none"/>
        </w:rPr>
        <w:t>文件构成</w:t>
      </w:r>
    </w:p>
    <w:p w14:paraId="1F1329CC">
      <w:pPr>
        <w:spacing w:line="360" w:lineRule="auto"/>
        <w:ind w:firstLine="435"/>
        <w:rPr>
          <w:color w:val="auto"/>
          <w:sz w:val="24"/>
          <w:highlight w:val="none"/>
        </w:rPr>
      </w:pPr>
      <w:r>
        <w:rPr>
          <w:rFonts w:hint="eastAsia"/>
          <w:color w:val="auto"/>
          <w:sz w:val="24"/>
          <w:highlight w:val="none"/>
        </w:rPr>
        <w:t>7.1</w:t>
      </w:r>
      <w:r>
        <w:rPr>
          <w:rFonts w:hint="eastAsia"/>
          <w:color w:val="auto"/>
          <w:sz w:val="24"/>
          <w:highlight w:val="none"/>
          <w:lang w:eastAsia="zh-CN"/>
        </w:rPr>
        <w:t>比选</w:t>
      </w:r>
      <w:r>
        <w:rPr>
          <w:rFonts w:hint="eastAsia"/>
          <w:color w:val="auto"/>
          <w:sz w:val="24"/>
          <w:highlight w:val="none"/>
        </w:rPr>
        <w:t>文件包括下列内容：</w:t>
      </w:r>
    </w:p>
    <w:p w14:paraId="4E0170E1">
      <w:pPr>
        <w:spacing w:line="360" w:lineRule="auto"/>
        <w:ind w:firstLine="840" w:firstLineChars="350"/>
        <w:rPr>
          <w:color w:val="auto"/>
          <w:sz w:val="24"/>
          <w:highlight w:val="none"/>
        </w:rPr>
      </w:pPr>
      <w:r>
        <w:rPr>
          <w:rFonts w:hint="eastAsia"/>
          <w:color w:val="auto"/>
          <w:sz w:val="24"/>
          <w:highlight w:val="none"/>
        </w:rPr>
        <w:t>第一章</w:t>
      </w:r>
      <w:r>
        <w:rPr>
          <w:color w:val="auto"/>
          <w:sz w:val="24"/>
          <w:highlight w:val="none"/>
        </w:rPr>
        <w:t xml:space="preserve">  </w:t>
      </w:r>
      <w:r>
        <w:rPr>
          <w:rFonts w:hint="eastAsia"/>
          <w:color w:val="auto"/>
          <w:sz w:val="24"/>
          <w:highlight w:val="none"/>
          <w:lang w:eastAsia="zh-CN"/>
        </w:rPr>
        <w:t>比选</w:t>
      </w:r>
      <w:r>
        <w:rPr>
          <w:rFonts w:hint="eastAsia"/>
          <w:color w:val="auto"/>
          <w:sz w:val="24"/>
          <w:highlight w:val="none"/>
        </w:rPr>
        <w:t>邀请</w:t>
      </w:r>
    </w:p>
    <w:p w14:paraId="0E529D11">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供应商</w:t>
      </w:r>
      <w:r>
        <w:rPr>
          <w:color w:val="auto"/>
          <w:sz w:val="24"/>
          <w:highlight w:val="none"/>
        </w:rPr>
        <w:t>须知</w:t>
      </w:r>
    </w:p>
    <w:p w14:paraId="73681CDD">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14:paraId="5EF188CE">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14:paraId="56230BB1">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14:paraId="299588A8">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rPr>
        <w:t>响应</w:t>
      </w:r>
      <w:r>
        <w:rPr>
          <w:color w:val="auto"/>
          <w:sz w:val="24"/>
          <w:highlight w:val="none"/>
        </w:rPr>
        <w:t>文件格式</w:t>
      </w:r>
    </w:p>
    <w:p w14:paraId="76343E1B">
      <w:pPr>
        <w:spacing w:line="360" w:lineRule="auto"/>
        <w:ind w:firstLine="435"/>
        <w:rPr>
          <w:color w:val="auto"/>
          <w:sz w:val="24"/>
          <w:highlight w:val="none"/>
        </w:rPr>
      </w:pPr>
      <w:r>
        <w:rPr>
          <w:color w:val="auto"/>
          <w:sz w:val="24"/>
          <w:highlight w:val="none"/>
        </w:rPr>
        <w:t>7.2</w:t>
      </w:r>
      <w:r>
        <w:rPr>
          <w:rFonts w:hint="eastAsia"/>
          <w:color w:val="auto"/>
          <w:sz w:val="24"/>
          <w:highlight w:val="none"/>
          <w:lang w:eastAsia="zh-CN"/>
        </w:rPr>
        <w:t>比选</w:t>
      </w:r>
      <w:r>
        <w:rPr>
          <w:color w:val="auto"/>
          <w:sz w:val="24"/>
          <w:highlight w:val="none"/>
        </w:rPr>
        <w:t>文件中有不一致的，有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14:paraId="17BC071A">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32F3E2CE">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供应商</w:t>
      </w:r>
      <w:r>
        <w:rPr>
          <w:color w:val="auto"/>
          <w:sz w:val="24"/>
          <w:highlight w:val="none"/>
        </w:rPr>
        <w:t>应认真阅读</w:t>
      </w:r>
      <w:r>
        <w:rPr>
          <w:rFonts w:hint="eastAsia"/>
          <w:color w:val="auto"/>
          <w:sz w:val="24"/>
          <w:highlight w:val="none"/>
          <w:lang w:eastAsia="zh-CN"/>
        </w:rPr>
        <w:t>比选</w:t>
      </w:r>
      <w:r>
        <w:rPr>
          <w:color w:val="auto"/>
          <w:sz w:val="24"/>
          <w:highlight w:val="none"/>
        </w:rPr>
        <w:t>文件所有的事项、格式、条款和技术规范等。</w:t>
      </w:r>
    </w:p>
    <w:p w14:paraId="4A7DB860">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lang w:eastAsia="zh-CN"/>
        </w:rPr>
        <w:t>比选</w:t>
      </w:r>
      <w:r>
        <w:rPr>
          <w:rFonts w:hint="eastAsia"/>
          <w:b/>
          <w:color w:val="auto"/>
          <w:sz w:val="24"/>
          <w:highlight w:val="none"/>
        </w:rPr>
        <w:t>文件的澄清与修改</w:t>
      </w:r>
    </w:p>
    <w:p w14:paraId="16E42B1B">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供应商</w:t>
      </w:r>
      <w:r>
        <w:rPr>
          <w:color w:val="auto"/>
          <w:sz w:val="24"/>
          <w:highlight w:val="none"/>
        </w:rPr>
        <w:t>如对</w:t>
      </w:r>
      <w:r>
        <w:rPr>
          <w:rFonts w:hint="eastAsia"/>
          <w:color w:val="auto"/>
          <w:sz w:val="24"/>
          <w:highlight w:val="none"/>
          <w:lang w:eastAsia="zh-CN"/>
        </w:rPr>
        <w:t>比选</w:t>
      </w:r>
      <w:r>
        <w:rPr>
          <w:color w:val="auto"/>
          <w:sz w:val="24"/>
          <w:highlight w:val="none"/>
        </w:rPr>
        <w:t>文件内容有疑问，必须在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14:paraId="6898AC15">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rPr>
        <w:t>业主单位</w:t>
      </w:r>
      <w:r>
        <w:rPr>
          <w:rFonts w:hint="eastAsia"/>
          <w:color w:val="auto"/>
          <w:sz w:val="24"/>
          <w:highlight w:val="none"/>
        </w:rPr>
        <w:t>可主动或在解答</w:t>
      </w:r>
      <w:r>
        <w:rPr>
          <w:rFonts w:hint="eastAsia"/>
          <w:color w:val="auto"/>
          <w:sz w:val="24"/>
          <w:szCs w:val="18"/>
          <w:highlight w:val="none"/>
          <w:lang w:eastAsia="zh-CN"/>
        </w:rPr>
        <w:t>供应商</w:t>
      </w:r>
      <w:r>
        <w:rPr>
          <w:rFonts w:hint="eastAsia"/>
          <w:color w:val="auto"/>
          <w:sz w:val="24"/>
          <w:highlight w:val="none"/>
        </w:rPr>
        <w:t>提出的问题时对</w:t>
      </w:r>
      <w:r>
        <w:rPr>
          <w:rFonts w:hint="eastAsia"/>
          <w:color w:val="auto"/>
          <w:sz w:val="24"/>
          <w:highlight w:val="none"/>
          <w:lang w:eastAsia="zh-CN"/>
        </w:rPr>
        <w:t>比选</w:t>
      </w:r>
      <w:r>
        <w:rPr>
          <w:rFonts w:hint="eastAsia"/>
          <w:color w:val="auto"/>
          <w:sz w:val="24"/>
          <w:highlight w:val="none"/>
        </w:rPr>
        <w:t>文件进行澄清或者修改。代理机构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w:t>
      </w:r>
      <w:r>
        <w:rPr>
          <w:rFonts w:hint="eastAsia"/>
          <w:color w:val="auto"/>
          <w:sz w:val="24"/>
          <w:highlight w:val="none"/>
          <w:lang w:eastAsia="zh-CN"/>
        </w:rPr>
        <w:t>比选</w:t>
      </w:r>
      <w:r>
        <w:rPr>
          <w:rFonts w:hint="eastAsia"/>
          <w:color w:val="auto"/>
          <w:sz w:val="24"/>
          <w:highlight w:val="none"/>
        </w:rPr>
        <w:t>文件，更正公告的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lang w:eastAsia="zh-CN"/>
        </w:rPr>
        <w:t>比选</w:t>
      </w:r>
      <w:r>
        <w:rPr>
          <w:color w:val="auto"/>
          <w:sz w:val="24"/>
          <w:highlight w:val="none"/>
        </w:rPr>
        <w:t>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供应商</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供应商</w:t>
      </w:r>
      <w:r>
        <w:rPr>
          <w:rFonts w:hint="eastAsia"/>
          <w:color w:val="auto"/>
          <w:sz w:val="24"/>
          <w:highlight w:val="none"/>
        </w:rPr>
        <w:t>应主动上网查询。代理机构不承担</w:t>
      </w:r>
      <w:r>
        <w:rPr>
          <w:rFonts w:hint="eastAsia"/>
          <w:color w:val="auto"/>
          <w:sz w:val="24"/>
          <w:szCs w:val="18"/>
          <w:highlight w:val="none"/>
          <w:lang w:eastAsia="zh-CN"/>
        </w:rPr>
        <w:t>供应商</w:t>
      </w:r>
      <w:r>
        <w:rPr>
          <w:rFonts w:hint="eastAsia"/>
          <w:color w:val="auto"/>
          <w:sz w:val="24"/>
          <w:highlight w:val="none"/>
        </w:rPr>
        <w:t>未及时关注相关信息引发的相关责任。</w:t>
      </w:r>
    </w:p>
    <w:p w14:paraId="34F27BDF">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供应商</w:t>
      </w:r>
      <w:r>
        <w:rPr>
          <w:rFonts w:hint="eastAsia"/>
          <w:color w:val="auto"/>
          <w:sz w:val="24"/>
          <w:highlight w:val="none"/>
        </w:rPr>
        <w:t>提供的任何书面或口头资料，未经代理机构在网上发布或书面通知，均作无效处理，不得作为</w:t>
      </w:r>
      <w:r>
        <w:rPr>
          <w:rFonts w:hint="eastAsia"/>
          <w:color w:val="auto"/>
          <w:sz w:val="24"/>
          <w:highlight w:val="none"/>
          <w:lang w:eastAsia="zh-CN"/>
        </w:rPr>
        <w:t>比选</w:t>
      </w:r>
      <w:r>
        <w:rPr>
          <w:rFonts w:hint="eastAsia"/>
          <w:color w:val="auto"/>
          <w:sz w:val="24"/>
          <w:highlight w:val="none"/>
        </w:rPr>
        <w:t>文件的组成部分。代理机构对</w:t>
      </w:r>
      <w:r>
        <w:rPr>
          <w:rFonts w:hint="eastAsia"/>
          <w:color w:val="auto"/>
          <w:sz w:val="24"/>
          <w:szCs w:val="18"/>
          <w:highlight w:val="none"/>
          <w:lang w:eastAsia="zh-CN"/>
        </w:rPr>
        <w:t>供应商</w:t>
      </w:r>
      <w:r>
        <w:rPr>
          <w:rFonts w:hint="eastAsia"/>
          <w:color w:val="auto"/>
          <w:sz w:val="24"/>
          <w:highlight w:val="none"/>
        </w:rPr>
        <w:t>由此而做出的推论、理解和结论概不负责。</w:t>
      </w:r>
    </w:p>
    <w:p w14:paraId="60E8B882">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lang w:eastAsia="zh-CN"/>
        </w:rPr>
        <w:t>比选</w:t>
      </w:r>
      <w:r>
        <w:rPr>
          <w:color w:val="auto"/>
          <w:sz w:val="24"/>
          <w:highlight w:val="none"/>
        </w:rPr>
        <w:t>的</w:t>
      </w:r>
      <w:r>
        <w:rPr>
          <w:rFonts w:hint="eastAsia"/>
          <w:color w:val="auto"/>
          <w:sz w:val="24"/>
          <w:szCs w:val="18"/>
          <w:highlight w:val="none"/>
          <w:lang w:eastAsia="zh-CN"/>
        </w:rPr>
        <w:t>供应商</w:t>
      </w:r>
      <w:r>
        <w:rPr>
          <w:color w:val="auto"/>
          <w:sz w:val="24"/>
          <w:highlight w:val="none"/>
        </w:rPr>
        <w:t>将被视为完全认同</w:t>
      </w:r>
      <w:r>
        <w:rPr>
          <w:rFonts w:hint="eastAsia"/>
          <w:color w:val="auto"/>
          <w:sz w:val="24"/>
          <w:highlight w:val="none"/>
        </w:rPr>
        <w:t>本</w:t>
      </w:r>
      <w:r>
        <w:rPr>
          <w:rFonts w:hint="eastAsia"/>
          <w:color w:val="auto"/>
          <w:sz w:val="24"/>
          <w:highlight w:val="none"/>
          <w:lang w:eastAsia="zh-CN"/>
        </w:rPr>
        <w:t>比选</w:t>
      </w:r>
      <w:r>
        <w:rPr>
          <w:color w:val="auto"/>
          <w:sz w:val="24"/>
          <w:highlight w:val="none"/>
        </w:rPr>
        <w:t>文件（含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14:paraId="7CEF8FFA">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lang w:eastAsia="zh-CN"/>
        </w:rPr>
        <w:t>比选</w:t>
      </w:r>
      <w:r>
        <w:rPr>
          <w:rFonts w:hint="eastAsia"/>
          <w:b/>
          <w:color w:val="auto"/>
          <w:sz w:val="24"/>
          <w:highlight w:val="none"/>
        </w:rPr>
        <w:t>范围及响应文件</w:t>
      </w:r>
      <w:r>
        <w:rPr>
          <w:rFonts w:hint="eastAsia"/>
          <w:b/>
          <w:color w:val="auto"/>
          <w:sz w:val="24"/>
          <w:highlight w:val="none"/>
          <w:lang w:eastAsia="zh-CN"/>
        </w:rPr>
        <w:t>成交</w:t>
      </w:r>
      <w:r>
        <w:rPr>
          <w:rFonts w:hint="eastAsia"/>
          <w:b/>
          <w:color w:val="auto"/>
          <w:sz w:val="24"/>
          <w:highlight w:val="none"/>
        </w:rPr>
        <w:t>准和计量单位的使用</w:t>
      </w:r>
    </w:p>
    <w:p w14:paraId="09EC3F47">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供应商</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个分包</w:t>
      </w:r>
      <w:r>
        <w:rPr>
          <w:rFonts w:hint="eastAsia"/>
          <w:color w:val="auto"/>
          <w:sz w:val="24"/>
          <w:highlight w:val="none"/>
        </w:rPr>
        <w:t>的</w:t>
      </w:r>
      <w:r>
        <w:rPr>
          <w:rFonts w:hint="eastAsia"/>
          <w:color w:val="auto"/>
          <w:sz w:val="24"/>
          <w:highlight w:val="none"/>
          <w:lang w:eastAsia="zh-CN"/>
        </w:rPr>
        <w:t>比选</w:t>
      </w:r>
      <w:r>
        <w:rPr>
          <w:color w:val="auto"/>
          <w:sz w:val="24"/>
          <w:highlight w:val="none"/>
        </w:rPr>
        <w:t>，</w:t>
      </w:r>
      <w:r>
        <w:rPr>
          <w:rFonts w:hint="eastAsia"/>
          <w:color w:val="auto"/>
          <w:sz w:val="24"/>
          <w:highlight w:val="none"/>
        </w:rPr>
        <w:t>成交包数详见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w:t>
      </w:r>
    </w:p>
    <w:p w14:paraId="2D940997">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w:t>
      </w:r>
      <w:r>
        <w:rPr>
          <w:rFonts w:hint="eastAsia"/>
          <w:color w:val="auto"/>
          <w:sz w:val="24"/>
          <w:highlight w:val="none"/>
          <w:lang w:eastAsia="zh-CN"/>
        </w:rPr>
        <w:t>比选</w:t>
      </w:r>
      <w:r>
        <w:rPr>
          <w:color w:val="auto"/>
          <w:sz w:val="24"/>
          <w:highlight w:val="none"/>
        </w:rPr>
        <w:t>文件中是否要求，</w:t>
      </w:r>
      <w:r>
        <w:rPr>
          <w:rFonts w:hint="eastAsia"/>
          <w:color w:val="auto"/>
          <w:sz w:val="24"/>
          <w:szCs w:val="18"/>
          <w:highlight w:val="none"/>
          <w:lang w:eastAsia="zh-CN"/>
        </w:rPr>
        <w:t>供应商</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14:paraId="57B6B431">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供应商</w:t>
      </w:r>
      <w:r>
        <w:rPr>
          <w:color w:val="auto"/>
          <w:sz w:val="24"/>
          <w:highlight w:val="none"/>
        </w:rPr>
        <w:t>与</w:t>
      </w:r>
      <w:r>
        <w:rPr>
          <w:rFonts w:hint="eastAsia"/>
          <w:color w:val="auto"/>
          <w:sz w:val="24"/>
          <w:highlight w:val="none"/>
        </w:rPr>
        <w:t>代理机构</w:t>
      </w:r>
      <w:r>
        <w:rPr>
          <w:color w:val="auto"/>
          <w:sz w:val="24"/>
          <w:highlight w:val="none"/>
        </w:rPr>
        <w:t>之间与</w:t>
      </w:r>
      <w:r>
        <w:rPr>
          <w:rFonts w:hint="eastAsia"/>
          <w:color w:val="auto"/>
          <w:sz w:val="24"/>
          <w:highlight w:val="none"/>
          <w:lang w:eastAsia="zh-CN"/>
        </w:rPr>
        <w:t>比选</w:t>
      </w:r>
      <w:r>
        <w:rPr>
          <w:color w:val="auto"/>
          <w:sz w:val="24"/>
          <w:highlight w:val="none"/>
        </w:rPr>
        <w:t>有关的所有往来通知、函件和响应文件均用中文表述。</w:t>
      </w:r>
      <w:r>
        <w:rPr>
          <w:rFonts w:hint="eastAsia"/>
          <w:color w:val="auto"/>
          <w:sz w:val="24"/>
          <w:szCs w:val="18"/>
          <w:highlight w:val="none"/>
          <w:lang w:eastAsia="zh-CN"/>
        </w:rPr>
        <w:t>供应商</w:t>
      </w:r>
      <w:r>
        <w:rPr>
          <w:color w:val="auto"/>
          <w:sz w:val="24"/>
          <w:highlight w:val="none"/>
        </w:rPr>
        <w:t>随响应文件提供的证明文件和资料可以为其它语言，但必须附中文译文。翻译的中文资料与外文资料如果出现差异时，以中文为准。</w:t>
      </w:r>
    </w:p>
    <w:p w14:paraId="64420258">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w:t>
      </w:r>
      <w:r>
        <w:rPr>
          <w:rFonts w:hint="eastAsia"/>
          <w:color w:val="auto"/>
          <w:sz w:val="24"/>
          <w:highlight w:val="none"/>
          <w:lang w:eastAsia="zh-CN"/>
        </w:rPr>
        <w:t>比选</w:t>
      </w:r>
      <w:r>
        <w:rPr>
          <w:color w:val="auto"/>
          <w:sz w:val="24"/>
          <w:highlight w:val="none"/>
        </w:rPr>
        <w:t>文件中有特殊要求外，响应文件中所使用的计量单位，应采用中华人民共和国法定计量单位。</w:t>
      </w:r>
    </w:p>
    <w:p w14:paraId="0DCB9CA9">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rPr>
        <w:t>响应文件构成</w:t>
      </w:r>
    </w:p>
    <w:p w14:paraId="1A49793D">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供应商</w:t>
      </w:r>
      <w:r>
        <w:rPr>
          <w:color w:val="auto"/>
          <w:sz w:val="24"/>
          <w:highlight w:val="none"/>
        </w:rPr>
        <w:t>应完整地按</w:t>
      </w:r>
      <w:r>
        <w:rPr>
          <w:rFonts w:hint="eastAsia"/>
          <w:color w:val="auto"/>
          <w:sz w:val="24"/>
          <w:highlight w:val="none"/>
          <w:lang w:eastAsia="zh-CN"/>
        </w:rPr>
        <w:t>比选</w:t>
      </w:r>
      <w:r>
        <w:rPr>
          <w:color w:val="auto"/>
          <w:sz w:val="24"/>
          <w:highlight w:val="none"/>
        </w:rPr>
        <w:t>文件提供的响应文件格式及要求编写响应文件，具体内容详见第六章响应文件格式的相关内容。</w:t>
      </w:r>
    </w:p>
    <w:p w14:paraId="4FA13274">
      <w:pPr>
        <w:spacing w:line="360" w:lineRule="auto"/>
        <w:ind w:firstLine="437"/>
        <w:rPr>
          <w:color w:val="auto"/>
          <w:sz w:val="24"/>
          <w:highlight w:val="none"/>
        </w:rPr>
      </w:pPr>
      <w:r>
        <w:rPr>
          <w:color w:val="auto"/>
          <w:sz w:val="24"/>
          <w:highlight w:val="none"/>
        </w:rPr>
        <w:t>10.2上述文件应按照</w:t>
      </w:r>
      <w:r>
        <w:rPr>
          <w:rFonts w:hint="eastAsia"/>
          <w:color w:val="auto"/>
          <w:sz w:val="24"/>
          <w:highlight w:val="none"/>
          <w:lang w:eastAsia="zh-CN"/>
        </w:rPr>
        <w:t>比选</w:t>
      </w:r>
      <w:r>
        <w:rPr>
          <w:color w:val="auto"/>
          <w:sz w:val="24"/>
          <w:highlight w:val="none"/>
        </w:rPr>
        <w:t>文件规定的格式填写、签署和盖章。</w:t>
      </w:r>
    </w:p>
    <w:p w14:paraId="74FB885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w:t>
      </w:r>
      <w:r>
        <w:rPr>
          <w:rFonts w:hint="eastAsia"/>
          <w:b/>
          <w:color w:val="auto"/>
          <w:sz w:val="24"/>
          <w:highlight w:val="none"/>
          <w:lang w:eastAsia="zh-CN"/>
        </w:rPr>
        <w:t>比选</w:t>
      </w:r>
      <w:r>
        <w:rPr>
          <w:rFonts w:hint="eastAsia"/>
          <w:b/>
          <w:color w:val="auto"/>
          <w:sz w:val="24"/>
          <w:highlight w:val="none"/>
        </w:rPr>
        <w:t>文件规定的技术文件</w:t>
      </w:r>
    </w:p>
    <w:p w14:paraId="7931D072">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w:t>
      </w:r>
      <w:r>
        <w:rPr>
          <w:rFonts w:hint="eastAsia"/>
          <w:color w:val="auto"/>
          <w:sz w:val="24"/>
          <w:highlight w:val="none"/>
          <w:lang w:eastAsia="zh-CN"/>
        </w:rPr>
        <w:t>比选</w:t>
      </w:r>
      <w:r>
        <w:rPr>
          <w:rFonts w:hint="eastAsia"/>
          <w:color w:val="auto"/>
          <w:sz w:val="24"/>
          <w:highlight w:val="none"/>
        </w:rPr>
        <w:t>文件要求的证明文件，证明其响应内容符合</w:t>
      </w:r>
      <w:r>
        <w:rPr>
          <w:rFonts w:hint="eastAsia"/>
          <w:color w:val="auto"/>
          <w:sz w:val="24"/>
          <w:highlight w:val="none"/>
          <w:lang w:eastAsia="zh-CN"/>
        </w:rPr>
        <w:t>比选</w:t>
      </w:r>
      <w:r>
        <w:rPr>
          <w:rFonts w:hint="eastAsia"/>
          <w:color w:val="auto"/>
          <w:sz w:val="24"/>
          <w:highlight w:val="none"/>
        </w:rPr>
        <w:t>文件规定。该证明文件是响应文件的一部分</w:t>
      </w:r>
      <w:r>
        <w:rPr>
          <w:color w:val="auto"/>
          <w:sz w:val="24"/>
          <w:highlight w:val="none"/>
        </w:rPr>
        <w:t>。</w:t>
      </w:r>
    </w:p>
    <w:p w14:paraId="2BD1E83F">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5" w:name="_Hlk11703583"/>
      <w:r>
        <w:rPr>
          <w:rFonts w:hint="eastAsia"/>
          <w:color w:val="auto"/>
          <w:sz w:val="24"/>
          <w:highlight w:val="none"/>
        </w:rPr>
        <w:t>。</w:t>
      </w:r>
    </w:p>
    <w:bookmarkEnd w:id="15"/>
    <w:p w14:paraId="594B23D9">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w:t>
      </w:r>
      <w:r>
        <w:rPr>
          <w:rFonts w:hint="eastAsia"/>
          <w:color w:val="auto"/>
          <w:sz w:val="24"/>
          <w:highlight w:val="none"/>
          <w:lang w:eastAsia="zh-CN"/>
        </w:rPr>
        <w:t>比选</w:t>
      </w:r>
      <w:r>
        <w:rPr>
          <w:rFonts w:hint="eastAsia"/>
          <w:color w:val="auto"/>
          <w:sz w:val="24"/>
          <w:highlight w:val="none"/>
        </w:rPr>
        <w:t>文件相关部分的文字、图标的复制。</w:t>
      </w:r>
    </w:p>
    <w:p w14:paraId="4815C886">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w:t>
      </w:r>
      <w:r>
        <w:rPr>
          <w:rFonts w:hint="eastAsia"/>
          <w:color w:val="auto"/>
          <w:sz w:val="24"/>
          <w:highlight w:val="none"/>
          <w:lang w:eastAsia="zh-CN"/>
        </w:rPr>
        <w:t>比选</w:t>
      </w:r>
      <w:r>
        <w:rPr>
          <w:color w:val="auto"/>
          <w:sz w:val="24"/>
          <w:highlight w:val="none"/>
        </w:rPr>
        <w:t>文件另有规定或说明，</w:t>
      </w:r>
      <w:r>
        <w:rPr>
          <w:rFonts w:hint="eastAsia"/>
          <w:color w:val="auto"/>
          <w:sz w:val="24"/>
          <w:szCs w:val="18"/>
          <w:highlight w:val="none"/>
          <w:lang w:eastAsia="zh-CN"/>
        </w:rPr>
        <w:t>供应商</w:t>
      </w:r>
      <w:r>
        <w:rPr>
          <w:color w:val="auto"/>
          <w:sz w:val="24"/>
          <w:highlight w:val="none"/>
        </w:rPr>
        <w:t>对同一项目</w:t>
      </w:r>
      <w:r>
        <w:rPr>
          <w:rFonts w:hint="eastAsia"/>
          <w:color w:val="auto"/>
          <w:sz w:val="24"/>
          <w:highlight w:val="none"/>
          <w:lang w:eastAsia="zh-CN"/>
        </w:rPr>
        <w:t>比选</w:t>
      </w:r>
      <w:r>
        <w:rPr>
          <w:color w:val="auto"/>
          <w:sz w:val="24"/>
          <w:highlight w:val="none"/>
        </w:rPr>
        <w:t>时，不得同时提供</w:t>
      </w:r>
      <w:r>
        <w:rPr>
          <w:rFonts w:hint="eastAsia"/>
          <w:color w:val="auto"/>
          <w:sz w:val="24"/>
          <w:highlight w:val="none"/>
        </w:rPr>
        <w:t>备选</w:t>
      </w:r>
      <w:r>
        <w:rPr>
          <w:rFonts w:hint="eastAsia"/>
          <w:color w:val="auto"/>
          <w:sz w:val="24"/>
          <w:highlight w:val="none"/>
          <w:lang w:eastAsia="zh-CN"/>
        </w:rPr>
        <w:t>比选</w:t>
      </w:r>
      <w:r>
        <w:rPr>
          <w:color w:val="auto"/>
          <w:sz w:val="24"/>
          <w:highlight w:val="none"/>
        </w:rPr>
        <w:t>方案。</w:t>
      </w:r>
    </w:p>
    <w:p w14:paraId="00750B89">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14:paraId="755556B9">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供应商</w:t>
      </w:r>
      <w:r>
        <w:rPr>
          <w:color w:val="auto"/>
          <w:sz w:val="24"/>
          <w:highlight w:val="none"/>
        </w:rPr>
        <w:t>的报价应当包括满足本次</w:t>
      </w:r>
      <w:r>
        <w:rPr>
          <w:rFonts w:hint="eastAsia"/>
          <w:color w:val="auto"/>
          <w:sz w:val="24"/>
          <w:highlight w:val="none"/>
          <w:lang w:eastAsia="zh-CN"/>
        </w:rPr>
        <w:t>比选</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供应商</w:t>
      </w:r>
      <w:r>
        <w:rPr>
          <w:rFonts w:hint="eastAsia"/>
          <w:color w:val="auto"/>
          <w:sz w:val="24"/>
          <w:highlight w:val="none"/>
        </w:rPr>
        <w:t>的</w:t>
      </w:r>
      <w:r>
        <w:rPr>
          <w:rFonts w:hint="eastAsia"/>
          <w:color w:val="auto"/>
          <w:sz w:val="24"/>
          <w:highlight w:val="none"/>
          <w:lang w:eastAsia="zh-CN"/>
        </w:rPr>
        <w:t>比选</w:t>
      </w:r>
      <w:r>
        <w:rPr>
          <w:rFonts w:hint="eastAsia"/>
          <w:color w:val="auto"/>
          <w:sz w:val="24"/>
          <w:highlight w:val="none"/>
        </w:rPr>
        <w:t>报价应遵守《中华人民共和国价格法》。</w:t>
      </w:r>
    </w:p>
    <w:p w14:paraId="7469CAAB">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供应商</w:t>
      </w:r>
      <w:r>
        <w:rPr>
          <w:rFonts w:hint="eastAsia"/>
          <w:color w:val="auto"/>
          <w:sz w:val="24"/>
          <w:highlight w:val="none"/>
        </w:rPr>
        <w:t>应在分项报价表上标明</w:t>
      </w:r>
      <w:r>
        <w:rPr>
          <w:rFonts w:hint="eastAsia"/>
          <w:color w:val="auto"/>
          <w:sz w:val="24"/>
          <w:highlight w:val="none"/>
          <w:lang w:eastAsia="zh-CN"/>
        </w:rPr>
        <w:t>比选</w:t>
      </w:r>
      <w:r>
        <w:rPr>
          <w:rFonts w:hint="eastAsia"/>
          <w:color w:val="auto"/>
          <w:sz w:val="24"/>
          <w:highlight w:val="none"/>
        </w:rPr>
        <w:t>工程的单价（如适用）和总价，未标明的视同包含在</w:t>
      </w:r>
      <w:r>
        <w:rPr>
          <w:rFonts w:hint="eastAsia"/>
          <w:color w:val="auto"/>
          <w:sz w:val="24"/>
          <w:highlight w:val="none"/>
          <w:lang w:eastAsia="zh-CN"/>
        </w:rPr>
        <w:t>比选</w:t>
      </w:r>
      <w:r>
        <w:rPr>
          <w:rFonts w:hint="eastAsia"/>
          <w:color w:val="auto"/>
          <w:sz w:val="24"/>
          <w:highlight w:val="none"/>
        </w:rPr>
        <w:t>报价中。</w:t>
      </w:r>
    </w:p>
    <w:p w14:paraId="79795FC5">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w:t>
      </w:r>
      <w:r>
        <w:rPr>
          <w:rFonts w:hint="eastAsia"/>
          <w:color w:val="auto"/>
          <w:sz w:val="24"/>
          <w:highlight w:val="none"/>
          <w:lang w:eastAsia="zh-CN"/>
        </w:rPr>
        <w:t>比选</w:t>
      </w:r>
      <w:r>
        <w:rPr>
          <w:color w:val="auto"/>
          <w:sz w:val="24"/>
          <w:highlight w:val="none"/>
        </w:rPr>
        <w:t>文件（公告）列明的项目预算</w:t>
      </w:r>
      <w:r>
        <w:rPr>
          <w:rFonts w:hint="eastAsia"/>
          <w:color w:val="auto"/>
          <w:sz w:val="24"/>
          <w:highlight w:val="none"/>
        </w:rPr>
        <w:t>、最高限价（控制价）</w:t>
      </w:r>
      <w:r>
        <w:rPr>
          <w:color w:val="auto"/>
          <w:sz w:val="24"/>
          <w:highlight w:val="none"/>
        </w:rPr>
        <w:t>，否则其响应文件将被认定为</w:t>
      </w:r>
      <w:r>
        <w:rPr>
          <w:b/>
          <w:color w:val="auto"/>
          <w:sz w:val="24"/>
          <w:highlight w:val="none"/>
        </w:rPr>
        <w:t>响应无效</w:t>
      </w:r>
      <w:r>
        <w:rPr>
          <w:color w:val="auto"/>
          <w:sz w:val="24"/>
          <w:highlight w:val="none"/>
        </w:rPr>
        <w:t>。</w:t>
      </w:r>
    </w:p>
    <w:p w14:paraId="79E4E569">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lang w:eastAsia="zh-CN"/>
        </w:rPr>
        <w:t>比选</w:t>
      </w:r>
      <w:r>
        <w:rPr>
          <w:color w:val="auto"/>
          <w:sz w:val="24"/>
          <w:highlight w:val="none"/>
        </w:rPr>
        <w:t>，其</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2A39CE6B">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rPr>
        <w:t>业主单位</w:t>
      </w:r>
      <w:r>
        <w:rPr>
          <w:color w:val="auto"/>
          <w:sz w:val="24"/>
          <w:highlight w:val="none"/>
        </w:rPr>
        <w:t>不接受具有附加条件的报价。</w:t>
      </w:r>
    </w:p>
    <w:p w14:paraId="6A35661D">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3.</w:t>
      </w:r>
      <w:r>
        <w:rPr>
          <w:rFonts w:hint="eastAsia"/>
          <w:b/>
          <w:color w:val="auto"/>
          <w:sz w:val="24"/>
          <w:highlight w:val="none"/>
          <w:lang w:eastAsia="zh-CN"/>
        </w:rPr>
        <w:t>比选</w:t>
      </w:r>
      <w:r>
        <w:rPr>
          <w:rFonts w:hint="eastAsia"/>
          <w:b/>
          <w:color w:val="auto"/>
          <w:sz w:val="24"/>
          <w:highlight w:val="none"/>
        </w:rPr>
        <w:t>保证金</w:t>
      </w:r>
    </w:p>
    <w:p w14:paraId="6E6A2BC6">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中规定的</w:t>
      </w:r>
      <w:r>
        <w:rPr>
          <w:rFonts w:hint="eastAsia"/>
          <w:color w:val="auto"/>
          <w:sz w:val="24"/>
          <w:highlight w:val="none"/>
          <w:lang w:eastAsia="zh-CN"/>
        </w:rPr>
        <w:t>比选</w:t>
      </w:r>
      <w:r>
        <w:rPr>
          <w:rFonts w:hint="eastAsia"/>
          <w:color w:val="auto"/>
          <w:sz w:val="24"/>
          <w:highlight w:val="none"/>
        </w:rPr>
        <w:t>保证金，并作为其响应文件的一部分。</w:t>
      </w:r>
      <w:r>
        <w:rPr>
          <w:rFonts w:hint="eastAsia"/>
          <w:color w:val="auto"/>
          <w:sz w:val="24"/>
          <w:szCs w:val="18"/>
          <w:highlight w:val="none"/>
          <w:lang w:eastAsia="zh-CN"/>
        </w:rPr>
        <w:t>供应商</w:t>
      </w:r>
      <w:r>
        <w:rPr>
          <w:rFonts w:hint="eastAsia"/>
          <w:color w:val="auto"/>
          <w:sz w:val="24"/>
          <w:highlight w:val="none"/>
        </w:rPr>
        <w:t>未按规定提交</w:t>
      </w:r>
      <w:r>
        <w:rPr>
          <w:rFonts w:hint="eastAsia"/>
          <w:color w:val="auto"/>
          <w:sz w:val="24"/>
          <w:highlight w:val="none"/>
          <w:lang w:eastAsia="zh-CN"/>
        </w:rPr>
        <w:t>比选</w:t>
      </w:r>
      <w:r>
        <w:rPr>
          <w:rFonts w:hint="eastAsia"/>
          <w:color w:val="auto"/>
          <w:sz w:val="24"/>
          <w:highlight w:val="none"/>
        </w:rPr>
        <w:t>保证金的，其响应文件将被认定为</w:t>
      </w:r>
      <w:r>
        <w:rPr>
          <w:rFonts w:hint="eastAsia"/>
          <w:b/>
          <w:color w:val="auto"/>
          <w:sz w:val="24"/>
          <w:highlight w:val="none"/>
        </w:rPr>
        <w:t>响应无效</w:t>
      </w:r>
      <w:r>
        <w:rPr>
          <w:rFonts w:hint="eastAsia"/>
          <w:color w:val="auto"/>
          <w:sz w:val="24"/>
          <w:highlight w:val="none"/>
        </w:rPr>
        <w:t>。</w:t>
      </w:r>
    </w:p>
    <w:p w14:paraId="47F46E12">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供应商</w:t>
      </w:r>
      <w:r>
        <w:rPr>
          <w:rFonts w:hint="eastAsia"/>
          <w:color w:val="auto"/>
          <w:sz w:val="24"/>
          <w:highlight w:val="none"/>
        </w:rPr>
        <w:t>请注意：</w:t>
      </w:r>
    </w:p>
    <w:p w14:paraId="131284E9">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lang w:eastAsia="zh-CN"/>
        </w:rPr>
        <w:t>比选</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供应商</w:t>
      </w:r>
      <w:r>
        <w:rPr>
          <w:color w:val="auto"/>
          <w:sz w:val="24"/>
          <w:highlight w:val="none"/>
        </w:rPr>
        <w:t>的</w:t>
      </w:r>
      <w:r>
        <w:rPr>
          <w:rFonts w:hint="eastAsia"/>
          <w:color w:val="auto"/>
          <w:sz w:val="24"/>
          <w:highlight w:val="none"/>
          <w:lang w:eastAsia="zh-CN"/>
        </w:rPr>
        <w:t>比选</w:t>
      </w:r>
      <w:r>
        <w:rPr>
          <w:color w:val="auto"/>
          <w:sz w:val="24"/>
          <w:highlight w:val="none"/>
        </w:rPr>
        <w:t>保证金</w:t>
      </w:r>
      <w:r>
        <w:rPr>
          <w:rFonts w:hint="eastAsia"/>
          <w:color w:val="auto"/>
          <w:sz w:val="24"/>
          <w:highlight w:val="none"/>
          <w:lang w:eastAsia="zh-CN"/>
        </w:rPr>
        <w:t>（不含工本费）</w:t>
      </w:r>
      <w:r>
        <w:rPr>
          <w:color w:val="auto"/>
          <w:sz w:val="24"/>
          <w:highlight w:val="none"/>
        </w:rPr>
        <w:t>。</w:t>
      </w:r>
    </w:p>
    <w:p w14:paraId="26FAED9A">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w:t>
      </w:r>
      <w:r>
        <w:rPr>
          <w:rFonts w:hint="eastAsia"/>
          <w:color w:val="auto"/>
          <w:sz w:val="24"/>
          <w:highlight w:val="none"/>
          <w:lang w:eastAsia="zh-CN"/>
        </w:rPr>
        <w:t>比选</w:t>
      </w:r>
      <w:r>
        <w:rPr>
          <w:color w:val="auto"/>
          <w:sz w:val="24"/>
          <w:highlight w:val="none"/>
        </w:rPr>
        <w:t>保证金缴纳账号采用动态虚拟账号（分包项目每一个包别对应一个账号），项目</w:t>
      </w:r>
      <w:r>
        <w:rPr>
          <w:rFonts w:hint="eastAsia"/>
          <w:color w:val="auto"/>
          <w:sz w:val="24"/>
          <w:highlight w:val="none"/>
          <w:lang w:eastAsia="zh-CN"/>
        </w:rPr>
        <w:t>比选</w:t>
      </w:r>
      <w:r>
        <w:rPr>
          <w:color w:val="auto"/>
          <w:sz w:val="24"/>
          <w:highlight w:val="none"/>
        </w:rPr>
        <w:t>失败后，</w:t>
      </w:r>
      <w:r>
        <w:rPr>
          <w:rFonts w:hint="eastAsia"/>
          <w:color w:val="auto"/>
          <w:sz w:val="24"/>
          <w:highlight w:val="none"/>
          <w:lang w:eastAsia="zh-CN"/>
        </w:rPr>
        <w:t>比选</w:t>
      </w:r>
      <w:r>
        <w:rPr>
          <w:color w:val="auto"/>
          <w:sz w:val="24"/>
          <w:highlight w:val="none"/>
        </w:rPr>
        <w:t>保证金缴纳账号将会发生变化，请</w:t>
      </w:r>
      <w:r>
        <w:rPr>
          <w:rFonts w:hint="eastAsia"/>
          <w:color w:val="auto"/>
          <w:sz w:val="24"/>
          <w:szCs w:val="18"/>
          <w:highlight w:val="none"/>
          <w:lang w:eastAsia="zh-CN"/>
        </w:rPr>
        <w:t>供应商</w:t>
      </w:r>
      <w:r>
        <w:rPr>
          <w:color w:val="auto"/>
          <w:sz w:val="24"/>
          <w:highlight w:val="none"/>
        </w:rPr>
        <w:t>参与后续</w:t>
      </w:r>
      <w:r>
        <w:rPr>
          <w:rFonts w:hint="eastAsia"/>
          <w:color w:val="auto"/>
          <w:sz w:val="24"/>
          <w:highlight w:val="none"/>
          <w:lang w:eastAsia="zh-CN"/>
        </w:rPr>
        <w:t>比选</w:t>
      </w:r>
      <w:r>
        <w:rPr>
          <w:color w:val="auto"/>
          <w:sz w:val="24"/>
          <w:highlight w:val="none"/>
        </w:rPr>
        <w:t>时，注意勿将</w:t>
      </w:r>
      <w:r>
        <w:rPr>
          <w:rFonts w:hint="eastAsia"/>
          <w:color w:val="auto"/>
          <w:sz w:val="24"/>
          <w:highlight w:val="none"/>
          <w:lang w:eastAsia="zh-CN"/>
        </w:rPr>
        <w:t>比选</w:t>
      </w:r>
      <w:r>
        <w:rPr>
          <w:color w:val="auto"/>
          <w:sz w:val="24"/>
          <w:highlight w:val="none"/>
        </w:rPr>
        <w:t>保证金错交至其他项目虚拟账号或前次公告账号。</w:t>
      </w:r>
    </w:p>
    <w:p w14:paraId="0E9211DF">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74FA3C53">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rFonts w:hint="eastAsia"/>
          <w:color w:val="auto"/>
          <w:sz w:val="24"/>
          <w:highlight w:val="none"/>
          <w:lang w:eastAsia="zh-CN"/>
        </w:rPr>
        <w:t>比选</w:t>
      </w:r>
      <w:r>
        <w:rPr>
          <w:color w:val="auto"/>
          <w:sz w:val="24"/>
          <w:highlight w:val="none"/>
        </w:rPr>
        <w:t>保证金缴纳人名称与</w:t>
      </w:r>
      <w:r>
        <w:rPr>
          <w:rFonts w:hint="eastAsia"/>
          <w:color w:val="auto"/>
          <w:sz w:val="24"/>
          <w:szCs w:val="18"/>
          <w:highlight w:val="none"/>
          <w:lang w:eastAsia="zh-CN"/>
        </w:rPr>
        <w:t>供应商</w:t>
      </w:r>
      <w:r>
        <w:rPr>
          <w:color w:val="auto"/>
          <w:sz w:val="24"/>
          <w:highlight w:val="none"/>
        </w:rPr>
        <w:t>名称应当一致。除非</w:t>
      </w:r>
      <w:r>
        <w:rPr>
          <w:rFonts w:hint="eastAsia"/>
          <w:color w:val="auto"/>
          <w:sz w:val="24"/>
          <w:highlight w:val="none"/>
          <w:lang w:eastAsia="zh-CN"/>
        </w:rPr>
        <w:t>比选</w:t>
      </w:r>
      <w:r>
        <w:rPr>
          <w:color w:val="auto"/>
          <w:sz w:val="24"/>
          <w:highlight w:val="none"/>
        </w:rPr>
        <w:t>文件另有规定，分公司或子公司代缴</w:t>
      </w:r>
      <w:r>
        <w:rPr>
          <w:rFonts w:hint="eastAsia"/>
          <w:color w:val="auto"/>
          <w:sz w:val="24"/>
          <w:highlight w:val="none"/>
          <w:lang w:eastAsia="zh-CN"/>
        </w:rPr>
        <w:t>比选</w:t>
      </w:r>
      <w:r>
        <w:rPr>
          <w:color w:val="auto"/>
          <w:sz w:val="24"/>
          <w:highlight w:val="none"/>
        </w:rPr>
        <w:t>保证金，视同名称不一致。</w:t>
      </w:r>
      <w:r>
        <w:rPr>
          <w:rFonts w:hint="eastAsia"/>
          <w:color w:val="auto"/>
          <w:sz w:val="24"/>
          <w:highlight w:val="none"/>
          <w:lang w:eastAsia="zh-CN"/>
        </w:rPr>
        <w:t>比选</w:t>
      </w:r>
      <w:r>
        <w:rPr>
          <w:color w:val="auto"/>
          <w:sz w:val="24"/>
          <w:highlight w:val="none"/>
        </w:rPr>
        <w:t>保证金缴纳人名称与</w:t>
      </w:r>
      <w:r>
        <w:rPr>
          <w:rFonts w:hint="eastAsia"/>
          <w:color w:val="auto"/>
          <w:sz w:val="24"/>
          <w:szCs w:val="18"/>
          <w:highlight w:val="none"/>
          <w:lang w:eastAsia="zh-CN"/>
        </w:rPr>
        <w:t>供应商</w:t>
      </w:r>
      <w:r>
        <w:rPr>
          <w:color w:val="auto"/>
          <w:sz w:val="24"/>
          <w:highlight w:val="none"/>
        </w:rPr>
        <w:t>名称不一致的，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0006C3A4">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w:t>
      </w:r>
      <w:r>
        <w:rPr>
          <w:rFonts w:hint="eastAsia"/>
          <w:color w:val="auto"/>
          <w:sz w:val="24"/>
          <w:highlight w:val="none"/>
          <w:lang w:eastAsia="zh-CN"/>
        </w:rPr>
        <w:t>比选</w:t>
      </w:r>
      <w:r>
        <w:rPr>
          <w:color w:val="auto"/>
          <w:sz w:val="24"/>
          <w:highlight w:val="none"/>
        </w:rPr>
        <w:t>的，可以由联合体中的一方或者共同提交</w:t>
      </w:r>
      <w:r>
        <w:rPr>
          <w:rFonts w:hint="eastAsia"/>
          <w:color w:val="auto"/>
          <w:sz w:val="24"/>
          <w:highlight w:val="none"/>
          <w:lang w:eastAsia="zh-CN"/>
        </w:rPr>
        <w:t>比选</w:t>
      </w:r>
      <w:r>
        <w:rPr>
          <w:color w:val="auto"/>
          <w:sz w:val="24"/>
          <w:highlight w:val="none"/>
        </w:rPr>
        <w:t>保证金。以一方名义提交</w:t>
      </w:r>
      <w:r>
        <w:rPr>
          <w:rFonts w:hint="eastAsia"/>
          <w:color w:val="auto"/>
          <w:sz w:val="24"/>
          <w:highlight w:val="none"/>
          <w:lang w:eastAsia="zh-CN"/>
        </w:rPr>
        <w:t>比选</w:t>
      </w:r>
      <w:r>
        <w:rPr>
          <w:color w:val="auto"/>
          <w:sz w:val="24"/>
          <w:highlight w:val="none"/>
        </w:rPr>
        <w:t>保证金的，对联合体各方均具有约束力。</w:t>
      </w:r>
    </w:p>
    <w:p w14:paraId="6249D053">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rPr>
        <w:t>成交</w:t>
      </w:r>
      <w:r>
        <w:rPr>
          <w:color w:val="auto"/>
          <w:sz w:val="24"/>
          <w:highlight w:val="none"/>
        </w:rPr>
        <w:t>通知书发出后五个工作日内退还未</w:t>
      </w:r>
      <w:r>
        <w:rPr>
          <w:rFonts w:hint="eastAsia"/>
          <w:color w:val="auto"/>
          <w:sz w:val="24"/>
          <w:highlight w:val="none"/>
        </w:rPr>
        <w:t>成交人</w:t>
      </w:r>
      <w:r>
        <w:rPr>
          <w:color w:val="auto"/>
          <w:sz w:val="24"/>
          <w:highlight w:val="none"/>
        </w:rPr>
        <w:t>的</w:t>
      </w:r>
      <w:r>
        <w:rPr>
          <w:rFonts w:hint="eastAsia"/>
          <w:color w:val="auto"/>
          <w:sz w:val="24"/>
          <w:highlight w:val="none"/>
          <w:lang w:eastAsia="zh-CN"/>
        </w:rPr>
        <w:t>比选</w:t>
      </w:r>
      <w:r>
        <w:rPr>
          <w:color w:val="auto"/>
          <w:sz w:val="24"/>
          <w:highlight w:val="none"/>
        </w:rPr>
        <w:t>保证金，在合同签订后五个工作日内退还</w:t>
      </w:r>
      <w:r>
        <w:rPr>
          <w:rFonts w:hint="eastAsia"/>
          <w:color w:val="auto"/>
          <w:sz w:val="24"/>
          <w:highlight w:val="none"/>
        </w:rPr>
        <w:t>成交人</w:t>
      </w:r>
      <w:r>
        <w:rPr>
          <w:color w:val="auto"/>
          <w:sz w:val="24"/>
          <w:highlight w:val="none"/>
        </w:rPr>
        <w:t>的</w:t>
      </w:r>
      <w:r>
        <w:rPr>
          <w:rFonts w:hint="eastAsia"/>
          <w:color w:val="auto"/>
          <w:sz w:val="24"/>
          <w:highlight w:val="none"/>
          <w:lang w:eastAsia="zh-CN"/>
        </w:rPr>
        <w:t>比选</w:t>
      </w:r>
      <w:r>
        <w:rPr>
          <w:color w:val="auto"/>
          <w:sz w:val="24"/>
          <w:highlight w:val="none"/>
        </w:rPr>
        <w:t>保证金；</w:t>
      </w:r>
    </w:p>
    <w:p w14:paraId="25BD0F11">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供应商</w:t>
      </w:r>
      <w:r>
        <w:rPr>
          <w:color w:val="auto"/>
          <w:sz w:val="24"/>
          <w:highlight w:val="none"/>
        </w:rPr>
        <w:t>自身原因导致无法及时退还的，</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将不承担相应责任。</w:t>
      </w:r>
    </w:p>
    <w:p w14:paraId="36984CA6">
      <w:pPr>
        <w:spacing w:line="360" w:lineRule="auto"/>
        <w:ind w:firstLine="435"/>
        <w:rPr>
          <w:color w:val="auto"/>
          <w:sz w:val="24"/>
          <w:highlight w:val="none"/>
        </w:rPr>
      </w:pPr>
      <w:r>
        <w:rPr>
          <w:color w:val="auto"/>
          <w:sz w:val="24"/>
          <w:highlight w:val="none"/>
        </w:rPr>
        <w:t>13.7有下列情形之一的，</w:t>
      </w:r>
      <w:r>
        <w:rPr>
          <w:rFonts w:hint="eastAsia"/>
          <w:color w:val="auto"/>
          <w:sz w:val="24"/>
          <w:highlight w:val="none"/>
          <w:lang w:eastAsia="zh-CN"/>
        </w:rPr>
        <w:t>比选</w:t>
      </w:r>
      <w:r>
        <w:rPr>
          <w:color w:val="auto"/>
          <w:sz w:val="24"/>
          <w:highlight w:val="none"/>
        </w:rPr>
        <w:t>保证金不予退还：</w:t>
      </w:r>
    </w:p>
    <w:p w14:paraId="7FBA5157">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供应商</w:t>
      </w:r>
      <w:r>
        <w:rPr>
          <w:color w:val="auto"/>
          <w:sz w:val="24"/>
          <w:highlight w:val="none"/>
        </w:rPr>
        <w:t>在提交响应文件截止时间后撤回响应文件的；</w:t>
      </w:r>
    </w:p>
    <w:p w14:paraId="7AEDC610">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w:t>
      </w:r>
      <w:r>
        <w:rPr>
          <w:rFonts w:hint="eastAsia"/>
          <w:color w:val="auto"/>
          <w:sz w:val="24"/>
          <w:highlight w:val="none"/>
          <w:lang w:eastAsia="zh-CN"/>
        </w:rPr>
        <w:t>比选</w:t>
      </w:r>
      <w:r>
        <w:rPr>
          <w:color w:val="auto"/>
          <w:sz w:val="24"/>
          <w:highlight w:val="none"/>
        </w:rPr>
        <w:t>文件认可的情形以外，</w:t>
      </w:r>
      <w:r>
        <w:rPr>
          <w:rFonts w:hint="eastAsia"/>
          <w:color w:val="auto"/>
          <w:sz w:val="24"/>
          <w:highlight w:val="none"/>
        </w:rPr>
        <w:t>成交人</w:t>
      </w:r>
      <w:r>
        <w:rPr>
          <w:color w:val="auto"/>
          <w:sz w:val="24"/>
          <w:highlight w:val="none"/>
        </w:rPr>
        <w:t>不与</w:t>
      </w:r>
      <w:r>
        <w:rPr>
          <w:rFonts w:hint="eastAsia"/>
          <w:color w:val="auto"/>
          <w:sz w:val="24"/>
          <w:szCs w:val="18"/>
          <w:highlight w:val="none"/>
        </w:rPr>
        <w:t>业主单位</w:t>
      </w:r>
      <w:r>
        <w:rPr>
          <w:color w:val="auto"/>
          <w:sz w:val="24"/>
          <w:highlight w:val="none"/>
        </w:rPr>
        <w:t>签订合同的；</w:t>
      </w:r>
    </w:p>
    <w:p w14:paraId="12DD1F44">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供应商</w:t>
      </w:r>
      <w:r>
        <w:rPr>
          <w:color w:val="auto"/>
          <w:sz w:val="24"/>
          <w:highlight w:val="none"/>
        </w:rPr>
        <w:t>须知前附表中规定的其他不予退还</w:t>
      </w:r>
      <w:r>
        <w:rPr>
          <w:rFonts w:hint="eastAsia"/>
          <w:color w:val="auto"/>
          <w:sz w:val="24"/>
          <w:highlight w:val="none"/>
          <w:lang w:eastAsia="zh-CN"/>
        </w:rPr>
        <w:t>比选</w:t>
      </w:r>
      <w:r>
        <w:rPr>
          <w:color w:val="auto"/>
          <w:sz w:val="24"/>
          <w:highlight w:val="none"/>
        </w:rPr>
        <w:t>保证金的情形。</w:t>
      </w:r>
    </w:p>
    <w:p w14:paraId="028D2E17">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lang w:eastAsia="zh-CN"/>
        </w:rPr>
        <w:t>比选</w:t>
      </w:r>
      <w:r>
        <w:rPr>
          <w:rFonts w:hint="eastAsia"/>
          <w:b/>
          <w:color w:val="auto"/>
          <w:sz w:val="24"/>
          <w:highlight w:val="none"/>
        </w:rPr>
        <w:t>有效期</w:t>
      </w:r>
    </w:p>
    <w:p w14:paraId="3DE4AD23">
      <w:pPr>
        <w:spacing w:line="360" w:lineRule="auto"/>
        <w:ind w:firstLine="435"/>
        <w:rPr>
          <w:color w:val="auto"/>
          <w:sz w:val="24"/>
          <w:highlight w:val="none"/>
        </w:rPr>
      </w:pPr>
      <w:r>
        <w:rPr>
          <w:color w:val="auto"/>
          <w:sz w:val="24"/>
          <w:highlight w:val="none"/>
        </w:rPr>
        <w:t>14.1</w:t>
      </w:r>
      <w:r>
        <w:rPr>
          <w:rFonts w:hint="eastAsia"/>
          <w:color w:val="auto"/>
          <w:sz w:val="24"/>
          <w:highlight w:val="none"/>
          <w:lang w:eastAsia="zh-CN"/>
        </w:rPr>
        <w:t>比选</w:t>
      </w:r>
      <w:r>
        <w:rPr>
          <w:color w:val="auto"/>
          <w:sz w:val="24"/>
          <w:highlight w:val="none"/>
        </w:rPr>
        <w:t>有效期为从响应文件提交截止之日算起的日历天数，</w:t>
      </w:r>
      <w:r>
        <w:rPr>
          <w:rFonts w:hint="eastAsia"/>
          <w:color w:val="auto"/>
          <w:sz w:val="24"/>
          <w:highlight w:val="none"/>
          <w:lang w:eastAsia="zh-CN"/>
        </w:rPr>
        <w:t>比选</w:t>
      </w:r>
      <w:r>
        <w:rPr>
          <w:color w:val="auto"/>
          <w:sz w:val="24"/>
          <w:highlight w:val="none"/>
        </w:rPr>
        <w:t>有效期详见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3D52DEDF">
      <w:pPr>
        <w:spacing w:line="360" w:lineRule="auto"/>
        <w:ind w:firstLine="435"/>
        <w:rPr>
          <w:color w:val="auto"/>
          <w:sz w:val="24"/>
          <w:highlight w:val="none"/>
        </w:rPr>
      </w:pPr>
      <w:r>
        <w:rPr>
          <w:color w:val="auto"/>
          <w:sz w:val="24"/>
          <w:highlight w:val="none"/>
        </w:rPr>
        <w:t>14.2在</w:t>
      </w:r>
      <w:r>
        <w:rPr>
          <w:rFonts w:hint="eastAsia"/>
          <w:color w:val="auto"/>
          <w:sz w:val="24"/>
          <w:highlight w:val="none"/>
          <w:lang w:eastAsia="zh-CN"/>
        </w:rPr>
        <w:t>比选</w:t>
      </w:r>
      <w:r>
        <w:rPr>
          <w:color w:val="auto"/>
          <w:sz w:val="24"/>
          <w:highlight w:val="none"/>
        </w:rPr>
        <w:t>有效期内，</w:t>
      </w:r>
      <w:r>
        <w:rPr>
          <w:rFonts w:hint="eastAsia"/>
          <w:color w:val="auto"/>
          <w:sz w:val="24"/>
          <w:szCs w:val="18"/>
          <w:highlight w:val="none"/>
          <w:lang w:eastAsia="zh-CN"/>
        </w:rPr>
        <w:t>供应商</w:t>
      </w:r>
      <w:r>
        <w:rPr>
          <w:color w:val="auto"/>
          <w:sz w:val="24"/>
          <w:highlight w:val="none"/>
        </w:rPr>
        <w:t>的</w:t>
      </w:r>
      <w:r>
        <w:rPr>
          <w:rFonts w:hint="eastAsia"/>
          <w:color w:val="auto"/>
          <w:sz w:val="24"/>
          <w:highlight w:val="none"/>
          <w:lang w:eastAsia="zh-CN"/>
        </w:rPr>
        <w:t>比选</w:t>
      </w:r>
      <w:r>
        <w:rPr>
          <w:color w:val="auto"/>
          <w:sz w:val="24"/>
          <w:highlight w:val="none"/>
        </w:rPr>
        <w:t>保持有效，</w:t>
      </w:r>
      <w:r>
        <w:rPr>
          <w:rFonts w:hint="eastAsia"/>
          <w:color w:val="auto"/>
          <w:sz w:val="24"/>
          <w:szCs w:val="18"/>
          <w:highlight w:val="none"/>
          <w:lang w:eastAsia="zh-CN"/>
        </w:rPr>
        <w:t>供应商</w:t>
      </w:r>
      <w:r>
        <w:rPr>
          <w:color w:val="auto"/>
          <w:sz w:val="24"/>
          <w:highlight w:val="none"/>
        </w:rPr>
        <w:t>不得要求撤销或修改其响应文件。</w:t>
      </w:r>
      <w:r>
        <w:rPr>
          <w:rFonts w:hint="eastAsia"/>
          <w:color w:val="auto"/>
          <w:sz w:val="24"/>
          <w:highlight w:val="none"/>
          <w:lang w:eastAsia="zh-CN"/>
        </w:rPr>
        <w:t>比选</w:t>
      </w:r>
      <w:r>
        <w:rPr>
          <w:color w:val="auto"/>
          <w:sz w:val="24"/>
          <w:highlight w:val="none"/>
        </w:rPr>
        <w:t>有效期不满足要求的响应，其响应文件将被认定为</w:t>
      </w:r>
      <w:r>
        <w:rPr>
          <w:b/>
          <w:color w:val="auto"/>
          <w:sz w:val="24"/>
          <w:highlight w:val="none"/>
        </w:rPr>
        <w:t>响应无效</w:t>
      </w:r>
      <w:r>
        <w:rPr>
          <w:color w:val="auto"/>
          <w:sz w:val="24"/>
          <w:highlight w:val="none"/>
        </w:rPr>
        <w:t>。</w:t>
      </w:r>
    </w:p>
    <w:p w14:paraId="18685AA6">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可根据实际情况，在原</w:t>
      </w:r>
      <w:r>
        <w:rPr>
          <w:rFonts w:hint="eastAsia"/>
          <w:color w:val="auto"/>
          <w:sz w:val="24"/>
          <w:highlight w:val="none"/>
          <w:lang w:eastAsia="zh-CN"/>
        </w:rPr>
        <w:t>比选</w:t>
      </w:r>
      <w:r>
        <w:rPr>
          <w:color w:val="auto"/>
          <w:sz w:val="24"/>
          <w:highlight w:val="none"/>
        </w:rPr>
        <w:t>有效期截止之前，要求</w:t>
      </w:r>
      <w:r>
        <w:rPr>
          <w:rFonts w:hint="eastAsia"/>
          <w:color w:val="auto"/>
          <w:sz w:val="24"/>
          <w:szCs w:val="18"/>
          <w:highlight w:val="none"/>
          <w:lang w:eastAsia="zh-CN"/>
        </w:rPr>
        <w:t>供应商</w:t>
      </w:r>
      <w:r>
        <w:rPr>
          <w:color w:val="auto"/>
          <w:sz w:val="24"/>
          <w:highlight w:val="none"/>
        </w:rPr>
        <w:t>延长</w:t>
      </w:r>
      <w:r>
        <w:rPr>
          <w:rFonts w:hint="eastAsia"/>
          <w:color w:val="auto"/>
          <w:sz w:val="24"/>
          <w:highlight w:val="none"/>
          <w:lang w:eastAsia="zh-CN"/>
        </w:rPr>
        <w:t>比选</w:t>
      </w:r>
      <w:r>
        <w:rPr>
          <w:color w:val="auto"/>
          <w:sz w:val="24"/>
          <w:highlight w:val="none"/>
        </w:rPr>
        <w:t>有效期。接受该要求的</w:t>
      </w:r>
      <w:r>
        <w:rPr>
          <w:rFonts w:hint="eastAsia"/>
          <w:color w:val="auto"/>
          <w:sz w:val="24"/>
          <w:szCs w:val="18"/>
          <w:highlight w:val="none"/>
          <w:lang w:eastAsia="zh-CN"/>
        </w:rPr>
        <w:t>供应商</w:t>
      </w:r>
      <w:r>
        <w:rPr>
          <w:color w:val="auto"/>
          <w:sz w:val="24"/>
          <w:highlight w:val="none"/>
        </w:rPr>
        <w:t>将不会被要求和允许修正其响应文件。</w:t>
      </w:r>
      <w:r>
        <w:rPr>
          <w:rFonts w:hint="eastAsia"/>
          <w:color w:val="auto"/>
          <w:sz w:val="24"/>
          <w:szCs w:val="18"/>
          <w:highlight w:val="none"/>
          <w:lang w:eastAsia="zh-CN"/>
        </w:rPr>
        <w:t>供应商</w:t>
      </w:r>
      <w:r>
        <w:rPr>
          <w:color w:val="auto"/>
          <w:sz w:val="24"/>
          <w:highlight w:val="none"/>
        </w:rPr>
        <w:t>可以拒绝延长</w:t>
      </w:r>
      <w:r>
        <w:rPr>
          <w:rFonts w:hint="eastAsia"/>
          <w:color w:val="auto"/>
          <w:sz w:val="24"/>
          <w:highlight w:val="none"/>
          <w:lang w:eastAsia="zh-CN"/>
        </w:rPr>
        <w:t>比选</w:t>
      </w:r>
      <w:r>
        <w:rPr>
          <w:color w:val="auto"/>
          <w:sz w:val="24"/>
          <w:highlight w:val="none"/>
        </w:rPr>
        <w:t>有效期的要求，且不承担任何责任。上述要求和答复都应以书面形式提交。</w:t>
      </w:r>
    </w:p>
    <w:p w14:paraId="192F0ADC">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rPr>
        <w:t>响应文件的制作</w:t>
      </w:r>
    </w:p>
    <w:p w14:paraId="39EB9F76">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供应商</w:t>
      </w:r>
      <w:r>
        <w:rPr>
          <w:rFonts w:hint="eastAsia" w:cs="宋体"/>
          <w:color w:val="auto"/>
          <w:sz w:val="24"/>
          <w:highlight w:val="none"/>
        </w:rPr>
        <w:t>必须递交电子响应文件，并对电子响应文件进行电子签章并使用CA锁进行加密，在</w:t>
      </w:r>
      <w:r>
        <w:rPr>
          <w:rFonts w:hint="eastAsia" w:cs="宋体"/>
          <w:color w:val="auto"/>
          <w:sz w:val="24"/>
          <w:highlight w:val="none"/>
          <w:lang w:eastAsia="zh-CN"/>
        </w:rPr>
        <w:t>比选</w:t>
      </w:r>
      <w:r>
        <w:rPr>
          <w:rFonts w:hint="eastAsia" w:cs="宋体"/>
          <w:color w:val="auto"/>
          <w:sz w:val="24"/>
          <w:highlight w:val="none"/>
        </w:rPr>
        <w:t>文件规定的响应截止时间前使用“优质采投标工具客户端”完成上传。</w:t>
      </w:r>
    </w:p>
    <w:p w14:paraId="09CD7D3D">
      <w:pPr>
        <w:spacing w:line="360" w:lineRule="auto"/>
        <w:ind w:firstLine="435"/>
        <w:rPr>
          <w:rFonts w:cs="宋体"/>
          <w:color w:val="auto"/>
          <w:sz w:val="24"/>
          <w:highlight w:val="none"/>
        </w:rPr>
      </w:pPr>
      <w:r>
        <w:rPr>
          <w:rFonts w:hint="eastAsia" w:cs="宋体"/>
          <w:color w:val="auto"/>
          <w:sz w:val="24"/>
          <w:highlight w:val="none"/>
        </w:rPr>
        <w:t>15.2.全流程电</w:t>
      </w:r>
      <w:r>
        <w:rPr>
          <w:rFonts w:hint="eastAsia" w:cs="宋体"/>
          <w:color w:val="auto"/>
          <w:sz w:val="24"/>
          <w:highlight w:val="none"/>
          <w:lang w:eastAsia="zh-CN"/>
        </w:rPr>
        <w:t>比选</w:t>
      </w:r>
      <w:r>
        <w:rPr>
          <w:rFonts w:hint="eastAsia" w:cs="宋体"/>
          <w:color w:val="auto"/>
          <w:sz w:val="24"/>
          <w:highlight w:val="none"/>
        </w:rPr>
        <w:t>项目</w:t>
      </w:r>
      <w:r>
        <w:rPr>
          <w:rFonts w:hint="eastAsia"/>
          <w:color w:val="auto"/>
          <w:sz w:val="24"/>
          <w:szCs w:val="18"/>
          <w:highlight w:val="none"/>
          <w:lang w:eastAsia="zh-CN"/>
        </w:rPr>
        <w:t>供应商</w:t>
      </w:r>
      <w:r>
        <w:rPr>
          <w:rFonts w:hint="eastAsia" w:cs="宋体"/>
          <w:color w:val="auto"/>
          <w:sz w:val="24"/>
          <w:highlight w:val="none"/>
        </w:rPr>
        <w:t>必须上传CA锁加密的电子响应文件，</w:t>
      </w:r>
      <w:r>
        <w:rPr>
          <w:rFonts w:hint="eastAsia"/>
          <w:color w:val="auto"/>
          <w:sz w:val="24"/>
          <w:szCs w:val="18"/>
          <w:highlight w:val="none"/>
          <w:lang w:eastAsia="zh-CN"/>
        </w:rPr>
        <w:t>供应商</w:t>
      </w:r>
      <w:r>
        <w:rPr>
          <w:rFonts w:hint="eastAsia" w:cs="宋体"/>
          <w:color w:val="auto"/>
          <w:sz w:val="24"/>
          <w:highlight w:val="none"/>
        </w:rPr>
        <w:t>下载</w:t>
      </w:r>
      <w:r>
        <w:rPr>
          <w:rFonts w:hint="eastAsia" w:cs="宋体"/>
          <w:color w:val="auto"/>
          <w:sz w:val="24"/>
          <w:highlight w:val="none"/>
          <w:lang w:eastAsia="zh-CN"/>
        </w:rPr>
        <w:t>比选</w:t>
      </w:r>
      <w:r>
        <w:rPr>
          <w:rFonts w:hint="eastAsia" w:cs="宋体"/>
          <w:color w:val="auto"/>
          <w:sz w:val="24"/>
          <w:highlight w:val="none"/>
        </w:rPr>
        <w:t>文件后，如未在</w:t>
      </w:r>
      <w:r>
        <w:rPr>
          <w:rFonts w:hint="eastAsia" w:cs="宋体"/>
          <w:color w:val="auto"/>
          <w:sz w:val="24"/>
          <w:highlight w:val="none"/>
          <w:lang w:eastAsia="zh-CN"/>
        </w:rPr>
        <w:t>比选</w:t>
      </w:r>
      <w:r>
        <w:rPr>
          <w:rFonts w:hint="eastAsia" w:cs="宋体"/>
          <w:color w:val="auto"/>
          <w:sz w:val="24"/>
          <w:highlight w:val="none"/>
        </w:rPr>
        <w:t>文件规定的响应文件递交截止时间前上传电子响应文件，视为无效；</w:t>
      </w:r>
      <w:r>
        <w:rPr>
          <w:rFonts w:hint="eastAsia"/>
          <w:color w:val="auto"/>
          <w:sz w:val="24"/>
          <w:szCs w:val="18"/>
          <w:highlight w:val="none"/>
          <w:lang w:eastAsia="zh-CN"/>
        </w:rPr>
        <w:t>供应商</w:t>
      </w:r>
      <w:r>
        <w:rPr>
          <w:rFonts w:hint="eastAsia" w:cs="宋体"/>
          <w:color w:val="auto"/>
          <w:sz w:val="24"/>
          <w:highlight w:val="none"/>
        </w:rPr>
        <w:t>在响应文件递交截止时间前，可以对其所递交的电子响应文件进行撤回，修改后重新上传（具体操作详见教程）；</w:t>
      </w:r>
    </w:p>
    <w:p w14:paraId="60026175">
      <w:pPr>
        <w:spacing w:line="360" w:lineRule="auto"/>
        <w:ind w:firstLine="435"/>
        <w:rPr>
          <w:rFonts w:cs="宋体"/>
          <w:color w:val="auto"/>
          <w:sz w:val="24"/>
          <w:highlight w:val="none"/>
        </w:rPr>
      </w:pPr>
      <w:r>
        <w:rPr>
          <w:rFonts w:hint="eastAsia" w:cs="宋体"/>
          <w:color w:val="auto"/>
          <w:sz w:val="24"/>
          <w:highlight w:val="none"/>
        </w:rPr>
        <w:t>15.3.响应文件递交截止时间以优质采云采购平台（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电子响应文件未完成上传的，视为没有递交响应文件；</w:t>
      </w:r>
    </w:p>
    <w:p w14:paraId="3151EBE4">
      <w:pPr>
        <w:spacing w:line="360" w:lineRule="auto"/>
        <w:ind w:firstLine="435"/>
        <w:rPr>
          <w:rFonts w:cs="宋体"/>
          <w:color w:val="auto"/>
          <w:sz w:val="24"/>
          <w:highlight w:val="none"/>
        </w:rPr>
      </w:pPr>
      <w:r>
        <w:rPr>
          <w:rFonts w:hint="eastAsia" w:cs="宋体"/>
          <w:color w:val="auto"/>
          <w:sz w:val="24"/>
          <w:highlight w:val="none"/>
        </w:rPr>
        <w:t>15.4.响应文件可远程解密，</w:t>
      </w:r>
      <w:r>
        <w:rPr>
          <w:rFonts w:hint="eastAsia"/>
          <w:color w:val="auto"/>
          <w:sz w:val="24"/>
          <w:szCs w:val="18"/>
          <w:highlight w:val="none"/>
          <w:lang w:eastAsia="zh-CN"/>
        </w:rPr>
        <w:t>供应商</w:t>
      </w:r>
      <w:r>
        <w:rPr>
          <w:rFonts w:hint="eastAsia" w:cs="宋体"/>
          <w:color w:val="auto"/>
          <w:sz w:val="24"/>
          <w:highlight w:val="none"/>
        </w:rPr>
        <w:t>无需到达</w:t>
      </w:r>
      <w:r>
        <w:rPr>
          <w:rFonts w:hint="eastAsia" w:cs="宋体"/>
          <w:color w:val="auto"/>
          <w:sz w:val="24"/>
          <w:highlight w:val="none"/>
          <w:lang w:eastAsia="zh-CN"/>
        </w:rPr>
        <w:t>比选</w:t>
      </w:r>
      <w:r>
        <w:rPr>
          <w:rFonts w:hint="eastAsia" w:cs="宋体"/>
          <w:color w:val="auto"/>
          <w:sz w:val="24"/>
          <w:highlight w:val="none"/>
        </w:rPr>
        <w:t>现场。</w:t>
      </w:r>
      <w:r>
        <w:rPr>
          <w:rFonts w:hint="eastAsia" w:cs="宋体"/>
          <w:color w:val="auto"/>
          <w:sz w:val="24"/>
          <w:highlight w:val="none"/>
          <w:lang w:eastAsia="zh-CN"/>
        </w:rPr>
        <w:t>比选</w:t>
      </w:r>
      <w:r>
        <w:rPr>
          <w:rFonts w:hint="eastAsia" w:cs="宋体"/>
          <w:color w:val="auto"/>
          <w:sz w:val="24"/>
          <w:highlight w:val="none"/>
        </w:rPr>
        <w:t>文件“</w:t>
      </w:r>
      <w:r>
        <w:rPr>
          <w:rFonts w:hint="eastAsia"/>
          <w:color w:val="auto"/>
          <w:sz w:val="24"/>
          <w:szCs w:val="18"/>
          <w:highlight w:val="none"/>
          <w:lang w:eastAsia="zh-CN"/>
        </w:rPr>
        <w:t>供应商</w:t>
      </w:r>
      <w:r>
        <w:rPr>
          <w:rFonts w:hint="eastAsia" w:cs="宋体"/>
          <w:color w:val="auto"/>
          <w:sz w:val="24"/>
          <w:highlight w:val="none"/>
        </w:rPr>
        <w:t>须知”中另有规定的，从其规定。</w:t>
      </w:r>
    </w:p>
    <w:p w14:paraId="4D6F4DDB">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highlight w:val="none"/>
        </w:rPr>
        <w:t>在制作、上传电子响应文件过程中，若存在技术操作问题，请及时联系优质采云采购平台客服人员，客服电话：400-0099-555，0551-62220164，0551-62220012。</w:t>
      </w:r>
    </w:p>
    <w:p w14:paraId="233A7800">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rPr>
        <w:t>响应文件提交截止时间</w:t>
      </w:r>
    </w:p>
    <w:p w14:paraId="20E988CA">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供应商</w:t>
      </w:r>
      <w:r>
        <w:rPr>
          <w:color w:val="auto"/>
          <w:sz w:val="24"/>
          <w:highlight w:val="none"/>
        </w:rPr>
        <w:t>应在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中规定的</w:t>
      </w:r>
      <w:r>
        <w:rPr>
          <w:rFonts w:hint="eastAsia"/>
          <w:color w:val="auto"/>
          <w:sz w:val="24"/>
          <w:highlight w:val="none"/>
        </w:rPr>
        <w:t>响应文件提交</w:t>
      </w:r>
      <w:r>
        <w:rPr>
          <w:color w:val="auto"/>
          <w:sz w:val="24"/>
          <w:highlight w:val="none"/>
        </w:rPr>
        <w:t>截止时间前，在网上提交加密电子响应文件。</w:t>
      </w:r>
    </w:p>
    <w:p w14:paraId="78F343E5">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供应商</w:t>
      </w:r>
      <w:r>
        <w:rPr>
          <w:color w:val="auto"/>
          <w:sz w:val="24"/>
          <w:highlight w:val="none"/>
        </w:rPr>
        <w:t>在</w:t>
      </w:r>
      <w:r>
        <w:rPr>
          <w:rFonts w:hint="eastAsia"/>
          <w:color w:val="auto"/>
          <w:sz w:val="24"/>
          <w:highlight w:val="none"/>
          <w:lang w:eastAsia="zh-CN"/>
        </w:rPr>
        <w:t>比选</w:t>
      </w:r>
      <w:r>
        <w:rPr>
          <w:color w:val="auto"/>
          <w:sz w:val="24"/>
          <w:highlight w:val="none"/>
        </w:rPr>
        <w:t>文件规定的</w:t>
      </w:r>
      <w:r>
        <w:rPr>
          <w:rFonts w:hint="eastAsia"/>
          <w:color w:val="auto"/>
          <w:sz w:val="24"/>
          <w:highlight w:val="none"/>
        </w:rPr>
        <w:t>响应文件提交截止时间</w:t>
      </w:r>
      <w:r>
        <w:rPr>
          <w:color w:val="auto"/>
          <w:sz w:val="24"/>
          <w:highlight w:val="none"/>
        </w:rPr>
        <w:t>前上传了网上加密电子</w:t>
      </w:r>
      <w:r>
        <w:rPr>
          <w:rFonts w:hint="eastAsia"/>
          <w:color w:val="auto"/>
          <w:sz w:val="24"/>
          <w:highlight w:val="none"/>
        </w:rPr>
        <w:t>响应</w:t>
      </w:r>
      <w:r>
        <w:rPr>
          <w:color w:val="auto"/>
          <w:sz w:val="24"/>
          <w:highlight w:val="none"/>
        </w:rPr>
        <w:t>文件，但未在规定时间内进行解密的，</w:t>
      </w:r>
      <w:r>
        <w:rPr>
          <w:rFonts w:hint="eastAsia"/>
          <w:b/>
          <w:color w:val="auto"/>
          <w:sz w:val="24"/>
          <w:highlight w:val="none"/>
        </w:rPr>
        <w:t>响应无效</w:t>
      </w:r>
      <w:r>
        <w:rPr>
          <w:color w:val="auto"/>
          <w:sz w:val="24"/>
          <w:highlight w:val="none"/>
        </w:rPr>
        <w:t>。</w:t>
      </w:r>
    </w:p>
    <w:p w14:paraId="1778F618">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rPr>
        <w:t>业主单位</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rPr>
        <w:t>响应文件提交截止时间的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供应商</w:t>
      </w:r>
      <w:r>
        <w:rPr>
          <w:color w:val="auto"/>
          <w:sz w:val="24"/>
          <w:highlight w:val="none"/>
        </w:rPr>
        <w:t>受</w:t>
      </w:r>
      <w:r>
        <w:rPr>
          <w:rFonts w:hint="eastAsia"/>
          <w:color w:val="auto"/>
          <w:sz w:val="24"/>
          <w:highlight w:val="none"/>
        </w:rPr>
        <w:t>响应文件提交截止时间</w:t>
      </w:r>
      <w:r>
        <w:rPr>
          <w:color w:val="auto"/>
          <w:sz w:val="24"/>
          <w:highlight w:val="none"/>
        </w:rPr>
        <w:t>制约的所有权利和义务均应延长至新的截止时间。</w:t>
      </w:r>
    </w:p>
    <w:p w14:paraId="71E4FF48">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rPr>
        <w:t>响应文件的提交、修改与撤回</w:t>
      </w:r>
    </w:p>
    <w:p w14:paraId="4D331705">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供应商</w:t>
      </w:r>
      <w:r>
        <w:rPr>
          <w:rFonts w:hint="eastAsia" w:cs="宋体"/>
          <w:color w:val="auto"/>
          <w:sz w:val="24"/>
          <w:highlight w:val="none"/>
        </w:rPr>
        <w:t>应当在第一章“</w:t>
      </w:r>
      <w:r>
        <w:rPr>
          <w:rFonts w:hint="eastAsia" w:cs="宋体"/>
          <w:color w:val="auto"/>
          <w:sz w:val="24"/>
          <w:highlight w:val="none"/>
          <w:lang w:eastAsia="zh-CN"/>
        </w:rPr>
        <w:t>比选</w:t>
      </w:r>
      <w:r>
        <w:rPr>
          <w:rFonts w:hint="eastAsia" w:cs="宋体"/>
          <w:color w:val="auto"/>
          <w:sz w:val="24"/>
          <w:highlight w:val="none"/>
        </w:rPr>
        <w:t>邀请”规定的响应文件提交截止时间前，将加密的响应文件在优质采云采购平台（</w:t>
      </w:r>
      <w:r>
        <w:rPr>
          <w:rFonts w:hint="eastAsia" w:cs="宋体"/>
          <w:color w:val="auto"/>
          <w:sz w:val="24"/>
          <w:szCs w:val="18"/>
          <w:highlight w:val="none"/>
        </w:rPr>
        <w:t>http://www.youzhicai.com/</w:t>
      </w:r>
      <w:r>
        <w:rPr>
          <w:rFonts w:hint="eastAsia" w:cs="宋体"/>
          <w:color w:val="auto"/>
          <w:sz w:val="24"/>
          <w:highlight w:val="none"/>
        </w:rPr>
        <w:t>）上传。</w:t>
      </w:r>
    </w:p>
    <w:p w14:paraId="236C4F39">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供应商</w:t>
      </w:r>
      <w:r>
        <w:rPr>
          <w:rFonts w:hint="eastAsia" w:cs="宋体"/>
          <w:color w:val="auto"/>
          <w:sz w:val="24"/>
          <w:highlight w:val="none"/>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2D168C83">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供应商</w:t>
      </w:r>
      <w:r>
        <w:rPr>
          <w:rFonts w:hint="eastAsia" w:cs="宋体"/>
          <w:color w:val="auto"/>
          <w:sz w:val="24"/>
          <w:highlight w:val="none"/>
        </w:rPr>
        <w:t>应在</w:t>
      </w:r>
      <w:r>
        <w:rPr>
          <w:rFonts w:hint="eastAsia"/>
          <w:color w:val="auto"/>
          <w:sz w:val="24"/>
          <w:szCs w:val="18"/>
          <w:highlight w:val="none"/>
          <w:u w:val="single"/>
          <w:lang w:eastAsia="zh-CN"/>
        </w:rPr>
        <w:t>供应商</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）系统的解密倒计时为准）对本单位的响应文件进行解密，代理机构工作人员解密所有响应文件。</w:t>
      </w:r>
    </w:p>
    <w:p w14:paraId="2E450B57">
      <w:pPr>
        <w:spacing w:line="360" w:lineRule="auto"/>
        <w:ind w:firstLine="435"/>
        <w:rPr>
          <w:color w:val="auto"/>
          <w:sz w:val="24"/>
          <w:highlight w:val="none"/>
        </w:rPr>
      </w:pPr>
      <w:r>
        <w:rPr>
          <w:rFonts w:hint="eastAsia" w:cs="宋体"/>
          <w:color w:val="auto"/>
          <w:sz w:val="24"/>
          <w:highlight w:val="none"/>
        </w:rPr>
        <w:t>17.4在响应文件提交截止时间之后，</w:t>
      </w:r>
      <w:r>
        <w:rPr>
          <w:rFonts w:hint="eastAsia"/>
          <w:color w:val="auto"/>
          <w:sz w:val="24"/>
          <w:szCs w:val="18"/>
          <w:highlight w:val="none"/>
          <w:lang w:eastAsia="zh-CN"/>
        </w:rPr>
        <w:t>供应商</w:t>
      </w:r>
      <w:r>
        <w:rPr>
          <w:rFonts w:hint="eastAsia" w:cs="宋体"/>
          <w:color w:val="auto"/>
          <w:sz w:val="24"/>
          <w:highlight w:val="none"/>
        </w:rPr>
        <w:t>不得对其响应文件做任何修改。但属于</w:t>
      </w:r>
      <w:r>
        <w:rPr>
          <w:rFonts w:hint="eastAsia" w:cs="宋体"/>
          <w:color w:val="auto"/>
          <w:sz w:val="24"/>
          <w:highlight w:val="none"/>
          <w:lang w:eastAsia="zh-CN"/>
        </w:rPr>
        <w:t>比选</w:t>
      </w:r>
      <w:r>
        <w:rPr>
          <w:rFonts w:hint="eastAsia" w:cs="宋体"/>
          <w:color w:val="auto"/>
          <w:sz w:val="24"/>
          <w:highlight w:val="none"/>
        </w:rPr>
        <w:t>小组在评审中发现的计算错误并进行核实的修改、按照</w:t>
      </w:r>
      <w:r>
        <w:rPr>
          <w:rFonts w:hint="eastAsia" w:cs="宋体"/>
          <w:color w:val="auto"/>
          <w:sz w:val="24"/>
          <w:highlight w:val="none"/>
          <w:lang w:eastAsia="zh-CN"/>
        </w:rPr>
        <w:t>比选</w:t>
      </w:r>
      <w:r>
        <w:rPr>
          <w:rFonts w:hint="eastAsia" w:cs="宋体"/>
          <w:color w:val="auto"/>
          <w:sz w:val="24"/>
          <w:highlight w:val="none"/>
        </w:rPr>
        <w:t>文件的变动情况和</w:t>
      </w:r>
      <w:r>
        <w:rPr>
          <w:rFonts w:hint="eastAsia" w:cs="宋体"/>
          <w:color w:val="auto"/>
          <w:sz w:val="24"/>
          <w:highlight w:val="none"/>
          <w:lang w:eastAsia="zh-CN"/>
        </w:rPr>
        <w:t>比选</w:t>
      </w:r>
      <w:r>
        <w:rPr>
          <w:rFonts w:hint="eastAsia" w:cs="宋体"/>
          <w:color w:val="auto"/>
          <w:sz w:val="24"/>
          <w:highlight w:val="none"/>
        </w:rPr>
        <w:t>小组的要求重新提交响应文件的，不在此列。</w:t>
      </w:r>
    </w:p>
    <w:p w14:paraId="14B2765E">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8.</w:t>
      </w:r>
      <w:r>
        <w:rPr>
          <w:rFonts w:hint="eastAsia"/>
          <w:b/>
          <w:color w:val="auto"/>
          <w:sz w:val="24"/>
          <w:highlight w:val="none"/>
          <w:lang w:eastAsia="zh-CN"/>
        </w:rPr>
        <w:t>比选</w:t>
      </w:r>
      <w:r>
        <w:rPr>
          <w:rFonts w:hint="eastAsia"/>
          <w:b/>
          <w:color w:val="auto"/>
          <w:sz w:val="24"/>
          <w:highlight w:val="none"/>
        </w:rPr>
        <w:t>小组</w:t>
      </w:r>
    </w:p>
    <w:p w14:paraId="5D2EEC05">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w:t>
      </w:r>
      <w:r>
        <w:rPr>
          <w:rFonts w:hint="eastAsia"/>
          <w:color w:val="auto"/>
          <w:sz w:val="24"/>
          <w:highlight w:val="none"/>
          <w:lang w:eastAsia="zh-CN"/>
        </w:rPr>
        <w:t>比选</w:t>
      </w:r>
      <w:r>
        <w:rPr>
          <w:color w:val="auto"/>
          <w:sz w:val="24"/>
          <w:highlight w:val="none"/>
        </w:rPr>
        <w:t>小组，</w:t>
      </w:r>
      <w:r>
        <w:rPr>
          <w:rFonts w:hint="eastAsia"/>
          <w:color w:val="auto"/>
          <w:sz w:val="24"/>
          <w:highlight w:val="none"/>
          <w:lang w:eastAsia="zh-CN"/>
        </w:rPr>
        <w:t>比选</w:t>
      </w:r>
      <w:r>
        <w:rPr>
          <w:color w:val="auto"/>
          <w:sz w:val="24"/>
          <w:highlight w:val="none"/>
        </w:rPr>
        <w:t>小组成员由</w:t>
      </w:r>
      <w:r>
        <w:rPr>
          <w:rFonts w:hint="eastAsia"/>
          <w:color w:val="auto"/>
          <w:sz w:val="24"/>
          <w:highlight w:val="none"/>
          <w:lang w:val="en-US" w:eastAsia="zh-CN"/>
        </w:rPr>
        <w:t>3</w:t>
      </w:r>
      <w:r>
        <w:rPr>
          <w:color w:val="auto"/>
          <w:sz w:val="24"/>
          <w:highlight w:val="none"/>
        </w:rPr>
        <w:t>人以上单数组成，</w:t>
      </w:r>
      <w:r>
        <w:rPr>
          <w:rFonts w:hint="eastAsia"/>
          <w:color w:val="auto"/>
          <w:sz w:val="24"/>
          <w:highlight w:val="none"/>
          <w:lang w:eastAsia="zh-CN"/>
        </w:rPr>
        <w:t>比选</w:t>
      </w:r>
      <w:r>
        <w:rPr>
          <w:color w:val="auto"/>
          <w:sz w:val="24"/>
          <w:highlight w:val="none"/>
        </w:rPr>
        <w:t>小组及其成员应当依照有关规定履行相关职责和义务。</w:t>
      </w:r>
    </w:p>
    <w:p w14:paraId="6202ED61">
      <w:pPr>
        <w:spacing w:line="360" w:lineRule="auto"/>
        <w:ind w:firstLine="435"/>
        <w:rPr>
          <w:color w:val="auto"/>
          <w:sz w:val="24"/>
          <w:highlight w:val="none"/>
        </w:rPr>
      </w:pPr>
      <w:r>
        <w:rPr>
          <w:rFonts w:hint="eastAsia"/>
          <w:color w:val="auto"/>
          <w:sz w:val="24"/>
          <w:highlight w:val="none"/>
        </w:rPr>
        <w:t>18</w:t>
      </w:r>
      <w:r>
        <w:rPr>
          <w:color w:val="auto"/>
          <w:sz w:val="24"/>
          <w:highlight w:val="none"/>
        </w:rPr>
        <w:t>.2</w:t>
      </w:r>
      <w:r>
        <w:rPr>
          <w:rFonts w:hint="eastAsia"/>
          <w:color w:val="auto"/>
          <w:sz w:val="24"/>
          <w:highlight w:val="none"/>
          <w:lang w:eastAsia="zh-CN"/>
        </w:rPr>
        <w:t>比选</w:t>
      </w:r>
      <w:r>
        <w:rPr>
          <w:color w:val="auto"/>
          <w:sz w:val="24"/>
          <w:highlight w:val="none"/>
        </w:rPr>
        <w:t>小组依法对响应文件进行评审，并根据</w:t>
      </w:r>
      <w:r>
        <w:rPr>
          <w:rFonts w:hint="eastAsia"/>
          <w:color w:val="auto"/>
          <w:sz w:val="24"/>
          <w:highlight w:val="none"/>
          <w:lang w:eastAsia="zh-CN"/>
        </w:rPr>
        <w:t>比选</w:t>
      </w:r>
      <w:r>
        <w:rPr>
          <w:color w:val="auto"/>
          <w:sz w:val="24"/>
          <w:highlight w:val="none"/>
        </w:rPr>
        <w:t>文件规定的程序、评定</w:t>
      </w:r>
      <w:r>
        <w:rPr>
          <w:rFonts w:hint="eastAsia"/>
          <w:color w:val="auto"/>
          <w:sz w:val="24"/>
          <w:highlight w:val="none"/>
        </w:rPr>
        <w:t>成交</w:t>
      </w:r>
      <w:r>
        <w:rPr>
          <w:color w:val="auto"/>
          <w:sz w:val="24"/>
          <w:highlight w:val="none"/>
        </w:rPr>
        <w:t>的标准等事项与实质性响应</w:t>
      </w:r>
      <w:r>
        <w:rPr>
          <w:rFonts w:hint="eastAsia"/>
          <w:color w:val="auto"/>
          <w:sz w:val="24"/>
          <w:highlight w:val="none"/>
          <w:lang w:eastAsia="zh-CN"/>
        </w:rPr>
        <w:t>比选</w:t>
      </w:r>
      <w:r>
        <w:rPr>
          <w:color w:val="auto"/>
          <w:sz w:val="24"/>
          <w:highlight w:val="none"/>
        </w:rPr>
        <w:t>文件要求的</w:t>
      </w:r>
      <w:r>
        <w:rPr>
          <w:rFonts w:hint="eastAsia"/>
          <w:color w:val="auto"/>
          <w:sz w:val="24"/>
          <w:szCs w:val="18"/>
          <w:highlight w:val="none"/>
          <w:lang w:eastAsia="zh-CN"/>
        </w:rPr>
        <w:t>供应商</w:t>
      </w:r>
      <w:r>
        <w:rPr>
          <w:color w:val="auto"/>
          <w:sz w:val="24"/>
          <w:highlight w:val="none"/>
        </w:rPr>
        <w:t>进行</w:t>
      </w:r>
      <w:r>
        <w:rPr>
          <w:rFonts w:hint="eastAsia"/>
          <w:color w:val="auto"/>
          <w:sz w:val="24"/>
          <w:highlight w:val="none"/>
          <w:lang w:eastAsia="zh-CN"/>
        </w:rPr>
        <w:t>比选</w:t>
      </w:r>
      <w:r>
        <w:rPr>
          <w:color w:val="auto"/>
          <w:sz w:val="24"/>
          <w:highlight w:val="none"/>
        </w:rPr>
        <w:t>。</w:t>
      </w:r>
    </w:p>
    <w:p w14:paraId="776F7194">
      <w:pPr>
        <w:spacing w:line="360" w:lineRule="auto"/>
        <w:ind w:firstLine="435"/>
        <w:rPr>
          <w:color w:val="auto"/>
          <w:sz w:val="24"/>
          <w:highlight w:val="none"/>
        </w:rPr>
      </w:pPr>
      <w:r>
        <w:rPr>
          <w:rFonts w:hint="eastAsia"/>
          <w:color w:val="auto"/>
          <w:sz w:val="24"/>
          <w:highlight w:val="none"/>
        </w:rPr>
        <w:t>18</w:t>
      </w:r>
      <w:r>
        <w:rPr>
          <w:color w:val="auto"/>
          <w:sz w:val="24"/>
          <w:highlight w:val="none"/>
        </w:rPr>
        <w:t>.3</w:t>
      </w:r>
      <w:r>
        <w:rPr>
          <w:rFonts w:hint="eastAsia"/>
          <w:color w:val="auto"/>
          <w:sz w:val="24"/>
          <w:highlight w:val="none"/>
          <w:lang w:eastAsia="zh-CN"/>
        </w:rPr>
        <w:t>比选</w:t>
      </w:r>
      <w:r>
        <w:rPr>
          <w:color w:val="auto"/>
          <w:sz w:val="24"/>
          <w:highlight w:val="none"/>
        </w:rPr>
        <w:t>小组应当从质量和服务均能满足</w:t>
      </w:r>
      <w:r>
        <w:rPr>
          <w:rFonts w:hint="eastAsia"/>
          <w:color w:val="auto"/>
          <w:sz w:val="24"/>
          <w:highlight w:val="none"/>
          <w:lang w:eastAsia="zh-CN"/>
        </w:rPr>
        <w:t>比选</w:t>
      </w:r>
      <w:r>
        <w:rPr>
          <w:color w:val="auto"/>
          <w:sz w:val="24"/>
          <w:highlight w:val="none"/>
        </w:rPr>
        <w:t>文件实质性响应要求的</w:t>
      </w:r>
      <w:r>
        <w:rPr>
          <w:rFonts w:hint="eastAsia"/>
          <w:color w:val="auto"/>
          <w:sz w:val="24"/>
          <w:szCs w:val="18"/>
          <w:highlight w:val="none"/>
          <w:lang w:eastAsia="zh-CN"/>
        </w:rPr>
        <w:t>供应商</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和标准推荐成交</w:t>
      </w:r>
      <w:r>
        <w:rPr>
          <w:color w:val="auto"/>
          <w:sz w:val="24"/>
          <w:highlight w:val="none"/>
        </w:rPr>
        <w:t>候选</w:t>
      </w:r>
      <w:r>
        <w:rPr>
          <w:rFonts w:hint="eastAsia"/>
          <w:color w:val="auto"/>
          <w:sz w:val="24"/>
          <w:szCs w:val="18"/>
          <w:highlight w:val="none"/>
        </w:rPr>
        <w:t>人</w:t>
      </w:r>
      <w:r>
        <w:rPr>
          <w:color w:val="auto"/>
          <w:sz w:val="24"/>
          <w:highlight w:val="none"/>
        </w:rPr>
        <w:t>，并编写</w:t>
      </w:r>
      <w:r>
        <w:rPr>
          <w:rFonts w:hint="eastAsia"/>
          <w:color w:val="auto"/>
          <w:sz w:val="24"/>
          <w:highlight w:val="none"/>
        </w:rPr>
        <w:t>评审</w:t>
      </w:r>
      <w:r>
        <w:rPr>
          <w:color w:val="auto"/>
          <w:sz w:val="24"/>
          <w:highlight w:val="none"/>
        </w:rPr>
        <w:t>报告。</w:t>
      </w:r>
    </w:p>
    <w:p w14:paraId="0A2F6334">
      <w:pPr>
        <w:spacing w:line="360" w:lineRule="auto"/>
        <w:ind w:firstLine="437"/>
        <w:outlineLvl w:val="2"/>
        <w:rPr>
          <w:rFonts w:hint="eastAsia" w:eastAsia="宋体"/>
          <w:b/>
          <w:color w:val="auto"/>
          <w:sz w:val="24"/>
          <w:highlight w:val="none"/>
          <w:lang w:eastAsia="zh-CN"/>
        </w:rPr>
      </w:pPr>
      <w:r>
        <w:rPr>
          <w:b/>
          <w:color w:val="auto"/>
          <w:sz w:val="24"/>
          <w:highlight w:val="none"/>
        </w:rPr>
        <w:t>19.响应文件的评审与</w:t>
      </w:r>
      <w:r>
        <w:rPr>
          <w:rFonts w:hint="eastAsia"/>
          <w:b/>
          <w:color w:val="auto"/>
          <w:sz w:val="24"/>
          <w:highlight w:val="none"/>
          <w:lang w:eastAsia="zh-CN"/>
        </w:rPr>
        <w:t>比选</w:t>
      </w:r>
    </w:p>
    <w:p w14:paraId="1CBE4766">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rPr>
        <w:t>业主单位</w:t>
      </w:r>
      <w:r>
        <w:rPr>
          <w:rFonts w:hint="eastAsia"/>
          <w:color w:val="auto"/>
          <w:sz w:val="24"/>
          <w:highlight w:val="none"/>
        </w:rPr>
        <w:t>和代理机构将在</w:t>
      </w:r>
      <w:r>
        <w:rPr>
          <w:rFonts w:hint="eastAsia"/>
          <w:color w:val="auto"/>
          <w:sz w:val="24"/>
          <w:szCs w:val="18"/>
          <w:highlight w:val="none"/>
          <w:u w:val="single"/>
          <w:lang w:eastAsia="zh-CN"/>
        </w:rPr>
        <w:t>供应商</w:t>
      </w:r>
      <w:r>
        <w:rPr>
          <w:color w:val="auto"/>
          <w:sz w:val="24"/>
          <w:highlight w:val="none"/>
          <w:u w:val="single"/>
        </w:rPr>
        <w:t>须知前附表</w:t>
      </w:r>
      <w:r>
        <w:rPr>
          <w:rFonts w:hint="eastAsia"/>
          <w:color w:val="auto"/>
          <w:sz w:val="24"/>
          <w:highlight w:val="none"/>
        </w:rPr>
        <w:t>规定的时间和地点组织</w:t>
      </w:r>
      <w:r>
        <w:rPr>
          <w:rFonts w:hint="eastAsia"/>
          <w:color w:val="auto"/>
          <w:sz w:val="24"/>
          <w:highlight w:val="none"/>
          <w:lang w:eastAsia="zh-CN"/>
        </w:rPr>
        <w:t>比选</w:t>
      </w:r>
      <w:r>
        <w:rPr>
          <w:rFonts w:hint="eastAsia"/>
          <w:color w:val="auto"/>
          <w:sz w:val="24"/>
          <w:highlight w:val="none"/>
        </w:rPr>
        <w:t>。</w:t>
      </w:r>
    </w:p>
    <w:p w14:paraId="101E093A">
      <w:pPr>
        <w:spacing w:line="360" w:lineRule="auto"/>
        <w:ind w:firstLine="435"/>
        <w:rPr>
          <w:color w:val="auto"/>
          <w:sz w:val="24"/>
          <w:highlight w:val="none"/>
        </w:rPr>
      </w:pPr>
      <w:r>
        <w:rPr>
          <w:rFonts w:hint="eastAsia"/>
          <w:color w:val="auto"/>
          <w:sz w:val="24"/>
          <w:highlight w:val="none"/>
        </w:rPr>
        <w:t>19.2</w:t>
      </w:r>
      <w:r>
        <w:rPr>
          <w:rFonts w:hint="eastAsia"/>
          <w:color w:val="auto"/>
          <w:sz w:val="24"/>
          <w:highlight w:val="none"/>
          <w:lang w:eastAsia="zh-CN"/>
        </w:rPr>
        <w:t>比选</w:t>
      </w:r>
      <w:r>
        <w:rPr>
          <w:rFonts w:hint="eastAsia"/>
          <w:color w:val="auto"/>
          <w:sz w:val="24"/>
          <w:highlight w:val="none"/>
        </w:rPr>
        <w:t>活动采用综合评分法评审。</w:t>
      </w:r>
    </w:p>
    <w:p w14:paraId="3A5BF31C">
      <w:pPr>
        <w:spacing w:line="360" w:lineRule="auto"/>
        <w:ind w:firstLine="435"/>
        <w:rPr>
          <w:color w:val="auto"/>
          <w:sz w:val="24"/>
          <w:highlight w:val="none"/>
        </w:rPr>
      </w:pPr>
      <w:r>
        <w:rPr>
          <w:rFonts w:hint="eastAsia"/>
          <w:color w:val="auto"/>
          <w:sz w:val="24"/>
          <w:highlight w:val="none"/>
        </w:rPr>
        <w:t>综合评分法，是指响应文件满足</w:t>
      </w:r>
      <w:r>
        <w:rPr>
          <w:rFonts w:hint="eastAsia"/>
          <w:color w:val="auto"/>
          <w:sz w:val="24"/>
          <w:highlight w:val="none"/>
          <w:lang w:eastAsia="zh-CN"/>
        </w:rPr>
        <w:t>比选</w:t>
      </w:r>
      <w:r>
        <w:rPr>
          <w:rFonts w:hint="eastAsia"/>
          <w:color w:val="auto"/>
          <w:sz w:val="24"/>
          <w:highlight w:val="none"/>
        </w:rPr>
        <w:t>文件全部实质性要求且按评审因素的量化指标评审得分最高的</w:t>
      </w:r>
      <w:r>
        <w:rPr>
          <w:rFonts w:hint="eastAsia"/>
          <w:color w:val="auto"/>
          <w:sz w:val="24"/>
          <w:szCs w:val="18"/>
          <w:highlight w:val="none"/>
          <w:lang w:eastAsia="zh-CN"/>
        </w:rPr>
        <w:t>供应商</w:t>
      </w:r>
      <w:r>
        <w:rPr>
          <w:rFonts w:hint="eastAsia"/>
          <w:color w:val="auto"/>
          <w:sz w:val="24"/>
          <w:highlight w:val="none"/>
        </w:rPr>
        <w:t>为成交候选</w:t>
      </w:r>
      <w:r>
        <w:rPr>
          <w:rFonts w:hint="eastAsia"/>
          <w:color w:val="auto"/>
          <w:sz w:val="24"/>
          <w:szCs w:val="18"/>
          <w:highlight w:val="none"/>
        </w:rPr>
        <w:t>人</w:t>
      </w:r>
      <w:r>
        <w:rPr>
          <w:rFonts w:hint="eastAsia"/>
          <w:color w:val="auto"/>
          <w:sz w:val="24"/>
          <w:highlight w:val="none"/>
        </w:rPr>
        <w:t>的评审方法。</w:t>
      </w:r>
    </w:p>
    <w:p w14:paraId="2CB63A09">
      <w:pPr>
        <w:spacing w:line="360" w:lineRule="auto"/>
        <w:ind w:firstLine="435"/>
        <w:rPr>
          <w:color w:val="auto"/>
          <w:sz w:val="24"/>
          <w:highlight w:val="none"/>
        </w:rPr>
      </w:pPr>
      <w:r>
        <w:rPr>
          <w:rFonts w:hint="eastAsia"/>
          <w:color w:val="auto"/>
          <w:sz w:val="24"/>
          <w:highlight w:val="none"/>
        </w:rPr>
        <w:t>19.3</w:t>
      </w:r>
      <w:r>
        <w:rPr>
          <w:rFonts w:hint="eastAsia"/>
          <w:color w:val="auto"/>
          <w:sz w:val="24"/>
          <w:highlight w:val="none"/>
          <w:lang w:eastAsia="zh-CN"/>
        </w:rPr>
        <w:t>比选</w:t>
      </w:r>
      <w:r>
        <w:rPr>
          <w:rFonts w:hint="eastAsia"/>
          <w:color w:val="auto"/>
          <w:sz w:val="24"/>
          <w:highlight w:val="none"/>
        </w:rPr>
        <w:t>小组将按照</w:t>
      </w:r>
      <w:r>
        <w:rPr>
          <w:rFonts w:hint="eastAsia"/>
          <w:color w:val="auto"/>
          <w:sz w:val="24"/>
          <w:highlight w:val="none"/>
          <w:lang w:eastAsia="zh-CN"/>
        </w:rPr>
        <w:t>比选</w:t>
      </w:r>
      <w:r>
        <w:rPr>
          <w:rFonts w:hint="eastAsia"/>
          <w:color w:val="auto"/>
          <w:sz w:val="24"/>
          <w:highlight w:val="none"/>
        </w:rPr>
        <w:t>文件规定的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供应商</w:t>
      </w:r>
      <w:r>
        <w:rPr>
          <w:rFonts w:hint="eastAsia"/>
          <w:color w:val="auto"/>
          <w:sz w:val="24"/>
          <w:highlight w:val="none"/>
        </w:rPr>
        <w:t>独立进行评审。评审程序如下：</w:t>
      </w:r>
    </w:p>
    <w:p w14:paraId="25155E82">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w:t>
      </w:r>
      <w:r>
        <w:rPr>
          <w:rFonts w:hint="eastAsia"/>
          <w:color w:val="auto"/>
          <w:sz w:val="24"/>
          <w:highlight w:val="none"/>
          <w:lang w:eastAsia="zh-CN"/>
        </w:rPr>
        <w:t>比选</w:t>
      </w:r>
      <w:r>
        <w:rPr>
          <w:rFonts w:hint="eastAsia"/>
          <w:color w:val="auto"/>
          <w:sz w:val="24"/>
          <w:highlight w:val="none"/>
        </w:rPr>
        <w:t>小组对</w:t>
      </w:r>
      <w:r>
        <w:rPr>
          <w:rFonts w:hint="eastAsia"/>
          <w:color w:val="auto"/>
          <w:sz w:val="24"/>
          <w:szCs w:val="18"/>
          <w:highlight w:val="none"/>
          <w:lang w:eastAsia="zh-CN"/>
        </w:rPr>
        <w:t>供应商</w:t>
      </w:r>
      <w:r>
        <w:rPr>
          <w:rFonts w:hint="eastAsia"/>
          <w:color w:val="auto"/>
          <w:sz w:val="24"/>
          <w:highlight w:val="none"/>
        </w:rPr>
        <w:t>必须满足和实质性响应的内容进行评审，</w:t>
      </w:r>
      <w:r>
        <w:rPr>
          <w:rFonts w:hint="eastAsia"/>
          <w:color w:val="auto"/>
          <w:sz w:val="24"/>
          <w:szCs w:val="18"/>
          <w:highlight w:val="none"/>
          <w:lang w:eastAsia="zh-CN"/>
        </w:rPr>
        <w:t>供应商</w:t>
      </w:r>
      <w:r>
        <w:rPr>
          <w:rFonts w:hint="eastAsia"/>
          <w:color w:val="auto"/>
          <w:sz w:val="24"/>
          <w:highlight w:val="none"/>
        </w:rPr>
        <w:t>未实质性响应</w:t>
      </w:r>
      <w:r>
        <w:rPr>
          <w:rFonts w:hint="eastAsia"/>
          <w:color w:val="auto"/>
          <w:sz w:val="24"/>
          <w:highlight w:val="none"/>
          <w:lang w:eastAsia="zh-CN"/>
        </w:rPr>
        <w:t>比选</w:t>
      </w:r>
      <w:r>
        <w:rPr>
          <w:rFonts w:hint="eastAsia"/>
          <w:color w:val="auto"/>
          <w:sz w:val="24"/>
          <w:highlight w:val="none"/>
        </w:rPr>
        <w:t>文件要求导致响应无效的，</w:t>
      </w:r>
      <w:r>
        <w:rPr>
          <w:rFonts w:hint="eastAsia"/>
          <w:color w:val="auto"/>
          <w:sz w:val="24"/>
          <w:highlight w:val="none"/>
          <w:lang w:eastAsia="zh-CN"/>
        </w:rPr>
        <w:t>比选</w:t>
      </w:r>
      <w:r>
        <w:rPr>
          <w:rFonts w:hint="eastAsia"/>
          <w:color w:val="auto"/>
          <w:sz w:val="24"/>
          <w:highlight w:val="none"/>
        </w:rPr>
        <w:t>小组将以书面询问的方式告知有关</w:t>
      </w:r>
      <w:r>
        <w:rPr>
          <w:rFonts w:hint="eastAsia"/>
          <w:color w:val="auto"/>
          <w:sz w:val="24"/>
          <w:szCs w:val="18"/>
          <w:highlight w:val="none"/>
          <w:lang w:eastAsia="zh-CN"/>
        </w:rPr>
        <w:t>供应商</w:t>
      </w:r>
      <w:r>
        <w:rPr>
          <w:rFonts w:hint="eastAsia"/>
          <w:color w:val="auto"/>
          <w:sz w:val="24"/>
          <w:highlight w:val="none"/>
        </w:rPr>
        <w:t>。</w:t>
      </w:r>
    </w:p>
    <w:p w14:paraId="0F51C1C6">
      <w:pPr>
        <w:spacing w:line="360" w:lineRule="auto"/>
        <w:ind w:firstLine="470" w:firstLineChars="196"/>
        <w:rPr>
          <w:color w:val="auto"/>
          <w:sz w:val="24"/>
          <w:highlight w:val="none"/>
        </w:rPr>
      </w:pP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代理机构将在响应文件提交截止时间后至评审结束前查询</w:t>
      </w:r>
      <w:r>
        <w:rPr>
          <w:rFonts w:hint="eastAsia"/>
          <w:color w:val="auto"/>
          <w:sz w:val="24"/>
          <w:szCs w:val="18"/>
          <w:highlight w:val="none"/>
          <w:lang w:eastAsia="zh-CN"/>
        </w:rPr>
        <w:t>供应商</w:t>
      </w:r>
      <w:r>
        <w:rPr>
          <w:rFonts w:hint="eastAsia"/>
          <w:color w:val="auto"/>
          <w:sz w:val="24"/>
          <w:highlight w:val="none"/>
        </w:rPr>
        <w:t>的信用记录。</w:t>
      </w:r>
      <w:r>
        <w:rPr>
          <w:rFonts w:hint="eastAsia"/>
          <w:color w:val="auto"/>
          <w:sz w:val="24"/>
          <w:szCs w:val="18"/>
          <w:highlight w:val="none"/>
          <w:lang w:eastAsia="zh-CN"/>
        </w:rPr>
        <w:t>供应商</w:t>
      </w:r>
      <w:r>
        <w:rPr>
          <w:rFonts w:hint="eastAsia"/>
          <w:color w:val="auto"/>
          <w:sz w:val="24"/>
          <w:highlight w:val="none"/>
        </w:rPr>
        <w:t>存在不良信用记录的，其响应文件将被认定为</w:t>
      </w:r>
      <w:r>
        <w:rPr>
          <w:rFonts w:hint="eastAsia"/>
          <w:b/>
          <w:color w:val="auto"/>
          <w:sz w:val="24"/>
          <w:highlight w:val="none"/>
        </w:rPr>
        <w:t>响应无效</w:t>
      </w:r>
      <w:r>
        <w:rPr>
          <w:rFonts w:hint="eastAsia"/>
          <w:color w:val="auto"/>
          <w:sz w:val="24"/>
          <w:highlight w:val="none"/>
        </w:rPr>
        <w:t>。</w:t>
      </w:r>
    </w:p>
    <w:p w14:paraId="4C15AEDE">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1"/>
          <w:rFonts w:hint="eastAsia" w:cs="宋体"/>
          <w:color w:val="auto"/>
          <w:kern w:val="21"/>
          <w:sz w:val="24"/>
          <w:szCs w:val="24"/>
          <w:highlight w:val="none"/>
          <w:lang w:bidi="ar"/>
        </w:rPr>
        <w:t>www.gsxt.gov.cn</w:t>
      </w:r>
      <w:r>
        <w:rPr>
          <w:rStyle w:val="31"/>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14:paraId="04193B53">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14:paraId="0FEB082D">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14:paraId="7DCD5C23">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14:paraId="2E51E0DC">
      <w:pPr>
        <w:spacing w:line="360" w:lineRule="auto"/>
        <w:ind w:firstLine="360" w:firstLineChars="150"/>
        <w:rPr>
          <w:color w:val="auto"/>
          <w:sz w:val="24"/>
          <w:highlight w:val="none"/>
        </w:rPr>
      </w:pPr>
      <w:r>
        <w:rPr>
          <w:rFonts w:hint="eastAsia"/>
          <w:color w:val="auto"/>
          <w:sz w:val="24"/>
          <w:highlight w:val="none"/>
        </w:rPr>
        <w:t>以联合体形式参加</w:t>
      </w:r>
      <w:r>
        <w:rPr>
          <w:rFonts w:hint="eastAsia"/>
          <w:color w:val="auto"/>
          <w:sz w:val="24"/>
          <w:highlight w:val="none"/>
          <w:lang w:eastAsia="zh-CN"/>
        </w:rPr>
        <w:t>比选</w:t>
      </w:r>
      <w:r>
        <w:rPr>
          <w:rFonts w:hint="eastAsia"/>
          <w:color w:val="auto"/>
          <w:sz w:val="24"/>
          <w:highlight w:val="none"/>
        </w:rPr>
        <w:t>的，联合体任何成员存在以上不良信用记录的，联合体</w:t>
      </w:r>
      <w:r>
        <w:rPr>
          <w:rFonts w:hint="eastAsia"/>
          <w:color w:val="auto"/>
          <w:sz w:val="24"/>
          <w:highlight w:val="none"/>
          <w:lang w:eastAsia="zh-CN"/>
        </w:rPr>
        <w:t>比选</w:t>
      </w:r>
      <w:r>
        <w:rPr>
          <w:rFonts w:hint="eastAsia"/>
          <w:color w:val="auto"/>
          <w:sz w:val="24"/>
          <w:highlight w:val="none"/>
        </w:rPr>
        <w:t>将被认定为</w:t>
      </w:r>
      <w:r>
        <w:rPr>
          <w:rFonts w:hint="eastAsia"/>
          <w:b/>
          <w:color w:val="auto"/>
          <w:sz w:val="24"/>
          <w:highlight w:val="none"/>
        </w:rPr>
        <w:t>响应无效</w:t>
      </w:r>
      <w:r>
        <w:rPr>
          <w:rFonts w:hint="eastAsia"/>
          <w:color w:val="auto"/>
          <w:sz w:val="24"/>
          <w:highlight w:val="none"/>
        </w:rPr>
        <w:t>。</w:t>
      </w:r>
    </w:p>
    <w:p w14:paraId="623A82E8">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供应商</w:t>
      </w:r>
      <w:r>
        <w:rPr>
          <w:rFonts w:cs="宋体"/>
          <w:color w:val="auto"/>
          <w:kern w:val="21"/>
          <w:sz w:val="24"/>
          <w:szCs w:val="24"/>
          <w:highlight w:val="none"/>
          <w:lang w:bidi="ar"/>
        </w:rPr>
        <w:t>不良信用记录以业主单位或代理机构查询结果为准</w:t>
      </w:r>
      <w:r>
        <w:rPr>
          <w:rFonts w:hint="eastAsia" w:cs="宋体"/>
          <w:color w:val="auto"/>
          <w:kern w:val="21"/>
          <w:sz w:val="24"/>
          <w:szCs w:val="24"/>
          <w:highlight w:val="none"/>
          <w:lang w:bidi="ar"/>
        </w:rPr>
        <w:t>。</w:t>
      </w:r>
    </w:p>
    <w:p w14:paraId="5EA9BC82">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文件规定的查询时间之外，网站信息发生的任何变更均不作为初审依据。</w:t>
      </w:r>
    </w:p>
    <w:p w14:paraId="0DEA0A67">
      <w:pPr>
        <w:spacing w:line="360" w:lineRule="auto"/>
        <w:ind w:firstLine="480" w:firstLineChars="200"/>
        <w:jc w:val="left"/>
        <w:rPr>
          <w:color w:val="auto"/>
          <w:sz w:val="24"/>
          <w:highlight w:val="none"/>
        </w:rPr>
      </w:pPr>
      <w:r>
        <w:rPr>
          <w:rFonts w:hint="eastAsia"/>
          <w:color w:val="auto"/>
          <w:sz w:val="24"/>
          <w:szCs w:val="18"/>
          <w:highlight w:val="none"/>
          <w:lang w:eastAsia="zh-CN"/>
        </w:rPr>
        <w:t>供应商</w:t>
      </w:r>
      <w:r>
        <w:rPr>
          <w:rFonts w:hint="eastAsia" w:cs="宋体"/>
          <w:color w:val="auto"/>
          <w:sz w:val="24"/>
          <w:szCs w:val="24"/>
          <w:highlight w:val="none"/>
          <w:lang w:bidi="ar"/>
        </w:rPr>
        <w:t>自行提供的与网站信息不一致的其他证明材料亦不作为初审依据。</w:t>
      </w:r>
    </w:p>
    <w:p w14:paraId="301C7FCB">
      <w:pPr>
        <w:spacing w:line="360" w:lineRule="auto"/>
        <w:ind w:firstLine="435"/>
        <w:rPr>
          <w:color w:val="auto"/>
          <w:sz w:val="24"/>
          <w:highlight w:val="none"/>
        </w:rPr>
      </w:pPr>
      <w:r>
        <w:rPr>
          <w:rFonts w:hint="eastAsia"/>
          <w:color w:val="auto"/>
          <w:sz w:val="24"/>
          <w:highlight w:val="none"/>
        </w:rPr>
        <w:t>19.3.2</w:t>
      </w:r>
      <w:r>
        <w:rPr>
          <w:rFonts w:hint="eastAsia"/>
          <w:b/>
          <w:color w:val="auto"/>
          <w:sz w:val="24"/>
          <w:highlight w:val="none"/>
          <w:lang w:eastAsia="zh-CN"/>
        </w:rPr>
        <w:t>比选</w:t>
      </w:r>
      <w:r>
        <w:rPr>
          <w:rFonts w:hint="eastAsia"/>
          <w:color w:val="auto"/>
          <w:sz w:val="24"/>
          <w:highlight w:val="none"/>
        </w:rPr>
        <w:t>。初审合格后，</w:t>
      </w:r>
      <w:r>
        <w:rPr>
          <w:rFonts w:hint="eastAsia"/>
          <w:color w:val="auto"/>
          <w:sz w:val="24"/>
          <w:highlight w:val="none"/>
          <w:lang w:eastAsia="zh-CN"/>
        </w:rPr>
        <w:t>比选</w:t>
      </w:r>
      <w:r>
        <w:rPr>
          <w:rFonts w:hint="eastAsia"/>
          <w:color w:val="auto"/>
          <w:sz w:val="24"/>
          <w:highlight w:val="none"/>
        </w:rPr>
        <w:t>小组将按网上加密电子响应文件提交顺序集中与单一</w:t>
      </w:r>
      <w:r>
        <w:rPr>
          <w:rFonts w:hint="eastAsia"/>
          <w:color w:val="auto"/>
          <w:sz w:val="24"/>
          <w:szCs w:val="18"/>
          <w:highlight w:val="none"/>
          <w:lang w:eastAsia="zh-CN"/>
        </w:rPr>
        <w:t>供应商</w:t>
      </w:r>
      <w:r>
        <w:rPr>
          <w:rFonts w:hint="eastAsia"/>
          <w:color w:val="auto"/>
          <w:sz w:val="24"/>
          <w:highlight w:val="none"/>
        </w:rPr>
        <w:t>分别进行</w:t>
      </w:r>
      <w:r>
        <w:rPr>
          <w:rFonts w:hint="eastAsia"/>
          <w:color w:val="auto"/>
          <w:sz w:val="24"/>
          <w:highlight w:val="none"/>
          <w:lang w:eastAsia="zh-CN"/>
        </w:rPr>
        <w:t>比选</w:t>
      </w:r>
      <w:r>
        <w:rPr>
          <w:rFonts w:hint="eastAsia"/>
          <w:color w:val="auto"/>
          <w:sz w:val="24"/>
          <w:highlight w:val="none"/>
        </w:rPr>
        <w:t>，并给予所有参加</w:t>
      </w:r>
      <w:r>
        <w:rPr>
          <w:rFonts w:hint="eastAsia"/>
          <w:color w:val="auto"/>
          <w:sz w:val="24"/>
          <w:highlight w:val="none"/>
          <w:lang w:eastAsia="zh-CN"/>
        </w:rPr>
        <w:t>比选</w:t>
      </w:r>
      <w:r>
        <w:rPr>
          <w:rFonts w:hint="eastAsia"/>
          <w:color w:val="auto"/>
          <w:sz w:val="24"/>
          <w:highlight w:val="none"/>
        </w:rPr>
        <w:t>的</w:t>
      </w:r>
      <w:r>
        <w:rPr>
          <w:rFonts w:hint="eastAsia"/>
          <w:color w:val="auto"/>
          <w:sz w:val="24"/>
          <w:szCs w:val="18"/>
          <w:highlight w:val="none"/>
          <w:lang w:eastAsia="zh-CN"/>
        </w:rPr>
        <w:t>供应商</w:t>
      </w:r>
      <w:r>
        <w:rPr>
          <w:rFonts w:hint="eastAsia"/>
          <w:color w:val="auto"/>
          <w:sz w:val="24"/>
          <w:highlight w:val="none"/>
        </w:rPr>
        <w:t>平等的</w:t>
      </w:r>
      <w:r>
        <w:rPr>
          <w:rFonts w:hint="eastAsia"/>
          <w:color w:val="auto"/>
          <w:sz w:val="24"/>
          <w:highlight w:val="none"/>
          <w:lang w:eastAsia="zh-CN"/>
        </w:rPr>
        <w:t>比选</w:t>
      </w:r>
      <w:r>
        <w:rPr>
          <w:rFonts w:hint="eastAsia"/>
          <w:color w:val="auto"/>
          <w:sz w:val="24"/>
          <w:highlight w:val="none"/>
        </w:rPr>
        <w:t>机会。</w:t>
      </w:r>
    </w:p>
    <w:p w14:paraId="7FC024DE">
      <w:pPr>
        <w:spacing w:line="360" w:lineRule="auto"/>
        <w:ind w:firstLine="435"/>
        <w:rPr>
          <w:color w:val="auto"/>
          <w:sz w:val="24"/>
          <w:highlight w:val="none"/>
        </w:rPr>
      </w:pPr>
      <w:r>
        <w:rPr>
          <w:rFonts w:hint="eastAsia"/>
          <w:color w:val="auto"/>
          <w:sz w:val="24"/>
          <w:highlight w:val="none"/>
        </w:rPr>
        <w:t>19.3.3</w:t>
      </w:r>
      <w:r>
        <w:rPr>
          <w:b/>
          <w:color w:val="auto"/>
          <w:sz w:val="24"/>
          <w:highlight w:val="none"/>
        </w:rPr>
        <w:t>报价</w:t>
      </w:r>
      <w:r>
        <w:rPr>
          <w:rFonts w:hint="eastAsia"/>
          <w:color w:val="auto"/>
          <w:sz w:val="24"/>
          <w:highlight w:val="none"/>
        </w:rPr>
        <w:t>。</w:t>
      </w:r>
      <w:r>
        <w:rPr>
          <w:rFonts w:hint="eastAsia"/>
          <w:color w:val="auto"/>
          <w:sz w:val="24"/>
          <w:highlight w:val="none"/>
          <w:lang w:eastAsia="zh-CN"/>
        </w:rPr>
        <w:t>比选</w:t>
      </w:r>
      <w:r>
        <w:rPr>
          <w:color w:val="auto"/>
          <w:sz w:val="24"/>
          <w:highlight w:val="none"/>
        </w:rPr>
        <w:t>结束后，</w:t>
      </w:r>
      <w:r>
        <w:rPr>
          <w:rFonts w:hint="eastAsia"/>
          <w:color w:val="auto"/>
          <w:sz w:val="24"/>
          <w:highlight w:val="none"/>
          <w:lang w:eastAsia="zh-CN"/>
        </w:rPr>
        <w:t>比选</w:t>
      </w:r>
      <w:r>
        <w:rPr>
          <w:color w:val="auto"/>
          <w:sz w:val="24"/>
          <w:highlight w:val="none"/>
        </w:rPr>
        <w:t>小组应当要求所有</w:t>
      </w:r>
      <w:r>
        <w:rPr>
          <w:rFonts w:hint="eastAsia"/>
          <w:color w:val="auto"/>
          <w:sz w:val="24"/>
          <w:highlight w:val="none"/>
        </w:rPr>
        <w:t>实质性响应</w:t>
      </w:r>
      <w:r>
        <w:rPr>
          <w:color w:val="auto"/>
          <w:sz w:val="24"/>
          <w:highlight w:val="none"/>
        </w:rPr>
        <w:t>的</w:t>
      </w:r>
      <w:r>
        <w:rPr>
          <w:rFonts w:hint="eastAsia"/>
          <w:color w:val="auto"/>
          <w:sz w:val="24"/>
          <w:szCs w:val="18"/>
          <w:highlight w:val="none"/>
          <w:lang w:eastAsia="zh-CN"/>
        </w:rPr>
        <w:t>供应商</w:t>
      </w:r>
      <w:r>
        <w:rPr>
          <w:color w:val="auto"/>
          <w:sz w:val="24"/>
          <w:highlight w:val="none"/>
        </w:rPr>
        <w:t>在规定时间内提交最后报价</w:t>
      </w:r>
      <w:r>
        <w:rPr>
          <w:rFonts w:hint="eastAsia"/>
          <w:color w:val="auto"/>
          <w:sz w:val="24"/>
          <w:highlight w:val="none"/>
        </w:rPr>
        <w:t>。</w:t>
      </w:r>
      <w:r>
        <w:rPr>
          <w:rFonts w:hint="eastAsia" w:cs="宋体"/>
          <w:b/>
          <w:bCs/>
          <w:color w:val="auto"/>
          <w:sz w:val="24"/>
          <w:szCs w:val="24"/>
          <w:highlight w:val="none"/>
          <w:lang w:eastAsia="zh-CN"/>
        </w:rPr>
        <w:t>比选</w:t>
      </w:r>
      <w:r>
        <w:rPr>
          <w:rFonts w:cs="宋体"/>
          <w:b/>
          <w:bCs/>
          <w:color w:val="auto"/>
          <w:sz w:val="24"/>
          <w:szCs w:val="24"/>
          <w:highlight w:val="none"/>
        </w:rPr>
        <w:t>文件中另有特殊规定的除外</w:t>
      </w:r>
      <w:r>
        <w:rPr>
          <w:rFonts w:hint="eastAsia" w:cs="宋体"/>
          <w:b/>
          <w:bCs/>
          <w:color w:val="auto"/>
          <w:sz w:val="24"/>
          <w:szCs w:val="24"/>
          <w:highlight w:val="none"/>
        </w:rPr>
        <w:t>。</w:t>
      </w:r>
    </w:p>
    <w:p w14:paraId="50726AE7">
      <w:pPr>
        <w:spacing w:line="360" w:lineRule="auto"/>
        <w:ind w:firstLine="435"/>
        <w:rPr>
          <w:color w:val="auto"/>
          <w:sz w:val="24"/>
          <w:highlight w:val="none"/>
        </w:rPr>
      </w:pPr>
      <w:r>
        <w:rPr>
          <w:rFonts w:hint="eastAsia"/>
          <w:color w:val="auto"/>
          <w:sz w:val="24"/>
          <w:highlight w:val="none"/>
        </w:rPr>
        <w:t>19.3.4</w:t>
      </w:r>
      <w:r>
        <w:rPr>
          <w:rFonts w:hint="eastAsia"/>
          <w:b/>
          <w:color w:val="auto"/>
          <w:sz w:val="24"/>
          <w:highlight w:val="none"/>
        </w:rPr>
        <w:t>综合评分</w:t>
      </w:r>
      <w:r>
        <w:rPr>
          <w:rFonts w:hint="eastAsia"/>
          <w:color w:val="auto"/>
          <w:sz w:val="24"/>
          <w:highlight w:val="none"/>
        </w:rPr>
        <w:t>。</w:t>
      </w:r>
      <w:r>
        <w:rPr>
          <w:rFonts w:hint="eastAsia"/>
          <w:color w:val="auto"/>
          <w:sz w:val="24"/>
          <w:highlight w:val="none"/>
          <w:lang w:eastAsia="zh-CN"/>
        </w:rPr>
        <w:t>比选</w:t>
      </w:r>
      <w:r>
        <w:rPr>
          <w:rFonts w:hint="eastAsia"/>
          <w:color w:val="auto"/>
          <w:sz w:val="24"/>
          <w:highlight w:val="none"/>
        </w:rPr>
        <w:t>小组只对通过初审，实质上响应</w:t>
      </w:r>
      <w:r>
        <w:rPr>
          <w:rFonts w:hint="eastAsia"/>
          <w:color w:val="auto"/>
          <w:sz w:val="24"/>
          <w:highlight w:val="none"/>
          <w:lang w:eastAsia="zh-CN"/>
        </w:rPr>
        <w:t>比选</w:t>
      </w:r>
      <w:r>
        <w:rPr>
          <w:rFonts w:hint="eastAsia"/>
          <w:color w:val="auto"/>
          <w:sz w:val="24"/>
          <w:highlight w:val="none"/>
        </w:rPr>
        <w:t>要求的响应文件进行综合评分。经</w:t>
      </w:r>
      <w:r>
        <w:rPr>
          <w:rFonts w:hint="eastAsia"/>
          <w:color w:val="auto"/>
          <w:sz w:val="24"/>
          <w:highlight w:val="none"/>
          <w:lang w:eastAsia="zh-CN"/>
        </w:rPr>
        <w:t>比选</w:t>
      </w:r>
      <w:r>
        <w:rPr>
          <w:rFonts w:hint="eastAsia"/>
          <w:color w:val="auto"/>
          <w:sz w:val="24"/>
          <w:highlight w:val="none"/>
        </w:rPr>
        <w:t>确定最终项目需求和提交最后报价的</w:t>
      </w:r>
      <w:r>
        <w:rPr>
          <w:rFonts w:hint="eastAsia"/>
          <w:color w:val="auto"/>
          <w:sz w:val="24"/>
          <w:szCs w:val="18"/>
          <w:highlight w:val="none"/>
          <w:lang w:eastAsia="zh-CN"/>
        </w:rPr>
        <w:t>供应商</w:t>
      </w:r>
      <w:r>
        <w:rPr>
          <w:rFonts w:hint="eastAsia"/>
          <w:color w:val="auto"/>
          <w:sz w:val="24"/>
          <w:highlight w:val="none"/>
        </w:rPr>
        <w:t>后，由</w:t>
      </w:r>
      <w:r>
        <w:rPr>
          <w:rFonts w:hint="eastAsia"/>
          <w:color w:val="auto"/>
          <w:sz w:val="24"/>
          <w:highlight w:val="none"/>
          <w:lang w:eastAsia="zh-CN"/>
        </w:rPr>
        <w:t>比选</w:t>
      </w:r>
      <w:r>
        <w:rPr>
          <w:rFonts w:hint="eastAsia"/>
          <w:color w:val="auto"/>
          <w:sz w:val="24"/>
          <w:highlight w:val="none"/>
        </w:rPr>
        <w:t>小组采用综合评分法对提交最后报价的</w:t>
      </w:r>
      <w:r>
        <w:rPr>
          <w:rFonts w:hint="eastAsia"/>
          <w:color w:val="auto"/>
          <w:sz w:val="24"/>
          <w:szCs w:val="18"/>
          <w:highlight w:val="none"/>
          <w:lang w:eastAsia="zh-CN"/>
        </w:rPr>
        <w:t>供应商</w:t>
      </w:r>
      <w:r>
        <w:rPr>
          <w:rFonts w:hint="eastAsia"/>
          <w:color w:val="auto"/>
          <w:sz w:val="24"/>
          <w:highlight w:val="none"/>
        </w:rPr>
        <w:t>的响应文件和最后报价进行综合评分。</w:t>
      </w:r>
    </w:p>
    <w:p w14:paraId="44EEF1EF">
      <w:pPr>
        <w:spacing w:line="360" w:lineRule="auto"/>
        <w:ind w:firstLine="435"/>
        <w:rPr>
          <w:color w:val="auto"/>
          <w:sz w:val="24"/>
          <w:highlight w:val="none"/>
        </w:rPr>
      </w:pPr>
      <w:r>
        <w:rPr>
          <w:rFonts w:hint="eastAsia"/>
          <w:color w:val="auto"/>
          <w:sz w:val="24"/>
          <w:highlight w:val="none"/>
        </w:rPr>
        <w:t>19.4相关说明。</w:t>
      </w:r>
    </w:p>
    <w:p w14:paraId="4162957C">
      <w:pPr>
        <w:spacing w:line="360" w:lineRule="auto"/>
        <w:ind w:firstLine="435"/>
        <w:rPr>
          <w:color w:val="auto"/>
          <w:sz w:val="24"/>
          <w:highlight w:val="none"/>
        </w:rPr>
      </w:pPr>
      <w:r>
        <w:rPr>
          <w:rFonts w:hint="eastAsia"/>
          <w:color w:val="auto"/>
          <w:sz w:val="24"/>
          <w:highlight w:val="none"/>
        </w:rPr>
        <w:t>19.4.1为保证</w:t>
      </w:r>
      <w:r>
        <w:rPr>
          <w:rFonts w:hint="eastAsia"/>
          <w:color w:val="auto"/>
          <w:sz w:val="24"/>
          <w:highlight w:val="none"/>
          <w:lang w:eastAsia="zh-CN"/>
        </w:rPr>
        <w:t>比选</w:t>
      </w:r>
      <w:r>
        <w:rPr>
          <w:rFonts w:hint="eastAsia"/>
          <w:color w:val="auto"/>
          <w:sz w:val="24"/>
          <w:highlight w:val="none"/>
        </w:rPr>
        <w:t>活动顺利进行，</w:t>
      </w:r>
      <w:r>
        <w:rPr>
          <w:rFonts w:hint="eastAsia"/>
          <w:color w:val="auto"/>
          <w:sz w:val="24"/>
          <w:szCs w:val="18"/>
          <w:highlight w:val="none"/>
          <w:lang w:eastAsia="zh-CN"/>
        </w:rPr>
        <w:t>供应商</w:t>
      </w:r>
      <w:r>
        <w:rPr>
          <w:rFonts w:hint="eastAsia"/>
          <w:color w:val="auto"/>
          <w:sz w:val="24"/>
          <w:highlight w:val="none"/>
        </w:rPr>
        <w:t xml:space="preserve">可派相关技术人员进行网上答疑； </w:t>
      </w:r>
    </w:p>
    <w:p w14:paraId="408C6D9F">
      <w:pPr>
        <w:spacing w:line="360" w:lineRule="auto"/>
        <w:ind w:firstLine="435"/>
        <w:rPr>
          <w:color w:val="auto"/>
          <w:sz w:val="24"/>
          <w:highlight w:val="none"/>
        </w:rPr>
      </w:pPr>
      <w:r>
        <w:rPr>
          <w:rFonts w:hint="eastAsia"/>
          <w:color w:val="auto"/>
          <w:sz w:val="24"/>
          <w:highlight w:val="none"/>
        </w:rPr>
        <w:t>19.4.2</w:t>
      </w:r>
      <w:r>
        <w:rPr>
          <w:rFonts w:hint="eastAsia"/>
          <w:color w:val="auto"/>
          <w:sz w:val="24"/>
          <w:highlight w:val="none"/>
          <w:lang w:eastAsia="zh-CN"/>
        </w:rPr>
        <w:t>比选</w:t>
      </w:r>
      <w:r>
        <w:rPr>
          <w:color w:val="auto"/>
          <w:sz w:val="24"/>
          <w:highlight w:val="none"/>
        </w:rPr>
        <w:t>小组根据与</w:t>
      </w:r>
      <w:r>
        <w:rPr>
          <w:rFonts w:hint="eastAsia"/>
          <w:color w:val="auto"/>
          <w:sz w:val="24"/>
          <w:szCs w:val="18"/>
          <w:highlight w:val="none"/>
          <w:lang w:eastAsia="zh-CN"/>
        </w:rPr>
        <w:t>供应商</w:t>
      </w:r>
      <w:r>
        <w:rPr>
          <w:rFonts w:hint="eastAsia"/>
          <w:color w:val="auto"/>
          <w:sz w:val="24"/>
          <w:highlight w:val="none"/>
          <w:lang w:eastAsia="zh-CN"/>
        </w:rPr>
        <w:t>比选</w:t>
      </w:r>
      <w:r>
        <w:rPr>
          <w:color w:val="auto"/>
          <w:sz w:val="24"/>
          <w:highlight w:val="none"/>
        </w:rPr>
        <w:t>情况可能实质性变动</w:t>
      </w:r>
      <w:r>
        <w:rPr>
          <w:rFonts w:hint="eastAsia"/>
          <w:color w:val="auto"/>
          <w:sz w:val="24"/>
          <w:highlight w:val="none"/>
          <w:lang w:eastAsia="zh-CN"/>
        </w:rPr>
        <w:t>比选</w:t>
      </w:r>
      <w:r>
        <w:rPr>
          <w:rFonts w:hint="eastAsia"/>
          <w:color w:val="auto"/>
          <w:sz w:val="24"/>
          <w:highlight w:val="none"/>
        </w:rPr>
        <w:t>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w:t>
      </w:r>
      <w:r>
        <w:rPr>
          <w:rFonts w:hint="eastAsia"/>
          <w:color w:val="auto"/>
          <w:sz w:val="24"/>
          <w:highlight w:val="none"/>
          <w:lang w:eastAsia="zh-CN"/>
        </w:rPr>
        <w:t>比选</w:t>
      </w:r>
      <w:r>
        <w:rPr>
          <w:color w:val="auto"/>
          <w:sz w:val="24"/>
          <w:highlight w:val="none"/>
        </w:rPr>
        <w:t>文件有实质性变动的，</w:t>
      </w:r>
      <w:r>
        <w:rPr>
          <w:rFonts w:hint="eastAsia"/>
          <w:color w:val="auto"/>
          <w:sz w:val="24"/>
          <w:highlight w:val="none"/>
        </w:rPr>
        <w:t>经</w:t>
      </w:r>
      <w:r>
        <w:rPr>
          <w:rFonts w:hint="eastAsia"/>
          <w:color w:val="auto"/>
          <w:sz w:val="24"/>
          <w:szCs w:val="18"/>
          <w:highlight w:val="none"/>
        </w:rPr>
        <w:t>业主单位</w:t>
      </w:r>
      <w:r>
        <w:rPr>
          <w:rFonts w:hint="eastAsia"/>
          <w:color w:val="auto"/>
          <w:sz w:val="24"/>
          <w:highlight w:val="none"/>
        </w:rPr>
        <w:t>代表确认作为</w:t>
      </w:r>
      <w:r>
        <w:rPr>
          <w:rFonts w:hint="eastAsia"/>
          <w:color w:val="auto"/>
          <w:sz w:val="24"/>
          <w:highlight w:val="none"/>
          <w:lang w:eastAsia="zh-CN"/>
        </w:rPr>
        <w:t>比选</w:t>
      </w:r>
      <w:r>
        <w:rPr>
          <w:rFonts w:hint="eastAsia"/>
          <w:color w:val="auto"/>
          <w:sz w:val="24"/>
          <w:highlight w:val="none"/>
        </w:rPr>
        <w:t>文件的有效组成部分，</w:t>
      </w:r>
      <w:r>
        <w:rPr>
          <w:rFonts w:hint="eastAsia"/>
          <w:color w:val="auto"/>
          <w:sz w:val="24"/>
          <w:highlight w:val="none"/>
          <w:lang w:eastAsia="zh-CN"/>
        </w:rPr>
        <w:t>比选</w:t>
      </w:r>
      <w:r>
        <w:rPr>
          <w:color w:val="auto"/>
          <w:sz w:val="24"/>
          <w:highlight w:val="none"/>
        </w:rPr>
        <w:t>小组</w:t>
      </w:r>
      <w:r>
        <w:rPr>
          <w:rFonts w:hint="eastAsia"/>
          <w:color w:val="auto"/>
          <w:sz w:val="24"/>
          <w:highlight w:val="none"/>
        </w:rPr>
        <w:t>将</w:t>
      </w:r>
      <w:r>
        <w:rPr>
          <w:color w:val="auto"/>
          <w:sz w:val="24"/>
          <w:highlight w:val="none"/>
        </w:rPr>
        <w:t>以书面形式通知所有参加</w:t>
      </w:r>
      <w:r>
        <w:rPr>
          <w:rFonts w:hint="eastAsia"/>
          <w:color w:val="auto"/>
          <w:sz w:val="24"/>
          <w:highlight w:val="none"/>
          <w:lang w:eastAsia="zh-CN"/>
        </w:rPr>
        <w:t>比选</w:t>
      </w:r>
      <w:r>
        <w:rPr>
          <w:color w:val="auto"/>
          <w:sz w:val="24"/>
          <w:highlight w:val="none"/>
        </w:rPr>
        <w:t>的</w:t>
      </w:r>
      <w:r>
        <w:rPr>
          <w:rFonts w:hint="eastAsia"/>
          <w:color w:val="auto"/>
          <w:sz w:val="24"/>
          <w:szCs w:val="18"/>
          <w:highlight w:val="none"/>
          <w:lang w:eastAsia="zh-CN"/>
        </w:rPr>
        <w:t>供应商</w:t>
      </w:r>
      <w:r>
        <w:rPr>
          <w:color w:val="auto"/>
          <w:sz w:val="24"/>
          <w:highlight w:val="none"/>
        </w:rPr>
        <w:t>。</w:t>
      </w:r>
    </w:p>
    <w:p w14:paraId="28C3BDE0">
      <w:pPr>
        <w:spacing w:line="360" w:lineRule="auto"/>
        <w:ind w:firstLine="435"/>
        <w:rPr>
          <w:color w:val="auto"/>
          <w:sz w:val="24"/>
          <w:highlight w:val="none"/>
        </w:rPr>
      </w:pPr>
      <w:r>
        <w:rPr>
          <w:rFonts w:hint="eastAsia"/>
          <w:color w:val="auto"/>
          <w:sz w:val="24"/>
          <w:highlight w:val="none"/>
        </w:rPr>
        <w:t>19.4.3</w:t>
      </w:r>
      <w:r>
        <w:rPr>
          <w:rFonts w:hint="eastAsia"/>
          <w:color w:val="auto"/>
          <w:sz w:val="24"/>
          <w:highlight w:val="none"/>
          <w:lang w:eastAsia="zh-CN"/>
        </w:rPr>
        <w:t>比选</w:t>
      </w:r>
      <w:r>
        <w:rPr>
          <w:rFonts w:hint="eastAsia"/>
          <w:color w:val="auto"/>
          <w:sz w:val="24"/>
          <w:highlight w:val="none"/>
        </w:rPr>
        <w:t>小组发现</w:t>
      </w:r>
      <w:r>
        <w:rPr>
          <w:rFonts w:hint="eastAsia"/>
          <w:color w:val="auto"/>
          <w:sz w:val="24"/>
          <w:szCs w:val="18"/>
          <w:highlight w:val="none"/>
          <w:lang w:eastAsia="zh-CN"/>
        </w:rPr>
        <w:t>供应商</w:t>
      </w:r>
      <w:r>
        <w:rPr>
          <w:rFonts w:hint="eastAsia"/>
          <w:color w:val="auto"/>
          <w:sz w:val="24"/>
          <w:highlight w:val="none"/>
        </w:rPr>
        <w:t>的报价或者某些分项报价明显低于其他通过初审的</w:t>
      </w:r>
      <w:r>
        <w:rPr>
          <w:rFonts w:hint="eastAsia"/>
          <w:color w:val="auto"/>
          <w:sz w:val="24"/>
          <w:szCs w:val="18"/>
          <w:highlight w:val="none"/>
          <w:lang w:eastAsia="zh-CN"/>
        </w:rPr>
        <w:t>供应商</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供应商</w:t>
      </w:r>
      <w:r>
        <w:rPr>
          <w:rFonts w:hint="eastAsia"/>
          <w:color w:val="auto"/>
          <w:sz w:val="24"/>
          <w:highlight w:val="none"/>
        </w:rPr>
        <w:t>不能证明其报价合理性的，其响应文件将被认定为响应无效。</w:t>
      </w:r>
    </w:p>
    <w:p w14:paraId="21A1FB7A">
      <w:pPr>
        <w:spacing w:line="360" w:lineRule="auto"/>
        <w:ind w:firstLine="435"/>
        <w:rPr>
          <w:color w:val="auto"/>
          <w:sz w:val="24"/>
          <w:highlight w:val="none"/>
        </w:rPr>
      </w:pPr>
      <w:r>
        <w:rPr>
          <w:rFonts w:hint="eastAsia"/>
          <w:color w:val="auto"/>
          <w:sz w:val="24"/>
          <w:highlight w:val="none"/>
        </w:rPr>
        <w:t>19.4.4</w:t>
      </w:r>
      <w:r>
        <w:rPr>
          <w:color w:val="auto"/>
          <w:sz w:val="24"/>
          <w:highlight w:val="none"/>
        </w:rPr>
        <w:t>无论何种原因，即使</w:t>
      </w:r>
      <w:r>
        <w:rPr>
          <w:rFonts w:hint="eastAsia"/>
          <w:color w:val="auto"/>
          <w:sz w:val="24"/>
          <w:szCs w:val="18"/>
          <w:highlight w:val="none"/>
          <w:lang w:eastAsia="zh-CN"/>
        </w:rPr>
        <w:t>供应商</w:t>
      </w:r>
      <w:r>
        <w:rPr>
          <w:rFonts w:hint="eastAsia"/>
          <w:color w:val="auto"/>
          <w:sz w:val="24"/>
          <w:highlight w:val="none"/>
          <w:lang w:eastAsia="zh-CN"/>
        </w:rPr>
        <w:t>比选</w:t>
      </w:r>
      <w:r>
        <w:rPr>
          <w:color w:val="auto"/>
          <w:sz w:val="24"/>
          <w:highlight w:val="none"/>
        </w:rPr>
        <w:t>时携带了证书材料的原件，但响应文件中未提供与之内容完全一致的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lang w:eastAsia="zh-CN"/>
        </w:rPr>
        <w:t>比选</w:t>
      </w:r>
      <w:r>
        <w:rPr>
          <w:color w:val="auto"/>
          <w:sz w:val="24"/>
          <w:highlight w:val="none"/>
        </w:rPr>
        <w:t>小组可以视同其未提供。</w:t>
      </w:r>
    </w:p>
    <w:p w14:paraId="23DA7698">
      <w:pPr>
        <w:spacing w:line="360" w:lineRule="auto"/>
        <w:ind w:firstLine="435"/>
        <w:rPr>
          <w:color w:val="auto"/>
          <w:sz w:val="24"/>
          <w:highlight w:val="none"/>
        </w:rPr>
      </w:pPr>
      <w:r>
        <w:rPr>
          <w:rFonts w:hint="eastAsia"/>
          <w:color w:val="auto"/>
          <w:sz w:val="24"/>
          <w:highlight w:val="none"/>
        </w:rPr>
        <w:t>19.4.5</w:t>
      </w:r>
      <w:r>
        <w:rPr>
          <w:rFonts w:hint="eastAsia"/>
          <w:color w:val="auto"/>
          <w:sz w:val="24"/>
          <w:highlight w:val="none"/>
          <w:lang w:eastAsia="zh-CN"/>
        </w:rPr>
        <w:t>比选</w:t>
      </w:r>
      <w:r>
        <w:rPr>
          <w:color w:val="auto"/>
          <w:sz w:val="24"/>
          <w:highlight w:val="none"/>
        </w:rPr>
        <w:t>小组决定响应文件的响应性及符合性只根据响应文件本身的内容，而不寻求其他外部证据。</w:t>
      </w:r>
    </w:p>
    <w:p w14:paraId="7138401D">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供应商</w:t>
      </w:r>
      <w:r>
        <w:rPr>
          <w:rFonts w:hint="eastAsia"/>
          <w:color w:val="auto"/>
          <w:sz w:val="24"/>
          <w:highlight w:val="none"/>
        </w:rPr>
        <w:t>授权</w:t>
      </w:r>
      <w:r>
        <w:rPr>
          <w:color w:val="auto"/>
          <w:sz w:val="24"/>
          <w:highlight w:val="none"/>
        </w:rPr>
        <w:t>代表对</w:t>
      </w:r>
      <w:r>
        <w:rPr>
          <w:rFonts w:hint="eastAsia"/>
          <w:color w:val="auto"/>
          <w:sz w:val="24"/>
          <w:highlight w:val="none"/>
          <w:lang w:eastAsia="zh-CN"/>
        </w:rPr>
        <w:t>比选</w:t>
      </w:r>
      <w:r>
        <w:rPr>
          <w:rFonts w:hint="eastAsia"/>
          <w:color w:val="auto"/>
          <w:sz w:val="24"/>
          <w:highlight w:val="none"/>
        </w:rPr>
        <w:t>过程</w:t>
      </w:r>
      <w:r>
        <w:rPr>
          <w:color w:val="auto"/>
          <w:sz w:val="24"/>
          <w:highlight w:val="none"/>
        </w:rPr>
        <w:t>有疑义，以及认为</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14:paraId="330AE450">
      <w:pPr>
        <w:spacing w:line="360" w:lineRule="auto"/>
        <w:ind w:firstLine="437"/>
        <w:outlineLvl w:val="2"/>
        <w:rPr>
          <w:rFonts w:hint="eastAsia" w:eastAsia="宋体"/>
          <w:b/>
          <w:color w:val="auto"/>
          <w:sz w:val="24"/>
          <w:highlight w:val="none"/>
          <w:lang w:eastAsia="zh-CN"/>
        </w:rPr>
      </w:pPr>
      <w:r>
        <w:rPr>
          <w:rFonts w:hint="eastAsia"/>
          <w:b/>
          <w:color w:val="auto"/>
          <w:sz w:val="24"/>
          <w:highlight w:val="none"/>
        </w:rPr>
        <w:t>20</w:t>
      </w:r>
      <w:r>
        <w:rPr>
          <w:b/>
          <w:color w:val="auto"/>
          <w:sz w:val="24"/>
          <w:highlight w:val="none"/>
        </w:rPr>
        <w:t>.终止</w:t>
      </w:r>
      <w:r>
        <w:rPr>
          <w:rFonts w:hint="eastAsia"/>
          <w:b/>
          <w:color w:val="auto"/>
          <w:sz w:val="24"/>
          <w:highlight w:val="none"/>
          <w:lang w:eastAsia="zh-CN"/>
        </w:rPr>
        <w:t>比选</w:t>
      </w:r>
    </w:p>
    <w:p w14:paraId="6C539FDB">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rPr>
        <w:t>业主单位</w:t>
      </w:r>
      <w:r>
        <w:rPr>
          <w:rFonts w:hint="eastAsia"/>
          <w:color w:val="auto"/>
          <w:sz w:val="24"/>
          <w:highlight w:val="none"/>
        </w:rPr>
        <w:t>和代理机构有权宣布终止</w:t>
      </w:r>
      <w:r>
        <w:rPr>
          <w:rFonts w:hint="eastAsia"/>
          <w:color w:val="auto"/>
          <w:sz w:val="24"/>
          <w:highlight w:val="none"/>
          <w:lang w:eastAsia="zh-CN"/>
        </w:rPr>
        <w:t>比选</w:t>
      </w:r>
      <w:r>
        <w:rPr>
          <w:rFonts w:hint="eastAsia"/>
          <w:color w:val="auto"/>
          <w:sz w:val="24"/>
          <w:highlight w:val="none"/>
        </w:rPr>
        <w:t>，并将理由通知所有</w:t>
      </w:r>
      <w:r>
        <w:rPr>
          <w:rFonts w:hint="eastAsia"/>
          <w:color w:val="auto"/>
          <w:sz w:val="24"/>
          <w:szCs w:val="18"/>
          <w:highlight w:val="none"/>
          <w:lang w:eastAsia="zh-CN"/>
        </w:rPr>
        <w:t>供应商</w:t>
      </w:r>
      <w:r>
        <w:rPr>
          <w:rFonts w:hint="eastAsia"/>
          <w:color w:val="auto"/>
          <w:sz w:val="24"/>
          <w:highlight w:val="none"/>
        </w:rPr>
        <w:t>：</w:t>
      </w:r>
    </w:p>
    <w:p w14:paraId="247EABA8">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供应商</w:t>
      </w:r>
      <w:r>
        <w:rPr>
          <w:rFonts w:hint="eastAsia"/>
          <w:color w:val="auto"/>
          <w:sz w:val="24"/>
          <w:highlight w:val="none"/>
        </w:rPr>
        <w:t>数量不足，导致本次</w:t>
      </w:r>
      <w:r>
        <w:rPr>
          <w:rFonts w:hint="eastAsia"/>
          <w:color w:val="auto"/>
          <w:sz w:val="24"/>
          <w:highlight w:val="none"/>
          <w:lang w:eastAsia="zh-CN"/>
        </w:rPr>
        <w:t>比选</w:t>
      </w:r>
      <w:r>
        <w:rPr>
          <w:rFonts w:hint="eastAsia"/>
          <w:color w:val="auto"/>
          <w:sz w:val="24"/>
          <w:highlight w:val="none"/>
        </w:rPr>
        <w:t>缺乏竞争的；</w:t>
      </w:r>
    </w:p>
    <w:p w14:paraId="75F4D44C">
      <w:pPr>
        <w:spacing w:line="360" w:lineRule="auto"/>
        <w:ind w:firstLine="435"/>
        <w:rPr>
          <w:color w:val="auto"/>
          <w:sz w:val="24"/>
          <w:highlight w:val="none"/>
        </w:rPr>
      </w:pPr>
      <w:r>
        <w:rPr>
          <w:rFonts w:hint="eastAsia"/>
          <w:color w:val="auto"/>
          <w:sz w:val="24"/>
          <w:highlight w:val="none"/>
        </w:rPr>
        <w:t>（2）出现影响</w:t>
      </w:r>
      <w:r>
        <w:rPr>
          <w:rFonts w:hint="eastAsia"/>
          <w:color w:val="auto"/>
          <w:sz w:val="24"/>
          <w:highlight w:val="none"/>
          <w:lang w:eastAsia="zh-CN"/>
        </w:rPr>
        <w:t>比选</w:t>
      </w:r>
      <w:r>
        <w:rPr>
          <w:rFonts w:hint="eastAsia"/>
          <w:color w:val="auto"/>
          <w:sz w:val="24"/>
          <w:highlight w:val="none"/>
        </w:rPr>
        <w:t>公正的违法、违规行为的；</w:t>
      </w:r>
    </w:p>
    <w:p w14:paraId="1CBA7DB8">
      <w:pPr>
        <w:spacing w:line="360" w:lineRule="auto"/>
        <w:ind w:firstLine="435"/>
        <w:rPr>
          <w:color w:val="auto"/>
          <w:sz w:val="24"/>
          <w:highlight w:val="none"/>
        </w:rPr>
      </w:pPr>
      <w:r>
        <w:rPr>
          <w:rFonts w:hint="eastAsia"/>
          <w:color w:val="auto"/>
          <w:sz w:val="24"/>
          <w:highlight w:val="none"/>
        </w:rPr>
        <w:t>（3）因重大变故，</w:t>
      </w:r>
      <w:r>
        <w:rPr>
          <w:rFonts w:hint="eastAsia"/>
          <w:color w:val="auto"/>
          <w:sz w:val="24"/>
          <w:highlight w:val="none"/>
          <w:lang w:eastAsia="zh-CN"/>
        </w:rPr>
        <w:t>比选</w:t>
      </w:r>
      <w:r>
        <w:rPr>
          <w:rFonts w:hint="eastAsia"/>
          <w:color w:val="auto"/>
          <w:sz w:val="24"/>
          <w:highlight w:val="none"/>
        </w:rPr>
        <w:t>任务取消的；</w:t>
      </w:r>
    </w:p>
    <w:p w14:paraId="117A3962">
      <w:pPr>
        <w:spacing w:line="360" w:lineRule="auto"/>
        <w:ind w:firstLine="435"/>
        <w:rPr>
          <w:color w:val="auto"/>
          <w:sz w:val="24"/>
          <w:highlight w:val="none"/>
        </w:rPr>
      </w:pPr>
      <w:r>
        <w:rPr>
          <w:rFonts w:hint="eastAsia"/>
          <w:color w:val="auto"/>
          <w:sz w:val="24"/>
          <w:highlight w:val="none"/>
        </w:rPr>
        <w:t>（4）法律法规规定的其他情形。</w:t>
      </w:r>
    </w:p>
    <w:p w14:paraId="66777154">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.响应文件的澄清、说明或</w:t>
      </w:r>
      <w:r>
        <w:rPr>
          <w:rFonts w:hint="eastAsia"/>
          <w:b/>
          <w:color w:val="auto"/>
          <w:sz w:val="24"/>
          <w:highlight w:val="none"/>
        </w:rPr>
        <w:t>更正</w:t>
      </w:r>
    </w:p>
    <w:p w14:paraId="401E4662">
      <w:pPr>
        <w:spacing w:line="360" w:lineRule="auto"/>
        <w:ind w:firstLine="470" w:firstLineChars="196"/>
        <w:rPr>
          <w:rFonts w:cs="宋体"/>
          <w:color w:val="auto"/>
          <w:sz w:val="24"/>
          <w:highlight w:val="none"/>
        </w:rPr>
      </w:pPr>
      <w:r>
        <w:rPr>
          <w:rFonts w:hint="eastAsia" w:cs="宋体"/>
          <w:color w:val="auto"/>
          <w:sz w:val="24"/>
          <w:highlight w:val="none"/>
        </w:rPr>
        <w:t>21.1</w:t>
      </w:r>
      <w:r>
        <w:rPr>
          <w:rFonts w:hint="eastAsia" w:cs="宋体"/>
          <w:color w:val="auto"/>
          <w:sz w:val="24"/>
          <w:highlight w:val="none"/>
          <w:lang w:eastAsia="zh-CN"/>
        </w:rPr>
        <w:t>比选</w:t>
      </w:r>
      <w:r>
        <w:rPr>
          <w:rFonts w:hint="eastAsia" w:cs="宋体"/>
          <w:color w:val="auto"/>
          <w:sz w:val="24"/>
          <w:highlight w:val="none"/>
        </w:rPr>
        <w:t>小组将对响应文件的有效性、完整性和响应程度进行审查，审查时可以要求</w:t>
      </w:r>
      <w:r>
        <w:rPr>
          <w:rFonts w:hint="eastAsia"/>
          <w:color w:val="auto"/>
          <w:sz w:val="24"/>
          <w:szCs w:val="18"/>
          <w:highlight w:val="none"/>
          <w:lang w:eastAsia="zh-CN"/>
        </w:rPr>
        <w:t>供应商</w:t>
      </w:r>
      <w:r>
        <w:rPr>
          <w:rFonts w:hint="eastAsia" w:cs="宋体"/>
          <w:color w:val="auto"/>
          <w:sz w:val="24"/>
          <w:highlight w:val="none"/>
        </w:rPr>
        <w:t>对响应文件中含义不明确、同类问题表述不一致或者有明显文字和计算错误的内容等作出必要的澄清、说明或者更正。</w:t>
      </w:r>
      <w:r>
        <w:rPr>
          <w:rFonts w:hint="eastAsia"/>
          <w:color w:val="auto"/>
          <w:sz w:val="24"/>
          <w:szCs w:val="18"/>
          <w:highlight w:val="none"/>
          <w:lang w:eastAsia="zh-CN"/>
        </w:rPr>
        <w:t>供应商</w:t>
      </w:r>
      <w:r>
        <w:rPr>
          <w:rFonts w:hint="eastAsia" w:cs="宋体"/>
          <w:color w:val="auto"/>
          <w:sz w:val="24"/>
          <w:highlight w:val="none"/>
        </w:rPr>
        <w:t>的澄清、说明或者更正不得超出响应文件的范围或者改变响应文件的实质性内容。对不同文字文本响应文件的解释发生异议的，以中文文本为准。</w:t>
      </w:r>
    </w:p>
    <w:p w14:paraId="6AC57983">
      <w:pPr>
        <w:spacing w:line="360" w:lineRule="auto"/>
        <w:ind w:firstLine="435"/>
        <w:jc w:val="left"/>
        <w:rPr>
          <w:rFonts w:cs="宋体"/>
          <w:color w:val="auto"/>
          <w:sz w:val="24"/>
          <w:highlight w:val="none"/>
        </w:rPr>
      </w:pPr>
      <w:r>
        <w:rPr>
          <w:rFonts w:hint="eastAsia" w:cs="宋体"/>
          <w:color w:val="auto"/>
          <w:sz w:val="24"/>
          <w:highlight w:val="none"/>
        </w:rPr>
        <w:t>21.2</w:t>
      </w:r>
      <w:r>
        <w:rPr>
          <w:rFonts w:hint="eastAsia" w:cs="宋体"/>
          <w:color w:val="auto"/>
          <w:sz w:val="24"/>
          <w:highlight w:val="none"/>
          <w:lang w:eastAsia="zh-CN"/>
        </w:rPr>
        <w:t>比选</w:t>
      </w:r>
      <w:r>
        <w:rPr>
          <w:rFonts w:hint="eastAsia" w:cs="宋体"/>
          <w:color w:val="auto"/>
          <w:sz w:val="24"/>
          <w:highlight w:val="none"/>
        </w:rPr>
        <w:t>小组通过优质采电子工具将需要澄清、说明或补正的内容以询问函的形式发送给</w:t>
      </w:r>
      <w:r>
        <w:rPr>
          <w:rFonts w:hint="eastAsia"/>
          <w:color w:val="auto"/>
          <w:sz w:val="24"/>
          <w:szCs w:val="18"/>
          <w:highlight w:val="none"/>
          <w:lang w:eastAsia="zh-CN"/>
        </w:rPr>
        <w:t>供应商</w:t>
      </w:r>
      <w:r>
        <w:rPr>
          <w:rFonts w:hint="eastAsia" w:cs="宋体"/>
          <w:color w:val="auto"/>
          <w:sz w:val="24"/>
          <w:highlight w:val="none"/>
        </w:rPr>
        <w:t>，</w:t>
      </w:r>
      <w:r>
        <w:rPr>
          <w:rFonts w:hint="eastAsia"/>
          <w:color w:val="auto"/>
          <w:sz w:val="24"/>
          <w:szCs w:val="18"/>
          <w:highlight w:val="none"/>
          <w:lang w:eastAsia="zh-CN"/>
        </w:rPr>
        <w:t>供应商</w:t>
      </w:r>
      <w:r>
        <w:rPr>
          <w:rFonts w:hint="eastAsia" w:cs="宋体"/>
          <w:color w:val="auto"/>
          <w:sz w:val="24"/>
          <w:highlight w:val="none"/>
        </w:rPr>
        <w:t>应登录优质采客户端并保持在线状态，以便及时接收</w:t>
      </w:r>
      <w:r>
        <w:rPr>
          <w:rFonts w:hint="eastAsia" w:cs="宋体"/>
          <w:color w:val="auto"/>
          <w:sz w:val="24"/>
          <w:highlight w:val="none"/>
          <w:lang w:eastAsia="zh-CN"/>
        </w:rPr>
        <w:t>比选</w:t>
      </w:r>
      <w:r>
        <w:rPr>
          <w:rFonts w:hint="eastAsia" w:cs="宋体"/>
          <w:color w:val="auto"/>
          <w:sz w:val="24"/>
          <w:highlight w:val="none"/>
        </w:rPr>
        <w:t>小组可能发出的询问函，并在询问函载明的时间内回复，若</w:t>
      </w:r>
      <w:r>
        <w:rPr>
          <w:rFonts w:hint="eastAsia"/>
          <w:color w:val="auto"/>
          <w:sz w:val="24"/>
          <w:szCs w:val="18"/>
          <w:highlight w:val="none"/>
          <w:lang w:eastAsia="zh-CN"/>
        </w:rPr>
        <w:t>供应商</w:t>
      </w:r>
      <w:r>
        <w:rPr>
          <w:rFonts w:hint="eastAsia" w:cs="宋体"/>
          <w:color w:val="auto"/>
          <w:sz w:val="24"/>
          <w:highlight w:val="none"/>
        </w:rPr>
        <w:t>未及时回复，视为放弃澄清。</w:t>
      </w:r>
    </w:p>
    <w:p w14:paraId="2B9E9D1A">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w:t>
      </w:r>
      <w:r>
        <w:rPr>
          <w:rFonts w:hint="eastAsia" w:cs="宋体"/>
          <w:b/>
          <w:bCs/>
          <w:color w:val="auto"/>
          <w:sz w:val="24"/>
          <w:szCs w:val="24"/>
          <w:highlight w:val="none"/>
          <w:lang w:eastAsia="zh-CN" w:bidi="ar"/>
        </w:rPr>
        <w:t>比选</w:t>
      </w:r>
      <w:r>
        <w:rPr>
          <w:rFonts w:hint="eastAsia" w:cs="宋体"/>
          <w:b/>
          <w:bCs/>
          <w:color w:val="auto"/>
          <w:sz w:val="24"/>
          <w:szCs w:val="24"/>
          <w:highlight w:val="none"/>
          <w:lang w:bidi="ar"/>
        </w:rPr>
        <w:t>小组询问的，</w:t>
      </w:r>
      <w:r>
        <w:rPr>
          <w:rFonts w:hint="eastAsia"/>
          <w:b/>
          <w:color w:val="auto"/>
          <w:sz w:val="24"/>
          <w:szCs w:val="18"/>
          <w:highlight w:val="none"/>
          <w:lang w:eastAsia="zh-CN"/>
        </w:rPr>
        <w:t>供应商</w:t>
      </w:r>
      <w:r>
        <w:rPr>
          <w:rFonts w:hint="eastAsia" w:cs="宋体"/>
          <w:b/>
          <w:bCs/>
          <w:color w:val="auto"/>
          <w:sz w:val="24"/>
          <w:szCs w:val="24"/>
          <w:highlight w:val="none"/>
          <w:lang w:bidi="ar"/>
        </w:rPr>
        <w:t>自行承担相关风险。</w:t>
      </w:r>
    </w:p>
    <w:p w14:paraId="77D43E91">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.最后报价</w:t>
      </w:r>
    </w:p>
    <w:p w14:paraId="0844A7FC">
      <w:pPr>
        <w:spacing w:line="360" w:lineRule="auto"/>
        <w:ind w:firstLine="435"/>
        <w:rPr>
          <w:color w:val="auto"/>
          <w:sz w:val="24"/>
          <w:highlight w:val="none"/>
        </w:rPr>
      </w:pPr>
      <w:r>
        <w:rPr>
          <w:rFonts w:hint="eastAsia"/>
          <w:color w:val="auto"/>
          <w:sz w:val="24"/>
          <w:highlight w:val="none"/>
        </w:rPr>
        <w:t>22.1</w:t>
      </w:r>
      <w:r>
        <w:rPr>
          <w:rFonts w:hint="eastAsia"/>
          <w:color w:val="auto"/>
          <w:sz w:val="24"/>
          <w:highlight w:val="none"/>
          <w:lang w:val="en-US" w:eastAsia="zh-CN"/>
        </w:rPr>
        <w:t>本次比选一次性报价</w:t>
      </w:r>
      <w:r>
        <w:rPr>
          <w:color w:val="auto"/>
          <w:sz w:val="24"/>
          <w:highlight w:val="none"/>
        </w:rPr>
        <w:t>。</w:t>
      </w:r>
    </w:p>
    <w:p w14:paraId="6FE51FA0">
      <w:pPr>
        <w:spacing w:line="360" w:lineRule="auto"/>
        <w:ind w:firstLine="435"/>
        <w:rPr>
          <w:color w:val="auto"/>
          <w:sz w:val="24"/>
          <w:highlight w:val="none"/>
        </w:rPr>
      </w:pPr>
      <w:r>
        <w:rPr>
          <w:rFonts w:hint="eastAsia"/>
          <w:color w:val="auto"/>
          <w:sz w:val="24"/>
          <w:highlight w:val="none"/>
        </w:rPr>
        <w:t>22.2</w:t>
      </w:r>
      <w:r>
        <w:rPr>
          <w:color w:val="auto"/>
          <w:sz w:val="24"/>
          <w:highlight w:val="none"/>
        </w:rPr>
        <w:t>最后报价是</w:t>
      </w:r>
      <w:r>
        <w:rPr>
          <w:rFonts w:hint="eastAsia"/>
          <w:color w:val="auto"/>
          <w:sz w:val="24"/>
          <w:szCs w:val="18"/>
          <w:highlight w:val="none"/>
          <w:lang w:eastAsia="zh-CN"/>
        </w:rPr>
        <w:t>供应商</w:t>
      </w:r>
      <w:r>
        <w:rPr>
          <w:color w:val="auto"/>
          <w:sz w:val="24"/>
          <w:highlight w:val="none"/>
        </w:rPr>
        <w:t>响应文件的有效组成部分，也是签订合同的依据。</w:t>
      </w:r>
    </w:p>
    <w:p w14:paraId="2CF86980">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22.4除国家政策性文件规定以外，</w:t>
      </w:r>
      <w:r>
        <w:rPr>
          <w:rFonts w:hint="eastAsia"/>
          <w:color w:val="auto"/>
          <w:sz w:val="24"/>
          <w:szCs w:val="18"/>
          <w:highlight w:val="none"/>
          <w:lang w:eastAsia="zh-CN"/>
        </w:rPr>
        <w:t>供应商</w:t>
      </w:r>
      <w:r>
        <w:rPr>
          <w:rFonts w:hint="eastAsia" w:cs="宋体"/>
          <w:color w:val="auto"/>
          <w:sz w:val="24"/>
          <w:szCs w:val="24"/>
          <w:highlight w:val="none"/>
          <w:lang w:bidi="ar"/>
        </w:rPr>
        <w:t>所报价格在合同实施期间不因市场变化因素而变动。</w:t>
      </w:r>
    </w:p>
    <w:p w14:paraId="603FF4CA">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供应商</w:t>
      </w:r>
      <w:r>
        <w:rPr>
          <w:rFonts w:hint="eastAsia" w:cs="宋体"/>
          <w:color w:val="auto"/>
          <w:sz w:val="24"/>
          <w:szCs w:val="24"/>
          <w:highlight w:val="none"/>
          <w:lang w:bidi="ar"/>
        </w:rPr>
        <w:t>应当按照企业定额或 2018 版安徽省建设工程计价依据以及材料市场价格信息等，结合自身实力、施工经验、现场环境以及</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文件的要求自主报价。</w:t>
      </w:r>
    </w:p>
    <w:p w14:paraId="1EB96AD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供应商</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14:paraId="1DA05FD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14:paraId="768990D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不可竞争费按本</w:t>
      </w:r>
      <w:r>
        <w:rPr>
          <w:rFonts w:hint="eastAsia" w:cs="宋体"/>
          <w:color w:val="auto"/>
          <w:sz w:val="24"/>
          <w:szCs w:val="24"/>
          <w:highlight w:val="none"/>
          <w:lang w:eastAsia="zh-CN" w:bidi="ar"/>
        </w:rPr>
        <w:t>比选</w:t>
      </w:r>
      <w:r>
        <w:rPr>
          <w:rFonts w:hint="eastAsia" w:cs="宋体"/>
          <w:color w:val="auto"/>
          <w:sz w:val="24"/>
          <w:szCs w:val="24"/>
          <w:highlight w:val="none"/>
          <w:lang w:bidi="ar"/>
        </w:rPr>
        <w:t xml:space="preserve">文件中的不可竞争项目清单编制确定。建设工程不可竞争费构成及计费标准按 《关于调整合肥市建设工程不可竞争费构成及计费标准的通知》（合造价〔2021〕5号）执行。 </w:t>
      </w:r>
    </w:p>
    <w:p w14:paraId="610C30D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14:paraId="46F4828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14:paraId="029E06E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14:paraId="448DDD1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14:paraId="6DEAA37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22.6.4 </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文件中明确的由</w:t>
      </w:r>
      <w:r>
        <w:rPr>
          <w:rFonts w:hint="eastAsia"/>
          <w:color w:val="auto"/>
          <w:sz w:val="24"/>
          <w:szCs w:val="18"/>
          <w:highlight w:val="none"/>
        </w:rPr>
        <w:t>业主单位</w:t>
      </w:r>
      <w:r>
        <w:rPr>
          <w:rFonts w:hint="eastAsia" w:cs="宋体"/>
          <w:color w:val="auto"/>
          <w:sz w:val="24"/>
          <w:szCs w:val="24"/>
          <w:highlight w:val="none"/>
          <w:lang w:bidi="ar"/>
        </w:rPr>
        <w:t xml:space="preserve">自行采购的材料费。 </w:t>
      </w:r>
    </w:p>
    <w:p w14:paraId="1B25FF4B">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14:paraId="2EE914C7">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rPr>
        <w:t>业主单位</w:t>
      </w:r>
      <w:r>
        <w:rPr>
          <w:rFonts w:hint="eastAsia" w:cs="宋体"/>
          <w:color w:val="auto"/>
          <w:sz w:val="24"/>
          <w:szCs w:val="24"/>
          <w:highlight w:val="none"/>
          <w:lang w:bidi="ar"/>
        </w:rPr>
        <w:t>对</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文件予以澄清、修改，否则</w:t>
      </w:r>
      <w:r>
        <w:rPr>
          <w:rFonts w:hint="eastAsia"/>
          <w:color w:val="auto"/>
          <w:sz w:val="24"/>
          <w:szCs w:val="18"/>
          <w:highlight w:val="none"/>
          <w:lang w:eastAsia="zh-CN"/>
        </w:rPr>
        <w:t>供应商</w:t>
      </w:r>
      <w:r>
        <w:rPr>
          <w:rFonts w:hint="eastAsia" w:cs="宋体"/>
          <w:color w:val="auto"/>
          <w:sz w:val="24"/>
          <w:szCs w:val="24"/>
          <w:highlight w:val="none"/>
          <w:lang w:bidi="ar"/>
        </w:rPr>
        <w:t>应按</w:t>
      </w:r>
      <w:r>
        <w:rPr>
          <w:rFonts w:hint="eastAsia"/>
          <w:color w:val="auto"/>
          <w:sz w:val="24"/>
          <w:szCs w:val="18"/>
          <w:highlight w:val="none"/>
        </w:rPr>
        <w:t>业主单位</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供应商</w:t>
      </w:r>
      <w:r>
        <w:rPr>
          <w:rFonts w:hint="eastAsia" w:cs="宋体"/>
          <w:color w:val="auto"/>
          <w:sz w:val="24"/>
          <w:szCs w:val="24"/>
          <w:highlight w:val="none"/>
          <w:lang w:bidi="ar"/>
        </w:rPr>
        <w:t>不得在工程量清单中任意增删、修改清单项目与工程量及项目排列顺序。</w:t>
      </w:r>
    </w:p>
    <w:p w14:paraId="0BFBD19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供应商</w:t>
      </w:r>
      <w:r>
        <w:rPr>
          <w:rFonts w:hint="eastAsia" w:cs="宋体"/>
          <w:color w:val="auto"/>
          <w:sz w:val="24"/>
          <w:szCs w:val="24"/>
          <w:highlight w:val="none"/>
          <w:lang w:bidi="ar"/>
        </w:rPr>
        <w:t>在工程量清单报价书中所报的价格包括完成</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供应商</w:t>
      </w:r>
      <w:r>
        <w:rPr>
          <w:rFonts w:hint="eastAsia" w:cs="宋体"/>
          <w:color w:val="auto"/>
          <w:sz w:val="24"/>
          <w:szCs w:val="24"/>
          <w:highlight w:val="none"/>
          <w:lang w:bidi="ar"/>
        </w:rPr>
        <w:t>在响应文件中提出的各项支付金额的总和。每一清单项目只允许有一个报价，任何有选择的报价将不予接受。</w:t>
      </w:r>
      <w:r>
        <w:rPr>
          <w:rFonts w:hint="eastAsia"/>
          <w:color w:val="auto"/>
          <w:sz w:val="24"/>
          <w:szCs w:val="18"/>
          <w:highlight w:val="none"/>
          <w:lang w:eastAsia="zh-CN"/>
        </w:rPr>
        <w:t>供应商</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供应商</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rPr>
        <w:t>业主单位</w:t>
      </w:r>
      <w:r>
        <w:rPr>
          <w:rFonts w:hint="eastAsia" w:cs="宋体"/>
          <w:color w:val="auto"/>
          <w:sz w:val="24"/>
          <w:szCs w:val="24"/>
          <w:highlight w:val="none"/>
          <w:lang w:bidi="ar"/>
        </w:rPr>
        <w:t>将不再另行支付。</w:t>
      </w:r>
    </w:p>
    <w:p w14:paraId="1707EB6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14:paraId="7E73835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14:paraId="2303082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供应商</w:t>
      </w:r>
      <w:r>
        <w:rPr>
          <w:rFonts w:hint="eastAsia" w:cs="宋体"/>
          <w:color w:val="auto"/>
          <w:sz w:val="24"/>
          <w:szCs w:val="24"/>
          <w:highlight w:val="none"/>
          <w:lang w:bidi="ar"/>
        </w:rPr>
        <w:t>自行采购的材料确定</w:t>
      </w:r>
      <w:r>
        <w:rPr>
          <w:rFonts w:hint="eastAsia" w:cs="宋体"/>
          <w:color w:val="auto"/>
          <w:sz w:val="24"/>
          <w:szCs w:val="24"/>
          <w:highlight w:val="none"/>
          <w:lang w:eastAsia="zh-CN" w:bidi="ar"/>
        </w:rPr>
        <w:t>比选</w:t>
      </w:r>
      <w:r>
        <w:rPr>
          <w:rFonts w:hint="eastAsia" w:cs="宋体"/>
          <w:color w:val="auto"/>
          <w:sz w:val="24"/>
          <w:szCs w:val="24"/>
          <w:highlight w:val="none"/>
          <w:lang w:bidi="ar"/>
        </w:rPr>
        <w:t xml:space="preserve">最后报价时应充分考虑材料价格上涨等市场风险因素，成交后不作调整，综合单价中的材料费应包括材料运杂费、采保费及试验检验费。 </w:t>
      </w:r>
    </w:p>
    <w:p w14:paraId="4D4D175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rPr>
        <w:t>业主单位</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29396AF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rPr>
        <w:t>业主单位</w:t>
      </w:r>
      <w:r>
        <w:rPr>
          <w:rFonts w:hint="eastAsia" w:cs="宋体"/>
          <w:color w:val="auto"/>
          <w:sz w:val="24"/>
          <w:szCs w:val="24"/>
          <w:highlight w:val="none"/>
          <w:lang w:bidi="ar"/>
        </w:rPr>
        <w:t>在</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文件中暂时估定的工程、货物、服务的金额。</w:t>
      </w:r>
    </w:p>
    <w:p w14:paraId="342E0C5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供应商</w:t>
      </w:r>
      <w:r>
        <w:rPr>
          <w:rFonts w:hint="eastAsia" w:cs="宋体"/>
          <w:color w:val="auto"/>
          <w:sz w:val="24"/>
          <w:szCs w:val="24"/>
          <w:highlight w:val="none"/>
          <w:lang w:bidi="ar"/>
        </w:rPr>
        <w:t>可到施工现场踏勘以充分了解工地位置、情况、道路、储存空间、装卸限制及任何其它足以影响</w:t>
      </w:r>
      <w:r>
        <w:rPr>
          <w:rFonts w:hint="eastAsia" w:cs="宋体"/>
          <w:color w:val="auto"/>
          <w:sz w:val="24"/>
          <w:szCs w:val="24"/>
          <w:highlight w:val="none"/>
          <w:lang w:eastAsia="zh-CN" w:bidi="ar"/>
        </w:rPr>
        <w:t>比选</w:t>
      </w:r>
      <w:r>
        <w:rPr>
          <w:rFonts w:hint="eastAsia" w:cs="宋体"/>
          <w:color w:val="auto"/>
          <w:sz w:val="24"/>
          <w:szCs w:val="24"/>
          <w:highlight w:val="none"/>
          <w:lang w:bidi="ar"/>
        </w:rPr>
        <w:t>报价的情况，任何因忽视或误解施工场地情况而导致的索赔或工期延长申请将不被批准。对于受施工现场场地限制，如需要另外寻找场地解决临时住宿、材料及设备堆放，由此所产生的费用应包含在</w:t>
      </w:r>
      <w:r>
        <w:rPr>
          <w:rFonts w:hint="eastAsia" w:cs="宋体"/>
          <w:color w:val="auto"/>
          <w:sz w:val="24"/>
          <w:szCs w:val="24"/>
          <w:highlight w:val="none"/>
          <w:lang w:eastAsia="zh-CN" w:bidi="ar"/>
        </w:rPr>
        <w:t>比选</w:t>
      </w:r>
      <w:r>
        <w:rPr>
          <w:rFonts w:hint="eastAsia" w:cs="宋体"/>
          <w:color w:val="auto"/>
          <w:sz w:val="24"/>
          <w:szCs w:val="24"/>
          <w:highlight w:val="none"/>
          <w:lang w:bidi="ar"/>
        </w:rPr>
        <w:t>报价范围内，</w:t>
      </w:r>
      <w:r>
        <w:rPr>
          <w:rFonts w:hint="eastAsia"/>
          <w:color w:val="auto"/>
          <w:sz w:val="24"/>
          <w:szCs w:val="18"/>
          <w:highlight w:val="none"/>
        </w:rPr>
        <w:t>业主单位</w:t>
      </w:r>
      <w:r>
        <w:rPr>
          <w:rFonts w:hint="eastAsia" w:cs="宋体"/>
          <w:color w:val="auto"/>
          <w:sz w:val="24"/>
          <w:szCs w:val="24"/>
          <w:highlight w:val="none"/>
          <w:lang w:bidi="ar"/>
        </w:rPr>
        <w:t>不再承担该费用。</w:t>
      </w:r>
    </w:p>
    <w:p w14:paraId="3477B65A">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14:paraId="193CC41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22.11.1本工程经成交后，工程总造价在</w:t>
      </w:r>
      <w:r>
        <w:rPr>
          <w:rFonts w:hint="eastAsia" w:cs="宋体"/>
          <w:color w:val="auto"/>
          <w:sz w:val="24"/>
          <w:szCs w:val="24"/>
          <w:highlight w:val="none"/>
          <w:lang w:eastAsia="zh-CN" w:bidi="ar"/>
        </w:rPr>
        <w:t>比选</w:t>
      </w:r>
      <w:r>
        <w:rPr>
          <w:rFonts w:hint="eastAsia" w:cs="宋体"/>
          <w:color w:val="auto"/>
          <w:sz w:val="24"/>
          <w:szCs w:val="24"/>
          <w:highlight w:val="none"/>
          <w:lang w:bidi="ar"/>
        </w:rPr>
        <w:t>范围内包定，除经批准的设计变更、经济签证外，其它工程造价增减均不予签证计价。</w:t>
      </w:r>
    </w:p>
    <w:p w14:paraId="3A06EF9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w:t>
      </w:r>
      <w:r>
        <w:rPr>
          <w:rFonts w:hint="eastAsia" w:cs="宋体"/>
          <w:color w:val="auto"/>
          <w:sz w:val="24"/>
          <w:szCs w:val="24"/>
          <w:highlight w:val="none"/>
          <w:lang w:eastAsia="zh-CN" w:bidi="ar"/>
        </w:rPr>
        <w:t>比选</w:t>
      </w:r>
      <w:r>
        <w:rPr>
          <w:rFonts w:hint="eastAsia" w:cs="宋体"/>
          <w:color w:val="auto"/>
          <w:sz w:val="24"/>
          <w:szCs w:val="24"/>
          <w:highlight w:val="none"/>
          <w:lang w:bidi="ar"/>
        </w:rPr>
        <w:t>前，</w:t>
      </w:r>
      <w:r>
        <w:rPr>
          <w:rFonts w:hint="eastAsia"/>
          <w:color w:val="auto"/>
          <w:sz w:val="24"/>
          <w:szCs w:val="18"/>
          <w:highlight w:val="none"/>
          <w:lang w:eastAsia="zh-CN"/>
        </w:rPr>
        <w:t>供应商</w:t>
      </w:r>
      <w:r>
        <w:rPr>
          <w:rFonts w:hint="eastAsia" w:cs="宋体"/>
          <w:color w:val="auto"/>
          <w:sz w:val="24"/>
          <w:szCs w:val="24"/>
          <w:highlight w:val="none"/>
          <w:lang w:bidi="ar"/>
        </w:rPr>
        <w:t>应认真对照施工设计图纸等文件核对</w:t>
      </w:r>
      <w:r>
        <w:rPr>
          <w:rFonts w:hint="eastAsia"/>
          <w:color w:val="auto"/>
          <w:sz w:val="24"/>
          <w:szCs w:val="18"/>
          <w:highlight w:val="none"/>
        </w:rPr>
        <w:t>业主单位</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rPr>
        <w:t>业主单位</w:t>
      </w:r>
      <w:r>
        <w:rPr>
          <w:rFonts w:hint="eastAsia" w:cs="宋体"/>
          <w:color w:val="auto"/>
          <w:sz w:val="24"/>
          <w:szCs w:val="24"/>
          <w:highlight w:val="none"/>
          <w:lang w:bidi="ar"/>
        </w:rPr>
        <w:t>提出疑问，否则</w:t>
      </w:r>
      <w:r>
        <w:rPr>
          <w:rFonts w:hint="eastAsia"/>
          <w:color w:val="auto"/>
          <w:sz w:val="24"/>
          <w:szCs w:val="18"/>
          <w:highlight w:val="none"/>
        </w:rPr>
        <w:t>业主单位</w:t>
      </w:r>
      <w:r>
        <w:rPr>
          <w:rFonts w:hint="eastAsia" w:cs="宋体"/>
          <w:color w:val="auto"/>
          <w:sz w:val="24"/>
          <w:szCs w:val="24"/>
          <w:highlight w:val="none"/>
          <w:lang w:bidi="ar"/>
        </w:rPr>
        <w:t>可不予答复。</w:t>
      </w:r>
    </w:p>
    <w:p w14:paraId="4D3863D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rPr>
        <w:t>业主单位</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rPr>
        <w:t>业主单位</w:t>
      </w:r>
      <w:r>
        <w:rPr>
          <w:rFonts w:hint="eastAsia" w:cs="宋体"/>
          <w:color w:val="auto"/>
          <w:sz w:val="24"/>
          <w:szCs w:val="24"/>
          <w:highlight w:val="none"/>
          <w:lang w:bidi="ar"/>
        </w:rPr>
        <w:t>可不予调整工程量，</w:t>
      </w:r>
      <w:r>
        <w:rPr>
          <w:rFonts w:hint="eastAsia"/>
          <w:color w:val="auto"/>
          <w:sz w:val="24"/>
          <w:szCs w:val="18"/>
          <w:highlight w:val="none"/>
          <w:lang w:eastAsia="zh-CN"/>
        </w:rPr>
        <w:t>供应商</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rPr>
        <w:t>业主单位</w:t>
      </w:r>
      <w:r>
        <w:rPr>
          <w:rFonts w:hint="eastAsia" w:cs="宋体"/>
          <w:color w:val="auto"/>
          <w:sz w:val="24"/>
          <w:szCs w:val="24"/>
          <w:highlight w:val="none"/>
          <w:lang w:bidi="ar"/>
        </w:rPr>
        <w:t>应进行修正并重新公布准确的工程量清单。</w:t>
      </w:r>
    </w:p>
    <w:p w14:paraId="570C809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供应商</w:t>
      </w:r>
      <w:r>
        <w:rPr>
          <w:rFonts w:hint="eastAsia" w:cs="宋体"/>
          <w:color w:val="auto"/>
          <w:sz w:val="24"/>
          <w:szCs w:val="24"/>
          <w:highlight w:val="none"/>
          <w:lang w:bidi="ar"/>
        </w:rPr>
        <w:t>在规定时间内未对工程量清单提出疑问的，成交后，</w:t>
      </w:r>
      <w:r>
        <w:rPr>
          <w:rFonts w:hint="eastAsia"/>
          <w:color w:val="auto"/>
          <w:sz w:val="24"/>
          <w:szCs w:val="18"/>
          <w:highlight w:val="none"/>
        </w:rPr>
        <w:t>业主单位</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供应商</w:t>
      </w:r>
      <w:r>
        <w:rPr>
          <w:rFonts w:hint="eastAsia" w:cs="宋体"/>
          <w:color w:val="auto"/>
          <w:sz w:val="24"/>
          <w:szCs w:val="24"/>
          <w:highlight w:val="none"/>
          <w:lang w:bidi="ar"/>
        </w:rPr>
        <w:t>必须按其报价完成</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文件规定范围内的设计图纸规定的所有工程项目。</w:t>
      </w:r>
    </w:p>
    <w:p w14:paraId="2AF8F139">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22.12成交人在工程量清单报价书中所报的综合单价一律不予调整。 </w:t>
      </w:r>
    </w:p>
    <w:p w14:paraId="5C74C472">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22.13本工程不接受恶意不平衡报价，不保证最低价成交。</w:t>
      </w:r>
    </w:p>
    <w:p w14:paraId="1D14A621">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bidi="ar"/>
        </w:rPr>
        <w:t>成交候选人的推荐原则及标准</w:t>
      </w:r>
    </w:p>
    <w:p w14:paraId="3C75A091">
      <w:pPr>
        <w:spacing w:line="360" w:lineRule="auto"/>
        <w:ind w:firstLine="435"/>
        <w:rPr>
          <w:color w:val="auto"/>
          <w:sz w:val="24"/>
          <w:highlight w:val="none"/>
        </w:rPr>
      </w:pPr>
      <w:r>
        <w:rPr>
          <w:color w:val="auto"/>
          <w:sz w:val="24"/>
          <w:highlight w:val="none"/>
        </w:rPr>
        <w:t>23.1</w:t>
      </w:r>
      <w:r>
        <w:rPr>
          <w:rFonts w:hint="eastAsia"/>
          <w:color w:val="auto"/>
          <w:sz w:val="24"/>
          <w:highlight w:val="none"/>
          <w:lang w:eastAsia="zh-CN"/>
        </w:rPr>
        <w:t>比选</w:t>
      </w:r>
      <w:r>
        <w:rPr>
          <w:rFonts w:hint="eastAsia"/>
          <w:color w:val="auto"/>
          <w:sz w:val="24"/>
          <w:highlight w:val="none"/>
        </w:rPr>
        <w:t>小组</w:t>
      </w:r>
      <w:r>
        <w:rPr>
          <w:color w:val="auto"/>
          <w:sz w:val="24"/>
          <w:highlight w:val="none"/>
        </w:rPr>
        <w:t>依据本项目</w:t>
      </w:r>
      <w:r>
        <w:rPr>
          <w:rFonts w:hint="eastAsia"/>
          <w:color w:val="auto"/>
          <w:sz w:val="24"/>
          <w:highlight w:val="none"/>
          <w:lang w:eastAsia="zh-CN"/>
        </w:rPr>
        <w:t>比选</w:t>
      </w:r>
      <w:r>
        <w:rPr>
          <w:color w:val="auto"/>
          <w:sz w:val="24"/>
          <w:highlight w:val="none"/>
        </w:rPr>
        <w:t>文件所约定的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供应商</w:t>
      </w:r>
      <w:r>
        <w:rPr>
          <w:rFonts w:hint="eastAsia"/>
          <w:color w:val="auto"/>
          <w:sz w:val="24"/>
          <w:highlight w:val="none"/>
        </w:rPr>
        <w:t>综合总得分由高到低依次推荐成交候选</w:t>
      </w:r>
      <w:r>
        <w:rPr>
          <w:rFonts w:hint="eastAsia"/>
          <w:color w:val="auto"/>
          <w:sz w:val="24"/>
          <w:szCs w:val="18"/>
          <w:highlight w:val="none"/>
        </w:rPr>
        <w:t>人</w:t>
      </w:r>
      <w:r>
        <w:rPr>
          <w:rFonts w:hint="eastAsia"/>
          <w:color w:val="auto"/>
          <w:sz w:val="24"/>
          <w:highlight w:val="none"/>
        </w:rPr>
        <w:t>。综合总得分出现两家或两家以上相同者，按最后报价由低到高排序推荐成交候选</w:t>
      </w:r>
      <w:r>
        <w:rPr>
          <w:rFonts w:hint="eastAsia"/>
          <w:color w:val="auto"/>
          <w:sz w:val="24"/>
          <w:szCs w:val="18"/>
          <w:highlight w:val="none"/>
        </w:rPr>
        <w:t>人</w:t>
      </w:r>
      <w:r>
        <w:rPr>
          <w:rFonts w:hint="eastAsia"/>
          <w:color w:val="auto"/>
          <w:sz w:val="24"/>
          <w:highlight w:val="none"/>
        </w:rPr>
        <w:t>；综合总得分且最后报价均相同的，由</w:t>
      </w:r>
      <w:r>
        <w:rPr>
          <w:rFonts w:hint="eastAsia"/>
          <w:color w:val="auto"/>
          <w:sz w:val="24"/>
          <w:highlight w:val="none"/>
          <w:lang w:eastAsia="zh-CN"/>
        </w:rPr>
        <w:t>比选</w:t>
      </w:r>
      <w:r>
        <w:rPr>
          <w:rFonts w:hint="eastAsia"/>
          <w:color w:val="auto"/>
          <w:sz w:val="24"/>
          <w:highlight w:val="none"/>
        </w:rPr>
        <w:t>小组按照技术指标优劣顺序推荐成交候选</w:t>
      </w:r>
      <w:r>
        <w:rPr>
          <w:rFonts w:hint="eastAsia"/>
          <w:color w:val="auto"/>
          <w:sz w:val="24"/>
          <w:szCs w:val="18"/>
          <w:highlight w:val="none"/>
        </w:rPr>
        <w:t>人</w:t>
      </w:r>
      <w:r>
        <w:rPr>
          <w:rFonts w:hint="eastAsia"/>
          <w:color w:val="auto"/>
          <w:sz w:val="24"/>
          <w:highlight w:val="none"/>
        </w:rPr>
        <w:t>。</w:t>
      </w:r>
    </w:p>
    <w:p w14:paraId="4589764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23.2凡发现成交候选人有下列行为之一的，成交无效，并移交监管部门依法处理：</w:t>
      </w:r>
    </w:p>
    <w:p w14:paraId="016DC8E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4D6BE81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供应商</w:t>
      </w:r>
      <w:r>
        <w:rPr>
          <w:rFonts w:hint="eastAsia" w:cs="宋体"/>
          <w:color w:val="auto"/>
          <w:sz w:val="24"/>
          <w:szCs w:val="24"/>
          <w:highlight w:val="none"/>
          <w:lang w:bidi="ar"/>
        </w:rPr>
        <w:t>之间协商报价等响应文件的实质性内容；</w:t>
      </w:r>
    </w:p>
    <w:p w14:paraId="26F84CF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供应商</w:t>
      </w:r>
      <w:r>
        <w:rPr>
          <w:rFonts w:hint="eastAsia" w:cs="宋体"/>
          <w:color w:val="auto"/>
          <w:sz w:val="24"/>
          <w:szCs w:val="24"/>
          <w:highlight w:val="none"/>
          <w:lang w:bidi="ar"/>
        </w:rPr>
        <w:t>之间约定成交人；</w:t>
      </w:r>
    </w:p>
    <w:p w14:paraId="6A74CE1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供应商</w:t>
      </w:r>
      <w:r>
        <w:rPr>
          <w:rFonts w:hint="eastAsia" w:cs="宋体"/>
          <w:color w:val="auto"/>
          <w:sz w:val="24"/>
          <w:szCs w:val="24"/>
          <w:highlight w:val="none"/>
          <w:lang w:bidi="ar"/>
        </w:rPr>
        <w:t>之间约定部分</w:t>
      </w:r>
      <w:r>
        <w:rPr>
          <w:rFonts w:hint="eastAsia"/>
          <w:color w:val="auto"/>
          <w:sz w:val="24"/>
          <w:szCs w:val="18"/>
          <w:highlight w:val="none"/>
          <w:lang w:eastAsia="zh-CN"/>
        </w:rPr>
        <w:t>供应商</w:t>
      </w:r>
      <w:r>
        <w:rPr>
          <w:rFonts w:hint="eastAsia" w:cs="宋体"/>
          <w:color w:val="auto"/>
          <w:sz w:val="24"/>
          <w:szCs w:val="24"/>
          <w:highlight w:val="none"/>
          <w:lang w:bidi="ar"/>
        </w:rPr>
        <w:t>放弃</w:t>
      </w:r>
      <w:r>
        <w:rPr>
          <w:rFonts w:hint="eastAsia" w:cs="宋体"/>
          <w:color w:val="auto"/>
          <w:sz w:val="24"/>
          <w:szCs w:val="24"/>
          <w:highlight w:val="none"/>
          <w:lang w:eastAsia="zh-CN" w:bidi="ar"/>
        </w:rPr>
        <w:t>比选</w:t>
      </w:r>
      <w:r>
        <w:rPr>
          <w:rFonts w:hint="eastAsia" w:cs="宋体"/>
          <w:color w:val="auto"/>
          <w:sz w:val="24"/>
          <w:szCs w:val="24"/>
          <w:highlight w:val="none"/>
          <w:lang w:bidi="ar"/>
        </w:rPr>
        <w:t>或者成交；</w:t>
      </w:r>
    </w:p>
    <w:p w14:paraId="352A649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供应商</w:t>
      </w:r>
      <w:r>
        <w:rPr>
          <w:rFonts w:hint="eastAsia" w:cs="宋体"/>
          <w:color w:val="auto"/>
          <w:sz w:val="24"/>
          <w:szCs w:val="24"/>
          <w:highlight w:val="none"/>
          <w:lang w:bidi="ar"/>
        </w:rPr>
        <w:t>按照该组织要求协同</w:t>
      </w:r>
      <w:r>
        <w:rPr>
          <w:rFonts w:hint="eastAsia" w:cs="宋体"/>
          <w:color w:val="auto"/>
          <w:sz w:val="24"/>
          <w:szCs w:val="24"/>
          <w:highlight w:val="none"/>
          <w:lang w:eastAsia="zh-CN" w:bidi="ar"/>
        </w:rPr>
        <w:t>比选</w:t>
      </w:r>
      <w:r>
        <w:rPr>
          <w:rFonts w:hint="eastAsia" w:cs="宋体"/>
          <w:color w:val="auto"/>
          <w:sz w:val="24"/>
          <w:szCs w:val="24"/>
          <w:highlight w:val="none"/>
          <w:lang w:bidi="ar"/>
        </w:rPr>
        <w:t>；</w:t>
      </w:r>
    </w:p>
    <w:p w14:paraId="06E5420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供应商</w:t>
      </w:r>
      <w:r>
        <w:rPr>
          <w:rFonts w:hint="eastAsia" w:cs="宋体"/>
          <w:color w:val="auto"/>
          <w:sz w:val="24"/>
          <w:szCs w:val="24"/>
          <w:highlight w:val="none"/>
          <w:lang w:bidi="ar"/>
        </w:rPr>
        <w:t>之间为谋取成交或者排斥特定</w:t>
      </w:r>
      <w:r>
        <w:rPr>
          <w:rFonts w:hint="eastAsia"/>
          <w:color w:val="auto"/>
          <w:sz w:val="24"/>
          <w:szCs w:val="18"/>
          <w:highlight w:val="none"/>
          <w:lang w:eastAsia="zh-CN"/>
        </w:rPr>
        <w:t>供应商</w:t>
      </w:r>
      <w:r>
        <w:rPr>
          <w:rFonts w:hint="eastAsia" w:cs="宋体"/>
          <w:color w:val="auto"/>
          <w:sz w:val="24"/>
          <w:szCs w:val="24"/>
          <w:highlight w:val="none"/>
          <w:lang w:bidi="ar"/>
        </w:rPr>
        <w:t>而采取的其他联合行动。</w:t>
      </w:r>
    </w:p>
    <w:p w14:paraId="6F0BAE7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28C9E42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的响应文件由同一单位或者个人编制；</w:t>
      </w:r>
    </w:p>
    <w:p w14:paraId="3A3F7E5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供应商</w:t>
      </w:r>
      <w:r>
        <w:rPr>
          <w:rFonts w:hint="eastAsia" w:cs="宋体"/>
          <w:color w:val="auto"/>
          <w:sz w:val="24"/>
          <w:szCs w:val="24"/>
          <w:highlight w:val="none"/>
          <w:lang w:bidi="ar"/>
        </w:rPr>
        <w:t>委托同一单位或者个人办理</w:t>
      </w:r>
      <w:r>
        <w:rPr>
          <w:rFonts w:hint="eastAsia" w:cs="宋体"/>
          <w:color w:val="auto"/>
          <w:sz w:val="24"/>
          <w:szCs w:val="24"/>
          <w:highlight w:val="none"/>
          <w:lang w:eastAsia="zh-CN" w:bidi="ar"/>
        </w:rPr>
        <w:t>比选</w:t>
      </w:r>
      <w:r>
        <w:rPr>
          <w:rFonts w:hint="eastAsia" w:cs="宋体"/>
          <w:color w:val="auto"/>
          <w:sz w:val="24"/>
          <w:szCs w:val="24"/>
          <w:highlight w:val="none"/>
          <w:lang w:bidi="ar"/>
        </w:rPr>
        <w:t>事宜；</w:t>
      </w:r>
    </w:p>
    <w:p w14:paraId="76A1ACD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的响应文件载明的项目管理成员为同一人；</w:t>
      </w:r>
    </w:p>
    <w:p w14:paraId="30A6F6C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的响应文件异常一致或者报价呈规律性差异；</w:t>
      </w:r>
    </w:p>
    <w:p w14:paraId="345AFBF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的响应文件相互混装；</w:t>
      </w:r>
    </w:p>
    <w:p w14:paraId="3D332920">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供应商</w:t>
      </w:r>
      <w:r>
        <w:rPr>
          <w:rFonts w:hint="eastAsia" w:cs="宋体"/>
          <w:color w:val="auto"/>
          <w:sz w:val="24"/>
          <w:szCs w:val="24"/>
          <w:highlight w:val="none"/>
          <w:lang w:bidi="ar"/>
        </w:rPr>
        <w:t>的</w:t>
      </w:r>
      <w:r>
        <w:rPr>
          <w:rFonts w:hint="eastAsia" w:cs="宋体"/>
          <w:color w:val="auto"/>
          <w:sz w:val="24"/>
          <w:szCs w:val="24"/>
          <w:highlight w:val="none"/>
          <w:lang w:eastAsia="zh-CN" w:bidi="ar"/>
        </w:rPr>
        <w:t>比选</w:t>
      </w:r>
      <w:r>
        <w:rPr>
          <w:rFonts w:hint="eastAsia" w:cs="宋体"/>
          <w:color w:val="auto"/>
          <w:sz w:val="24"/>
          <w:szCs w:val="24"/>
          <w:highlight w:val="none"/>
          <w:lang w:bidi="ar"/>
        </w:rPr>
        <w:t>保证金从同一单位或者个人的账户转出。</w:t>
      </w:r>
    </w:p>
    <w:p w14:paraId="19E1051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串通：</w:t>
      </w:r>
    </w:p>
    <w:p w14:paraId="1597DA8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rPr>
        <w:t>业主单位</w:t>
      </w:r>
      <w:r>
        <w:rPr>
          <w:rFonts w:hint="eastAsia" w:cs="宋体"/>
          <w:color w:val="auto"/>
          <w:sz w:val="24"/>
          <w:szCs w:val="24"/>
          <w:highlight w:val="none"/>
          <w:lang w:bidi="ar"/>
        </w:rPr>
        <w:t>在</w:t>
      </w:r>
      <w:r>
        <w:rPr>
          <w:rFonts w:hint="eastAsia" w:cs="宋体"/>
          <w:color w:val="auto"/>
          <w:sz w:val="24"/>
          <w:szCs w:val="24"/>
          <w:highlight w:val="none"/>
          <w:lang w:eastAsia="zh-CN" w:bidi="ar"/>
        </w:rPr>
        <w:t>比选</w:t>
      </w:r>
      <w:r>
        <w:rPr>
          <w:rFonts w:hint="eastAsia" w:cs="宋体"/>
          <w:color w:val="auto"/>
          <w:sz w:val="24"/>
          <w:szCs w:val="24"/>
          <w:highlight w:val="none"/>
          <w:lang w:bidi="ar"/>
        </w:rPr>
        <w:t>前开启响应文件并将有关信息泄露给其他</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7B81005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rPr>
        <w:t>业主单位</w:t>
      </w:r>
      <w:r>
        <w:rPr>
          <w:rFonts w:hint="eastAsia" w:cs="宋体"/>
          <w:color w:val="auto"/>
          <w:sz w:val="24"/>
          <w:szCs w:val="24"/>
          <w:highlight w:val="none"/>
          <w:lang w:bidi="ar"/>
        </w:rPr>
        <w:t>直接或者间接向</w:t>
      </w:r>
      <w:r>
        <w:rPr>
          <w:rFonts w:hint="eastAsia"/>
          <w:color w:val="auto"/>
          <w:sz w:val="24"/>
          <w:szCs w:val="18"/>
          <w:highlight w:val="none"/>
          <w:lang w:eastAsia="zh-CN"/>
        </w:rPr>
        <w:t>供应商</w:t>
      </w:r>
      <w:r>
        <w:rPr>
          <w:rFonts w:hint="eastAsia" w:cs="宋体"/>
          <w:color w:val="auto"/>
          <w:sz w:val="24"/>
          <w:szCs w:val="24"/>
          <w:highlight w:val="none"/>
          <w:lang w:bidi="ar"/>
        </w:rPr>
        <w:t>泄露标底、</w:t>
      </w:r>
      <w:r>
        <w:rPr>
          <w:rFonts w:hint="eastAsia" w:cs="宋体"/>
          <w:color w:val="auto"/>
          <w:sz w:val="24"/>
          <w:szCs w:val="24"/>
          <w:highlight w:val="none"/>
          <w:lang w:eastAsia="zh-CN" w:bidi="ar"/>
        </w:rPr>
        <w:t>比选</w:t>
      </w:r>
      <w:r>
        <w:rPr>
          <w:rFonts w:hint="eastAsia" w:cs="宋体"/>
          <w:color w:val="auto"/>
          <w:sz w:val="24"/>
          <w:szCs w:val="24"/>
          <w:highlight w:val="none"/>
          <w:lang w:bidi="ar"/>
        </w:rPr>
        <w:t>小组成员等信息；</w:t>
      </w:r>
    </w:p>
    <w:p w14:paraId="6322F88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压低或者抬高报价；</w:t>
      </w:r>
    </w:p>
    <w:p w14:paraId="16A147E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rPr>
        <w:t>业主单位</w:t>
      </w:r>
      <w:r>
        <w:rPr>
          <w:rFonts w:hint="eastAsia" w:cs="宋体"/>
          <w:color w:val="auto"/>
          <w:sz w:val="24"/>
          <w:szCs w:val="24"/>
          <w:highlight w:val="none"/>
          <w:lang w:bidi="ar"/>
        </w:rPr>
        <w:t>授意</w:t>
      </w:r>
      <w:r>
        <w:rPr>
          <w:rFonts w:hint="eastAsia"/>
          <w:color w:val="auto"/>
          <w:sz w:val="24"/>
          <w:szCs w:val="18"/>
          <w:highlight w:val="none"/>
          <w:lang w:eastAsia="zh-CN"/>
        </w:rPr>
        <w:t>供应商</w:t>
      </w:r>
      <w:r>
        <w:rPr>
          <w:rFonts w:hint="eastAsia" w:cs="宋体"/>
          <w:color w:val="auto"/>
          <w:sz w:val="24"/>
          <w:szCs w:val="24"/>
          <w:highlight w:val="none"/>
          <w:lang w:bidi="ar"/>
        </w:rPr>
        <w:t>撤换、修改响应文件；</w:t>
      </w:r>
    </w:p>
    <w:p w14:paraId="5BE545E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为特定</w:t>
      </w:r>
      <w:r>
        <w:rPr>
          <w:rFonts w:hint="eastAsia"/>
          <w:color w:val="auto"/>
          <w:sz w:val="24"/>
          <w:szCs w:val="18"/>
          <w:highlight w:val="none"/>
          <w:lang w:eastAsia="zh-CN"/>
        </w:rPr>
        <w:t>供应商</w:t>
      </w:r>
      <w:r>
        <w:rPr>
          <w:rFonts w:hint="eastAsia" w:cs="宋体"/>
          <w:color w:val="auto"/>
          <w:sz w:val="24"/>
          <w:szCs w:val="24"/>
          <w:highlight w:val="none"/>
          <w:lang w:bidi="ar"/>
        </w:rPr>
        <w:t>成交提供方便；</w:t>
      </w:r>
    </w:p>
    <w:p w14:paraId="221F94D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为谋求特定</w:t>
      </w:r>
      <w:r>
        <w:rPr>
          <w:rFonts w:hint="eastAsia"/>
          <w:color w:val="auto"/>
          <w:sz w:val="24"/>
          <w:szCs w:val="18"/>
          <w:highlight w:val="none"/>
          <w:lang w:eastAsia="zh-CN"/>
        </w:rPr>
        <w:t>供应商</w:t>
      </w:r>
      <w:r>
        <w:rPr>
          <w:rFonts w:hint="eastAsia" w:cs="宋体"/>
          <w:color w:val="auto"/>
          <w:sz w:val="24"/>
          <w:szCs w:val="24"/>
          <w:highlight w:val="none"/>
          <w:lang w:bidi="ar"/>
        </w:rPr>
        <w:t>成交而采取的其他串通行为。</w:t>
      </w:r>
    </w:p>
    <w:p w14:paraId="65BA7CE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w:t>
      </w:r>
      <w:r>
        <w:rPr>
          <w:rFonts w:hint="eastAsia" w:cs="宋体"/>
          <w:color w:val="auto"/>
          <w:sz w:val="24"/>
          <w:szCs w:val="24"/>
          <w:highlight w:val="none"/>
          <w:lang w:eastAsia="zh-CN" w:bidi="ar"/>
        </w:rPr>
        <w:t>比选</w:t>
      </w:r>
      <w:r>
        <w:rPr>
          <w:rFonts w:hint="eastAsia" w:cs="宋体"/>
          <w:color w:val="auto"/>
          <w:sz w:val="24"/>
          <w:szCs w:val="24"/>
          <w:highlight w:val="none"/>
          <w:lang w:bidi="ar"/>
        </w:rPr>
        <w:t>的，</w:t>
      </w:r>
    </w:p>
    <w:p w14:paraId="2C2A198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供应商</w:t>
      </w:r>
      <w:r>
        <w:rPr>
          <w:rFonts w:hint="eastAsia" w:cs="宋体"/>
          <w:color w:val="auto"/>
          <w:sz w:val="24"/>
          <w:szCs w:val="24"/>
          <w:highlight w:val="none"/>
          <w:lang w:bidi="ar"/>
        </w:rPr>
        <w:t>有下列情形之一的，属于以其他方式弄虚作假的行为：</w:t>
      </w:r>
    </w:p>
    <w:p w14:paraId="526B258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14:paraId="1293F8A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14:paraId="6087AD4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w:t>
      </w:r>
      <w:r>
        <w:rPr>
          <w:rFonts w:hint="eastAsia" w:cs="宋体"/>
          <w:color w:val="auto"/>
          <w:sz w:val="24"/>
          <w:szCs w:val="24"/>
          <w:highlight w:val="none"/>
          <w:lang w:eastAsia="zh-CN" w:bidi="ar"/>
        </w:rPr>
        <w:t>项目经理</w:t>
      </w:r>
      <w:r>
        <w:rPr>
          <w:rFonts w:hint="eastAsia" w:cs="宋体"/>
          <w:color w:val="auto"/>
          <w:sz w:val="24"/>
          <w:szCs w:val="24"/>
          <w:highlight w:val="none"/>
          <w:lang w:bidi="ar"/>
        </w:rPr>
        <w:t>或者主要技术人员简历、劳动关系证明；</w:t>
      </w:r>
    </w:p>
    <w:p w14:paraId="0B20FBA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14:paraId="1E2CC19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14:paraId="61CB633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14:paraId="20ABE19E">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确定成交候选人和成交人</w:t>
      </w:r>
    </w:p>
    <w:p w14:paraId="60565399">
      <w:pPr>
        <w:spacing w:line="360" w:lineRule="auto"/>
        <w:ind w:firstLine="470" w:firstLineChars="196"/>
        <w:rPr>
          <w:color w:val="auto"/>
          <w:sz w:val="24"/>
          <w:highlight w:val="none"/>
        </w:rPr>
      </w:pPr>
      <w:r>
        <w:rPr>
          <w:rFonts w:hint="eastAsia"/>
          <w:color w:val="auto"/>
          <w:sz w:val="24"/>
          <w:highlight w:val="none"/>
        </w:rPr>
        <w:t>24.1</w:t>
      </w:r>
      <w:r>
        <w:rPr>
          <w:rFonts w:hint="eastAsia"/>
          <w:color w:val="auto"/>
          <w:sz w:val="24"/>
          <w:highlight w:val="none"/>
          <w:lang w:eastAsia="zh-CN"/>
        </w:rPr>
        <w:t>比选</w:t>
      </w:r>
      <w:r>
        <w:rPr>
          <w:rFonts w:hint="eastAsia"/>
          <w:color w:val="auto"/>
          <w:sz w:val="24"/>
          <w:highlight w:val="none"/>
        </w:rPr>
        <w:t>小组根据综合评分的结果和</w:t>
      </w:r>
      <w:r>
        <w:rPr>
          <w:rFonts w:hint="eastAsia"/>
          <w:color w:val="auto"/>
          <w:sz w:val="24"/>
          <w:szCs w:val="18"/>
          <w:highlight w:val="none"/>
          <w:lang w:eastAsia="zh-CN"/>
        </w:rPr>
        <w:t>供应商</w:t>
      </w:r>
      <w:r>
        <w:rPr>
          <w:color w:val="auto"/>
          <w:sz w:val="24"/>
          <w:highlight w:val="none"/>
        </w:rPr>
        <w:t>须知前附表中规定</w:t>
      </w:r>
      <w:r>
        <w:rPr>
          <w:rFonts w:hint="eastAsia"/>
          <w:color w:val="auto"/>
          <w:sz w:val="24"/>
          <w:highlight w:val="none"/>
        </w:rPr>
        <w:t>确定成交候选人，并标明排列顺序。排名第一的成交候选人经</w:t>
      </w:r>
      <w:r>
        <w:rPr>
          <w:rFonts w:hint="eastAsia"/>
          <w:color w:val="auto"/>
          <w:sz w:val="24"/>
          <w:szCs w:val="18"/>
          <w:highlight w:val="none"/>
        </w:rPr>
        <w:t>业主单位</w:t>
      </w:r>
      <w:r>
        <w:rPr>
          <w:rFonts w:hint="eastAsia"/>
          <w:color w:val="auto"/>
          <w:sz w:val="24"/>
          <w:highlight w:val="none"/>
        </w:rPr>
        <w:t>或</w:t>
      </w:r>
      <w:r>
        <w:rPr>
          <w:rFonts w:hint="eastAsia"/>
          <w:color w:val="auto"/>
          <w:sz w:val="24"/>
          <w:szCs w:val="18"/>
          <w:highlight w:val="none"/>
        </w:rPr>
        <w:t>业主单位</w:t>
      </w:r>
      <w:r>
        <w:rPr>
          <w:rFonts w:hint="eastAsia"/>
          <w:color w:val="auto"/>
          <w:sz w:val="24"/>
          <w:highlight w:val="none"/>
        </w:rPr>
        <w:t>授权的</w:t>
      </w:r>
      <w:r>
        <w:rPr>
          <w:rFonts w:hint="eastAsia"/>
          <w:color w:val="auto"/>
          <w:sz w:val="24"/>
          <w:highlight w:val="none"/>
          <w:lang w:eastAsia="zh-CN"/>
        </w:rPr>
        <w:t>比选</w:t>
      </w:r>
      <w:r>
        <w:rPr>
          <w:rFonts w:hint="eastAsia"/>
          <w:color w:val="auto"/>
          <w:sz w:val="24"/>
          <w:highlight w:val="none"/>
        </w:rPr>
        <w:t>小组确定为成交人后，由代理机构在指定媒体上予以公告。</w:t>
      </w:r>
    </w:p>
    <w:p w14:paraId="5B5867C1">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5</w:t>
      </w:r>
      <w:r>
        <w:rPr>
          <w:b/>
          <w:color w:val="auto"/>
          <w:sz w:val="24"/>
          <w:highlight w:val="none"/>
        </w:rPr>
        <w:t>.编写评审报告</w:t>
      </w:r>
    </w:p>
    <w:p w14:paraId="20DFA5F1">
      <w:pPr>
        <w:spacing w:line="360" w:lineRule="auto"/>
        <w:ind w:firstLine="435"/>
        <w:rPr>
          <w:color w:val="auto"/>
          <w:sz w:val="24"/>
          <w:highlight w:val="none"/>
        </w:rPr>
      </w:pPr>
      <w:r>
        <w:rPr>
          <w:rFonts w:hint="eastAsia"/>
          <w:color w:val="auto"/>
          <w:sz w:val="24"/>
          <w:highlight w:val="none"/>
        </w:rPr>
        <w:t>25.1评审报告是根据全体</w:t>
      </w:r>
      <w:r>
        <w:rPr>
          <w:rFonts w:hint="eastAsia"/>
          <w:color w:val="auto"/>
          <w:sz w:val="24"/>
          <w:highlight w:val="none"/>
          <w:lang w:eastAsia="zh-CN"/>
        </w:rPr>
        <w:t>比选</w:t>
      </w:r>
      <w:r>
        <w:rPr>
          <w:rFonts w:hint="eastAsia"/>
          <w:color w:val="auto"/>
          <w:sz w:val="24"/>
          <w:highlight w:val="none"/>
        </w:rPr>
        <w:t>小组成员签字的原始评审记录和评审结果编写的报告，评审报告由</w:t>
      </w:r>
      <w:r>
        <w:rPr>
          <w:rFonts w:hint="eastAsia"/>
          <w:color w:val="auto"/>
          <w:sz w:val="24"/>
          <w:highlight w:val="none"/>
          <w:lang w:eastAsia="zh-CN"/>
        </w:rPr>
        <w:t>比选</w:t>
      </w:r>
      <w:r>
        <w:rPr>
          <w:rFonts w:hint="eastAsia"/>
          <w:color w:val="auto"/>
          <w:sz w:val="24"/>
          <w:highlight w:val="none"/>
        </w:rPr>
        <w:t>小组全体成员签字。对评审结论持有异议的</w:t>
      </w:r>
      <w:r>
        <w:rPr>
          <w:rFonts w:hint="eastAsia"/>
          <w:color w:val="auto"/>
          <w:sz w:val="24"/>
          <w:highlight w:val="none"/>
          <w:lang w:eastAsia="zh-CN"/>
        </w:rPr>
        <w:t>比选</w:t>
      </w:r>
      <w:r>
        <w:rPr>
          <w:rFonts w:hint="eastAsia"/>
          <w:color w:val="auto"/>
          <w:sz w:val="24"/>
          <w:highlight w:val="none"/>
        </w:rPr>
        <w:t>小组成员可以书面方式阐述其不同意见和理由。</w:t>
      </w:r>
      <w:r>
        <w:rPr>
          <w:rFonts w:hint="eastAsia"/>
          <w:color w:val="auto"/>
          <w:sz w:val="24"/>
          <w:highlight w:val="none"/>
          <w:lang w:eastAsia="zh-CN"/>
        </w:rPr>
        <w:t>比选</w:t>
      </w:r>
      <w:r>
        <w:rPr>
          <w:rFonts w:hint="eastAsia"/>
          <w:color w:val="auto"/>
          <w:sz w:val="24"/>
          <w:highlight w:val="none"/>
        </w:rPr>
        <w:t>小组成员拒绝在评审报告上签字且不陈述其不同意见和理由的，视为同意评审结论。</w:t>
      </w:r>
    </w:p>
    <w:p w14:paraId="13A1BBE9">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14:paraId="6EC9E065">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14:paraId="48459AEB">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38BA8BFE">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bidi="ar"/>
        </w:rPr>
        <w:t>成交候选人和成交结果公示</w:t>
      </w:r>
    </w:p>
    <w:p w14:paraId="1A5B08B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w:t>
      </w:r>
      <w:r>
        <w:rPr>
          <w:rFonts w:hint="eastAsia" w:cs="宋体"/>
          <w:color w:val="auto"/>
          <w:sz w:val="24"/>
          <w:szCs w:val="24"/>
          <w:highlight w:val="none"/>
          <w:lang w:eastAsia="zh-CN" w:bidi="ar"/>
        </w:rPr>
        <w:t>比选</w:t>
      </w:r>
      <w:r>
        <w:rPr>
          <w:rFonts w:hint="eastAsia" w:cs="宋体"/>
          <w:color w:val="auto"/>
          <w:sz w:val="24"/>
          <w:szCs w:val="24"/>
          <w:highlight w:val="none"/>
          <w:lang w:bidi="ar"/>
        </w:rPr>
        <w:t>结束后，代理机构将在</w:t>
      </w:r>
      <w:r>
        <w:rPr>
          <w:rFonts w:hint="eastAsia"/>
          <w:color w:val="auto"/>
          <w:sz w:val="24"/>
          <w:highlight w:val="none"/>
        </w:rPr>
        <w:t>发布</w:t>
      </w:r>
      <w:r>
        <w:rPr>
          <w:rFonts w:hint="eastAsia"/>
          <w:color w:val="auto"/>
          <w:sz w:val="24"/>
          <w:highlight w:val="none"/>
          <w:lang w:eastAsia="zh-CN"/>
        </w:rPr>
        <w:t>比选</w:t>
      </w:r>
      <w:r>
        <w:rPr>
          <w:rFonts w:hint="eastAsia"/>
          <w:color w:val="auto"/>
          <w:sz w:val="24"/>
          <w:highlight w:val="none"/>
        </w:rPr>
        <w:t>公告的媒介上</w:t>
      </w:r>
      <w:r>
        <w:rPr>
          <w:rFonts w:hint="eastAsia" w:cs="宋体"/>
          <w:color w:val="auto"/>
          <w:sz w:val="24"/>
          <w:szCs w:val="24"/>
          <w:highlight w:val="none"/>
          <w:lang w:bidi="ar"/>
        </w:rPr>
        <w:t>发布成交候选人公示和成交结果公示。</w:t>
      </w:r>
    </w:p>
    <w:p w14:paraId="781A99C3">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rPr>
        <w:t>业主单位</w:t>
      </w:r>
      <w:r>
        <w:rPr>
          <w:rFonts w:hint="eastAsia" w:cs="宋体"/>
          <w:color w:val="auto"/>
          <w:sz w:val="24"/>
          <w:szCs w:val="24"/>
          <w:highlight w:val="none"/>
          <w:lang w:bidi="ar"/>
        </w:rPr>
        <w:t>在收到评审报告之日起3日内，依法公示成交候选人。</w:t>
      </w:r>
      <w:r>
        <w:rPr>
          <w:rFonts w:hint="eastAsia"/>
          <w:color w:val="auto"/>
          <w:sz w:val="24"/>
          <w:szCs w:val="18"/>
          <w:highlight w:val="none"/>
        </w:rPr>
        <w:t>业主单位</w:t>
      </w:r>
      <w:r>
        <w:rPr>
          <w:rFonts w:hint="eastAsia" w:cs="宋体"/>
          <w:color w:val="auto"/>
          <w:sz w:val="24"/>
          <w:szCs w:val="24"/>
          <w:highlight w:val="none"/>
          <w:lang w:bidi="ar"/>
        </w:rPr>
        <w:t>在确定成交人之日起3日内，依法公示成交结果。</w:t>
      </w:r>
    </w:p>
    <w:p w14:paraId="314878E6">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rPr>
        <w:t>成交</w:t>
      </w:r>
      <w:r>
        <w:rPr>
          <w:b/>
          <w:color w:val="auto"/>
          <w:sz w:val="24"/>
          <w:highlight w:val="none"/>
        </w:rPr>
        <w:t>通知书</w:t>
      </w:r>
    </w:p>
    <w:p w14:paraId="29B37C5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rPr>
        <w:t>成交</w:t>
      </w:r>
      <w:r>
        <w:rPr>
          <w:color w:val="auto"/>
          <w:sz w:val="24"/>
          <w:highlight w:val="none"/>
        </w:rPr>
        <w:t>结果公告的同时以</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rPr>
        <w:t>成交人</w:t>
      </w:r>
      <w:r>
        <w:rPr>
          <w:color w:val="auto"/>
          <w:sz w:val="24"/>
          <w:highlight w:val="none"/>
        </w:rPr>
        <w:t>发出</w:t>
      </w:r>
      <w:r>
        <w:rPr>
          <w:rFonts w:hint="eastAsia"/>
          <w:color w:val="auto"/>
          <w:sz w:val="24"/>
          <w:highlight w:val="none"/>
        </w:rPr>
        <w:t>成交</w:t>
      </w:r>
      <w:r>
        <w:rPr>
          <w:color w:val="auto"/>
          <w:sz w:val="24"/>
          <w:highlight w:val="none"/>
        </w:rPr>
        <w:t>通知书。</w:t>
      </w:r>
    </w:p>
    <w:p w14:paraId="700BE5CF">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rPr>
        <w:t>成交</w:t>
      </w:r>
      <w:r>
        <w:rPr>
          <w:color w:val="auto"/>
          <w:sz w:val="24"/>
          <w:highlight w:val="none"/>
        </w:rPr>
        <w:t>通知书对</w:t>
      </w:r>
      <w:r>
        <w:rPr>
          <w:rFonts w:hint="eastAsia"/>
          <w:color w:val="auto"/>
          <w:sz w:val="24"/>
          <w:szCs w:val="18"/>
          <w:highlight w:val="none"/>
        </w:rPr>
        <w:t>业主单位</w:t>
      </w:r>
      <w:r>
        <w:rPr>
          <w:color w:val="auto"/>
          <w:sz w:val="24"/>
          <w:highlight w:val="none"/>
        </w:rPr>
        <w:t>和</w:t>
      </w:r>
      <w:r>
        <w:rPr>
          <w:rFonts w:hint="eastAsia"/>
          <w:color w:val="auto"/>
          <w:sz w:val="24"/>
          <w:highlight w:val="none"/>
        </w:rPr>
        <w:t>成交人</w:t>
      </w:r>
      <w:r>
        <w:rPr>
          <w:color w:val="auto"/>
          <w:sz w:val="24"/>
          <w:highlight w:val="none"/>
        </w:rPr>
        <w:t>具有同等法律效力。</w:t>
      </w:r>
      <w:r>
        <w:rPr>
          <w:rFonts w:hint="eastAsia"/>
          <w:color w:val="auto"/>
          <w:sz w:val="24"/>
          <w:highlight w:val="none"/>
        </w:rPr>
        <w:t>成交</w:t>
      </w:r>
      <w:r>
        <w:rPr>
          <w:color w:val="auto"/>
          <w:sz w:val="24"/>
          <w:highlight w:val="none"/>
        </w:rPr>
        <w:t>通知书发出以后，</w:t>
      </w:r>
      <w:r>
        <w:rPr>
          <w:rFonts w:hint="eastAsia"/>
          <w:color w:val="auto"/>
          <w:sz w:val="24"/>
          <w:szCs w:val="18"/>
          <w:highlight w:val="none"/>
        </w:rPr>
        <w:t>业主单位</w:t>
      </w:r>
      <w:r>
        <w:rPr>
          <w:color w:val="auto"/>
          <w:sz w:val="24"/>
          <w:highlight w:val="none"/>
        </w:rPr>
        <w:t>改变</w:t>
      </w:r>
      <w:r>
        <w:rPr>
          <w:rFonts w:hint="eastAsia"/>
          <w:color w:val="auto"/>
          <w:sz w:val="24"/>
          <w:highlight w:val="none"/>
        </w:rPr>
        <w:t>成交</w:t>
      </w:r>
      <w:r>
        <w:rPr>
          <w:color w:val="auto"/>
          <w:sz w:val="24"/>
          <w:highlight w:val="none"/>
        </w:rPr>
        <w:t>结果或者</w:t>
      </w:r>
      <w:r>
        <w:rPr>
          <w:rFonts w:hint="eastAsia"/>
          <w:color w:val="auto"/>
          <w:sz w:val="24"/>
          <w:highlight w:val="none"/>
        </w:rPr>
        <w:t>成交人</w:t>
      </w:r>
      <w:r>
        <w:rPr>
          <w:color w:val="auto"/>
          <w:sz w:val="24"/>
          <w:highlight w:val="none"/>
        </w:rPr>
        <w:t>放弃</w:t>
      </w:r>
      <w:r>
        <w:rPr>
          <w:rFonts w:hint="eastAsia"/>
          <w:color w:val="auto"/>
          <w:sz w:val="24"/>
          <w:highlight w:val="none"/>
        </w:rPr>
        <w:t>成交</w:t>
      </w:r>
      <w:r>
        <w:rPr>
          <w:color w:val="auto"/>
          <w:sz w:val="24"/>
          <w:highlight w:val="none"/>
        </w:rPr>
        <w:t>资格，应当承担相应的法律责任。</w:t>
      </w:r>
    </w:p>
    <w:p w14:paraId="4FB042E3">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rPr>
        <w:t>成交</w:t>
      </w:r>
      <w:r>
        <w:rPr>
          <w:color w:val="auto"/>
          <w:sz w:val="24"/>
          <w:highlight w:val="none"/>
        </w:rPr>
        <w:t>通知书是合同的组成部分。</w:t>
      </w:r>
    </w:p>
    <w:p w14:paraId="348BA882">
      <w:pPr>
        <w:spacing w:line="360" w:lineRule="auto"/>
        <w:ind w:firstLine="437"/>
        <w:outlineLvl w:val="2"/>
        <w:rPr>
          <w:b/>
          <w:color w:val="auto"/>
          <w:sz w:val="24"/>
          <w:highlight w:val="none"/>
        </w:rPr>
      </w:pPr>
      <w:r>
        <w:rPr>
          <w:rFonts w:hint="eastAsia"/>
          <w:b/>
          <w:color w:val="auto"/>
          <w:sz w:val="24"/>
          <w:highlight w:val="none"/>
        </w:rPr>
        <w:t>29</w:t>
      </w:r>
      <w:r>
        <w:rPr>
          <w:b/>
          <w:color w:val="auto"/>
          <w:sz w:val="24"/>
          <w:highlight w:val="none"/>
        </w:rPr>
        <w:t>.告知</w:t>
      </w:r>
      <w:r>
        <w:rPr>
          <w:rFonts w:hint="eastAsia"/>
          <w:b/>
          <w:color w:val="auto"/>
          <w:sz w:val="24"/>
          <w:highlight w:val="none"/>
          <w:lang w:eastAsia="zh-CN"/>
        </w:rPr>
        <w:t>比选</w:t>
      </w:r>
      <w:r>
        <w:rPr>
          <w:b/>
          <w:color w:val="auto"/>
          <w:sz w:val="24"/>
          <w:highlight w:val="none"/>
        </w:rPr>
        <w:t>结果</w:t>
      </w:r>
    </w:p>
    <w:p w14:paraId="6B33B124">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代理机构对未成交的</w:t>
      </w:r>
      <w:r>
        <w:rPr>
          <w:rFonts w:hint="eastAsia"/>
          <w:color w:val="auto"/>
          <w:sz w:val="24"/>
          <w:szCs w:val="18"/>
          <w:highlight w:val="none"/>
          <w:lang w:eastAsia="zh-CN"/>
        </w:rPr>
        <w:t>供应商</w:t>
      </w:r>
      <w:r>
        <w:rPr>
          <w:rFonts w:hint="eastAsia" w:cs="宋体"/>
          <w:color w:val="auto"/>
          <w:sz w:val="24"/>
          <w:szCs w:val="24"/>
          <w:highlight w:val="none"/>
          <w:lang w:bidi="ar"/>
        </w:rPr>
        <w:t>不做未成交原因的解释。</w:t>
      </w:r>
    </w:p>
    <w:p w14:paraId="242E3ECF">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14:paraId="63921A5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30.1 成交人应按照</w:t>
      </w:r>
      <w:r>
        <w:rPr>
          <w:rFonts w:hint="eastAsia"/>
          <w:color w:val="auto"/>
          <w:sz w:val="24"/>
          <w:szCs w:val="18"/>
          <w:highlight w:val="none"/>
          <w:lang w:eastAsia="zh-CN"/>
        </w:rPr>
        <w:t>供应商</w:t>
      </w:r>
      <w:r>
        <w:rPr>
          <w:rFonts w:hint="eastAsia" w:cs="宋体"/>
          <w:color w:val="auto"/>
          <w:sz w:val="24"/>
          <w:szCs w:val="24"/>
          <w:highlight w:val="none"/>
          <w:lang w:bidi="ar"/>
        </w:rPr>
        <w:t xml:space="preserve">须知前附表规定缴纳履约保证金。 </w:t>
      </w:r>
    </w:p>
    <w:p w14:paraId="519E76F2">
      <w:pPr>
        <w:spacing w:line="360" w:lineRule="auto"/>
        <w:ind w:firstLine="480" w:firstLineChars="200"/>
        <w:rPr>
          <w:color w:val="auto"/>
          <w:sz w:val="24"/>
          <w:highlight w:val="none"/>
        </w:rPr>
      </w:pPr>
      <w:r>
        <w:rPr>
          <w:rFonts w:hint="eastAsia" w:cs="宋体"/>
          <w:color w:val="auto"/>
          <w:sz w:val="24"/>
          <w:szCs w:val="24"/>
          <w:highlight w:val="none"/>
          <w:lang w:bidi="ar"/>
        </w:rPr>
        <w:t>30.2 如果成交人没有按照上述履约保证金的规定执行，将视为放弃成交资格。在此情况下，</w:t>
      </w:r>
      <w:r>
        <w:rPr>
          <w:rFonts w:hint="eastAsia"/>
          <w:color w:val="auto"/>
          <w:sz w:val="24"/>
          <w:szCs w:val="18"/>
          <w:highlight w:val="none"/>
        </w:rPr>
        <w:t>业主单位</w:t>
      </w:r>
      <w:r>
        <w:rPr>
          <w:rFonts w:hint="eastAsia" w:cs="宋体"/>
          <w:color w:val="auto"/>
          <w:sz w:val="24"/>
          <w:szCs w:val="24"/>
          <w:highlight w:val="none"/>
          <w:lang w:bidi="ar"/>
        </w:rPr>
        <w:t>可确定下一成交候选人为成交人，也可以重新开展</w:t>
      </w:r>
      <w:r>
        <w:rPr>
          <w:rFonts w:hint="eastAsia" w:cs="宋体"/>
          <w:color w:val="auto"/>
          <w:sz w:val="24"/>
          <w:szCs w:val="24"/>
          <w:highlight w:val="none"/>
          <w:lang w:eastAsia="zh-CN" w:bidi="ar"/>
        </w:rPr>
        <w:t>比选</w:t>
      </w:r>
      <w:r>
        <w:rPr>
          <w:rFonts w:hint="eastAsia" w:cs="宋体"/>
          <w:color w:val="auto"/>
          <w:sz w:val="24"/>
          <w:szCs w:val="24"/>
          <w:highlight w:val="none"/>
          <w:lang w:bidi="ar"/>
        </w:rPr>
        <w:t>活动。</w:t>
      </w:r>
    </w:p>
    <w:p w14:paraId="309CCC3B">
      <w:pPr>
        <w:spacing w:line="360" w:lineRule="auto"/>
        <w:ind w:firstLine="437"/>
        <w:outlineLvl w:val="2"/>
        <w:rPr>
          <w:rFonts w:hint="eastAsia" w:eastAsia="宋体"/>
          <w:b/>
          <w:color w:val="auto"/>
          <w:sz w:val="24"/>
          <w:highlight w:val="none"/>
          <w:lang w:val="en-US" w:eastAsia="zh-CN"/>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r>
        <w:rPr>
          <w:rFonts w:hint="eastAsia"/>
          <w:b/>
          <w:color w:val="auto"/>
          <w:sz w:val="24"/>
          <w:highlight w:val="none"/>
          <w:lang w:val="en-US" w:eastAsia="zh-CN"/>
        </w:rPr>
        <w:t>和工程量清单和最高投标限价（控制价）编制审核费</w:t>
      </w:r>
    </w:p>
    <w:p w14:paraId="658325D4">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在公告成交（成交）结果后，成交人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r>
        <w:rPr>
          <w:rFonts w:hint="eastAsia"/>
          <w:color w:val="auto"/>
          <w:sz w:val="24"/>
          <w:highlight w:val="none"/>
          <w:lang w:val="en-US" w:eastAsia="zh-CN"/>
        </w:rPr>
        <w:t>和工程量清单和最高投标限价（控制价）编制审核费</w:t>
      </w:r>
      <w:r>
        <w:rPr>
          <w:rFonts w:hint="eastAsia"/>
          <w:color w:val="auto"/>
          <w:sz w:val="24"/>
          <w:highlight w:val="none"/>
        </w:rPr>
        <w:t>。</w:t>
      </w:r>
    </w:p>
    <w:p w14:paraId="70DBC1C5">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缴纳账户</w:t>
      </w:r>
      <w:r>
        <w:rPr>
          <w:rFonts w:hint="eastAsia"/>
          <w:bCs/>
          <w:color w:val="auto"/>
          <w:sz w:val="24"/>
          <w:highlight w:val="none"/>
          <w:lang w:eastAsia="zh-CN"/>
        </w:rPr>
        <w:t>：</w:t>
      </w:r>
    </w:p>
    <w:p w14:paraId="41CD00D0">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14:paraId="1381C99E">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14:paraId="66A4C9AF">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14:paraId="05482F84">
      <w:pPr>
        <w:widowControl/>
        <w:jc w:val="left"/>
        <w:rPr>
          <w:rFonts w:cs="宋体"/>
          <w:color w:val="auto"/>
          <w:sz w:val="24"/>
          <w:szCs w:val="24"/>
          <w:highlight w:val="none"/>
        </w:rPr>
      </w:pPr>
    </w:p>
    <w:p w14:paraId="13BD488D">
      <w:pPr>
        <w:spacing w:line="360" w:lineRule="auto"/>
        <w:ind w:firstLine="435"/>
        <w:rPr>
          <w:rFonts w:hint="eastAsia"/>
          <w:color w:val="auto"/>
          <w:sz w:val="24"/>
          <w:highlight w:val="none"/>
        </w:rPr>
      </w:pPr>
      <w:r>
        <w:rPr>
          <w:rFonts w:hint="eastAsia"/>
          <w:color w:val="auto"/>
          <w:sz w:val="24"/>
          <w:highlight w:val="none"/>
        </w:rPr>
        <w:t>代理费的收取采用差额定率累进计费方式，具体收费标准参照关于印发《招标（采购）代理行业服务收费指导意见》的通知（合公协〔2023〕03号）文件收取。</w:t>
      </w:r>
    </w:p>
    <w:p w14:paraId="1F23F936">
      <w:pPr>
        <w:jc w:val="center"/>
        <w:rPr>
          <w:rStyle w:val="24"/>
          <w:rFonts w:cs="宋体"/>
          <w:color w:val="auto"/>
          <w:sz w:val="24"/>
          <w:highlight w:val="none"/>
        </w:rPr>
      </w:pPr>
      <w:r>
        <w:rPr>
          <w:rStyle w:val="24"/>
          <w:rFonts w:hint="eastAsia" w:cs="宋体"/>
          <w:color w:val="auto"/>
          <w:sz w:val="24"/>
          <w:highlight w:val="none"/>
        </w:rPr>
        <w:t>收费标准</w:t>
      </w:r>
    </w:p>
    <w:tbl>
      <w:tblPr>
        <w:tblStyle w:val="21"/>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71BD7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C17E297">
            <w:pPr>
              <w:jc w:val="center"/>
              <w:rPr>
                <w:rFonts w:cs="宋体"/>
                <w:b/>
                <w:bCs/>
                <w:color w:val="auto"/>
                <w:sz w:val="24"/>
                <w:highlight w:val="none"/>
              </w:rPr>
            </w:pPr>
            <w:r>
              <w:rPr>
                <w:rFonts w:hint="eastAsia" w:cs="宋体"/>
                <w:b/>
                <w:bCs/>
                <w:color w:val="auto"/>
                <w:sz w:val="24"/>
                <w:highlight w:val="none"/>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2CCFDCC4">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3EC52633">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14:paraId="0A861211">
            <w:pPr>
              <w:jc w:val="center"/>
              <w:rPr>
                <w:rFonts w:cs="宋体"/>
                <w:b/>
                <w:bCs/>
                <w:color w:val="auto"/>
                <w:sz w:val="24"/>
                <w:highlight w:val="none"/>
              </w:rPr>
            </w:pPr>
            <w:r>
              <w:rPr>
                <w:rFonts w:hint="eastAsia" w:cs="宋体"/>
                <w:b/>
                <w:bCs/>
                <w:color w:val="auto"/>
                <w:sz w:val="24"/>
                <w:highlight w:val="none"/>
              </w:rPr>
              <w:t>工程</w:t>
            </w:r>
          </w:p>
        </w:tc>
      </w:tr>
      <w:tr w14:paraId="1ED5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C9C76FF">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61B021B8">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49ADC540">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F4B1081">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14:paraId="190DD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07DD192">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33C82E58">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23893DE4">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0D07D3C">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14:paraId="04E95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FE6D6A8">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3DFDB499">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2014CEAF">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6DE89AA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14:paraId="1539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4DBF4DB">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0543787F">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5B15062">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3DAAFF65">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14:paraId="14E51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C953207">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6383155E">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304B049A">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364FACC">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14:paraId="62414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9A42682">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0ADA5E05">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66FBB03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62E899FD">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14:paraId="5160D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8DC674A">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7802FB0B">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6317AF54">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5617A850">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14:paraId="06526C40">
      <w:pPr>
        <w:spacing w:line="360" w:lineRule="auto"/>
        <w:ind w:firstLine="437"/>
        <w:outlineLvl w:val="2"/>
        <w:rPr>
          <w:rFonts w:hint="eastAsia"/>
          <w:color w:val="auto"/>
          <w:sz w:val="24"/>
          <w:highlight w:val="none"/>
          <w:lang w:val="en-US" w:eastAsia="zh-CN"/>
        </w:rPr>
      </w:pPr>
    </w:p>
    <w:p w14:paraId="411181CF">
      <w:pPr>
        <w:spacing w:line="360" w:lineRule="auto"/>
        <w:ind w:firstLine="437"/>
        <w:outlineLvl w:val="2"/>
        <w:rPr>
          <w:rFonts w:hint="eastAsia"/>
          <w:b w:val="0"/>
          <w:bCs w:val="0"/>
          <w:color w:val="auto"/>
          <w:sz w:val="24"/>
          <w:highlight w:val="none"/>
        </w:rPr>
      </w:pPr>
      <w:r>
        <w:rPr>
          <w:rFonts w:hint="eastAsia"/>
          <w:b w:val="0"/>
          <w:bCs w:val="0"/>
          <w:color w:val="auto"/>
          <w:sz w:val="24"/>
          <w:highlight w:val="none"/>
          <w:lang w:val="en-US" w:eastAsia="zh-CN"/>
        </w:rPr>
        <w:t>工程量清单和最高投标限价（控制价）编制审核费的收取标准：</w:t>
      </w:r>
      <w:r>
        <w:rPr>
          <w:rFonts w:hint="eastAsia"/>
          <w:b w:val="0"/>
          <w:bCs w:val="0"/>
          <w:color w:val="auto"/>
          <w:sz w:val="24"/>
          <w:highlight w:val="none"/>
        </w:rPr>
        <w:t>以成交金额为计算基数，分标段参照皖价服（2007）86号文件规定的标准收取，不足1000元的按1000元收取。</w:t>
      </w:r>
    </w:p>
    <w:p w14:paraId="1004EEDE">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14:paraId="10BE637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rPr>
        <w:t>业主单位</w:t>
      </w:r>
      <w:r>
        <w:rPr>
          <w:rFonts w:hint="eastAsia" w:cs="宋体"/>
          <w:color w:val="auto"/>
          <w:sz w:val="24"/>
          <w:szCs w:val="24"/>
          <w:highlight w:val="none"/>
          <w:lang w:bidi="ar"/>
        </w:rPr>
        <w:t>与成交人应当自发出成交通知书之日起30日内签订合同。</w:t>
      </w:r>
    </w:p>
    <w:p w14:paraId="3313613E">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文件、成交人的响应文件及其澄清文件等，均为签订合同的依据。</w:t>
      </w:r>
    </w:p>
    <w:p w14:paraId="40F84764">
      <w:pPr>
        <w:spacing w:line="360" w:lineRule="auto"/>
        <w:ind w:firstLine="470" w:firstLineChars="196"/>
        <w:rPr>
          <w:color w:val="auto"/>
          <w:sz w:val="24"/>
          <w:highlight w:val="none"/>
        </w:rPr>
      </w:pPr>
      <w:r>
        <w:rPr>
          <w:rFonts w:hint="eastAsia" w:cs="宋体"/>
          <w:color w:val="auto"/>
          <w:sz w:val="24"/>
          <w:szCs w:val="24"/>
          <w:highlight w:val="none"/>
          <w:lang w:bidi="ar"/>
        </w:rPr>
        <w:t>32.3成交人拒绝与</w:t>
      </w:r>
      <w:r>
        <w:rPr>
          <w:rFonts w:hint="eastAsia"/>
          <w:color w:val="auto"/>
          <w:sz w:val="24"/>
          <w:szCs w:val="18"/>
          <w:highlight w:val="none"/>
        </w:rPr>
        <w:t>业主单位</w:t>
      </w:r>
      <w:r>
        <w:rPr>
          <w:rFonts w:hint="eastAsia" w:cs="宋体"/>
          <w:color w:val="auto"/>
          <w:sz w:val="24"/>
          <w:szCs w:val="24"/>
          <w:highlight w:val="none"/>
          <w:lang w:bidi="ar"/>
        </w:rPr>
        <w:t>签订合同的，</w:t>
      </w:r>
      <w:r>
        <w:rPr>
          <w:rFonts w:hint="eastAsia"/>
          <w:color w:val="auto"/>
          <w:sz w:val="24"/>
          <w:szCs w:val="18"/>
          <w:highlight w:val="none"/>
        </w:rPr>
        <w:t>业主单位</w:t>
      </w:r>
      <w:r>
        <w:rPr>
          <w:rFonts w:hint="eastAsia" w:cs="宋体"/>
          <w:color w:val="auto"/>
          <w:sz w:val="24"/>
          <w:szCs w:val="24"/>
          <w:highlight w:val="none"/>
          <w:lang w:bidi="ar"/>
        </w:rPr>
        <w:t>可以按照评审报告推荐的成交候选人名单排序，确定下一成交候选人为成交人，也可以重新开展</w:t>
      </w:r>
      <w:r>
        <w:rPr>
          <w:rFonts w:hint="eastAsia" w:cs="宋体"/>
          <w:color w:val="auto"/>
          <w:sz w:val="24"/>
          <w:szCs w:val="24"/>
          <w:highlight w:val="none"/>
          <w:lang w:eastAsia="zh-CN" w:bidi="ar"/>
        </w:rPr>
        <w:t>比选</w:t>
      </w:r>
      <w:r>
        <w:rPr>
          <w:rFonts w:hint="eastAsia" w:cs="宋体"/>
          <w:color w:val="auto"/>
          <w:sz w:val="24"/>
          <w:szCs w:val="24"/>
          <w:highlight w:val="none"/>
          <w:lang w:bidi="ar"/>
        </w:rPr>
        <w:t>活动。成交人拒绝签订合同的不得参加对该项目重新开展的</w:t>
      </w:r>
      <w:r>
        <w:rPr>
          <w:rFonts w:hint="eastAsia" w:cs="宋体"/>
          <w:color w:val="auto"/>
          <w:sz w:val="24"/>
          <w:szCs w:val="24"/>
          <w:highlight w:val="none"/>
          <w:lang w:eastAsia="zh-CN" w:bidi="ar"/>
        </w:rPr>
        <w:t>比选</w:t>
      </w:r>
      <w:r>
        <w:rPr>
          <w:rFonts w:hint="eastAsia" w:cs="宋体"/>
          <w:color w:val="auto"/>
          <w:sz w:val="24"/>
          <w:szCs w:val="24"/>
          <w:highlight w:val="none"/>
          <w:lang w:bidi="ar"/>
        </w:rPr>
        <w:t>活动。</w:t>
      </w:r>
    </w:p>
    <w:p w14:paraId="166A5FE0">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14:paraId="2DB17B5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rPr>
        <w:t>业主单位</w:t>
      </w:r>
      <w:r>
        <w:rPr>
          <w:rFonts w:hint="eastAsia" w:cs="宋体"/>
          <w:color w:val="auto"/>
          <w:sz w:val="24"/>
          <w:szCs w:val="24"/>
          <w:highlight w:val="none"/>
          <w:lang w:bidi="ar"/>
        </w:rPr>
        <w:t>、</w:t>
      </w:r>
      <w:r>
        <w:rPr>
          <w:rFonts w:hint="eastAsia"/>
          <w:color w:val="auto"/>
          <w:sz w:val="24"/>
          <w:szCs w:val="18"/>
          <w:highlight w:val="none"/>
          <w:lang w:eastAsia="zh-CN"/>
        </w:rPr>
        <w:t>供应商</w:t>
      </w:r>
      <w:r>
        <w:rPr>
          <w:rFonts w:hint="eastAsia" w:cs="宋体"/>
          <w:color w:val="auto"/>
          <w:sz w:val="24"/>
          <w:szCs w:val="24"/>
          <w:highlight w:val="none"/>
          <w:lang w:bidi="ar"/>
        </w:rPr>
        <w:t>恶意串通。</w:t>
      </w:r>
    </w:p>
    <w:p w14:paraId="748E32F0">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报销应当由个人承担的费用。</w:t>
      </w:r>
    </w:p>
    <w:p w14:paraId="4E60068B">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14:paraId="6726545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供应商</w:t>
      </w:r>
      <w:r>
        <w:rPr>
          <w:rFonts w:hint="eastAsia" w:cs="宋体"/>
          <w:color w:val="auto"/>
          <w:sz w:val="24"/>
          <w:szCs w:val="24"/>
          <w:highlight w:val="none"/>
          <w:lang w:bidi="ar"/>
        </w:rPr>
        <w:t>认为</w:t>
      </w:r>
      <w:r>
        <w:rPr>
          <w:rFonts w:hint="eastAsia" w:cs="宋体"/>
          <w:color w:val="auto"/>
          <w:sz w:val="24"/>
          <w:szCs w:val="24"/>
          <w:highlight w:val="none"/>
          <w:lang w:eastAsia="zh-CN" w:bidi="ar"/>
        </w:rPr>
        <w:t>比选</w:t>
      </w:r>
      <w:r>
        <w:rPr>
          <w:rFonts w:hint="eastAsia" w:cs="宋体"/>
          <w:color w:val="auto"/>
          <w:sz w:val="24"/>
          <w:szCs w:val="24"/>
          <w:highlight w:val="none"/>
          <w:lang w:bidi="ar"/>
        </w:rPr>
        <w:t>文件、</w:t>
      </w:r>
      <w:r>
        <w:rPr>
          <w:rFonts w:hint="eastAsia" w:cs="宋体"/>
          <w:color w:val="auto"/>
          <w:sz w:val="24"/>
          <w:szCs w:val="24"/>
          <w:highlight w:val="none"/>
          <w:lang w:eastAsia="zh-CN" w:bidi="ar"/>
        </w:rPr>
        <w:t>比选</w:t>
      </w:r>
      <w:r>
        <w:rPr>
          <w:rFonts w:hint="eastAsia" w:cs="宋体"/>
          <w:color w:val="auto"/>
          <w:sz w:val="24"/>
          <w:szCs w:val="24"/>
          <w:highlight w:val="none"/>
          <w:lang w:bidi="ar"/>
        </w:rPr>
        <w:t>过程和成交结果使自己的权益受到损害的，可以在知道或者应知其权益受到损害之日起三日内，以书面形式向</w:t>
      </w:r>
      <w:r>
        <w:rPr>
          <w:rFonts w:hint="eastAsia"/>
          <w:color w:val="auto"/>
          <w:sz w:val="24"/>
          <w:szCs w:val="18"/>
          <w:highlight w:val="none"/>
        </w:rPr>
        <w:t>业主单位</w:t>
      </w:r>
      <w:r>
        <w:rPr>
          <w:rFonts w:hint="eastAsia" w:cs="宋体"/>
          <w:color w:val="auto"/>
          <w:sz w:val="24"/>
          <w:szCs w:val="24"/>
          <w:highlight w:val="none"/>
          <w:lang w:bidi="ar"/>
        </w:rPr>
        <w:t>或其委托的代理机构提出异议。</w:t>
      </w:r>
    </w:p>
    <w:p w14:paraId="40272920">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14:paraId="12F1C4AE">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14:paraId="26332A7E">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包别</w:t>
      </w:r>
      <w:r>
        <w:rPr>
          <w:rFonts w:hint="eastAsia" w:cs="宋体"/>
          <w:color w:val="auto"/>
          <w:sz w:val="24"/>
          <w:szCs w:val="24"/>
          <w:highlight w:val="none"/>
          <w:lang w:bidi="ar"/>
        </w:rPr>
        <w:t>号（如有）；</w:t>
      </w:r>
    </w:p>
    <w:p w14:paraId="7880261E">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14:paraId="4EC28B5D">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14:paraId="0C6B8656">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14:paraId="635D0958">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14:paraId="7F99229C">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14:paraId="6EDB2EF1">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73CDB7E4">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14:paraId="56D2A4EE">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w:t>
      </w:r>
    </w:p>
    <w:p w14:paraId="092B46D7">
      <w:pPr>
        <w:spacing w:line="360" w:lineRule="auto"/>
        <w:jc w:val="center"/>
        <w:outlineLvl w:val="0"/>
        <w:rPr>
          <w:b/>
          <w:color w:val="auto"/>
          <w:sz w:val="28"/>
          <w:highlight w:val="none"/>
        </w:rPr>
      </w:pPr>
      <w:r>
        <w:rPr>
          <w:color w:val="auto"/>
          <w:sz w:val="24"/>
          <w:highlight w:val="none"/>
        </w:rPr>
        <w:br w:type="page"/>
      </w:r>
      <w:bookmarkStart w:id="16" w:name="_Toc26020"/>
      <w:r>
        <w:rPr>
          <w:rFonts w:hint="eastAsia"/>
          <w:b/>
          <w:color w:val="auto"/>
          <w:sz w:val="28"/>
          <w:highlight w:val="none"/>
        </w:rPr>
        <w:t>第三章  项目需求</w:t>
      </w:r>
      <w:bookmarkEnd w:id="16"/>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4E16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4686A77">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14:paraId="03347918">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14:paraId="6B418C5C">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14:paraId="1E7F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C1E0FDD">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14:paraId="5F4D1487">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14:paraId="42D21F9D">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供应商</w:t>
            </w:r>
            <w:r>
              <w:rPr>
                <w:rFonts w:hint="eastAsia" w:cs="@仿宋_GB2312"/>
                <w:color w:val="auto"/>
                <w:kern w:val="2"/>
                <w:sz w:val="24"/>
                <w:szCs w:val="22"/>
                <w:highlight w:val="none"/>
              </w:rPr>
              <w:t>一旦成交，</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时所报的本项目的项目经理、施工现场技术负责人、各专业负责工程师及施工机械等在整个项目施工期内必须在位，否则</w:t>
            </w:r>
            <w:r>
              <w:rPr>
                <w:rFonts w:hint="eastAsia"/>
                <w:color w:val="auto"/>
                <w:kern w:val="2"/>
                <w:sz w:val="24"/>
                <w:szCs w:val="18"/>
                <w:highlight w:val="none"/>
              </w:rPr>
              <w:t>业主单位</w:t>
            </w:r>
            <w:r>
              <w:rPr>
                <w:rFonts w:hint="eastAsia" w:cs="@仿宋_GB2312"/>
                <w:color w:val="auto"/>
                <w:kern w:val="2"/>
                <w:sz w:val="24"/>
                <w:szCs w:val="22"/>
                <w:highlight w:val="none"/>
              </w:rPr>
              <w:t>有权终止合同。由此造成的损失，成交人自行承担并赔偿可能给</w:t>
            </w:r>
            <w:r>
              <w:rPr>
                <w:rFonts w:hint="eastAsia"/>
                <w:color w:val="auto"/>
                <w:kern w:val="2"/>
                <w:sz w:val="24"/>
                <w:szCs w:val="18"/>
                <w:highlight w:val="none"/>
              </w:rPr>
              <w:t>业主单位</w:t>
            </w:r>
            <w:r>
              <w:rPr>
                <w:rFonts w:hint="eastAsia" w:cs="@仿宋_GB2312"/>
                <w:color w:val="auto"/>
                <w:kern w:val="2"/>
                <w:sz w:val="24"/>
                <w:szCs w:val="22"/>
                <w:highlight w:val="none"/>
              </w:rPr>
              <w:t>造成的损失。</w:t>
            </w:r>
          </w:p>
          <w:p w14:paraId="04FE2FD4">
            <w:pPr>
              <w:spacing w:line="360" w:lineRule="auto"/>
              <w:rPr>
                <w:rFonts w:cs="@仿宋_GB2312"/>
                <w:color w:val="auto"/>
                <w:kern w:val="2"/>
                <w:sz w:val="24"/>
                <w:szCs w:val="22"/>
                <w:highlight w:val="none"/>
              </w:rPr>
            </w:pPr>
            <w:r>
              <w:rPr>
                <w:rFonts w:hint="eastAsia" w:cs="@仿宋_GB2312"/>
                <w:color w:val="auto"/>
                <w:kern w:val="2"/>
                <w:sz w:val="24"/>
                <w:szCs w:val="22"/>
                <w:highlight w:val="none"/>
              </w:rPr>
              <w:t>（2）成交人不得擅自更换</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时所报项目经理及项目部主要管理人员。确需更换时，须报</w:t>
            </w:r>
            <w:r>
              <w:rPr>
                <w:rFonts w:hint="eastAsia"/>
                <w:color w:val="auto"/>
                <w:kern w:val="2"/>
                <w:sz w:val="24"/>
                <w:szCs w:val="18"/>
                <w:highlight w:val="none"/>
              </w:rPr>
              <w:t>业主单位</w:t>
            </w:r>
            <w:r>
              <w:rPr>
                <w:rFonts w:hint="eastAsia" w:cs="@仿宋_GB2312"/>
                <w:color w:val="auto"/>
                <w:kern w:val="2"/>
                <w:sz w:val="24"/>
                <w:szCs w:val="22"/>
                <w:highlight w:val="none"/>
              </w:rPr>
              <w:t>同意，更换后人员不得低于成交人</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时所报人员资质和技术水平。</w:t>
            </w:r>
            <w:r>
              <w:rPr>
                <w:rFonts w:hint="eastAsia"/>
                <w:color w:val="auto"/>
                <w:kern w:val="2"/>
                <w:sz w:val="24"/>
                <w:szCs w:val="18"/>
                <w:highlight w:val="none"/>
              </w:rPr>
              <w:t>业主单位</w:t>
            </w:r>
            <w:r>
              <w:rPr>
                <w:rFonts w:hint="eastAsia" w:cs="@仿宋_GB2312"/>
                <w:color w:val="auto"/>
                <w:kern w:val="2"/>
                <w:sz w:val="24"/>
                <w:szCs w:val="22"/>
                <w:highlight w:val="none"/>
              </w:rPr>
              <w:t>如认为有必要，可要求对上述人员中的部分人员作出更好的调整。</w:t>
            </w:r>
          </w:p>
          <w:p w14:paraId="3FD7764C">
            <w:pPr>
              <w:spacing w:line="360" w:lineRule="auto"/>
              <w:rPr>
                <w:rFonts w:cs="@仿宋_GB2312"/>
                <w:color w:val="auto"/>
                <w:kern w:val="2"/>
                <w:sz w:val="24"/>
                <w:szCs w:val="22"/>
                <w:highlight w:val="none"/>
              </w:rPr>
            </w:pPr>
            <w:r>
              <w:rPr>
                <w:rFonts w:hint="eastAsia" w:cs="@仿宋_GB2312"/>
                <w:color w:val="auto"/>
                <w:kern w:val="2"/>
                <w:sz w:val="24"/>
                <w:szCs w:val="22"/>
                <w:highlight w:val="none"/>
              </w:rPr>
              <w:t>（3）成交人未能按照承诺到岗尽职的，</w:t>
            </w:r>
            <w:r>
              <w:rPr>
                <w:rFonts w:hint="eastAsia"/>
                <w:color w:val="auto"/>
                <w:kern w:val="2"/>
                <w:sz w:val="24"/>
                <w:szCs w:val="18"/>
                <w:highlight w:val="none"/>
              </w:rPr>
              <w:t>业主单位</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rPr>
              <w:t>业主单位</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rPr>
              <w:t>业主单位</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rPr>
              <w:t>业主单位</w:t>
            </w:r>
            <w:r>
              <w:rPr>
                <w:rFonts w:hint="eastAsia" w:cs="@仿宋_GB2312"/>
                <w:color w:val="auto"/>
                <w:kern w:val="2"/>
                <w:sz w:val="24"/>
                <w:szCs w:val="22"/>
                <w:highlight w:val="none"/>
              </w:rPr>
              <w:t>的有关损失或工期延误的损失，并就此向承包人索赔。</w:t>
            </w:r>
          </w:p>
        </w:tc>
      </w:tr>
      <w:tr w14:paraId="37A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BB84658">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14:paraId="0FC32034">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14:paraId="2C04F0E3">
            <w:pPr>
              <w:spacing w:line="360" w:lineRule="auto"/>
              <w:rPr>
                <w:rFonts w:cs="@仿宋_GB2312"/>
                <w:color w:val="auto"/>
                <w:kern w:val="2"/>
                <w:sz w:val="24"/>
                <w:szCs w:val="22"/>
                <w:highlight w:val="none"/>
              </w:rPr>
            </w:pPr>
            <w:r>
              <w:rPr>
                <w:rFonts w:hint="eastAsia" w:cs="@仿宋_GB2312"/>
                <w:color w:val="auto"/>
                <w:kern w:val="2"/>
                <w:sz w:val="24"/>
                <w:szCs w:val="22"/>
                <w:highlight w:val="none"/>
              </w:rPr>
              <w:t>（1）成交人自行采购的材料应满足设计和规范要求的质量等级，并须按有关技术规范要求对材料质量进行检验。成交人选定的材料供应厂家和价格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rPr>
              <w:t>业主单位</w:t>
            </w:r>
            <w:r>
              <w:rPr>
                <w:rFonts w:hint="eastAsia" w:cs="@仿宋_GB2312"/>
                <w:color w:val="auto"/>
                <w:kern w:val="2"/>
                <w:sz w:val="24"/>
                <w:szCs w:val="22"/>
                <w:highlight w:val="none"/>
              </w:rPr>
              <w:t>和监理单位认可。如</w:t>
            </w:r>
            <w:r>
              <w:rPr>
                <w:rFonts w:hint="eastAsia"/>
                <w:color w:val="auto"/>
                <w:kern w:val="2"/>
                <w:sz w:val="24"/>
                <w:szCs w:val="18"/>
                <w:highlight w:val="none"/>
              </w:rPr>
              <w:t>业主单位</w:t>
            </w:r>
            <w:r>
              <w:rPr>
                <w:rFonts w:hint="eastAsia" w:cs="@仿宋_GB2312"/>
                <w:color w:val="auto"/>
                <w:kern w:val="2"/>
                <w:sz w:val="24"/>
                <w:szCs w:val="22"/>
                <w:highlight w:val="none"/>
              </w:rPr>
              <w:t>和监理单位对某种或某些材料的质量有异议，有权提出停止使用的要求，成交人必须服从该要求。若该材料经权威检验部门鉴定确有质量问题，由此而发生的一切费用由成交人自负。因成交人自行采购的材料质量引起的工程质量问题由成交人承担所造成的一切损失。</w:t>
            </w:r>
          </w:p>
          <w:p w14:paraId="03D5E178">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rPr>
              <w:t>业主单位</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可选用参考品牌或不低于参考品牌质量标准的其它品牌；采用其它品牌的应在响应文件中提供相关技术参数证明材料供</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小组评审，未提供相关技术参数证明材料或经</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小组评审未通过的，成交后只能从</w:t>
            </w:r>
            <w:r>
              <w:rPr>
                <w:rFonts w:hint="eastAsia"/>
                <w:color w:val="auto"/>
                <w:kern w:val="2"/>
                <w:sz w:val="24"/>
                <w:szCs w:val="18"/>
                <w:highlight w:val="none"/>
              </w:rPr>
              <w:t>业主单位</w:t>
            </w:r>
            <w:r>
              <w:rPr>
                <w:rFonts w:hint="eastAsia" w:cs="@仿宋_GB2312"/>
                <w:color w:val="auto"/>
                <w:kern w:val="2"/>
                <w:sz w:val="24"/>
                <w:szCs w:val="22"/>
                <w:highlight w:val="none"/>
              </w:rPr>
              <w:t>参考品牌中进行选择，价格不予调整。</w:t>
            </w:r>
          </w:p>
          <w:p w14:paraId="4E3B8C1C">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14:paraId="1E03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44FF6F3">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14:paraId="7CEEDAB4">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工程施工重点难点</w:t>
            </w:r>
          </w:p>
        </w:tc>
        <w:tc>
          <w:tcPr>
            <w:tcW w:w="6287" w:type="dxa"/>
            <w:vAlign w:val="center"/>
          </w:tcPr>
          <w:p w14:paraId="5ED34A81">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14:paraId="3CD1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4BAAD35">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14:paraId="3F349B4A">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14:paraId="6F7003FC">
            <w:pPr>
              <w:spacing w:line="360" w:lineRule="auto"/>
              <w:rPr>
                <w:rFonts w:cs="@仿宋_GB2312"/>
                <w:color w:val="auto"/>
                <w:kern w:val="2"/>
                <w:sz w:val="24"/>
                <w:szCs w:val="22"/>
                <w:highlight w:val="none"/>
              </w:rPr>
            </w:pPr>
            <w:r>
              <w:rPr>
                <w:rFonts w:hint="eastAsia"/>
                <w:color w:val="auto"/>
                <w:kern w:val="2"/>
                <w:sz w:val="24"/>
                <w:szCs w:val="18"/>
                <w:highlight w:val="none"/>
                <w:lang w:eastAsia="zh-CN"/>
              </w:rPr>
              <w:t>供应商</w:t>
            </w:r>
            <w:r>
              <w:rPr>
                <w:rFonts w:cs="@仿宋_GB2312"/>
                <w:bCs/>
                <w:color w:val="auto"/>
                <w:kern w:val="2"/>
                <w:sz w:val="24"/>
                <w:szCs w:val="28"/>
                <w:highlight w:val="none"/>
              </w:rPr>
              <w:t>最后报价均不得高于</w:t>
            </w:r>
            <w:r>
              <w:rPr>
                <w:rFonts w:hint="eastAsia" w:cs="@仿宋_GB2312"/>
                <w:bCs/>
                <w:color w:val="auto"/>
                <w:kern w:val="2"/>
                <w:sz w:val="24"/>
                <w:szCs w:val="28"/>
                <w:highlight w:val="none"/>
                <w:lang w:eastAsia="zh-CN"/>
              </w:rPr>
              <w:t>比选</w:t>
            </w:r>
            <w:r>
              <w:rPr>
                <w:rFonts w:cs="@仿宋_GB2312"/>
                <w:bCs/>
                <w:color w:val="auto"/>
                <w:kern w:val="2"/>
                <w:sz w:val="24"/>
                <w:szCs w:val="28"/>
                <w:highlight w:val="none"/>
              </w:rPr>
              <w:t>文件（公告）列明的项目预算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，否则其响应文件将被认定为响应无效</w:t>
            </w:r>
            <w:r>
              <w:rPr>
                <w:rFonts w:hint="eastAsia" w:cs="@仿宋_GB2312"/>
                <w:color w:val="auto"/>
                <w:kern w:val="2"/>
                <w:sz w:val="24"/>
                <w:szCs w:val="22"/>
                <w:highlight w:val="none"/>
              </w:rPr>
              <w:t>。</w:t>
            </w:r>
          </w:p>
        </w:tc>
      </w:tr>
      <w:tr w14:paraId="4F9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15161B6">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14:paraId="6B053C30">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14:paraId="746A77F1">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文件、工程量清单、最高限价（控制价）、澄清、修改、补充等相关资料均通过优质采发布，请</w:t>
            </w:r>
            <w:r>
              <w:rPr>
                <w:rFonts w:hint="eastAsia"/>
                <w:color w:val="auto"/>
                <w:kern w:val="2"/>
                <w:sz w:val="24"/>
                <w:szCs w:val="18"/>
                <w:highlight w:val="none"/>
                <w:lang w:eastAsia="zh-CN"/>
              </w:rPr>
              <w:t>供应商</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供应商</w:t>
            </w:r>
            <w:r>
              <w:rPr>
                <w:rFonts w:hint="eastAsia" w:cs="@仿宋_GB2312"/>
                <w:color w:val="auto"/>
                <w:kern w:val="2"/>
                <w:sz w:val="24"/>
                <w:szCs w:val="22"/>
                <w:highlight w:val="none"/>
              </w:rPr>
              <w:t>应当及时查看有无相关澄清、修改、补充等内容。</w:t>
            </w:r>
          </w:p>
          <w:p w14:paraId="05F3FDCE">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过程中，</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最后报价明显缺乏竞争性的，</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小组可以否决其报价。</w:t>
            </w:r>
          </w:p>
          <w:p w14:paraId="019AA6EB">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14:paraId="3A59F9DF">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供应商</w:t>
            </w:r>
            <w:r>
              <w:rPr>
                <w:rFonts w:hint="eastAsia" w:cs="@仿宋_GB2312"/>
                <w:color w:val="auto"/>
                <w:kern w:val="2"/>
                <w:sz w:val="24"/>
                <w:szCs w:val="22"/>
                <w:highlight w:val="none"/>
              </w:rPr>
              <w:t>应承诺报价中已包含</w:t>
            </w:r>
            <w:r>
              <w:rPr>
                <w:rFonts w:hint="eastAsia" w:cs="@仿宋_GB2312"/>
                <w:color w:val="auto"/>
                <w:kern w:val="2"/>
                <w:sz w:val="24"/>
                <w:szCs w:val="22"/>
                <w:highlight w:val="none"/>
                <w:lang w:eastAsia="zh-CN"/>
              </w:rPr>
              <w:t>比选</w:t>
            </w:r>
            <w:r>
              <w:rPr>
                <w:rFonts w:hint="eastAsia" w:cs="@仿宋_GB2312"/>
                <w:color w:val="auto"/>
                <w:kern w:val="2"/>
                <w:sz w:val="24"/>
                <w:szCs w:val="22"/>
                <w:highlight w:val="none"/>
              </w:rPr>
              <w:t>文件公布的施工扬尘污染防治费用和建筑工人实名制管理费用。</w:t>
            </w:r>
          </w:p>
        </w:tc>
      </w:tr>
      <w:tr w14:paraId="5E82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7B847CA">
            <w:pPr>
              <w:spacing w:line="360" w:lineRule="auto"/>
              <w:jc w:val="center"/>
              <w:rPr>
                <w:rFonts w:cs="@仿宋_GB2312"/>
                <w:color w:val="auto"/>
                <w:kern w:val="2"/>
                <w:sz w:val="24"/>
                <w:szCs w:val="22"/>
                <w:highlight w:val="none"/>
              </w:rPr>
            </w:pPr>
            <w:r>
              <w:rPr>
                <w:rFonts w:cs="@仿宋_GB2312"/>
                <w:color w:val="auto"/>
                <w:kern w:val="2"/>
                <w:sz w:val="24"/>
                <w:szCs w:val="22"/>
                <w:highlight w:val="none"/>
              </w:rPr>
              <w:t>6</w:t>
            </w:r>
          </w:p>
        </w:tc>
        <w:tc>
          <w:tcPr>
            <w:tcW w:w="1277" w:type="dxa"/>
            <w:vAlign w:val="center"/>
          </w:tcPr>
          <w:p w14:paraId="49D6F417">
            <w:pPr>
              <w:spacing w:line="360" w:lineRule="auto"/>
              <w:rPr>
                <w:rFonts w:hint="default" w:cs="@仿宋_GB2312"/>
                <w:color w:val="auto"/>
                <w:kern w:val="2"/>
                <w:sz w:val="24"/>
                <w:szCs w:val="22"/>
                <w:highlight w:val="none"/>
                <w:lang w:val="en-US"/>
              </w:rPr>
            </w:pPr>
            <w:r>
              <w:rPr>
                <w:rFonts w:hint="eastAsia"/>
                <w:color w:val="auto"/>
                <w:kern w:val="2"/>
                <w:sz w:val="24"/>
                <w:szCs w:val="22"/>
                <w:highlight w:val="none"/>
                <w:lang w:val="en-US" w:eastAsia="zh-CN"/>
              </w:rPr>
              <w:t>付款方式</w:t>
            </w:r>
          </w:p>
        </w:tc>
        <w:tc>
          <w:tcPr>
            <w:tcW w:w="6287" w:type="dxa"/>
            <w:vAlign w:val="center"/>
          </w:tcPr>
          <w:p w14:paraId="6A5FC6DA">
            <w:pPr>
              <w:spacing w:line="360" w:lineRule="auto"/>
              <w:rPr>
                <w:rFonts w:hint="default"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在具备施工条件的前提下，竣工验收合格后付款至合同金额（扣除暂列金额）的85%，结算审定完成后付至审定价款的97%，待缺陷责任期满(2年）后一次性付清。</w:t>
            </w:r>
          </w:p>
        </w:tc>
      </w:tr>
      <w:tr w14:paraId="3F33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42F26B9">
            <w:pPr>
              <w:spacing w:line="360" w:lineRule="auto"/>
              <w:jc w:val="center"/>
              <w:rPr>
                <w:rFonts w:hint="eastAsia"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7</w:t>
            </w:r>
          </w:p>
        </w:tc>
        <w:tc>
          <w:tcPr>
            <w:tcW w:w="1277" w:type="dxa"/>
            <w:vAlign w:val="center"/>
          </w:tcPr>
          <w:p w14:paraId="4C43073E">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14:paraId="58C82BDB">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后不再调整。</w:t>
            </w:r>
          </w:p>
          <w:p w14:paraId="4380FD8F">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比选</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29EB0CC1">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064E380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成交人成交</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成交人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0178E90E">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3DA5D25E">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14:paraId="42106322">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人不得以此为理由拒绝施工，否则应视为违约，</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人应承担由此造成的一切损失。</w:t>
            </w:r>
          </w:p>
          <w:p w14:paraId="0D6F72BE">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人因</w:t>
            </w:r>
            <w:r>
              <w:rPr>
                <w:rFonts w:hint="eastAsia" w:cs="Times New Roman"/>
                <w:color w:val="auto"/>
                <w:kern w:val="0"/>
                <w:sz w:val="24"/>
                <w:szCs w:val="20"/>
                <w:highlight w:val="none"/>
                <w:lang w:val="en-US" w:eastAsia="zh-CN"/>
              </w:rPr>
              <w:t>参加比选</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人不能因此提出调价或增加费用的要求。</w:t>
            </w:r>
          </w:p>
          <w:p w14:paraId="249CD74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14:paraId="0B19232D">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14:paraId="0DD8811C">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 xml:space="preserve">人施工过程中，如房建工程质量安全检查及履责行为质量安全检查涉及以下附表中的情况，按照相应标准处以违约金。 </w:t>
            </w:r>
          </w:p>
          <w:p w14:paraId="61DD06F7">
            <w:pPr>
              <w:spacing w:line="360" w:lineRule="auto"/>
              <w:ind w:firstLine="435"/>
              <w:rPr>
                <w:rFonts w:hint="default" w:ascii="宋体" w:hAnsi="宋体"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12、成交人必须无条件保证项目扬尘防治、农资维稳等政府主管部门要求事项，确保现场不发生人员斗殴等社会影响恶劣的事件，否则根据事态情况，处以500-100000元违约金。</w:t>
            </w:r>
          </w:p>
        </w:tc>
      </w:tr>
    </w:tbl>
    <w:p w14:paraId="48A497EC">
      <w:pPr>
        <w:rPr>
          <w:rFonts w:hint="eastAsia"/>
          <w:color w:val="auto"/>
          <w:sz w:val="24"/>
          <w:highlight w:val="none"/>
          <w:lang w:val="en-US" w:eastAsia="zh-CN"/>
        </w:rPr>
      </w:pPr>
    </w:p>
    <w:p w14:paraId="253FC2D4">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一、项目基本情况</w:t>
      </w:r>
    </w:p>
    <w:p w14:paraId="1BFDD784">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1、项目名称：</w:t>
      </w:r>
      <w:r>
        <w:rPr>
          <w:rFonts w:hint="eastAsia" w:cs="Times New Roman"/>
          <w:color w:val="auto"/>
          <w:kern w:val="0"/>
          <w:sz w:val="24"/>
          <w:szCs w:val="20"/>
          <w:highlight w:val="none"/>
          <w:lang w:val="en-US" w:eastAsia="zh-CN"/>
        </w:rPr>
        <w:t>肥西县花木城特色花卉农产品交易市场建设工程项目一期——室内标准化农产品交易大厅地面改造工程</w:t>
      </w:r>
    </w:p>
    <w:p w14:paraId="7C3918FC">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2、项目概况：</w:t>
      </w:r>
      <w:r>
        <w:rPr>
          <w:rFonts w:hint="eastAsia"/>
          <w:color w:val="auto"/>
          <w:sz w:val="24"/>
          <w:szCs w:val="18"/>
          <w:highlight w:val="none"/>
          <w:u w:val="none"/>
          <w:lang w:val="en-US" w:eastAsia="zh-CN"/>
        </w:rPr>
        <w:t>本项目位于中部花木城，因现状一次地面不满足交易大厅使用需求，改造面积约2300平方米，附属保安休息室约40平方米进行局部维修改造。除特殊说明外，图纸设计范围内的所有内容，均计入。</w:t>
      </w:r>
    </w:p>
    <w:p w14:paraId="3A687A64">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3、工作内容：承担项目的工程施工、竣工成果验收等全过程工作。本工程为改造项目，主要施工内容为新建运动场馆约2875㎡，内设1个全尺寸篮球场地，8个标准羽毛球场地，原保安值班室改造为男女更衣室，包括墙面、地面以及吊顶等改造，改造面积约33㎡。除特殊说明外，图纸设计范围内的所有内容，均计入。</w:t>
      </w:r>
    </w:p>
    <w:p w14:paraId="463D655A">
      <w:pPr>
        <w:spacing w:line="360" w:lineRule="auto"/>
        <w:ind w:firstLine="435"/>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二、其他需求：</w:t>
      </w:r>
    </w:p>
    <w:p w14:paraId="55EB817F">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本工程所有材料均须按业主单位要求进行封样管理。</w:t>
      </w:r>
    </w:p>
    <w:p w14:paraId="45ADA8D4">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2.</w:t>
      </w:r>
      <w:r>
        <w:rPr>
          <w:rFonts w:hint="eastAsia" w:ascii="宋体" w:hAnsi="宋体" w:eastAsia="宋体" w:cs="Times New Roman"/>
          <w:color w:val="auto"/>
          <w:kern w:val="0"/>
          <w:sz w:val="24"/>
          <w:szCs w:val="20"/>
          <w:highlight w:val="none"/>
          <w:lang w:val="en-US" w:eastAsia="zh-CN"/>
        </w:rPr>
        <w:t>凡涉及到本次比选范围内的所有试验、专家评审论证费、综合竣工验收费用、监测费（采购人委托第三方检测不在内）、二次消防验收，不在清单中单独列项，相关费用在报价中综合考虑，成交后不予调整。</w:t>
      </w:r>
    </w:p>
    <w:p w14:paraId="5D476B79">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现场垃圾拆除及清理，主要包括场区范围内及施工范围内的各种附属物、构筑物等的拆除及外运，运输距离供应商自行考虑，运距、弃土场、保洁费用、现场踏勘自行报价，需满足合肥市及工程所属城管局等相关部门的要求，且渣土运输必须釆用国四标准及以上的新型环保运输车运输。由供应商自行踏看现场，充分考虑费用列入报价，此费用不在清单中单独列项，相关费用在报价中综合考虑，成交后不予调整。</w:t>
      </w:r>
    </w:p>
    <w:p w14:paraId="7005FC20">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预留洞口封堵，含门洞、室内管、井等在内的各种管道封堵；包括但不限于防火封堵、给水、排水、供水、电气、弱电、等配套单位的洞口预埋、开洞、封堵（含一次封堵及二次封堵）、修复、清理等一切工序及费用，满足防火构造及防火封堵要求；由供应商自行踏看现场，充分考虑费用列入报价，此费用不在清单中单独列项，相关费用在报价中综合考虑，成交后不予调整。</w:t>
      </w:r>
    </w:p>
    <w:p w14:paraId="1B711EC1">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工程资料需按最新标准留存（照片、影像、视频等），文件、图纸等扫描及报审产生的费用不在清单中单独列项，相关费用在报价中综合考虑，成交后不予调整。</w:t>
      </w:r>
    </w:p>
    <w:p w14:paraId="779CA6C3">
      <w:pPr>
        <w:spacing w:line="360" w:lineRule="auto"/>
        <w:ind w:firstLine="435"/>
        <w:rPr>
          <w:rFonts w:hint="default"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建筑工程一切险：包括但不限于（1）物质损失险；在保险期间内，保障工地范围内遭受如火灾、洪水等自然灾害或意外事故造成的物质损坏或灭失，保险人按本保险合同的约定负责赔偿。（2）第三者责任险；在保险期间内，因发生与所承保工程直接相关的意外事故引起工地内及邻近区域的第三者人身伤亡、疾病或车辆、房屋等财产损失,依法应由被保险人承担的经济赔偿责任，保险人按照保险合同约定负责赔偿。清单不单独列项，费用包含在报价中，供应商综合考虑后报价，成交后不予调整。</w:t>
      </w:r>
      <w:r>
        <w:rPr>
          <w:rFonts w:hint="eastAsia" w:cs="Times New Roman"/>
          <w:color w:val="auto"/>
          <w:kern w:val="0"/>
          <w:sz w:val="24"/>
          <w:szCs w:val="20"/>
          <w:highlight w:val="none"/>
          <w:lang w:val="en-US" w:eastAsia="zh-CN"/>
        </w:rPr>
        <w:t>现场任何安全问题由中标单位自行承担。</w:t>
      </w:r>
    </w:p>
    <w:p w14:paraId="2EC83CB2">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不论施工单位采用何种施工方法及调整施工顺序造成脚手架、垂直运输机械相关费用的增加均不得以任何理由办理签证，所有费用均包含在综合单价中，成交后不予调整。</w:t>
      </w:r>
    </w:p>
    <w:p w14:paraId="709922ED">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成交单位必须确保所有材料和设备的质量，材料和设备的质量必须符合设计要求和相关规范的规定，对于项目特征描述不全的，必须满足国家标准（含推荐标准）或行业标准。不得采用贴牌或仿冒产品，否则，视为违约。</w:t>
      </w:r>
    </w:p>
    <w:p w14:paraId="3470019E">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供应商应自行踏勘现场，充分熟悉采购文件、施工图纸、清单及答疑等，同时对施工现场进行充分考察，并对施工方法、施工工艺内容、费用进行充分考虑。</w:t>
      </w:r>
    </w:p>
    <w:p w14:paraId="33118DEA">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10.</w:t>
      </w:r>
      <w:r>
        <w:rPr>
          <w:rFonts w:hint="eastAsia" w:ascii="宋体" w:hAnsi="宋体" w:eastAsia="宋体" w:cs="Times New Roman"/>
          <w:color w:val="auto"/>
          <w:kern w:val="0"/>
          <w:sz w:val="24"/>
          <w:szCs w:val="20"/>
          <w:highlight w:val="none"/>
          <w:lang w:val="en-US" w:eastAsia="zh-CN"/>
        </w:rPr>
        <w:t>供应商因响应时技术、组织措施考虑不周，不能满足工程质量及安全目标要求的，在施工中按要求调整技术、组织措施、改变工程用材、方案才能达到质量、安全目标要求时，供应商不能因此提出调价或增加费用的要求。</w:t>
      </w:r>
    </w:p>
    <w:p w14:paraId="58F0E074">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11.</w:t>
      </w:r>
      <w:r>
        <w:rPr>
          <w:rFonts w:hint="eastAsia" w:ascii="宋体" w:hAnsi="宋体" w:eastAsia="宋体" w:cs="Times New Roman"/>
          <w:color w:val="auto"/>
          <w:kern w:val="0"/>
          <w:sz w:val="24"/>
          <w:szCs w:val="20"/>
          <w:highlight w:val="none"/>
          <w:lang w:val="en-US" w:eastAsia="zh-CN"/>
        </w:rPr>
        <w:t>成交人负责对项目经理及安全员进行考勤，每月底分类形成书面材料上报业主单位，未提供相关书面材料的，处违约金1000元。 人员进场考核要求：成交人须在成交公示结束3日内完成人员选配工作，并将名单（姓名、岗位、资格、业绩、身份证号、联系方式、社保证明）上报至业主单位。</w:t>
      </w:r>
    </w:p>
    <w:p w14:paraId="27204C43">
      <w:pPr>
        <w:spacing w:line="360" w:lineRule="auto"/>
        <w:ind w:firstLine="435"/>
        <w:rPr>
          <w:rFonts w:hint="eastAsia" w:ascii="宋体" w:hAnsi="宋体" w:eastAsia="宋体" w:cs="Times New Roman"/>
          <w:color w:val="auto"/>
          <w:kern w:val="0"/>
          <w:sz w:val="24"/>
          <w:szCs w:val="20"/>
          <w:highlight w:val="none"/>
          <w:lang w:val="en-US" w:eastAsia="zh-CN"/>
        </w:rPr>
      </w:pPr>
      <w:r>
        <w:rPr>
          <w:rFonts w:hint="default" w:ascii="宋体" w:hAnsi="宋体" w:eastAsia="宋体" w:cs="Times New Roman"/>
          <w:color w:val="auto"/>
          <w:kern w:val="0"/>
          <w:sz w:val="24"/>
          <w:szCs w:val="20"/>
          <w:highlight w:val="none"/>
          <w:lang w:val="en-US" w:eastAsia="zh-CN"/>
        </w:rPr>
        <w:t>12.</w:t>
      </w:r>
      <w:r>
        <w:rPr>
          <w:rFonts w:hint="eastAsia" w:ascii="宋体" w:hAnsi="宋体" w:eastAsia="宋体" w:cs="Times New Roman"/>
          <w:color w:val="auto"/>
          <w:kern w:val="0"/>
          <w:sz w:val="24"/>
          <w:szCs w:val="20"/>
          <w:highlight w:val="none"/>
          <w:lang w:val="en-US" w:eastAsia="zh-CN"/>
        </w:rPr>
        <w:t>发包人提示：</w:t>
      </w:r>
      <w:r>
        <w:rPr>
          <w:rFonts w:hint="eastAsia"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现场</w:t>
      </w:r>
      <w:r>
        <w:rPr>
          <w:rFonts w:hint="eastAsia" w:cs="Times New Roman"/>
          <w:color w:val="auto"/>
          <w:kern w:val="0"/>
          <w:sz w:val="24"/>
          <w:szCs w:val="20"/>
          <w:highlight w:val="none"/>
          <w:lang w:val="en-US" w:eastAsia="zh-CN"/>
        </w:rPr>
        <w:t>改造区域</w:t>
      </w:r>
      <w:r>
        <w:rPr>
          <w:rFonts w:hint="eastAsia" w:ascii="宋体" w:hAnsi="宋体" w:eastAsia="宋体" w:cs="Times New Roman"/>
          <w:color w:val="auto"/>
          <w:kern w:val="0"/>
          <w:sz w:val="24"/>
          <w:szCs w:val="20"/>
          <w:highlight w:val="none"/>
          <w:lang w:val="en-US" w:eastAsia="zh-CN"/>
        </w:rPr>
        <w:t>地面存在地插、场地不平整、地面裂缝情况，供应商</w:t>
      </w:r>
      <w:r>
        <w:rPr>
          <w:rFonts w:hint="eastAsia" w:cs="Times New Roman"/>
          <w:color w:val="auto"/>
          <w:kern w:val="0"/>
          <w:sz w:val="24"/>
          <w:szCs w:val="20"/>
          <w:highlight w:val="none"/>
          <w:lang w:val="en-US" w:eastAsia="zh-CN"/>
        </w:rPr>
        <w:t>自行勘察现场，不单独列项，包含在综合报价中</w:t>
      </w:r>
      <w:r>
        <w:rPr>
          <w:rFonts w:hint="eastAsia" w:ascii="宋体" w:hAnsi="宋体" w:eastAsia="宋体" w:cs="Times New Roman"/>
          <w:color w:val="auto"/>
          <w:kern w:val="0"/>
          <w:sz w:val="24"/>
          <w:szCs w:val="20"/>
          <w:highlight w:val="none"/>
          <w:lang w:val="en-US" w:eastAsia="zh-CN"/>
        </w:rPr>
        <w:t>，成交后不予调整。</w:t>
      </w:r>
    </w:p>
    <w:p w14:paraId="6A335B71">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（2）地板改造区域自行考虑地面内部穿线管，避免破坏供电线路，相应措施自行考虑，不单独列项，包含在综合报价中</w:t>
      </w:r>
      <w:r>
        <w:rPr>
          <w:rFonts w:hint="eastAsia" w:ascii="宋体" w:hAnsi="宋体" w:eastAsia="宋体" w:cs="Times New Roman"/>
          <w:color w:val="auto"/>
          <w:kern w:val="0"/>
          <w:sz w:val="24"/>
          <w:szCs w:val="20"/>
          <w:highlight w:val="none"/>
          <w:lang w:val="en-US" w:eastAsia="zh-CN"/>
        </w:rPr>
        <w:t>，成交后不予调整。</w:t>
      </w:r>
    </w:p>
    <w:p w14:paraId="44B29BC4">
      <w:pPr>
        <w:spacing w:line="360" w:lineRule="auto"/>
        <w:ind w:firstLine="435"/>
        <w:rPr>
          <w:rFonts w:hint="default"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13.工期每延期一天，处以违约金1000元/天。质量问题每出现一次处以违约金1000元/次；安全问题每出现一次处以违约金1000元/次。</w:t>
      </w:r>
    </w:p>
    <w:p w14:paraId="70ED9AF2">
      <w:pPr>
        <w:spacing w:line="360" w:lineRule="auto"/>
        <w:ind w:firstLine="435"/>
        <w:rPr>
          <w:rFonts w:hint="default" w:cs="Times New Roman"/>
          <w:color w:val="auto"/>
          <w:kern w:val="0"/>
          <w:sz w:val="24"/>
          <w:szCs w:val="20"/>
          <w:highlight w:val="none"/>
          <w:lang w:val="en-US" w:eastAsia="zh-CN"/>
        </w:rPr>
      </w:pPr>
    </w:p>
    <w:p w14:paraId="3889F7DD">
      <w:pPr>
        <w:rPr>
          <w:rFonts w:hint="eastAsia"/>
          <w:color w:val="auto"/>
          <w:sz w:val="24"/>
          <w:highlight w:val="none"/>
          <w:lang w:val="en-US" w:eastAsia="zh-CN"/>
        </w:rPr>
      </w:pPr>
      <w:r>
        <w:rPr>
          <w:rFonts w:hint="eastAsia"/>
          <w:color w:val="auto"/>
          <w:sz w:val="24"/>
          <w:highlight w:val="none"/>
          <w:lang w:val="en-US" w:eastAsia="zh-CN"/>
        </w:rPr>
        <w:br w:type="page"/>
      </w:r>
    </w:p>
    <w:p w14:paraId="000E1F60">
      <w:pPr>
        <w:spacing w:line="360" w:lineRule="auto"/>
        <w:jc w:val="center"/>
        <w:outlineLvl w:val="0"/>
        <w:rPr>
          <w:b/>
          <w:color w:val="auto"/>
          <w:sz w:val="28"/>
          <w:highlight w:val="none"/>
        </w:rPr>
      </w:pPr>
      <w:bookmarkStart w:id="17" w:name="_Toc1048"/>
      <w:r>
        <w:rPr>
          <w:rFonts w:hint="eastAsia"/>
          <w:b/>
          <w:color w:val="auto"/>
          <w:sz w:val="28"/>
          <w:highlight w:val="none"/>
        </w:rPr>
        <w:t>第四章  评审方法和标准</w:t>
      </w:r>
      <w:bookmarkEnd w:id="17"/>
    </w:p>
    <w:p w14:paraId="22DE5D75">
      <w:pPr>
        <w:spacing w:line="360" w:lineRule="auto"/>
        <w:ind w:firstLine="437"/>
        <w:outlineLvl w:val="1"/>
        <w:rPr>
          <w:b/>
          <w:color w:val="auto"/>
          <w:sz w:val="24"/>
          <w:highlight w:val="none"/>
        </w:rPr>
      </w:pPr>
      <w:bookmarkStart w:id="18" w:name="_Toc19546"/>
      <w:r>
        <w:rPr>
          <w:rFonts w:hint="eastAsia"/>
          <w:b/>
          <w:color w:val="auto"/>
          <w:sz w:val="24"/>
          <w:highlight w:val="none"/>
        </w:rPr>
        <w:t>一、总则</w:t>
      </w:r>
      <w:bookmarkEnd w:id="18"/>
    </w:p>
    <w:p w14:paraId="67EB6DFD">
      <w:pPr>
        <w:spacing w:line="360" w:lineRule="auto"/>
        <w:ind w:firstLine="435"/>
        <w:rPr>
          <w:color w:val="auto"/>
          <w:sz w:val="24"/>
          <w:highlight w:val="none"/>
        </w:rPr>
      </w:pPr>
      <w:r>
        <w:rPr>
          <w:rFonts w:hint="eastAsia"/>
          <w:color w:val="auto"/>
          <w:sz w:val="24"/>
          <w:highlight w:val="none"/>
        </w:rPr>
        <w:t>本项目将按照</w:t>
      </w:r>
      <w:r>
        <w:rPr>
          <w:rFonts w:hint="eastAsia"/>
          <w:color w:val="auto"/>
          <w:sz w:val="24"/>
          <w:highlight w:val="none"/>
          <w:lang w:eastAsia="zh-CN"/>
        </w:rPr>
        <w:t>比选</w:t>
      </w:r>
      <w:r>
        <w:rPr>
          <w:rFonts w:hint="eastAsia"/>
          <w:color w:val="auto"/>
          <w:sz w:val="24"/>
          <w:highlight w:val="none"/>
        </w:rPr>
        <w:t xml:space="preserve">文件第二章 </w:t>
      </w:r>
      <w:r>
        <w:rPr>
          <w:rFonts w:hint="eastAsia"/>
          <w:color w:val="auto"/>
          <w:sz w:val="24"/>
          <w:szCs w:val="18"/>
          <w:highlight w:val="none"/>
          <w:lang w:eastAsia="zh-CN"/>
        </w:rPr>
        <w:t>供应商</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14:paraId="08F983C4">
      <w:pPr>
        <w:spacing w:line="360" w:lineRule="auto"/>
        <w:ind w:firstLine="437"/>
        <w:outlineLvl w:val="1"/>
        <w:rPr>
          <w:b/>
          <w:color w:val="auto"/>
          <w:sz w:val="24"/>
          <w:highlight w:val="none"/>
        </w:rPr>
      </w:pPr>
      <w:bookmarkStart w:id="19" w:name="_Toc4201"/>
      <w:r>
        <w:rPr>
          <w:rFonts w:hint="eastAsia"/>
          <w:b/>
          <w:color w:val="auto"/>
          <w:sz w:val="24"/>
          <w:highlight w:val="none"/>
        </w:rPr>
        <w:t>二、评审方法</w:t>
      </w:r>
      <w:bookmarkEnd w:id="19"/>
    </w:p>
    <w:p w14:paraId="7D8ECFFC">
      <w:pPr>
        <w:spacing w:line="360" w:lineRule="auto"/>
        <w:ind w:firstLine="435"/>
        <w:outlineLvl w:val="2"/>
        <w:rPr>
          <w:color w:val="auto"/>
          <w:sz w:val="24"/>
          <w:highlight w:val="none"/>
        </w:rPr>
      </w:pPr>
      <w:r>
        <w:rPr>
          <w:rFonts w:hint="eastAsia"/>
          <w:color w:val="auto"/>
          <w:sz w:val="24"/>
          <w:highlight w:val="none"/>
        </w:rPr>
        <w:t>2.1初审</w:t>
      </w:r>
    </w:p>
    <w:p w14:paraId="16C06614">
      <w:pPr>
        <w:spacing w:line="360" w:lineRule="auto"/>
        <w:ind w:firstLine="435"/>
        <w:rPr>
          <w:color w:val="auto"/>
          <w:sz w:val="24"/>
          <w:highlight w:val="none"/>
        </w:rPr>
      </w:pPr>
      <w:r>
        <w:rPr>
          <w:rFonts w:hint="eastAsia"/>
          <w:color w:val="auto"/>
          <w:sz w:val="24"/>
          <w:highlight w:val="none"/>
          <w:lang w:eastAsia="zh-CN"/>
        </w:rPr>
        <w:t>比选</w:t>
      </w:r>
      <w:r>
        <w:rPr>
          <w:rFonts w:hint="eastAsia"/>
          <w:color w:val="auto"/>
          <w:sz w:val="24"/>
          <w:highlight w:val="none"/>
        </w:rPr>
        <w:t>小组对</w:t>
      </w:r>
      <w:r>
        <w:rPr>
          <w:rFonts w:hint="eastAsia"/>
          <w:color w:val="auto"/>
          <w:sz w:val="24"/>
          <w:szCs w:val="18"/>
          <w:highlight w:val="none"/>
          <w:lang w:eastAsia="zh-CN"/>
        </w:rPr>
        <w:t>供应商</w:t>
      </w:r>
      <w:r>
        <w:rPr>
          <w:rFonts w:hint="eastAsia"/>
          <w:color w:val="auto"/>
          <w:sz w:val="24"/>
          <w:highlight w:val="none"/>
        </w:rPr>
        <w:t>的响应文件进行初审，以确定其是否满足</w:t>
      </w:r>
      <w:r>
        <w:rPr>
          <w:rFonts w:hint="eastAsia"/>
          <w:color w:val="auto"/>
          <w:sz w:val="24"/>
          <w:highlight w:val="none"/>
          <w:lang w:eastAsia="zh-CN"/>
        </w:rPr>
        <w:t>比选</w:t>
      </w:r>
      <w:r>
        <w:rPr>
          <w:rFonts w:hint="eastAsia"/>
          <w:color w:val="auto"/>
          <w:sz w:val="24"/>
          <w:highlight w:val="none"/>
        </w:rPr>
        <w:t>文件的实质性要求。初审表如下：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7A1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38074DE1">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14:paraId="538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79A40C85">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14:paraId="056EDBE5">
            <w:pPr>
              <w:pStyle w:val="39"/>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14:paraId="55FDC904">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14:paraId="1667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44E593F8">
            <w:pPr>
              <w:pStyle w:val="43"/>
              <w:numPr>
                <w:ilvl w:val="0"/>
                <w:numId w:val="1"/>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14:paraId="136B1FEF">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14:paraId="4B797329">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14:paraId="0039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9B170BC">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7F86AE9">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14:paraId="212AC51C">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供应商</w:t>
            </w:r>
            <w:r>
              <w:rPr>
                <w:rFonts w:hint="eastAsia"/>
                <w:color w:val="auto"/>
                <w:sz w:val="24"/>
                <w:highlight w:val="none"/>
              </w:rPr>
              <w:t>资格中本项目的特定资格要求的资质证书扫描件。</w:t>
            </w:r>
          </w:p>
        </w:tc>
      </w:tr>
      <w:tr w14:paraId="1357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790BD1B">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E08CDDB">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14:paraId="59FDFE7A">
            <w:pPr>
              <w:spacing w:line="360" w:lineRule="auto"/>
              <w:jc w:val="left"/>
              <w:rPr>
                <w:color w:val="auto"/>
                <w:sz w:val="24"/>
                <w:highlight w:val="none"/>
              </w:rPr>
            </w:pPr>
            <w:r>
              <w:rPr>
                <w:rFonts w:hint="eastAsia"/>
                <w:color w:val="auto"/>
                <w:sz w:val="24"/>
                <w:highlight w:val="none"/>
              </w:rPr>
              <w:t>提供有效的安全生产许可证扫描件。</w:t>
            </w:r>
          </w:p>
        </w:tc>
      </w:tr>
      <w:tr w14:paraId="6D6B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AE6A36F">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1655DEF">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项目经理</w:t>
            </w:r>
          </w:p>
        </w:tc>
        <w:tc>
          <w:tcPr>
            <w:tcW w:w="6149" w:type="dxa"/>
            <w:vAlign w:val="center"/>
          </w:tcPr>
          <w:p w14:paraId="38BDE179">
            <w:pPr>
              <w:spacing w:line="360" w:lineRule="auto"/>
              <w:jc w:val="left"/>
              <w:rPr>
                <w:color w:val="auto"/>
                <w:sz w:val="24"/>
                <w:highlight w:val="none"/>
              </w:rPr>
            </w:pPr>
            <w:r>
              <w:rPr>
                <w:rFonts w:hint="eastAsia"/>
                <w:color w:val="auto"/>
                <w:sz w:val="24"/>
                <w:highlight w:val="none"/>
              </w:rPr>
              <w:t>1.提供符合要求的注册建造师证书和有效的安全生产考核合格证（B证），注册单位必须是</w:t>
            </w:r>
            <w:r>
              <w:rPr>
                <w:rFonts w:hint="eastAsia"/>
                <w:color w:val="auto"/>
                <w:sz w:val="24"/>
                <w:szCs w:val="18"/>
                <w:highlight w:val="none"/>
                <w:lang w:eastAsia="zh-CN"/>
              </w:rPr>
              <w:t>供应商</w:t>
            </w:r>
            <w:r>
              <w:rPr>
                <w:rFonts w:hint="eastAsia"/>
                <w:color w:val="auto"/>
                <w:sz w:val="24"/>
                <w:highlight w:val="none"/>
              </w:rPr>
              <w:t>本单位；</w:t>
            </w:r>
          </w:p>
          <w:p w14:paraId="3BFCB4A0">
            <w:pPr>
              <w:adjustRightInd w:val="0"/>
              <w:snapToGrid w:val="0"/>
              <w:spacing w:line="360" w:lineRule="auto"/>
              <w:ind w:right="-10"/>
              <w:jc w:val="left"/>
              <w:rPr>
                <w:color w:val="auto"/>
                <w:sz w:val="24"/>
                <w:highlight w:val="none"/>
              </w:rPr>
            </w:pPr>
            <w:r>
              <w:rPr>
                <w:rFonts w:hint="eastAsia"/>
                <w:color w:val="auto"/>
                <w:sz w:val="24"/>
                <w:highlight w:val="none"/>
              </w:rPr>
              <w:t>2.提供项目经理承诺，格式后附。</w:t>
            </w:r>
          </w:p>
        </w:tc>
      </w:tr>
      <w:tr w14:paraId="4DF1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C7809EE">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150F77F2">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14:paraId="42883B45">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比选</w:t>
            </w:r>
            <w:r>
              <w:rPr>
                <w:rFonts w:hint="eastAsia"/>
                <w:color w:val="auto"/>
                <w:sz w:val="24"/>
                <w:highlight w:val="none"/>
              </w:rPr>
              <w:t>文件要求。</w:t>
            </w:r>
          </w:p>
        </w:tc>
      </w:tr>
      <w:tr w14:paraId="277C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0059A82">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1D25EE80">
            <w:pPr>
              <w:pStyle w:val="39"/>
              <w:pBdr>
                <w:bottom w:val="none" w:color="auto" w:sz="0" w:space="0"/>
              </w:pBdr>
              <w:tabs>
                <w:tab w:val="clear" w:pos="4153"/>
                <w:tab w:val="clear" w:pos="8306"/>
              </w:tabs>
              <w:snapToGrid w:val="0"/>
              <w:spacing w:line="360" w:lineRule="auto"/>
              <w:ind w:right="-10" w:rightChars="0"/>
              <w:textAlignment w:val="auto"/>
              <w:rPr>
                <w:rFonts w:hint="default" w:eastAsia="宋体"/>
                <w:color w:val="auto"/>
                <w:kern w:val="2"/>
                <w:szCs w:val="24"/>
                <w:highlight w:val="none"/>
                <w:lang w:val="en-US" w:eastAsia="zh-CN"/>
              </w:rPr>
            </w:pPr>
            <w:r>
              <w:rPr>
                <w:rFonts w:hint="eastAsia"/>
                <w:color w:val="auto"/>
                <w:highlight w:val="none"/>
                <w:lang w:val="en-US" w:eastAsia="zh-CN"/>
              </w:rPr>
              <w:t>电子交易服务费缴纳情况</w:t>
            </w:r>
          </w:p>
        </w:tc>
        <w:tc>
          <w:tcPr>
            <w:tcW w:w="6149" w:type="dxa"/>
            <w:vAlign w:val="center"/>
          </w:tcPr>
          <w:p w14:paraId="68925F4A">
            <w:pPr>
              <w:adjustRightInd w:val="0"/>
              <w:spacing w:line="360" w:lineRule="auto"/>
              <w:jc w:val="left"/>
              <w:rPr>
                <w:rFonts w:hint="eastAsia" w:eastAsia="宋体" w:cs="宋体"/>
                <w:color w:val="auto"/>
                <w:sz w:val="24"/>
                <w:szCs w:val="24"/>
                <w:highlight w:val="none"/>
                <w:lang w:eastAsia="zh-CN"/>
              </w:rPr>
            </w:pPr>
            <w:r>
              <w:rPr>
                <w:rFonts w:hint="eastAsia" w:cs="宋体"/>
                <w:color w:val="auto"/>
                <w:sz w:val="24"/>
                <w:szCs w:val="24"/>
                <w:highlight w:val="none"/>
              </w:rPr>
              <w:t>未在</w:t>
            </w:r>
            <w:r>
              <w:rPr>
                <w:rFonts w:hint="eastAsia" w:cs="宋体"/>
                <w:color w:val="auto"/>
                <w:sz w:val="24"/>
                <w:szCs w:val="24"/>
                <w:highlight w:val="none"/>
                <w:lang w:eastAsia="zh-CN"/>
              </w:rPr>
              <w:t>比选</w:t>
            </w:r>
            <w:r>
              <w:rPr>
                <w:rFonts w:hint="eastAsia" w:cs="宋体"/>
                <w:color w:val="auto"/>
                <w:sz w:val="24"/>
                <w:szCs w:val="24"/>
                <w:highlight w:val="none"/>
              </w:rPr>
              <w:t>文件获取截止时间前</w:t>
            </w:r>
            <w:r>
              <w:rPr>
                <w:rFonts w:hint="eastAsia" w:cs="宋体"/>
                <w:color w:val="auto"/>
                <w:sz w:val="24"/>
                <w:szCs w:val="24"/>
                <w:highlight w:val="none"/>
                <w:lang w:val="en-US" w:eastAsia="zh-CN"/>
              </w:rPr>
              <w:t>转入指定账户的</w:t>
            </w:r>
            <w:r>
              <w:rPr>
                <w:rFonts w:hint="eastAsia" w:cs="宋体"/>
                <w:color w:val="auto"/>
                <w:sz w:val="24"/>
                <w:szCs w:val="24"/>
                <w:highlight w:val="none"/>
              </w:rPr>
              <w:t>，其响应无效</w:t>
            </w:r>
            <w:r>
              <w:rPr>
                <w:rFonts w:hint="eastAsia" w:cs="宋体"/>
                <w:color w:val="auto"/>
                <w:sz w:val="24"/>
                <w:szCs w:val="24"/>
                <w:highlight w:val="none"/>
                <w:lang w:eastAsia="zh-CN"/>
              </w:rPr>
              <w:t>。</w:t>
            </w:r>
          </w:p>
          <w:p w14:paraId="210B8C6D">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财务查询为准，提供“缴纳凭证”。</w:t>
            </w:r>
          </w:p>
        </w:tc>
      </w:tr>
      <w:tr w14:paraId="7C93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62548B9">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3279629">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14:paraId="2CCF75DF">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比选</w:t>
            </w:r>
            <w:r>
              <w:rPr>
                <w:rFonts w:hint="eastAsia"/>
                <w:color w:val="auto"/>
                <w:sz w:val="24"/>
                <w:highlight w:val="none"/>
              </w:rPr>
              <w:t>文件要求。</w:t>
            </w:r>
          </w:p>
        </w:tc>
      </w:tr>
      <w:tr w14:paraId="0631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347C0C">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C4E3BCE">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lang w:eastAsia="zh-CN"/>
              </w:rPr>
              <w:t>比选</w:t>
            </w:r>
            <w:r>
              <w:rPr>
                <w:rFonts w:hint="eastAsia"/>
                <w:color w:val="auto"/>
                <w:highlight w:val="none"/>
              </w:rPr>
              <w:t>响应函</w:t>
            </w:r>
          </w:p>
        </w:tc>
        <w:tc>
          <w:tcPr>
            <w:tcW w:w="6149" w:type="dxa"/>
            <w:vAlign w:val="center"/>
          </w:tcPr>
          <w:p w14:paraId="57EBA8D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比选</w:t>
            </w:r>
            <w:r>
              <w:rPr>
                <w:rFonts w:hint="eastAsia"/>
                <w:color w:val="auto"/>
                <w:sz w:val="24"/>
                <w:highlight w:val="none"/>
              </w:rPr>
              <w:t>文件要求。</w:t>
            </w:r>
          </w:p>
        </w:tc>
      </w:tr>
      <w:tr w14:paraId="6CA7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6B51030">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74F29F4">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14:paraId="0C03F9F7">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比选</w:t>
            </w:r>
            <w:r>
              <w:rPr>
                <w:rFonts w:hint="eastAsia"/>
                <w:color w:val="auto"/>
                <w:sz w:val="24"/>
                <w:highlight w:val="none"/>
              </w:rPr>
              <w:t>文件要求。</w:t>
            </w:r>
          </w:p>
        </w:tc>
      </w:tr>
      <w:tr w14:paraId="3F7B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42D68C4">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9B994CB">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14:paraId="4BB1A245">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不得存在</w:t>
            </w:r>
            <w:r>
              <w:rPr>
                <w:rFonts w:hint="eastAsia"/>
                <w:color w:val="auto"/>
                <w:sz w:val="24"/>
                <w:szCs w:val="18"/>
                <w:highlight w:val="none"/>
                <w:lang w:eastAsia="zh-CN"/>
              </w:rPr>
              <w:t>供应商</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14:paraId="657D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C4BEB11">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E751A80">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14:paraId="3B8C0D26">
            <w:pPr>
              <w:adjustRightInd w:val="0"/>
              <w:snapToGrid w:val="0"/>
              <w:spacing w:line="360" w:lineRule="auto"/>
              <w:ind w:right="-10"/>
              <w:jc w:val="left"/>
              <w:rPr>
                <w:color w:val="auto"/>
                <w:sz w:val="24"/>
                <w:highlight w:val="none"/>
              </w:rPr>
            </w:pPr>
            <w:r>
              <w:rPr>
                <w:rFonts w:hint="eastAsia"/>
                <w:color w:val="auto"/>
                <w:sz w:val="24"/>
                <w:highlight w:val="none"/>
              </w:rPr>
              <w:t>符合</w:t>
            </w:r>
            <w:r>
              <w:rPr>
                <w:rFonts w:hint="eastAsia"/>
                <w:color w:val="auto"/>
                <w:sz w:val="24"/>
                <w:highlight w:val="none"/>
                <w:lang w:eastAsia="zh-CN"/>
              </w:rPr>
              <w:t>比选</w:t>
            </w:r>
            <w:r>
              <w:rPr>
                <w:rFonts w:hint="eastAsia"/>
                <w:color w:val="auto"/>
                <w:sz w:val="24"/>
                <w:highlight w:val="none"/>
              </w:rPr>
              <w:t>文件要求。</w:t>
            </w:r>
          </w:p>
        </w:tc>
      </w:tr>
      <w:tr w14:paraId="20E1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EC90422">
            <w:pPr>
              <w:pStyle w:val="43"/>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6087D2C7">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14:paraId="596A6C77">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w:t>
            </w:r>
            <w:r>
              <w:rPr>
                <w:rFonts w:hint="eastAsia"/>
                <w:color w:val="auto"/>
                <w:sz w:val="24"/>
                <w:szCs w:val="28"/>
                <w:highlight w:val="none"/>
                <w:lang w:eastAsia="zh-CN"/>
              </w:rPr>
              <w:t>比选</w:t>
            </w:r>
            <w:r>
              <w:rPr>
                <w:rFonts w:hint="eastAsia"/>
                <w:color w:val="auto"/>
                <w:sz w:val="24"/>
                <w:szCs w:val="28"/>
                <w:highlight w:val="none"/>
              </w:rPr>
              <w:t>文件列明的其他要求</w:t>
            </w:r>
          </w:p>
        </w:tc>
      </w:tr>
      <w:tr w14:paraId="646F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2E071677">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供应商</w:t>
            </w:r>
            <w:r>
              <w:rPr>
                <w:rFonts w:hint="eastAsia"/>
                <w:color w:val="auto"/>
                <w:sz w:val="24"/>
                <w:highlight w:val="none"/>
              </w:rPr>
              <w:t>必须通过上述全部指标。</w:t>
            </w:r>
          </w:p>
        </w:tc>
      </w:tr>
    </w:tbl>
    <w:p w14:paraId="0D0DF82B">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供应商</w:t>
      </w:r>
      <w:r>
        <w:rPr>
          <w:rFonts w:hint="eastAsia"/>
          <w:color w:val="auto"/>
          <w:sz w:val="24"/>
          <w:highlight w:val="none"/>
        </w:rPr>
        <w:t>必须通过初审表中的全部评审指标。</w:t>
      </w:r>
    </w:p>
    <w:p w14:paraId="0AC43064">
      <w:pPr>
        <w:spacing w:line="360" w:lineRule="auto"/>
        <w:ind w:firstLine="435"/>
        <w:outlineLvl w:val="2"/>
        <w:rPr>
          <w:b/>
          <w:color w:val="auto"/>
          <w:sz w:val="24"/>
          <w:highlight w:val="none"/>
        </w:rPr>
      </w:pPr>
      <w:r>
        <w:rPr>
          <w:rFonts w:hint="eastAsia"/>
          <w:b/>
          <w:color w:val="auto"/>
          <w:sz w:val="24"/>
          <w:highlight w:val="none"/>
        </w:rPr>
        <w:t>2.2综合评分</w:t>
      </w:r>
    </w:p>
    <w:p w14:paraId="582F568C">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lang w:eastAsia="zh-CN"/>
        </w:rPr>
        <w:t>比选</w:t>
      </w:r>
      <w:r>
        <w:rPr>
          <w:rFonts w:hint="eastAsia"/>
          <w:color w:val="auto"/>
          <w:sz w:val="24"/>
          <w:highlight w:val="none"/>
        </w:rPr>
        <w:t>小组按照下表对进入综合评分的所有</w:t>
      </w:r>
      <w:r>
        <w:rPr>
          <w:rFonts w:hint="eastAsia"/>
          <w:color w:val="auto"/>
          <w:sz w:val="24"/>
          <w:szCs w:val="18"/>
          <w:highlight w:val="none"/>
          <w:lang w:eastAsia="zh-CN"/>
        </w:rPr>
        <w:t>供应商</w:t>
      </w:r>
      <w:r>
        <w:rPr>
          <w:rFonts w:hint="eastAsia"/>
          <w:color w:val="auto"/>
          <w:sz w:val="24"/>
          <w:highlight w:val="none"/>
        </w:rPr>
        <w:t>的响应文件进行综合评分。</w:t>
      </w:r>
    </w:p>
    <w:p w14:paraId="624FD0B4">
      <w:pPr>
        <w:spacing w:line="360" w:lineRule="auto"/>
        <w:ind w:firstLine="435"/>
        <w:rPr>
          <w:b/>
          <w:bCs/>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52"/>
        <w:tblW w:w="9349"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1550"/>
        <w:gridCol w:w="5167"/>
        <w:gridCol w:w="1249"/>
      </w:tblGrid>
      <w:tr w14:paraId="5BF9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383" w:type="dxa"/>
            <w:vAlign w:val="center"/>
          </w:tcPr>
          <w:p w14:paraId="752E8201">
            <w:pPr>
              <w:adjustRightInd w:val="0"/>
              <w:snapToGrid w:val="0"/>
              <w:spacing w:line="360" w:lineRule="auto"/>
              <w:ind w:right="-10"/>
              <w:jc w:val="center"/>
              <w:rPr>
                <w:rFonts w:hint="eastAsia" w:ascii="宋体" w:hAnsi="宋体" w:eastAsia="宋体" w:cs="Times New Roman"/>
                <w:b/>
                <w:bCs/>
                <w:color w:val="auto"/>
                <w:sz w:val="24"/>
                <w:szCs w:val="28"/>
                <w:highlight w:val="none"/>
              </w:rPr>
            </w:pPr>
            <w:r>
              <w:rPr>
                <w:rFonts w:hint="eastAsia" w:ascii="宋体" w:hAnsi="宋体" w:eastAsia="宋体" w:cs="Times New Roman"/>
                <w:b/>
                <w:bCs/>
                <w:color w:val="auto"/>
                <w:sz w:val="24"/>
                <w:szCs w:val="28"/>
                <w:highlight w:val="none"/>
              </w:rPr>
              <w:t>评审内容</w:t>
            </w:r>
          </w:p>
        </w:tc>
        <w:tc>
          <w:tcPr>
            <w:tcW w:w="1550" w:type="dxa"/>
            <w:vAlign w:val="center"/>
          </w:tcPr>
          <w:p w14:paraId="58189881">
            <w:pPr>
              <w:adjustRightInd w:val="0"/>
              <w:snapToGrid w:val="0"/>
              <w:spacing w:line="360" w:lineRule="auto"/>
              <w:ind w:right="-10"/>
              <w:jc w:val="center"/>
              <w:rPr>
                <w:rFonts w:hint="eastAsia" w:ascii="宋体" w:hAnsi="宋体" w:eastAsia="宋体" w:cs="Times New Roman"/>
                <w:b/>
                <w:bCs/>
                <w:color w:val="auto"/>
                <w:sz w:val="24"/>
                <w:szCs w:val="28"/>
                <w:highlight w:val="none"/>
              </w:rPr>
            </w:pPr>
            <w:r>
              <w:rPr>
                <w:rFonts w:hint="eastAsia" w:ascii="宋体" w:hAnsi="宋体" w:eastAsia="宋体" w:cs="Times New Roman"/>
                <w:b/>
                <w:bCs/>
                <w:color w:val="auto"/>
                <w:sz w:val="24"/>
                <w:szCs w:val="28"/>
                <w:highlight w:val="none"/>
              </w:rPr>
              <w:t>评分因素</w:t>
            </w:r>
          </w:p>
        </w:tc>
        <w:tc>
          <w:tcPr>
            <w:tcW w:w="5167" w:type="dxa"/>
            <w:vAlign w:val="center"/>
          </w:tcPr>
          <w:p w14:paraId="3EAF393C">
            <w:pPr>
              <w:adjustRightInd w:val="0"/>
              <w:snapToGrid w:val="0"/>
              <w:spacing w:line="360" w:lineRule="auto"/>
              <w:ind w:right="-10"/>
              <w:jc w:val="center"/>
              <w:rPr>
                <w:rFonts w:hint="eastAsia" w:ascii="宋体" w:hAnsi="宋体" w:eastAsia="宋体" w:cs="Times New Roman"/>
                <w:b/>
                <w:bCs/>
                <w:color w:val="auto"/>
                <w:sz w:val="24"/>
                <w:szCs w:val="28"/>
                <w:highlight w:val="none"/>
              </w:rPr>
            </w:pPr>
            <w:r>
              <w:rPr>
                <w:rFonts w:hint="eastAsia" w:ascii="宋体" w:hAnsi="宋体" w:eastAsia="宋体" w:cs="Times New Roman"/>
                <w:b/>
                <w:bCs/>
                <w:color w:val="auto"/>
                <w:sz w:val="24"/>
                <w:szCs w:val="28"/>
                <w:highlight w:val="none"/>
              </w:rPr>
              <w:t>评分标准</w:t>
            </w:r>
          </w:p>
        </w:tc>
        <w:tc>
          <w:tcPr>
            <w:tcW w:w="1249" w:type="dxa"/>
            <w:vAlign w:val="center"/>
          </w:tcPr>
          <w:p w14:paraId="75758FF1">
            <w:pPr>
              <w:adjustRightInd w:val="0"/>
              <w:snapToGrid w:val="0"/>
              <w:spacing w:line="360" w:lineRule="auto"/>
              <w:ind w:right="-10"/>
              <w:jc w:val="center"/>
              <w:rPr>
                <w:rFonts w:hint="eastAsia" w:ascii="宋体" w:hAnsi="宋体" w:eastAsia="宋体" w:cs="Times New Roman"/>
                <w:b/>
                <w:bCs/>
                <w:color w:val="auto"/>
                <w:sz w:val="24"/>
                <w:szCs w:val="28"/>
                <w:highlight w:val="none"/>
              </w:rPr>
            </w:pPr>
          </w:p>
        </w:tc>
      </w:tr>
      <w:tr w14:paraId="2701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2" w:hRule="atLeast"/>
        </w:trPr>
        <w:tc>
          <w:tcPr>
            <w:tcW w:w="1383" w:type="dxa"/>
            <w:vMerge w:val="restart"/>
            <w:tcBorders>
              <w:bottom w:val="nil"/>
            </w:tcBorders>
            <w:vAlign w:val="center"/>
          </w:tcPr>
          <w:p w14:paraId="6896EED4">
            <w:pPr>
              <w:adjustRightInd w:val="0"/>
              <w:snapToGrid w:val="0"/>
              <w:spacing w:line="360" w:lineRule="auto"/>
              <w:ind w:right="-10"/>
              <w:jc w:val="center"/>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资信部分</w:t>
            </w:r>
          </w:p>
          <w:p w14:paraId="23084608">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w:t>
            </w:r>
            <w:r>
              <w:rPr>
                <w:rFonts w:hint="eastAsia" w:ascii="宋体" w:hAnsi="宋体" w:eastAsia="宋体" w:cs="Times New Roman"/>
                <w:color w:val="auto"/>
                <w:sz w:val="24"/>
                <w:szCs w:val="28"/>
                <w:highlight w:val="none"/>
                <w:lang w:val="en-US" w:eastAsia="zh-CN"/>
              </w:rPr>
              <w:t>41</w:t>
            </w:r>
            <w:r>
              <w:rPr>
                <w:rFonts w:hint="eastAsia" w:ascii="宋体" w:hAnsi="宋体" w:eastAsia="宋体" w:cs="Times New Roman"/>
                <w:color w:val="auto"/>
                <w:sz w:val="24"/>
                <w:szCs w:val="28"/>
                <w:highlight w:val="none"/>
              </w:rPr>
              <w:t>分)</w:t>
            </w:r>
          </w:p>
        </w:tc>
        <w:tc>
          <w:tcPr>
            <w:tcW w:w="1550" w:type="dxa"/>
            <w:vAlign w:val="center"/>
          </w:tcPr>
          <w:p w14:paraId="237E13DF">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企业业绩</w:t>
            </w:r>
          </w:p>
        </w:tc>
        <w:tc>
          <w:tcPr>
            <w:tcW w:w="5167" w:type="dxa"/>
            <w:vAlign w:val="top"/>
          </w:tcPr>
          <w:p w14:paraId="5DE64FA1">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自2022年1月1日以来（以合同签订时间为准),</w:t>
            </w:r>
            <w:r>
              <w:rPr>
                <w:rFonts w:hint="eastAsia" w:ascii="宋体" w:hAnsi="宋体" w:eastAsia="宋体" w:cs="Times New Roman"/>
                <w:color w:val="auto"/>
                <w:sz w:val="24"/>
                <w:szCs w:val="28"/>
                <w:highlight w:val="none"/>
                <w:lang w:val="en-US" w:eastAsia="zh-CN"/>
              </w:rPr>
              <w:t>供应商</w:t>
            </w:r>
            <w:r>
              <w:rPr>
                <w:rFonts w:hint="eastAsia" w:ascii="宋体" w:hAnsi="宋体" w:eastAsia="宋体" w:cs="Times New Roman"/>
                <w:color w:val="auto"/>
                <w:sz w:val="24"/>
                <w:szCs w:val="28"/>
                <w:highlight w:val="none"/>
              </w:rPr>
              <w:t>具有</w:t>
            </w:r>
            <w:r>
              <w:rPr>
                <w:rFonts w:hint="eastAsia" w:ascii="宋体" w:hAnsi="宋体" w:eastAsia="宋体" w:cs="Times New Roman"/>
                <w:color w:val="auto"/>
                <w:sz w:val="24"/>
                <w:szCs w:val="28"/>
                <w:highlight w:val="none"/>
                <w:lang w:eastAsia="zh-CN"/>
              </w:rPr>
              <w:t>运动场</w:t>
            </w:r>
            <w:r>
              <w:rPr>
                <w:rFonts w:hint="eastAsia" w:ascii="宋体" w:hAnsi="宋体" w:eastAsia="宋体" w:cs="Times New Roman"/>
                <w:color w:val="auto"/>
                <w:sz w:val="24"/>
                <w:szCs w:val="28"/>
                <w:highlight w:val="none"/>
                <w:lang w:val="en-US" w:eastAsia="zh-CN"/>
              </w:rPr>
              <w:t>地（场所）改造</w:t>
            </w:r>
            <w:r>
              <w:rPr>
                <w:rFonts w:hint="eastAsia" w:ascii="宋体" w:hAnsi="宋体" w:eastAsia="宋体" w:cs="Times New Roman"/>
                <w:color w:val="auto"/>
                <w:sz w:val="24"/>
                <w:szCs w:val="28"/>
                <w:highlight w:val="none"/>
                <w:lang w:eastAsia="zh-CN"/>
              </w:rPr>
              <w:t>或维修</w:t>
            </w:r>
            <w:r>
              <w:rPr>
                <w:rFonts w:hint="eastAsia" w:ascii="宋体" w:hAnsi="宋体" w:eastAsia="宋体" w:cs="Times New Roman"/>
                <w:color w:val="auto"/>
                <w:sz w:val="24"/>
                <w:szCs w:val="28"/>
                <w:highlight w:val="none"/>
              </w:rPr>
              <w:t>业绩的，每提供一个得</w:t>
            </w:r>
            <w:r>
              <w:rPr>
                <w:rFonts w:hint="eastAsia" w:ascii="宋体" w:hAnsi="宋体" w:eastAsia="宋体" w:cs="Times New Roman"/>
                <w:color w:val="auto"/>
                <w:sz w:val="24"/>
                <w:szCs w:val="28"/>
                <w:highlight w:val="none"/>
                <w:lang w:val="en-US" w:eastAsia="zh-CN"/>
              </w:rPr>
              <w:t>3</w:t>
            </w:r>
            <w:r>
              <w:rPr>
                <w:rFonts w:hint="eastAsia" w:ascii="宋体" w:hAnsi="宋体" w:eastAsia="宋体" w:cs="Times New Roman"/>
                <w:color w:val="auto"/>
                <w:sz w:val="24"/>
                <w:szCs w:val="28"/>
                <w:highlight w:val="none"/>
              </w:rPr>
              <w:t>分，满分12分。</w:t>
            </w:r>
          </w:p>
          <w:p w14:paraId="0854D3B8">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w:t>
            </w:r>
          </w:p>
          <w:p w14:paraId="3FA03B31">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1、响应文件中提供中标网址及中标信息查询截图、中标通知书、施工合同及竣工验收证明文件（竣工验收证明文件）；</w:t>
            </w:r>
          </w:p>
          <w:p w14:paraId="363EC8C1">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2、</w:t>
            </w:r>
            <w:r>
              <w:rPr>
                <w:rFonts w:hint="eastAsia" w:ascii="宋体" w:hAnsi="宋体" w:eastAsia="宋体" w:cs="Times New Roman"/>
                <w:color w:val="auto"/>
                <w:sz w:val="24"/>
                <w:szCs w:val="28"/>
                <w:highlight w:val="none"/>
              </w:rPr>
              <w:t>以上涉及到的证明资料应完整或能充分反映评审因素（如合同签订时间、合同内容等），如不能体现评审要求，另提供业主单位（甲方）出具的能体现评审要求的证明材料扫描件或影印件。</w:t>
            </w:r>
          </w:p>
        </w:tc>
        <w:tc>
          <w:tcPr>
            <w:tcW w:w="1249" w:type="dxa"/>
            <w:vAlign w:val="center"/>
          </w:tcPr>
          <w:p w14:paraId="33996116">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0-12分</w:t>
            </w:r>
          </w:p>
        </w:tc>
      </w:tr>
      <w:tr w14:paraId="5EC5C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0" w:hRule="atLeast"/>
        </w:trPr>
        <w:tc>
          <w:tcPr>
            <w:tcW w:w="1383" w:type="dxa"/>
            <w:vMerge w:val="continue"/>
            <w:tcBorders>
              <w:top w:val="nil"/>
              <w:bottom w:val="nil"/>
            </w:tcBorders>
            <w:vAlign w:val="top"/>
          </w:tcPr>
          <w:p w14:paraId="49C2E31D">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2287C1B5">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项目经理业绩</w:t>
            </w:r>
          </w:p>
        </w:tc>
        <w:tc>
          <w:tcPr>
            <w:tcW w:w="5167" w:type="dxa"/>
            <w:vAlign w:val="top"/>
          </w:tcPr>
          <w:p w14:paraId="63603BBC">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自2022年1月1日以来（以合同签订时间为准),拟派项目经理具有</w:t>
            </w:r>
            <w:r>
              <w:rPr>
                <w:rFonts w:hint="eastAsia" w:ascii="宋体" w:hAnsi="宋体" w:eastAsia="宋体" w:cs="Times New Roman"/>
                <w:color w:val="auto"/>
                <w:sz w:val="24"/>
                <w:szCs w:val="28"/>
                <w:highlight w:val="none"/>
                <w:lang w:eastAsia="zh-CN"/>
              </w:rPr>
              <w:t>运动场</w:t>
            </w:r>
            <w:r>
              <w:rPr>
                <w:rFonts w:hint="eastAsia" w:ascii="宋体" w:hAnsi="宋体" w:eastAsia="宋体" w:cs="Times New Roman"/>
                <w:color w:val="auto"/>
                <w:sz w:val="24"/>
                <w:szCs w:val="28"/>
                <w:highlight w:val="none"/>
                <w:lang w:val="en-US" w:eastAsia="zh-CN"/>
              </w:rPr>
              <w:t>地（场所）改造</w:t>
            </w:r>
            <w:r>
              <w:rPr>
                <w:rFonts w:hint="eastAsia" w:ascii="宋体" w:hAnsi="宋体" w:eastAsia="宋体" w:cs="Times New Roman"/>
                <w:color w:val="auto"/>
                <w:sz w:val="24"/>
                <w:szCs w:val="28"/>
                <w:highlight w:val="none"/>
                <w:lang w:eastAsia="zh-CN"/>
              </w:rPr>
              <w:t>或维修</w:t>
            </w:r>
            <w:r>
              <w:rPr>
                <w:rFonts w:hint="eastAsia" w:ascii="宋体" w:hAnsi="宋体" w:eastAsia="宋体" w:cs="Times New Roman"/>
                <w:color w:val="auto"/>
                <w:sz w:val="24"/>
                <w:szCs w:val="28"/>
                <w:highlight w:val="none"/>
              </w:rPr>
              <w:t>业绩的</w:t>
            </w:r>
            <w:r>
              <w:rPr>
                <w:rFonts w:hint="eastAsia" w:ascii="宋体" w:hAnsi="宋体" w:eastAsia="宋体" w:cs="Times New Roman"/>
                <w:color w:val="auto"/>
                <w:sz w:val="24"/>
                <w:szCs w:val="28"/>
                <w:highlight w:val="none"/>
                <w:lang w:eastAsia="zh-CN"/>
              </w:rPr>
              <w:t>（</w:t>
            </w:r>
            <w:r>
              <w:rPr>
                <w:rFonts w:hint="eastAsia" w:ascii="宋体" w:hAnsi="宋体" w:eastAsia="宋体" w:cs="Times New Roman"/>
                <w:color w:val="auto"/>
                <w:sz w:val="24"/>
                <w:szCs w:val="28"/>
                <w:highlight w:val="none"/>
                <w:lang w:val="en-US" w:eastAsia="zh-CN"/>
              </w:rPr>
              <w:t>须在业绩中担任项目经理</w:t>
            </w:r>
            <w:r>
              <w:rPr>
                <w:rFonts w:hint="eastAsia" w:ascii="宋体" w:hAnsi="宋体" w:eastAsia="宋体" w:cs="Times New Roman"/>
                <w:color w:val="auto"/>
                <w:sz w:val="24"/>
                <w:szCs w:val="28"/>
                <w:highlight w:val="none"/>
                <w:lang w:eastAsia="zh-CN"/>
              </w:rPr>
              <w:t>）</w:t>
            </w:r>
            <w:r>
              <w:rPr>
                <w:rFonts w:hint="eastAsia" w:ascii="宋体" w:hAnsi="宋体" w:eastAsia="宋体" w:cs="Times New Roman"/>
                <w:color w:val="auto"/>
                <w:sz w:val="24"/>
                <w:szCs w:val="28"/>
                <w:highlight w:val="none"/>
              </w:rPr>
              <w:t>，每提供一个得</w:t>
            </w:r>
            <w:r>
              <w:rPr>
                <w:rFonts w:hint="eastAsia" w:ascii="宋体" w:hAnsi="宋体" w:eastAsia="宋体" w:cs="Times New Roman"/>
                <w:color w:val="auto"/>
                <w:sz w:val="24"/>
                <w:szCs w:val="28"/>
                <w:highlight w:val="none"/>
                <w:lang w:val="en-US" w:eastAsia="zh-CN"/>
              </w:rPr>
              <w:t>3</w:t>
            </w:r>
            <w:r>
              <w:rPr>
                <w:rFonts w:hint="eastAsia" w:ascii="宋体" w:hAnsi="宋体" w:eastAsia="宋体" w:cs="Times New Roman"/>
                <w:color w:val="auto"/>
                <w:sz w:val="24"/>
                <w:szCs w:val="28"/>
                <w:highlight w:val="none"/>
              </w:rPr>
              <w:t>分，满分12分。</w:t>
            </w:r>
          </w:p>
          <w:p w14:paraId="04E93C3D">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w:t>
            </w:r>
          </w:p>
          <w:p w14:paraId="4A18B368">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1、响应文件中提供中标网址及中标信息查询截图、中标通知书、施工合同及竣工验收证明文件（竣工验收证明文件）；</w:t>
            </w:r>
          </w:p>
          <w:p w14:paraId="29A4D0BD">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2、</w:t>
            </w:r>
            <w:r>
              <w:rPr>
                <w:rFonts w:hint="eastAsia" w:ascii="宋体" w:hAnsi="宋体" w:eastAsia="宋体" w:cs="Times New Roman"/>
                <w:color w:val="auto"/>
                <w:sz w:val="24"/>
                <w:szCs w:val="28"/>
                <w:highlight w:val="none"/>
              </w:rPr>
              <w:t>以上涉及到的证明资料应完整或能充分反映评审因素（如合同签订时间、合同内容等），如不能体现评审要求，另提供业主单位（甲方）出具的能体现评审要求的证明材料扫描件或影印件。</w:t>
            </w:r>
          </w:p>
        </w:tc>
        <w:tc>
          <w:tcPr>
            <w:tcW w:w="1249" w:type="dxa"/>
            <w:vAlign w:val="center"/>
          </w:tcPr>
          <w:p w14:paraId="0EBA764B">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0-12分</w:t>
            </w:r>
          </w:p>
        </w:tc>
      </w:tr>
      <w:tr w14:paraId="3C46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1383" w:type="dxa"/>
            <w:vMerge w:val="continue"/>
            <w:tcBorders>
              <w:top w:val="nil"/>
              <w:bottom w:val="nil"/>
            </w:tcBorders>
            <w:vAlign w:val="top"/>
          </w:tcPr>
          <w:p w14:paraId="36763F4C">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6BA60696">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人员配备</w:t>
            </w:r>
          </w:p>
          <w:p w14:paraId="708854EE">
            <w:pPr>
              <w:adjustRightInd w:val="0"/>
              <w:snapToGrid w:val="0"/>
              <w:spacing w:line="360" w:lineRule="auto"/>
              <w:ind w:right="-10"/>
              <w:jc w:val="center"/>
              <w:rPr>
                <w:rFonts w:hint="eastAsia" w:ascii="宋体" w:hAnsi="宋体" w:eastAsia="宋体" w:cs="Times New Roman"/>
                <w:color w:val="auto"/>
                <w:sz w:val="24"/>
                <w:szCs w:val="28"/>
                <w:highlight w:val="none"/>
              </w:rPr>
            </w:pPr>
          </w:p>
        </w:tc>
        <w:tc>
          <w:tcPr>
            <w:tcW w:w="5167" w:type="dxa"/>
            <w:vAlign w:val="top"/>
          </w:tcPr>
          <w:p w14:paraId="79473CA2">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一、拟为本项目配备的项目经理（1人），具有中级及以上职称证书得2分，最高得2分。</w:t>
            </w:r>
          </w:p>
          <w:p w14:paraId="53B263BE">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二、拟为本项目配备的技术负责人（1人），具有高级及以上职称证书得3分，具有中级职称证书得2分，最高得3分。</w:t>
            </w:r>
          </w:p>
          <w:p w14:paraId="278869BD">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三、拟为本项目配备的其他人员（除项目经理和技</w:t>
            </w:r>
          </w:p>
          <w:p w14:paraId="6790CB88">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术负责人外），具有中级及以上职称证书的，每提供</w:t>
            </w:r>
            <w:r>
              <w:rPr>
                <w:rFonts w:hint="default" w:ascii="宋体" w:hAnsi="宋体" w:eastAsia="宋体" w:cs="Times New Roman"/>
                <w:color w:val="auto"/>
                <w:sz w:val="24"/>
                <w:szCs w:val="28"/>
                <w:highlight w:val="none"/>
                <w:lang w:val="en-US" w:eastAsia="zh-CN"/>
              </w:rPr>
              <w:t>1</w:t>
            </w:r>
            <w:r>
              <w:rPr>
                <w:rFonts w:hint="eastAsia" w:ascii="宋体" w:hAnsi="宋体" w:eastAsia="宋体" w:cs="Times New Roman"/>
                <w:color w:val="auto"/>
                <w:sz w:val="24"/>
                <w:szCs w:val="28"/>
                <w:highlight w:val="none"/>
                <w:lang w:val="en-US" w:eastAsia="zh-CN"/>
              </w:rPr>
              <w:t>个得2分。最高得6分。</w:t>
            </w:r>
          </w:p>
          <w:p w14:paraId="6A03C648">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注：响应文件中提供上述人员证书扫描件或影印件，同时提供供应商为其缴纳的自2025年1月1日以来任意连续三个月的社保证明材料（至少包含养老保险），未提供或提供不全的不得分。</w:t>
            </w:r>
          </w:p>
        </w:tc>
        <w:tc>
          <w:tcPr>
            <w:tcW w:w="1249" w:type="dxa"/>
            <w:vAlign w:val="center"/>
          </w:tcPr>
          <w:p w14:paraId="6DCA6156">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0-11分</w:t>
            </w:r>
          </w:p>
        </w:tc>
      </w:tr>
      <w:tr w14:paraId="418E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1383" w:type="dxa"/>
            <w:vMerge w:val="continue"/>
            <w:tcBorders>
              <w:top w:val="nil"/>
            </w:tcBorders>
            <w:vAlign w:val="top"/>
          </w:tcPr>
          <w:p w14:paraId="66EB5A4C">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747693FB">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体系认证</w:t>
            </w:r>
          </w:p>
        </w:tc>
        <w:tc>
          <w:tcPr>
            <w:tcW w:w="5167" w:type="dxa"/>
            <w:vAlign w:val="top"/>
          </w:tcPr>
          <w:p w14:paraId="10181038">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lang w:val="en-US" w:eastAsia="zh-CN"/>
              </w:rPr>
              <w:t>供应商</w:t>
            </w:r>
            <w:r>
              <w:rPr>
                <w:rFonts w:hint="eastAsia" w:ascii="宋体" w:hAnsi="宋体" w:eastAsia="宋体" w:cs="Times New Roman"/>
                <w:color w:val="auto"/>
                <w:sz w:val="24"/>
                <w:szCs w:val="28"/>
                <w:highlight w:val="none"/>
              </w:rPr>
              <w:t>须具有经中国国家认证认可监督管理委员会认证机构颁发的有效的环境管理体系认证、职业健康安全管理体系认证、质量管理体系认证，每有1个认证证书的得</w:t>
            </w:r>
            <w:r>
              <w:rPr>
                <w:rFonts w:hint="eastAsia" w:ascii="宋体" w:hAnsi="宋体" w:eastAsia="宋体" w:cs="Times New Roman"/>
                <w:color w:val="auto"/>
                <w:sz w:val="24"/>
                <w:szCs w:val="28"/>
                <w:highlight w:val="none"/>
                <w:lang w:val="en-US" w:eastAsia="zh-CN"/>
              </w:rPr>
              <w:t>2</w:t>
            </w:r>
            <w:r>
              <w:rPr>
                <w:rFonts w:hint="eastAsia" w:ascii="宋体" w:hAnsi="宋体" w:eastAsia="宋体" w:cs="Times New Roman"/>
                <w:color w:val="auto"/>
                <w:sz w:val="24"/>
                <w:szCs w:val="28"/>
                <w:highlight w:val="none"/>
              </w:rPr>
              <w:t>分，满分</w:t>
            </w:r>
            <w:r>
              <w:rPr>
                <w:rFonts w:hint="eastAsia" w:ascii="宋体" w:hAnsi="宋体" w:eastAsia="宋体" w:cs="Times New Roman"/>
                <w:color w:val="auto"/>
                <w:sz w:val="24"/>
                <w:szCs w:val="28"/>
                <w:highlight w:val="none"/>
                <w:lang w:val="en-US" w:eastAsia="zh-CN"/>
              </w:rPr>
              <w:t>6</w:t>
            </w:r>
            <w:r>
              <w:rPr>
                <w:rFonts w:hint="eastAsia" w:ascii="宋体" w:hAnsi="宋体" w:eastAsia="宋体" w:cs="Times New Roman"/>
                <w:color w:val="auto"/>
                <w:sz w:val="24"/>
                <w:szCs w:val="28"/>
                <w:highlight w:val="none"/>
              </w:rPr>
              <w:t>分。</w:t>
            </w:r>
          </w:p>
          <w:p w14:paraId="2FC004FB">
            <w:pPr>
              <w:adjustRightInd w:val="0"/>
              <w:snapToGrid w:val="0"/>
              <w:spacing w:line="360" w:lineRule="auto"/>
              <w:ind w:right="-10"/>
              <w:jc w:val="both"/>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w:t>
            </w:r>
            <w:r>
              <w:rPr>
                <w:rFonts w:hint="eastAsia" w:ascii="宋体" w:hAnsi="宋体" w:eastAsia="宋体" w:cs="Times New Roman"/>
                <w:color w:val="auto"/>
                <w:sz w:val="24"/>
                <w:szCs w:val="28"/>
                <w:highlight w:val="none"/>
                <w:lang w:val="en-US" w:eastAsia="zh-CN"/>
              </w:rPr>
              <w:t>响应</w:t>
            </w:r>
            <w:r>
              <w:rPr>
                <w:rFonts w:hint="eastAsia" w:ascii="宋体" w:hAnsi="宋体" w:eastAsia="宋体" w:cs="Times New Roman"/>
                <w:color w:val="auto"/>
                <w:sz w:val="24"/>
                <w:szCs w:val="28"/>
                <w:highlight w:val="none"/>
              </w:rPr>
              <w:t>文件中须提供相关认证证书扫描件或影印件和中国国家认证认可监督管理委员会官网证书查询截图；未提供不得分。</w:t>
            </w:r>
          </w:p>
        </w:tc>
        <w:tc>
          <w:tcPr>
            <w:tcW w:w="1249" w:type="dxa"/>
            <w:vAlign w:val="center"/>
          </w:tcPr>
          <w:p w14:paraId="7A11B09F">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0-6分</w:t>
            </w:r>
          </w:p>
        </w:tc>
      </w:tr>
      <w:tr w14:paraId="492B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383" w:type="dxa"/>
            <w:vMerge w:val="restart"/>
            <w:tcBorders>
              <w:bottom w:val="nil"/>
            </w:tcBorders>
            <w:vAlign w:val="top"/>
          </w:tcPr>
          <w:p w14:paraId="2CF0038F">
            <w:pPr>
              <w:adjustRightInd w:val="0"/>
              <w:snapToGrid w:val="0"/>
              <w:spacing w:line="360" w:lineRule="auto"/>
              <w:ind w:right="-10"/>
              <w:jc w:val="left"/>
              <w:rPr>
                <w:rFonts w:hint="eastAsia" w:ascii="宋体" w:hAnsi="宋体" w:eastAsia="宋体" w:cs="Times New Roman"/>
                <w:color w:val="auto"/>
                <w:sz w:val="24"/>
                <w:szCs w:val="28"/>
                <w:highlight w:val="none"/>
              </w:rPr>
            </w:pPr>
          </w:p>
          <w:p w14:paraId="62D2A834">
            <w:pPr>
              <w:adjustRightInd w:val="0"/>
              <w:snapToGrid w:val="0"/>
              <w:spacing w:line="360" w:lineRule="auto"/>
              <w:ind w:right="-10"/>
              <w:jc w:val="left"/>
              <w:rPr>
                <w:rFonts w:hint="eastAsia" w:ascii="宋体" w:hAnsi="宋体" w:eastAsia="宋体" w:cs="Times New Roman"/>
                <w:color w:val="auto"/>
                <w:sz w:val="24"/>
                <w:szCs w:val="28"/>
                <w:highlight w:val="none"/>
              </w:rPr>
            </w:pPr>
          </w:p>
          <w:p w14:paraId="1C1E0EBC">
            <w:pPr>
              <w:adjustRightInd w:val="0"/>
              <w:snapToGrid w:val="0"/>
              <w:spacing w:line="360" w:lineRule="auto"/>
              <w:ind w:right="-10"/>
              <w:jc w:val="left"/>
              <w:rPr>
                <w:rFonts w:hint="eastAsia" w:ascii="宋体" w:hAnsi="宋体" w:eastAsia="宋体" w:cs="Times New Roman"/>
                <w:color w:val="auto"/>
                <w:sz w:val="24"/>
                <w:szCs w:val="28"/>
                <w:highlight w:val="none"/>
              </w:rPr>
            </w:pPr>
          </w:p>
          <w:p w14:paraId="3C9F5A86">
            <w:pPr>
              <w:adjustRightInd w:val="0"/>
              <w:snapToGrid w:val="0"/>
              <w:spacing w:line="360" w:lineRule="auto"/>
              <w:ind w:right="-10"/>
              <w:jc w:val="left"/>
              <w:rPr>
                <w:rFonts w:hint="eastAsia" w:ascii="宋体" w:hAnsi="宋体" w:eastAsia="宋体" w:cs="Times New Roman"/>
                <w:color w:val="auto"/>
                <w:sz w:val="24"/>
                <w:szCs w:val="28"/>
                <w:highlight w:val="none"/>
              </w:rPr>
            </w:pPr>
          </w:p>
          <w:p w14:paraId="603F8650">
            <w:pPr>
              <w:adjustRightInd w:val="0"/>
              <w:snapToGrid w:val="0"/>
              <w:spacing w:line="360" w:lineRule="auto"/>
              <w:ind w:right="-10"/>
              <w:jc w:val="left"/>
              <w:rPr>
                <w:rFonts w:hint="eastAsia" w:ascii="宋体" w:hAnsi="宋体" w:eastAsia="宋体" w:cs="Times New Roman"/>
                <w:color w:val="auto"/>
                <w:sz w:val="24"/>
                <w:szCs w:val="28"/>
                <w:highlight w:val="none"/>
              </w:rPr>
            </w:pPr>
          </w:p>
          <w:p w14:paraId="1ECBF3CD">
            <w:pPr>
              <w:adjustRightInd w:val="0"/>
              <w:snapToGrid w:val="0"/>
              <w:spacing w:line="360" w:lineRule="auto"/>
              <w:ind w:right="-10"/>
              <w:jc w:val="left"/>
              <w:rPr>
                <w:rFonts w:hint="eastAsia" w:ascii="宋体" w:hAnsi="宋体" w:eastAsia="宋体" w:cs="Times New Roman"/>
                <w:color w:val="auto"/>
                <w:sz w:val="24"/>
                <w:szCs w:val="28"/>
                <w:highlight w:val="none"/>
              </w:rPr>
            </w:pPr>
          </w:p>
          <w:p w14:paraId="78221C4B">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技术部分</w:t>
            </w:r>
          </w:p>
          <w:p w14:paraId="1B0EBA47">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w:t>
            </w:r>
            <w:r>
              <w:rPr>
                <w:rFonts w:hint="eastAsia" w:ascii="宋体" w:hAnsi="宋体" w:eastAsia="宋体" w:cs="Times New Roman"/>
                <w:color w:val="auto"/>
                <w:sz w:val="24"/>
                <w:szCs w:val="28"/>
                <w:highlight w:val="none"/>
                <w:lang w:val="en-US" w:eastAsia="zh-CN"/>
              </w:rPr>
              <w:t>49</w:t>
            </w:r>
            <w:r>
              <w:rPr>
                <w:rFonts w:hint="eastAsia" w:ascii="宋体" w:hAnsi="宋体" w:eastAsia="宋体" w:cs="Times New Roman"/>
                <w:color w:val="auto"/>
                <w:sz w:val="24"/>
                <w:szCs w:val="28"/>
                <w:highlight w:val="none"/>
              </w:rPr>
              <w:t>分)</w:t>
            </w:r>
          </w:p>
        </w:tc>
        <w:tc>
          <w:tcPr>
            <w:tcW w:w="1550" w:type="dxa"/>
            <w:vAlign w:val="center"/>
          </w:tcPr>
          <w:p w14:paraId="2C6A1A03">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主要施工方案与技术措施</w:t>
            </w:r>
          </w:p>
        </w:tc>
        <w:tc>
          <w:tcPr>
            <w:tcW w:w="5167" w:type="dxa"/>
            <w:vAlign w:val="top"/>
          </w:tcPr>
          <w:p w14:paraId="275CE498">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主要分部施工方法符合项目实际，须有详尽的施工技术方案。工艺先进、方法科学合理、可行，能指导具体施工并确保安全。对项目关键技术、工艺有深入的表述，对重点、难点有先进、合理的建议，解决方案完整、经济、安全、切实可行，措施得力。评委横向比较，酌情打分。</w:t>
            </w:r>
          </w:p>
        </w:tc>
        <w:tc>
          <w:tcPr>
            <w:tcW w:w="1249" w:type="dxa"/>
            <w:vAlign w:val="center"/>
          </w:tcPr>
          <w:p w14:paraId="2829E0DD">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0-15分</w:t>
            </w:r>
          </w:p>
        </w:tc>
      </w:tr>
      <w:tr w14:paraId="0608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9" w:hRule="atLeast"/>
        </w:trPr>
        <w:tc>
          <w:tcPr>
            <w:tcW w:w="1383" w:type="dxa"/>
            <w:vMerge w:val="continue"/>
            <w:tcBorders>
              <w:top w:val="nil"/>
              <w:bottom w:val="nil"/>
            </w:tcBorders>
            <w:vAlign w:val="top"/>
          </w:tcPr>
          <w:p w14:paraId="385CA8F4">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0FCC46C6">
            <w:pPr>
              <w:adjustRightInd w:val="0"/>
              <w:snapToGrid w:val="0"/>
              <w:spacing w:line="360" w:lineRule="auto"/>
              <w:ind w:right="-10"/>
              <w:jc w:val="center"/>
              <w:rPr>
                <w:rFonts w:hint="eastAsia" w:ascii="宋体" w:hAnsi="宋体" w:eastAsia="宋体" w:cs="Times New Roman"/>
                <w:color w:val="auto"/>
                <w:sz w:val="24"/>
                <w:szCs w:val="28"/>
                <w:highlight w:val="none"/>
              </w:rPr>
            </w:pPr>
          </w:p>
          <w:p w14:paraId="609A521B">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质量方案与措施</w:t>
            </w:r>
          </w:p>
        </w:tc>
        <w:tc>
          <w:tcPr>
            <w:tcW w:w="5167" w:type="dxa"/>
            <w:vAlign w:val="top"/>
          </w:tcPr>
          <w:p w14:paraId="3B8751D0">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施工项目有专门的质量技术管理班子和制度，且人员配备合理，制度健全。主要工序有针对性强的质量技术保证措施和手段，自控体系完整，能有效保证技术质量，达到承诺的质量标准。评委横向比较，酌情打分。</w:t>
            </w:r>
          </w:p>
        </w:tc>
        <w:tc>
          <w:tcPr>
            <w:tcW w:w="1249" w:type="dxa"/>
            <w:vAlign w:val="center"/>
          </w:tcPr>
          <w:p w14:paraId="2367A2EF">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0-9分</w:t>
            </w:r>
          </w:p>
        </w:tc>
      </w:tr>
      <w:tr w14:paraId="3ED2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83" w:type="dxa"/>
            <w:vMerge w:val="continue"/>
            <w:tcBorders>
              <w:top w:val="nil"/>
              <w:bottom w:val="nil"/>
            </w:tcBorders>
            <w:vAlign w:val="top"/>
          </w:tcPr>
          <w:p w14:paraId="5F058830">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4A43347F">
            <w:pPr>
              <w:adjustRightInd w:val="0"/>
              <w:snapToGrid w:val="0"/>
              <w:spacing w:line="360" w:lineRule="auto"/>
              <w:ind w:right="-10"/>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工期、进度方案与措施</w:t>
            </w:r>
          </w:p>
        </w:tc>
        <w:tc>
          <w:tcPr>
            <w:tcW w:w="5167" w:type="dxa"/>
            <w:vAlign w:val="top"/>
          </w:tcPr>
          <w:p w14:paraId="0AEF46F9">
            <w:pPr>
              <w:adjustRightInd w:val="0"/>
              <w:snapToGrid w:val="0"/>
              <w:spacing w:line="360" w:lineRule="auto"/>
              <w:ind w:right="-10"/>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施工工艺、施工方法、劳动力安排、技术等方面有保证工期进度的具体措施且措施可操作性强，符合本项目施工实际要求。评委横向比较，酌情打分。</w:t>
            </w:r>
          </w:p>
        </w:tc>
        <w:tc>
          <w:tcPr>
            <w:tcW w:w="1249" w:type="dxa"/>
            <w:vAlign w:val="center"/>
          </w:tcPr>
          <w:p w14:paraId="6FDDC15B">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0-15分</w:t>
            </w:r>
          </w:p>
        </w:tc>
      </w:tr>
      <w:tr w14:paraId="6358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83" w:type="dxa"/>
            <w:vMerge w:val="continue"/>
            <w:tcBorders>
              <w:top w:val="nil"/>
              <w:bottom w:val="nil"/>
            </w:tcBorders>
            <w:vAlign w:val="top"/>
          </w:tcPr>
          <w:p w14:paraId="13685BB2">
            <w:pPr>
              <w:adjustRightInd w:val="0"/>
              <w:snapToGrid w:val="0"/>
              <w:spacing w:line="360" w:lineRule="auto"/>
              <w:ind w:right="-10"/>
              <w:jc w:val="left"/>
              <w:rPr>
                <w:rFonts w:hint="eastAsia" w:ascii="宋体" w:hAnsi="宋体" w:eastAsia="宋体" w:cs="Times New Roman"/>
                <w:color w:val="auto"/>
                <w:sz w:val="24"/>
                <w:szCs w:val="28"/>
                <w:highlight w:val="none"/>
              </w:rPr>
            </w:pPr>
          </w:p>
        </w:tc>
        <w:tc>
          <w:tcPr>
            <w:tcW w:w="1550" w:type="dxa"/>
            <w:vAlign w:val="center"/>
          </w:tcPr>
          <w:p w14:paraId="738A33A1">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确保安全生产的技术组织</w:t>
            </w:r>
            <w:r>
              <w:rPr>
                <w:rFonts w:hint="eastAsia" w:ascii="宋体" w:hAnsi="宋体" w:eastAsia="宋体" w:cs="Times New Roman"/>
                <w:color w:val="auto"/>
                <w:sz w:val="24"/>
                <w:szCs w:val="28"/>
                <w:highlight w:val="none"/>
                <w:lang w:val="en-US" w:eastAsia="zh-CN"/>
              </w:rPr>
              <w:t>措施</w:t>
            </w:r>
          </w:p>
        </w:tc>
        <w:tc>
          <w:tcPr>
            <w:tcW w:w="5167" w:type="dxa"/>
            <w:vAlign w:val="top"/>
          </w:tcPr>
          <w:p w14:paraId="5C874A20">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施工项目应有专门的安全管理人员和制度，且人员配备合理，制度健全，各道工序安全技术措施符合实际且满足JGJ59-2011安全技术标准要</w:t>
            </w:r>
            <w:r>
              <w:rPr>
                <w:rFonts w:hint="eastAsia" w:ascii="宋体" w:hAnsi="宋体" w:eastAsia="宋体" w:cs="Times New Roman"/>
                <w:color w:val="auto"/>
                <w:sz w:val="24"/>
                <w:szCs w:val="28"/>
                <w:highlight w:val="none"/>
                <w:lang w:val="en-US" w:eastAsia="zh-CN"/>
              </w:rPr>
              <w:t>求。</w:t>
            </w:r>
          </w:p>
        </w:tc>
        <w:tc>
          <w:tcPr>
            <w:tcW w:w="1249" w:type="dxa"/>
            <w:vAlign w:val="center"/>
          </w:tcPr>
          <w:p w14:paraId="15BC56CC">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0-10分</w:t>
            </w:r>
          </w:p>
        </w:tc>
      </w:tr>
      <w:tr w14:paraId="2CE3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1" w:hRule="atLeast"/>
        </w:trPr>
        <w:tc>
          <w:tcPr>
            <w:tcW w:w="1383" w:type="dxa"/>
            <w:tcBorders>
              <w:top w:val="nil"/>
            </w:tcBorders>
            <w:shd w:val="clear" w:color="auto" w:fill="auto"/>
            <w:vAlign w:val="center"/>
          </w:tcPr>
          <w:p w14:paraId="587C331A">
            <w:pPr>
              <w:adjustRightInd w:val="0"/>
              <w:snapToGrid w:val="0"/>
              <w:spacing w:line="360" w:lineRule="auto"/>
              <w:ind w:right="-10"/>
              <w:jc w:val="center"/>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报价部分</w:t>
            </w:r>
          </w:p>
          <w:p w14:paraId="3827FB47">
            <w:pPr>
              <w:adjustRightInd w:val="0"/>
              <w:snapToGrid w:val="0"/>
              <w:spacing w:line="360" w:lineRule="auto"/>
              <w:ind w:right="-10"/>
              <w:jc w:val="center"/>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w:t>
            </w:r>
            <w:r>
              <w:rPr>
                <w:rFonts w:hint="eastAsia" w:ascii="宋体" w:hAnsi="宋体" w:eastAsia="宋体" w:cs="Times New Roman"/>
                <w:color w:val="auto"/>
                <w:sz w:val="24"/>
                <w:szCs w:val="28"/>
                <w:highlight w:val="none"/>
                <w:lang w:val="en-US" w:eastAsia="zh-CN"/>
              </w:rPr>
              <w:t>10</w:t>
            </w:r>
            <w:r>
              <w:rPr>
                <w:rFonts w:hint="eastAsia" w:ascii="宋体" w:hAnsi="宋体" w:eastAsia="宋体" w:cs="Times New Roman"/>
                <w:color w:val="auto"/>
                <w:sz w:val="24"/>
                <w:szCs w:val="28"/>
                <w:highlight w:val="none"/>
              </w:rPr>
              <w:t>分）</w:t>
            </w:r>
          </w:p>
        </w:tc>
        <w:tc>
          <w:tcPr>
            <w:tcW w:w="1550" w:type="dxa"/>
            <w:shd w:val="clear" w:color="auto" w:fill="auto"/>
            <w:vAlign w:val="center"/>
          </w:tcPr>
          <w:p w14:paraId="3708AD1A">
            <w:pPr>
              <w:adjustRightInd w:val="0"/>
              <w:snapToGrid w:val="0"/>
              <w:spacing w:line="360" w:lineRule="auto"/>
              <w:ind w:right="-10"/>
              <w:jc w:val="center"/>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价格分</w:t>
            </w:r>
          </w:p>
        </w:tc>
        <w:tc>
          <w:tcPr>
            <w:tcW w:w="5167" w:type="dxa"/>
            <w:shd w:val="clear" w:color="auto" w:fill="auto"/>
            <w:vAlign w:val="center"/>
          </w:tcPr>
          <w:p w14:paraId="49DB6C4E">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（1）确定评审价</w:t>
            </w:r>
          </w:p>
          <w:p w14:paraId="1B92B6D8">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评审价=报价表中报价大写金额；</w:t>
            </w:r>
          </w:p>
          <w:p w14:paraId="53F2EF0E">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价格分统一采用平均值法，即满足比选文件要求的供应商的报价的平均值作为评审基准价。</w:t>
            </w:r>
          </w:p>
          <w:p w14:paraId="31036CA1">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（2）评审价的偏差率计算</w:t>
            </w:r>
          </w:p>
          <w:p w14:paraId="70059C75">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偏差率=100%×（供应商的评审价-评审基准价）/评审基准价</w:t>
            </w:r>
          </w:p>
          <w:p w14:paraId="16206CA2">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偏差率保留两位小数（小数点后第三位“四舍五入”），即为*.**%。</w:t>
            </w:r>
          </w:p>
          <w:p w14:paraId="7DEB555B">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（3）评审价得分计算</w:t>
            </w:r>
          </w:p>
          <w:p w14:paraId="4A3A5B46">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①当供应商评审价＞评审基准价，评审价得分=F-偏差率*100</w:t>
            </w:r>
          </w:p>
          <w:p w14:paraId="531B0B95">
            <w:pPr>
              <w:adjustRightInd w:val="0"/>
              <w:snapToGrid w:val="0"/>
              <w:spacing w:line="360" w:lineRule="auto"/>
              <w:ind w:right="-10"/>
              <w:jc w:val="left"/>
              <w:rPr>
                <w:rFonts w:hint="eastAsia"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②当供应商评审价≤评审基准价，评审价得分=F+偏差率*100</w:t>
            </w:r>
          </w:p>
          <w:p w14:paraId="2D3402FD">
            <w:pPr>
              <w:adjustRightInd w:val="0"/>
              <w:snapToGrid w:val="0"/>
              <w:spacing w:line="360" w:lineRule="auto"/>
              <w:ind w:right="-10"/>
              <w:jc w:val="left"/>
              <w:rPr>
                <w:rFonts w:hint="eastAsia" w:ascii="宋体" w:hAnsi="宋体" w:eastAsia="宋体" w:cs="Times New Roman"/>
                <w:color w:val="auto"/>
                <w:sz w:val="24"/>
                <w:szCs w:val="28"/>
                <w:highlight w:val="none"/>
                <w:lang w:val="zh-CN" w:eastAsia="zh-CN"/>
              </w:rPr>
            </w:pPr>
            <w:r>
              <w:rPr>
                <w:rFonts w:hint="eastAsia" w:ascii="宋体" w:hAnsi="宋体" w:eastAsia="宋体" w:cs="Times New Roman"/>
                <w:color w:val="auto"/>
                <w:sz w:val="24"/>
                <w:szCs w:val="28"/>
                <w:highlight w:val="none"/>
                <w:lang w:val="en-US" w:eastAsia="zh-CN"/>
              </w:rPr>
              <w:t>其中:F是评审价所占的权重分值。当价格分得分为负时，均按0分计算。</w:t>
            </w:r>
          </w:p>
        </w:tc>
        <w:tc>
          <w:tcPr>
            <w:tcW w:w="1249" w:type="dxa"/>
            <w:vAlign w:val="center"/>
          </w:tcPr>
          <w:p w14:paraId="1CCCAEFB">
            <w:pPr>
              <w:adjustRightInd w:val="0"/>
              <w:snapToGrid w:val="0"/>
              <w:spacing w:line="360" w:lineRule="auto"/>
              <w:ind w:right="-10"/>
              <w:jc w:val="center"/>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lang w:val="en-US" w:eastAsia="zh-CN"/>
              </w:rPr>
              <w:t>0-10分</w:t>
            </w:r>
          </w:p>
        </w:tc>
      </w:tr>
    </w:tbl>
    <w:p w14:paraId="43EB78DD">
      <w:pPr>
        <w:spacing w:line="360" w:lineRule="auto"/>
        <w:ind w:firstLine="435"/>
        <w:rPr>
          <w:b/>
          <w:bCs/>
          <w:color w:val="auto"/>
          <w:sz w:val="24"/>
          <w:highlight w:val="none"/>
        </w:rPr>
      </w:pPr>
    </w:p>
    <w:p w14:paraId="5680F301">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14:paraId="4F951AFA">
      <w:pPr>
        <w:spacing w:line="360" w:lineRule="auto"/>
        <w:ind w:firstLine="435"/>
        <w:rPr>
          <w:color w:val="auto"/>
          <w:sz w:val="24"/>
          <w:highlight w:val="none"/>
        </w:rPr>
      </w:pPr>
      <w:r>
        <w:rPr>
          <w:rFonts w:hint="eastAsia"/>
          <w:color w:val="auto"/>
          <w:sz w:val="24"/>
          <w:highlight w:val="none"/>
        </w:rPr>
        <w:t>（1）</w:t>
      </w:r>
      <w:r>
        <w:rPr>
          <w:rFonts w:hint="eastAsia"/>
          <w:color w:val="auto"/>
          <w:sz w:val="24"/>
          <w:highlight w:val="none"/>
          <w:lang w:eastAsia="zh-CN"/>
        </w:rPr>
        <w:t>比选</w:t>
      </w:r>
      <w:r>
        <w:rPr>
          <w:rFonts w:hint="eastAsia"/>
          <w:color w:val="auto"/>
          <w:sz w:val="24"/>
          <w:highlight w:val="none"/>
        </w:rPr>
        <w:t>小组各成员应当独立对每个有效响应的文件进行评价、打分，然后汇总每个</w:t>
      </w:r>
      <w:r>
        <w:rPr>
          <w:rFonts w:hint="eastAsia"/>
          <w:color w:val="auto"/>
          <w:sz w:val="24"/>
          <w:szCs w:val="18"/>
          <w:highlight w:val="none"/>
          <w:lang w:eastAsia="zh-CN"/>
        </w:rPr>
        <w:t>供应商</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供应商</w:t>
      </w:r>
      <w:r>
        <w:rPr>
          <w:rFonts w:hint="eastAsia"/>
          <w:color w:val="auto"/>
          <w:sz w:val="24"/>
          <w:highlight w:val="none"/>
        </w:rPr>
        <w:t>的技术资信分。</w:t>
      </w:r>
    </w:p>
    <w:p w14:paraId="2C66BDBF">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供应商</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供应商</w:t>
      </w:r>
      <w:r>
        <w:rPr>
          <w:rFonts w:hint="eastAsia"/>
          <w:color w:val="auto"/>
          <w:sz w:val="24"/>
          <w:highlight w:val="none"/>
        </w:rPr>
        <w:t>的综合总得分。</w:t>
      </w:r>
    </w:p>
    <w:p w14:paraId="177E17AE">
      <w:pPr>
        <w:spacing w:line="360" w:lineRule="auto"/>
        <w:jc w:val="center"/>
        <w:outlineLvl w:val="0"/>
        <w:rPr>
          <w:b/>
          <w:color w:val="auto"/>
          <w:sz w:val="28"/>
          <w:highlight w:val="none"/>
        </w:rPr>
      </w:pPr>
      <w:r>
        <w:rPr>
          <w:color w:val="auto"/>
          <w:sz w:val="24"/>
          <w:highlight w:val="none"/>
        </w:rPr>
        <w:br w:type="page"/>
      </w:r>
      <w:bookmarkStart w:id="20" w:name="_Toc5801"/>
      <w:r>
        <w:rPr>
          <w:rFonts w:hint="eastAsia"/>
          <w:b/>
          <w:color w:val="auto"/>
          <w:sz w:val="28"/>
          <w:highlight w:val="none"/>
        </w:rPr>
        <w:t>第五章  合同条款及格式（</w:t>
      </w:r>
      <w:r>
        <w:rPr>
          <w:rFonts w:hint="eastAsia"/>
          <w:b/>
          <w:color w:val="auto"/>
          <w:sz w:val="28"/>
          <w:highlight w:val="none"/>
          <w:lang w:eastAsia="zh-CN"/>
        </w:rPr>
        <w:t>供</w:t>
      </w:r>
      <w:r>
        <w:rPr>
          <w:rFonts w:hint="eastAsia"/>
          <w:b/>
          <w:color w:val="auto"/>
          <w:sz w:val="28"/>
          <w:highlight w:val="none"/>
        </w:rPr>
        <w:t>参考）</w:t>
      </w:r>
      <w:bookmarkEnd w:id="20"/>
    </w:p>
    <w:p w14:paraId="5386797C">
      <w:pPr>
        <w:spacing w:line="360" w:lineRule="auto"/>
        <w:jc w:val="center"/>
        <w:outlineLvl w:val="2"/>
        <w:rPr>
          <w:rFonts w:ascii="等线" w:hAnsi="等线" w:eastAsia="等线" w:cs="@仿宋_GB2312"/>
          <w:b/>
          <w:color w:val="auto"/>
          <w:kern w:val="2"/>
          <w:sz w:val="24"/>
          <w:highlight w:val="none"/>
        </w:rPr>
      </w:pPr>
      <w:bookmarkStart w:id="21" w:name="_Toc15656489"/>
      <w:r>
        <w:rPr>
          <w:rFonts w:hint="eastAsia" w:ascii="等线" w:hAnsi="等线" w:eastAsia="等线" w:cs="@仿宋_GB2312"/>
          <w:b/>
          <w:color w:val="auto"/>
          <w:kern w:val="2"/>
          <w:sz w:val="24"/>
          <w:highlight w:val="none"/>
        </w:rPr>
        <w:t>第一节  合同协议书</w:t>
      </w:r>
      <w:bookmarkEnd w:id="21"/>
    </w:p>
    <w:p w14:paraId="106B3E29">
      <w:pPr>
        <w:spacing w:line="360" w:lineRule="auto"/>
        <w:rPr>
          <w:b/>
          <w:color w:val="auto"/>
          <w:kern w:val="2"/>
          <w:sz w:val="24"/>
          <w:szCs w:val="24"/>
          <w:highlight w:val="none"/>
          <w:u w:val="single"/>
        </w:rPr>
      </w:pPr>
      <w:r>
        <w:rPr>
          <w:b/>
          <w:color w:val="auto"/>
          <w:kern w:val="2"/>
          <w:sz w:val="24"/>
          <w:szCs w:val="24"/>
          <w:highlight w:val="none"/>
        </w:rPr>
        <w:t>发包人（全称）：</w:t>
      </w:r>
      <w:r>
        <w:rPr>
          <w:b/>
          <w:color w:val="auto"/>
          <w:kern w:val="2"/>
          <w:sz w:val="24"/>
          <w:szCs w:val="24"/>
          <w:highlight w:val="none"/>
          <w:u w:val="single"/>
        </w:rPr>
        <w:t xml:space="preserve"> </w:t>
      </w:r>
      <w:r>
        <w:rPr>
          <w:rFonts w:hint="eastAsia"/>
          <w:b/>
          <w:color w:val="auto"/>
          <w:kern w:val="2"/>
          <w:sz w:val="24"/>
          <w:szCs w:val="24"/>
          <w:highlight w:val="none"/>
          <w:u w:val="single"/>
        </w:rPr>
        <w:t xml:space="preserve">      </w:t>
      </w:r>
      <w:r>
        <w:rPr>
          <w:b/>
          <w:color w:val="auto"/>
          <w:kern w:val="2"/>
          <w:sz w:val="24"/>
          <w:szCs w:val="24"/>
          <w:highlight w:val="none"/>
          <w:u w:val="single"/>
        </w:rPr>
        <w:t></w:t>
      </w:r>
    </w:p>
    <w:p w14:paraId="7102B886">
      <w:pPr>
        <w:spacing w:line="360" w:lineRule="auto"/>
        <w:rPr>
          <w:b/>
          <w:color w:val="auto"/>
          <w:kern w:val="2"/>
          <w:sz w:val="24"/>
          <w:szCs w:val="24"/>
          <w:highlight w:val="none"/>
          <w:u w:val="single"/>
        </w:rPr>
      </w:pPr>
      <w:r>
        <w:rPr>
          <w:b/>
          <w:color w:val="auto"/>
          <w:kern w:val="2"/>
          <w:sz w:val="24"/>
          <w:szCs w:val="24"/>
          <w:highlight w:val="none"/>
        </w:rPr>
        <w:t>承包人（全称）：</w:t>
      </w:r>
      <w:r>
        <w:rPr>
          <w:b/>
          <w:color w:val="auto"/>
          <w:kern w:val="2"/>
          <w:sz w:val="24"/>
          <w:szCs w:val="24"/>
          <w:highlight w:val="none"/>
          <w:u w:val="single"/>
        </w:rPr>
        <w:t xml:space="preserve"> </w:t>
      </w:r>
      <w:r>
        <w:rPr>
          <w:rFonts w:hint="eastAsia"/>
          <w:b/>
          <w:color w:val="auto"/>
          <w:kern w:val="2"/>
          <w:sz w:val="24"/>
          <w:szCs w:val="24"/>
          <w:highlight w:val="none"/>
          <w:u w:val="single"/>
        </w:rPr>
        <w:t xml:space="preserve">      </w:t>
      </w:r>
      <w:r>
        <w:rPr>
          <w:b/>
          <w:color w:val="auto"/>
          <w:kern w:val="2"/>
          <w:sz w:val="24"/>
          <w:szCs w:val="24"/>
          <w:highlight w:val="none"/>
          <w:u w:val="single"/>
        </w:rPr>
        <w:t></w:t>
      </w:r>
    </w:p>
    <w:p w14:paraId="7D3AD3A1">
      <w:pPr>
        <w:spacing w:line="360" w:lineRule="auto"/>
        <w:rPr>
          <w:rFonts w:ascii="Times New Roman" w:hAnsi="Times New Roman" w:eastAsia="仿宋_GB2312"/>
          <w:b/>
          <w:color w:val="auto"/>
          <w:kern w:val="2"/>
          <w:sz w:val="30"/>
          <w:szCs w:val="30"/>
          <w:highlight w:val="none"/>
          <w:u w:val="single"/>
        </w:rPr>
      </w:pPr>
    </w:p>
    <w:p w14:paraId="4DDBAAB6">
      <w:pPr>
        <w:spacing w:line="360" w:lineRule="auto"/>
        <w:ind w:firstLine="420" w:firstLineChars="200"/>
        <w:rPr>
          <w:color w:val="auto"/>
          <w:kern w:val="2"/>
          <w:sz w:val="21"/>
          <w:szCs w:val="21"/>
          <w:highlight w:val="none"/>
        </w:rPr>
      </w:pPr>
      <w:r>
        <w:rPr>
          <w:color w:val="auto"/>
          <w:kern w:val="2"/>
          <w:sz w:val="21"/>
          <w:szCs w:val="21"/>
          <w:highlight w:val="none"/>
        </w:rPr>
        <w:t>根据《中华人民共和国民法典》《中华人民共和国建筑法》及有关法律规定，遵循平等、自愿、公平和诚实信用的原则，双方就</w:t>
      </w:r>
      <w:r>
        <w:rPr>
          <w:color w:val="auto"/>
          <w:kern w:val="2"/>
          <w:sz w:val="21"/>
          <w:szCs w:val="21"/>
          <w:highlight w:val="none"/>
          <w:u w:val="single"/>
        </w:rPr>
        <w:t xml:space="preserve">                       </w:t>
      </w:r>
      <w:r>
        <w:rPr>
          <w:color w:val="auto"/>
          <w:kern w:val="2"/>
          <w:sz w:val="21"/>
          <w:szCs w:val="21"/>
          <w:highlight w:val="none"/>
        </w:rPr>
        <w:t>工程施工及有关事项协商一致</w:t>
      </w:r>
      <w:r>
        <w:rPr>
          <w:rFonts w:hint="eastAsia"/>
          <w:color w:val="auto"/>
          <w:kern w:val="2"/>
          <w:sz w:val="21"/>
          <w:szCs w:val="21"/>
          <w:highlight w:val="none"/>
        </w:rPr>
        <w:t>，</w:t>
      </w:r>
      <w:r>
        <w:rPr>
          <w:color w:val="auto"/>
          <w:kern w:val="2"/>
          <w:sz w:val="21"/>
          <w:szCs w:val="21"/>
          <w:highlight w:val="none"/>
        </w:rPr>
        <w:t>共同达成如下协议：</w:t>
      </w:r>
      <w:bookmarkStart w:id="22" w:name="_Toc351203481"/>
    </w:p>
    <w:p w14:paraId="0D640154">
      <w:pPr>
        <w:spacing w:line="360" w:lineRule="auto"/>
        <w:ind w:firstLine="422" w:firstLineChars="200"/>
        <w:rPr>
          <w:b/>
          <w:color w:val="auto"/>
          <w:kern w:val="2"/>
          <w:sz w:val="21"/>
          <w:szCs w:val="21"/>
          <w:highlight w:val="none"/>
        </w:rPr>
      </w:pPr>
      <w:r>
        <w:rPr>
          <w:b/>
          <w:color w:val="auto"/>
          <w:kern w:val="2"/>
          <w:sz w:val="21"/>
          <w:szCs w:val="21"/>
          <w:highlight w:val="none"/>
        </w:rPr>
        <w:t>一、工程概况</w:t>
      </w:r>
      <w:bookmarkEnd w:id="22"/>
    </w:p>
    <w:p w14:paraId="485E6160">
      <w:pPr>
        <w:spacing w:line="360" w:lineRule="auto"/>
        <w:ind w:firstLine="411" w:firstLineChars="196"/>
        <w:rPr>
          <w:color w:val="auto"/>
          <w:kern w:val="2"/>
          <w:sz w:val="21"/>
          <w:szCs w:val="21"/>
          <w:highlight w:val="none"/>
          <w:u w:val="singl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工程名称：</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p>
    <w:p w14:paraId="373F5239">
      <w:pPr>
        <w:spacing w:line="360" w:lineRule="auto"/>
        <w:ind w:firstLine="411" w:firstLineChars="196"/>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工程地点：</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p>
    <w:p w14:paraId="303BA733">
      <w:pPr>
        <w:spacing w:line="360" w:lineRule="auto"/>
        <w:ind w:firstLine="411" w:firstLineChars="196"/>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工程立项批准文号：</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57EB0C91">
      <w:pPr>
        <w:spacing w:line="360" w:lineRule="auto"/>
        <w:ind w:firstLine="411" w:firstLineChars="196"/>
        <w:rPr>
          <w:bCs/>
          <w:color w:val="auto"/>
          <w:kern w:val="2"/>
          <w:sz w:val="21"/>
          <w:szCs w:val="21"/>
          <w:highlight w:val="none"/>
        </w:rPr>
      </w:pPr>
      <w:r>
        <w:rPr>
          <w:bCs/>
          <w:color w:val="auto"/>
          <w:kern w:val="2"/>
          <w:sz w:val="21"/>
          <w:szCs w:val="21"/>
          <w:highlight w:val="none"/>
        </w:rPr>
        <w:t>4.</w:t>
      </w:r>
      <w:r>
        <w:rPr>
          <w:rFonts w:hint="eastAsia"/>
          <w:bCs/>
          <w:color w:val="auto"/>
          <w:kern w:val="2"/>
          <w:sz w:val="21"/>
          <w:szCs w:val="21"/>
          <w:highlight w:val="none"/>
        </w:rPr>
        <w:t xml:space="preserve"> </w:t>
      </w:r>
      <w:r>
        <w:rPr>
          <w:bCs/>
          <w:color w:val="auto"/>
          <w:kern w:val="2"/>
          <w:sz w:val="21"/>
          <w:szCs w:val="21"/>
          <w:highlight w:val="none"/>
        </w:rPr>
        <w:t>资金来源：</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58BDC403">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5. 工程内容：</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1C3E82C1">
      <w:pPr>
        <w:spacing w:line="360" w:lineRule="auto"/>
        <w:ind w:firstLine="411" w:firstLineChars="196"/>
        <w:rPr>
          <w:color w:val="auto"/>
          <w:kern w:val="2"/>
          <w:sz w:val="21"/>
          <w:szCs w:val="21"/>
          <w:highlight w:val="none"/>
        </w:rPr>
      </w:pPr>
      <w:r>
        <w:rPr>
          <w:rFonts w:hint="eastAsia"/>
          <w:color w:val="auto"/>
          <w:kern w:val="2"/>
          <w:sz w:val="21"/>
          <w:szCs w:val="21"/>
          <w:highlight w:val="none"/>
        </w:rPr>
        <w:t>群体工程应附《</w:t>
      </w:r>
      <w:r>
        <w:rPr>
          <w:color w:val="auto"/>
          <w:kern w:val="2"/>
          <w:sz w:val="21"/>
          <w:szCs w:val="21"/>
          <w:highlight w:val="none"/>
        </w:rPr>
        <w:t>承包人承揽工程项目一览表</w:t>
      </w:r>
      <w:r>
        <w:rPr>
          <w:rFonts w:hint="eastAsia"/>
          <w:color w:val="auto"/>
          <w:kern w:val="2"/>
          <w:sz w:val="21"/>
          <w:szCs w:val="21"/>
          <w:highlight w:val="none"/>
        </w:rPr>
        <w:t>》（附件1）。</w:t>
      </w:r>
    </w:p>
    <w:p w14:paraId="7C5D6745">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6</w:t>
      </w:r>
      <w:r>
        <w:rPr>
          <w:bCs/>
          <w:color w:val="auto"/>
          <w:kern w:val="2"/>
          <w:sz w:val="21"/>
          <w:szCs w:val="21"/>
          <w:highlight w:val="none"/>
        </w:rPr>
        <w:t>.</w:t>
      </w:r>
      <w:r>
        <w:rPr>
          <w:rFonts w:hint="eastAsia"/>
          <w:bCs/>
          <w:color w:val="auto"/>
          <w:kern w:val="2"/>
          <w:sz w:val="21"/>
          <w:szCs w:val="21"/>
          <w:highlight w:val="none"/>
        </w:rPr>
        <w:t xml:space="preserve"> </w:t>
      </w:r>
      <w:r>
        <w:rPr>
          <w:bCs/>
          <w:color w:val="auto"/>
          <w:kern w:val="2"/>
          <w:sz w:val="21"/>
          <w:szCs w:val="21"/>
          <w:highlight w:val="none"/>
        </w:rPr>
        <w:t>工程承包范围：</w:t>
      </w:r>
    </w:p>
    <w:p w14:paraId="6949E941">
      <w:pPr>
        <w:spacing w:line="360" w:lineRule="auto"/>
        <w:ind w:firstLine="405" w:firstLineChars="193"/>
        <w:rPr>
          <w:color w:val="auto"/>
          <w:kern w:val="2"/>
          <w:sz w:val="21"/>
          <w:szCs w:val="21"/>
          <w:highlight w:val="none"/>
        </w:rPr>
      </w:pP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color w:val="auto"/>
          <w:kern w:val="2"/>
          <w:sz w:val="21"/>
          <w:szCs w:val="21"/>
          <w:highlight w:val="none"/>
        </w:rPr>
        <w:t>。</w:t>
      </w:r>
    </w:p>
    <w:p w14:paraId="6ED0E5EB">
      <w:pPr>
        <w:spacing w:line="360" w:lineRule="auto"/>
        <w:ind w:firstLine="422" w:firstLineChars="200"/>
        <w:rPr>
          <w:b/>
          <w:color w:val="auto"/>
          <w:kern w:val="2"/>
          <w:sz w:val="21"/>
          <w:szCs w:val="21"/>
          <w:highlight w:val="none"/>
        </w:rPr>
      </w:pPr>
      <w:bookmarkStart w:id="23" w:name="_Toc351203482"/>
      <w:r>
        <w:rPr>
          <w:b/>
          <w:color w:val="auto"/>
          <w:kern w:val="2"/>
          <w:sz w:val="21"/>
          <w:szCs w:val="21"/>
          <w:highlight w:val="none"/>
        </w:rPr>
        <w:t>二、合同工期</w:t>
      </w:r>
      <w:bookmarkEnd w:id="23"/>
    </w:p>
    <w:p w14:paraId="72EBF3F4">
      <w:pPr>
        <w:spacing w:line="360" w:lineRule="auto"/>
        <w:ind w:firstLine="459"/>
        <w:rPr>
          <w:color w:val="auto"/>
          <w:kern w:val="2"/>
          <w:sz w:val="21"/>
          <w:szCs w:val="21"/>
          <w:highlight w:val="none"/>
        </w:rPr>
      </w:pPr>
      <w:r>
        <w:rPr>
          <w:color w:val="auto"/>
          <w:kern w:val="2"/>
          <w:sz w:val="21"/>
          <w:szCs w:val="21"/>
          <w:highlight w:val="none"/>
        </w:rPr>
        <w:t>计划开工日期：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6F1D495B">
      <w:pPr>
        <w:spacing w:line="360" w:lineRule="auto"/>
        <w:ind w:firstLine="459"/>
        <w:rPr>
          <w:color w:val="auto"/>
          <w:kern w:val="2"/>
          <w:sz w:val="21"/>
          <w:szCs w:val="21"/>
          <w:highlight w:val="none"/>
        </w:rPr>
      </w:pPr>
      <w:r>
        <w:rPr>
          <w:color w:val="auto"/>
          <w:kern w:val="2"/>
          <w:sz w:val="21"/>
          <w:szCs w:val="21"/>
          <w:highlight w:val="none"/>
        </w:rPr>
        <w:t>计划竣工日期：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4A6D5E8E">
      <w:pPr>
        <w:spacing w:line="360" w:lineRule="auto"/>
        <w:ind w:firstLine="459"/>
        <w:rPr>
          <w:color w:val="auto"/>
          <w:kern w:val="2"/>
          <w:sz w:val="21"/>
          <w:szCs w:val="21"/>
          <w:highlight w:val="none"/>
        </w:rPr>
      </w:pPr>
      <w:r>
        <w:rPr>
          <w:color w:val="auto"/>
          <w:kern w:val="2"/>
          <w:sz w:val="21"/>
          <w:szCs w:val="21"/>
          <w:highlight w:val="none"/>
        </w:rPr>
        <w:t>工期总日历天数：</w:t>
      </w:r>
      <w:r>
        <w:rPr>
          <w:color w:val="auto"/>
          <w:kern w:val="2"/>
          <w:sz w:val="21"/>
          <w:szCs w:val="21"/>
          <w:highlight w:val="none"/>
          <w:u w:val="single"/>
        </w:rPr>
        <w:t></w:t>
      </w:r>
      <w:r>
        <w:rPr>
          <w:color w:val="auto"/>
          <w:kern w:val="2"/>
          <w:sz w:val="21"/>
          <w:szCs w:val="21"/>
          <w:highlight w:val="none"/>
        </w:rPr>
        <w:t>天。</w:t>
      </w:r>
    </w:p>
    <w:p w14:paraId="398D7D75">
      <w:pPr>
        <w:spacing w:line="360" w:lineRule="auto"/>
        <w:ind w:firstLine="459"/>
        <w:rPr>
          <w:color w:val="auto"/>
          <w:kern w:val="2"/>
          <w:sz w:val="21"/>
          <w:szCs w:val="21"/>
          <w:highlight w:val="none"/>
        </w:rPr>
      </w:pPr>
      <w:r>
        <w:rPr>
          <w:color w:val="auto"/>
          <w:kern w:val="2"/>
          <w:sz w:val="21"/>
          <w:szCs w:val="21"/>
          <w:highlight w:val="none"/>
        </w:rPr>
        <w:t>工期总日历天数与根据前述计划开竣工日期计算的工期天数不一致的，以工期总日历天数为准。</w:t>
      </w:r>
    </w:p>
    <w:p w14:paraId="047712FD">
      <w:pPr>
        <w:spacing w:line="360" w:lineRule="auto"/>
        <w:ind w:firstLine="422" w:firstLineChars="200"/>
        <w:rPr>
          <w:b/>
          <w:color w:val="auto"/>
          <w:kern w:val="2"/>
          <w:sz w:val="21"/>
          <w:szCs w:val="21"/>
          <w:highlight w:val="none"/>
        </w:rPr>
      </w:pPr>
      <w:bookmarkStart w:id="24" w:name="_Toc351203483"/>
      <w:r>
        <w:rPr>
          <w:b/>
          <w:color w:val="auto"/>
          <w:kern w:val="2"/>
          <w:sz w:val="21"/>
          <w:szCs w:val="21"/>
          <w:highlight w:val="none"/>
        </w:rPr>
        <w:t>三、质量标准</w:t>
      </w:r>
      <w:bookmarkEnd w:id="24"/>
    </w:p>
    <w:p w14:paraId="08077BE1">
      <w:pPr>
        <w:spacing w:line="360" w:lineRule="auto"/>
        <w:ind w:firstLine="459"/>
        <w:rPr>
          <w:color w:val="auto"/>
          <w:kern w:val="2"/>
          <w:sz w:val="21"/>
          <w:szCs w:val="21"/>
          <w:highlight w:val="none"/>
        </w:rPr>
      </w:pPr>
      <w:r>
        <w:rPr>
          <w:color w:val="auto"/>
          <w:kern w:val="2"/>
          <w:sz w:val="21"/>
          <w:szCs w:val="21"/>
          <w:highlight w:val="none"/>
        </w:rPr>
        <w:t>工程质量符合</w:t>
      </w:r>
      <w:r>
        <w:rPr>
          <w:color w:val="auto"/>
          <w:kern w:val="2"/>
          <w:sz w:val="21"/>
          <w:szCs w:val="21"/>
          <w:highlight w:val="none"/>
          <w:u w:val="single"/>
        </w:rPr>
        <w:t></w:t>
      </w:r>
      <w:r>
        <w:rPr>
          <w:rFonts w:hint="eastAsia"/>
          <w:color w:val="auto"/>
          <w:kern w:val="2"/>
          <w:sz w:val="21"/>
          <w:szCs w:val="21"/>
          <w:highlight w:val="none"/>
          <w:u w:val="single"/>
        </w:rPr>
        <w:t>合格</w:t>
      </w:r>
      <w:r>
        <w:rPr>
          <w:color w:val="auto"/>
          <w:kern w:val="2"/>
          <w:sz w:val="21"/>
          <w:szCs w:val="21"/>
          <w:highlight w:val="none"/>
          <w:u w:val="single"/>
        </w:rPr>
        <w:t></w:t>
      </w:r>
      <w:r>
        <w:rPr>
          <w:color w:val="auto"/>
          <w:kern w:val="2"/>
          <w:sz w:val="21"/>
          <w:szCs w:val="21"/>
          <w:highlight w:val="none"/>
        </w:rPr>
        <w:t>标准。</w:t>
      </w:r>
    </w:p>
    <w:p w14:paraId="1A0FB71F">
      <w:pPr>
        <w:spacing w:line="360" w:lineRule="auto"/>
        <w:ind w:firstLine="422" w:firstLineChars="200"/>
        <w:rPr>
          <w:b/>
          <w:color w:val="auto"/>
          <w:kern w:val="2"/>
          <w:sz w:val="21"/>
          <w:szCs w:val="21"/>
          <w:highlight w:val="none"/>
        </w:rPr>
      </w:pPr>
      <w:bookmarkStart w:id="25" w:name="_Toc351203484"/>
      <w:r>
        <w:rPr>
          <w:b/>
          <w:color w:val="auto"/>
          <w:kern w:val="2"/>
          <w:sz w:val="21"/>
          <w:szCs w:val="21"/>
          <w:highlight w:val="none"/>
        </w:rPr>
        <w:t>四、签约合同价与合同价格形式</w:t>
      </w:r>
      <w:bookmarkEnd w:id="25"/>
    </w:p>
    <w:p w14:paraId="49997B42">
      <w:pPr>
        <w:spacing w:line="360" w:lineRule="auto"/>
        <w:ind w:firstLine="420" w:firstLineChars="200"/>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 xml:space="preserve"> </w:t>
      </w:r>
      <w:r>
        <w:rPr>
          <w:color w:val="auto"/>
          <w:kern w:val="2"/>
          <w:sz w:val="21"/>
          <w:szCs w:val="21"/>
          <w:highlight w:val="none"/>
        </w:rPr>
        <w:t>签约合同价为：</w:t>
      </w:r>
    </w:p>
    <w:p w14:paraId="14C02F7C">
      <w:pPr>
        <w:spacing w:line="360" w:lineRule="auto"/>
        <w:ind w:firstLine="525" w:firstLineChars="2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2156C3E4">
      <w:pPr>
        <w:spacing w:line="360" w:lineRule="auto"/>
        <w:ind w:firstLine="420" w:firstLineChars="200"/>
        <w:rPr>
          <w:color w:val="auto"/>
          <w:kern w:val="2"/>
          <w:sz w:val="21"/>
          <w:szCs w:val="21"/>
          <w:highlight w:val="none"/>
        </w:rPr>
      </w:pPr>
      <w:r>
        <w:rPr>
          <w:color w:val="auto"/>
          <w:kern w:val="2"/>
          <w:sz w:val="21"/>
          <w:szCs w:val="21"/>
          <w:highlight w:val="none"/>
        </w:rPr>
        <w:t>其中：</w:t>
      </w:r>
    </w:p>
    <w:p w14:paraId="6BA80AE4">
      <w:pPr>
        <w:spacing w:line="360" w:lineRule="auto"/>
        <w:ind w:firstLine="420" w:firstLineChars="200"/>
        <w:rPr>
          <w:color w:val="auto"/>
          <w:kern w:val="2"/>
          <w:sz w:val="21"/>
          <w:szCs w:val="21"/>
          <w:highlight w:val="none"/>
        </w:rPr>
      </w:pPr>
      <w:r>
        <w:rPr>
          <w:color w:val="auto"/>
          <w:kern w:val="2"/>
          <w:sz w:val="21"/>
          <w:szCs w:val="21"/>
          <w:highlight w:val="none"/>
        </w:rPr>
        <w:t>（1）安全文明施工费：</w:t>
      </w:r>
    </w:p>
    <w:p w14:paraId="15B35C4C">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rPr>
        <w:t>元)；</w:t>
      </w:r>
    </w:p>
    <w:p w14:paraId="3B41F2BF">
      <w:pPr>
        <w:spacing w:line="360" w:lineRule="auto"/>
        <w:ind w:firstLine="420" w:firstLineChars="200"/>
        <w:rPr>
          <w:color w:val="auto"/>
          <w:kern w:val="2"/>
          <w:sz w:val="21"/>
          <w:szCs w:val="21"/>
          <w:highlight w:val="none"/>
        </w:rPr>
      </w:pPr>
      <w:r>
        <w:rPr>
          <w:color w:val="auto"/>
          <w:kern w:val="2"/>
          <w:sz w:val="21"/>
          <w:szCs w:val="21"/>
          <w:highlight w:val="none"/>
        </w:rPr>
        <w:t>（2）材料和工程设备暂估价金额：</w:t>
      </w:r>
    </w:p>
    <w:p w14:paraId="583CC4A0">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153CBBE3">
      <w:pPr>
        <w:spacing w:line="360" w:lineRule="auto"/>
        <w:ind w:firstLine="420" w:firstLineChars="200"/>
        <w:rPr>
          <w:color w:val="auto"/>
          <w:kern w:val="2"/>
          <w:sz w:val="21"/>
          <w:szCs w:val="21"/>
          <w:highlight w:val="none"/>
        </w:rPr>
      </w:pPr>
      <w:r>
        <w:rPr>
          <w:color w:val="auto"/>
          <w:kern w:val="2"/>
          <w:sz w:val="21"/>
          <w:szCs w:val="21"/>
          <w:highlight w:val="none"/>
        </w:rPr>
        <w:t>（3）专业工程暂估价金额：</w:t>
      </w:r>
    </w:p>
    <w:p w14:paraId="00A85CDD">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673A5F0F">
      <w:pPr>
        <w:spacing w:line="360" w:lineRule="auto"/>
        <w:ind w:firstLine="420" w:firstLineChars="200"/>
        <w:rPr>
          <w:color w:val="auto"/>
          <w:kern w:val="2"/>
          <w:sz w:val="21"/>
          <w:szCs w:val="21"/>
          <w:highlight w:val="none"/>
        </w:rPr>
      </w:pPr>
      <w:r>
        <w:rPr>
          <w:color w:val="auto"/>
          <w:kern w:val="2"/>
          <w:sz w:val="21"/>
          <w:szCs w:val="21"/>
          <w:highlight w:val="none"/>
        </w:rPr>
        <w:t>（4）暂列金额：</w:t>
      </w:r>
    </w:p>
    <w:p w14:paraId="747EE793">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06FFDFF5">
      <w:pPr>
        <w:spacing w:line="360" w:lineRule="auto"/>
        <w:ind w:firstLine="420" w:firstLineChars="200"/>
        <w:rPr>
          <w:color w:val="auto"/>
          <w:kern w:val="2"/>
          <w:sz w:val="21"/>
          <w:szCs w:val="21"/>
          <w:highlight w:val="none"/>
        </w:rPr>
      </w:pPr>
      <w:r>
        <w:rPr>
          <w:color w:val="auto"/>
          <w:kern w:val="2"/>
          <w:sz w:val="21"/>
          <w:szCs w:val="21"/>
          <w:highlight w:val="none"/>
        </w:rPr>
        <w:t>2.</w:t>
      </w:r>
      <w:r>
        <w:rPr>
          <w:rFonts w:hint="eastAsia"/>
          <w:color w:val="auto"/>
          <w:kern w:val="2"/>
          <w:sz w:val="21"/>
          <w:szCs w:val="21"/>
          <w:highlight w:val="none"/>
        </w:rPr>
        <w:t xml:space="preserve"> </w:t>
      </w:r>
      <w:r>
        <w:rPr>
          <w:color w:val="auto"/>
          <w:kern w:val="2"/>
          <w:sz w:val="21"/>
          <w:szCs w:val="21"/>
          <w:highlight w:val="none"/>
        </w:rPr>
        <w:t>合同价格形式：</w:t>
      </w:r>
      <w:r>
        <w:rPr>
          <w:color w:val="auto"/>
          <w:kern w:val="2"/>
          <w:sz w:val="21"/>
          <w:szCs w:val="21"/>
          <w:highlight w:val="none"/>
          <w:u w:val="single"/>
        </w:rPr>
        <w:t xml:space="preserve"> </w:t>
      </w:r>
      <w:r>
        <w:rPr>
          <w:rFonts w:hint="eastAsia"/>
          <w:color w:val="auto"/>
          <w:kern w:val="2"/>
          <w:sz w:val="21"/>
          <w:szCs w:val="21"/>
          <w:highlight w:val="none"/>
          <w:u w:val="single"/>
        </w:rPr>
        <w:t xml:space="preserve">总价合同 </w:t>
      </w:r>
      <w:r>
        <w:rPr>
          <w:color w:val="auto"/>
          <w:kern w:val="2"/>
          <w:sz w:val="21"/>
          <w:szCs w:val="21"/>
          <w:highlight w:val="none"/>
          <w:u w:val="single"/>
        </w:rPr>
        <w:t xml:space="preserve">   </w:t>
      </w:r>
      <w:r>
        <w:rPr>
          <w:color w:val="auto"/>
          <w:kern w:val="2"/>
          <w:sz w:val="21"/>
          <w:szCs w:val="21"/>
          <w:highlight w:val="none"/>
        </w:rPr>
        <w:t>。</w:t>
      </w:r>
    </w:p>
    <w:p w14:paraId="5ADB6A0C">
      <w:pPr>
        <w:spacing w:line="360" w:lineRule="auto"/>
        <w:ind w:firstLine="422" w:firstLineChars="200"/>
        <w:rPr>
          <w:b/>
          <w:color w:val="auto"/>
          <w:kern w:val="2"/>
          <w:sz w:val="21"/>
          <w:szCs w:val="21"/>
          <w:highlight w:val="none"/>
        </w:rPr>
      </w:pPr>
      <w:bookmarkStart w:id="26" w:name="_Toc351203485"/>
      <w:r>
        <w:rPr>
          <w:b/>
          <w:color w:val="auto"/>
          <w:kern w:val="2"/>
          <w:sz w:val="21"/>
          <w:szCs w:val="21"/>
          <w:highlight w:val="none"/>
        </w:rPr>
        <w:t>五、</w:t>
      </w:r>
      <w:bookmarkEnd w:id="26"/>
      <w:r>
        <w:rPr>
          <w:b/>
          <w:color w:val="auto"/>
          <w:kern w:val="2"/>
          <w:sz w:val="21"/>
          <w:szCs w:val="21"/>
          <w:highlight w:val="none"/>
        </w:rPr>
        <w:t>项目经理</w:t>
      </w:r>
    </w:p>
    <w:p w14:paraId="715B378A">
      <w:pPr>
        <w:spacing w:line="360" w:lineRule="auto"/>
        <w:ind w:firstLine="420" w:firstLineChars="200"/>
        <w:rPr>
          <w:color w:val="auto"/>
          <w:kern w:val="2"/>
          <w:sz w:val="21"/>
          <w:szCs w:val="21"/>
          <w:highlight w:val="none"/>
        </w:rPr>
      </w:pPr>
      <w:r>
        <w:rPr>
          <w:color w:val="auto"/>
          <w:kern w:val="2"/>
          <w:sz w:val="21"/>
          <w:szCs w:val="21"/>
          <w:highlight w:val="none"/>
        </w:rPr>
        <w:t>承包人项目经理：</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w:t>
      </w:r>
      <w:r>
        <w:rPr>
          <w:color w:val="auto"/>
          <w:kern w:val="2"/>
          <w:sz w:val="21"/>
          <w:szCs w:val="21"/>
          <w:highlight w:val="none"/>
        </w:rPr>
        <w:t>。</w:t>
      </w:r>
    </w:p>
    <w:p w14:paraId="075E7C14">
      <w:pPr>
        <w:spacing w:line="360" w:lineRule="auto"/>
        <w:ind w:firstLine="422" w:firstLineChars="200"/>
        <w:rPr>
          <w:b/>
          <w:color w:val="auto"/>
          <w:kern w:val="2"/>
          <w:sz w:val="21"/>
          <w:szCs w:val="21"/>
          <w:highlight w:val="none"/>
        </w:rPr>
      </w:pPr>
      <w:bookmarkStart w:id="27" w:name="_Toc351203486"/>
      <w:r>
        <w:rPr>
          <w:b/>
          <w:color w:val="auto"/>
          <w:kern w:val="2"/>
          <w:sz w:val="21"/>
          <w:szCs w:val="21"/>
          <w:highlight w:val="none"/>
        </w:rPr>
        <w:t>六、合同文件构成</w:t>
      </w:r>
      <w:bookmarkEnd w:id="27"/>
    </w:p>
    <w:p w14:paraId="2AFCC8CE">
      <w:pPr>
        <w:spacing w:line="360" w:lineRule="auto"/>
        <w:ind w:firstLine="420" w:firstLineChars="200"/>
        <w:rPr>
          <w:bCs/>
          <w:color w:val="auto"/>
          <w:kern w:val="2"/>
          <w:sz w:val="21"/>
          <w:szCs w:val="21"/>
          <w:highlight w:val="none"/>
        </w:rPr>
      </w:pPr>
      <w:r>
        <w:rPr>
          <w:bCs/>
          <w:color w:val="auto"/>
          <w:kern w:val="2"/>
          <w:sz w:val="21"/>
          <w:szCs w:val="21"/>
          <w:highlight w:val="none"/>
        </w:rPr>
        <w:t>本协议书与下列文件一起构成合同文件：</w:t>
      </w:r>
    </w:p>
    <w:p w14:paraId="745067D8">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1.成交</w:t>
      </w:r>
      <w:r>
        <w:rPr>
          <w:color w:val="auto"/>
          <w:kern w:val="2"/>
          <w:sz w:val="21"/>
          <w:szCs w:val="21"/>
          <w:highlight w:val="none"/>
        </w:rPr>
        <w:t>通知书（如果有）；</w:t>
      </w:r>
    </w:p>
    <w:p w14:paraId="00796D1C">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2.</w:t>
      </w:r>
      <w:r>
        <w:rPr>
          <w:rFonts w:hint="eastAsia"/>
          <w:color w:val="auto"/>
          <w:kern w:val="2"/>
          <w:sz w:val="21"/>
          <w:szCs w:val="21"/>
          <w:highlight w:val="none"/>
          <w:lang w:val="en-US" w:eastAsia="zh-CN"/>
        </w:rPr>
        <w:t>报价表</w:t>
      </w:r>
      <w:r>
        <w:rPr>
          <w:color w:val="auto"/>
          <w:kern w:val="2"/>
          <w:sz w:val="21"/>
          <w:szCs w:val="21"/>
          <w:highlight w:val="none"/>
        </w:rPr>
        <w:t xml:space="preserve">及其附录（如果有）； </w:t>
      </w:r>
    </w:p>
    <w:p w14:paraId="49E7E94C">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3.</w:t>
      </w:r>
      <w:r>
        <w:rPr>
          <w:color w:val="auto"/>
          <w:kern w:val="2"/>
          <w:sz w:val="21"/>
          <w:szCs w:val="21"/>
          <w:highlight w:val="none"/>
        </w:rPr>
        <w:t>专用合同条款及其附件；</w:t>
      </w:r>
    </w:p>
    <w:p w14:paraId="37E6283D">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4.</w:t>
      </w:r>
      <w:r>
        <w:rPr>
          <w:color w:val="auto"/>
          <w:kern w:val="2"/>
          <w:sz w:val="21"/>
          <w:szCs w:val="21"/>
          <w:highlight w:val="none"/>
        </w:rPr>
        <w:t>通用合同条款；</w:t>
      </w:r>
    </w:p>
    <w:p w14:paraId="5E6D99A1">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5.</w:t>
      </w:r>
      <w:r>
        <w:rPr>
          <w:color w:val="auto"/>
          <w:kern w:val="2"/>
          <w:sz w:val="21"/>
          <w:szCs w:val="21"/>
          <w:highlight w:val="none"/>
        </w:rPr>
        <w:t>技术标准和要求；</w:t>
      </w:r>
    </w:p>
    <w:p w14:paraId="433AFD87">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6.</w:t>
      </w:r>
      <w:r>
        <w:rPr>
          <w:color w:val="auto"/>
          <w:kern w:val="2"/>
          <w:sz w:val="21"/>
          <w:szCs w:val="21"/>
          <w:highlight w:val="none"/>
        </w:rPr>
        <w:t>图纸；</w:t>
      </w:r>
    </w:p>
    <w:p w14:paraId="176DF8D0">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7.</w:t>
      </w:r>
      <w:r>
        <w:rPr>
          <w:color w:val="auto"/>
          <w:kern w:val="2"/>
          <w:sz w:val="21"/>
          <w:szCs w:val="21"/>
          <w:highlight w:val="none"/>
        </w:rPr>
        <w:t>已标价工程量清单或预算书；</w:t>
      </w:r>
    </w:p>
    <w:p w14:paraId="4A77D44E">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8.</w:t>
      </w:r>
      <w:r>
        <w:rPr>
          <w:color w:val="auto"/>
          <w:kern w:val="2"/>
          <w:sz w:val="21"/>
          <w:szCs w:val="21"/>
          <w:highlight w:val="none"/>
        </w:rPr>
        <w:t>其他合同文件。</w:t>
      </w:r>
    </w:p>
    <w:p w14:paraId="1B1E16D0">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在合同订立及履行过程中形成的与合同有关的文件均构成合同文件组成部分。</w:t>
      </w:r>
    </w:p>
    <w:p w14:paraId="14820073">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上述各项合同文件包括合同当事人就该项合同文件所作出的补充和修改，属于同一类内容的文件，应以最新签署的为准。</w:t>
      </w:r>
      <w:r>
        <w:rPr>
          <w:rFonts w:hint="eastAsia"/>
          <w:color w:val="auto"/>
          <w:kern w:val="2"/>
          <w:sz w:val="21"/>
          <w:szCs w:val="21"/>
          <w:highlight w:val="none"/>
        </w:rPr>
        <w:t>专用合同条款及其附件须经合同当事人签字或盖章。</w:t>
      </w:r>
    </w:p>
    <w:p w14:paraId="639DE0B9">
      <w:pPr>
        <w:spacing w:line="360" w:lineRule="auto"/>
        <w:ind w:firstLine="422" w:firstLineChars="200"/>
        <w:rPr>
          <w:b/>
          <w:color w:val="auto"/>
          <w:kern w:val="2"/>
          <w:sz w:val="21"/>
          <w:szCs w:val="21"/>
          <w:highlight w:val="none"/>
        </w:rPr>
      </w:pPr>
      <w:bookmarkStart w:id="28" w:name="_Toc351203487"/>
      <w:r>
        <w:rPr>
          <w:b/>
          <w:color w:val="auto"/>
          <w:kern w:val="2"/>
          <w:sz w:val="21"/>
          <w:szCs w:val="21"/>
          <w:highlight w:val="none"/>
        </w:rPr>
        <w:t>七、承诺</w:t>
      </w:r>
      <w:bookmarkEnd w:id="28"/>
    </w:p>
    <w:p w14:paraId="62E68E3B">
      <w:pPr>
        <w:spacing w:line="360" w:lineRule="auto"/>
        <w:ind w:firstLine="420" w:firstLineChars="200"/>
        <w:rPr>
          <w:bCs/>
          <w:color w:val="auto"/>
          <w:kern w:val="2"/>
          <w:sz w:val="21"/>
          <w:szCs w:val="21"/>
          <w:highlight w:val="non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发包人承诺按照法律规定履行项目审批手续、筹集工程建设资金并按照合同约定的期限和方式支付合同价款。</w:t>
      </w:r>
    </w:p>
    <w:p w14:paraId="5D30F32F">
      <w:pPr>
        <w:spacing w:line="360" w:lineRule="auto"/>
        <w:ind w:firstLine="420" w:firstLineChars="200"/>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承包人承诺按照法律规定及合同约定组织完成工程施工，确保工程质量和安全，不进行转包及违法分包，并在缺陷责任期及保修期内承担相应的工程维修责任。</w:t>
      </w:r>
    </w:p>
    <w:p w14:paraId="2C527815">
      <w:pPr>
        <w:spacing w:line="360" w:lineRule="auto"/>
        <w:ind w:firstLine="420" w:firstLineChars="200"/>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发包人和承包人通过</w:t>
      </w:r>
      <w:r>
        <w:rPr>
          <w:rFonts w:hint="eastAsia"/>
          <w:bCs/>
          <w:color w:val="auto"/>
          <w:kern w:val="2"/>
          <w:sz w:val="21"/>
          <w:szCs w:val="21"/>
          <w:highlight w:val="none"/>
          <w:lang w:eastAsia="zh-CN"/>
        </w:rPr>
        <w:t>比选</w:t>
      </w:r>
      <w:r>
        <w:rPr>
          <w:bCs/>
          <w:color w:val="auto"/>
          <w:kern w:val="2"/>
          <w:sz w:val="21"/>
          <w:szCs w:val="21"/>
          <w:highlight w:val="none"/>
        </w:rPr>
        <w:t>形式签订合同的，双方理解并</w:t>
      </w:r>
      <w:r>
        <w:rPr>
          <w:rFonts w:hint="eastAsia"/>
          <w:bCs/>
          <w:color w:val="auto"/>
          <w:kern w:val="2"/>
          <w:sz w:val="21"/>
          <w:szCs w:val="21"/>
          <w:highlight w:val="none"/>
        </w:rPr>
        <w:t>承诺</w:t>
      </w:r>
      <w:r>
        <w:rPr>
          <w:bCs/>
          <w:color w:val="auto"/>
          <w:kern w:val="2"/>
          <w:sz w:val="21"/>
          <w:szCs w:val="21"/>
          <w:highlight w:val="none"/>
        </w:rPr>
        <w:t>不再就同一工程另行签订与合同实质性内容相背离的协议。</w:t>
      </w:r>
    </w:p>
    <w:p w14:paraId="1DE98E82">
      <w:pPr>
        <w:spacing w:line="360" w:lineRule="auto"/>
        <w:ind w:firstLine="422" w:firstLineChars="200"/>
        <w:rPr>
          <w:b/>
          <w:color w:val="auto"/>
          <w:kern w:val="2"/>
          <w:sz w:val="21"/>
          <w:szCs w:val="21"/>
          <w:highlight w:val="none"/>
        </w:rPr>
      </w:pPr>
      <w:bookmarkStart w:id="29" w:name="_Toc351203488"/>
      <w:r>
        <w:rPr>
          <w:b/>
          <w:color w:val="auto"/>
          <w:kern w:val="2"/>
          <w:sz w:val="21"/>
          <w:szCs w:val="21"/>
          <w:highlight w:val="none"/>
        </w:rPr>
        <w:t>八、词语含义</w:t>
      </w:r>
      <w:bookmarkEnd w:id="29"/>
    </w:p>
    <w:p w14:paraId="028FAC4A">
      <w:pPr>
        <w:spacing w:line="360" w:lineRule="auto"/>
        <w:ind w:firstLine="420" w:firstLineChars="200"/>
        <w:rPr>
          <w:bCs/>
          <w:color w:val="auto"/>
          <w:kern w:val="2"/>
          <w:sz w:val="21"/>
          <w:szCs w:val="21"/>
          <w:highlight w:val="none"/>
        </w:rPr>
      </w:pPr>
      <w:r>
        <w:rPr>
          <w:bCs/>
          <w:color w:val="auto"/>
          <w:kern w:val="2"/>
          <w:sz w:val="21"/>
          <w:szCs w:val="21"/>
          <w:highlight w:val="none"/>
        </w:rPr>
        <w:t>本协议书中词语含义与第二部分通用合同条款中赋予的含义相同。</w:t>
      </w:r>
    </w:p>
    <w:p w14:paraId="7C273C59">
      <w:pPr>
        <w:spacing w:line="360" w:lineRule="auto"/>
        <w:ind w:firstLine="422" w:firstLineChars="200"/>
        <w:rPr>
          <w:b/>
          <w:color w:val="auto"/>
          <w:kern w:val="2"/>
          <w:sz w:val="21"/>
          <w:szCs w:val="21"/>
          <w:highlight w:val="none"/>
        </w:rPr>
      </w:pPr>
      <w:bookmarkStart w:id="30" w:name="_Toc351203489"/>
      <w:r>
        <w:rPr>
          <w:b/>
          <w:color w:val="auto"/>
          <w:kern w:val="2"/>
          <w:sz w:val="21"/>
          <w:szCs w:val="21"/>
          <w:highlight w:val="none"/>
        </w:rPr>
        <w:t>九、签订时间</w:t>
      </w:r>
      <w:bookmarkEnd w:id="30"/>
    </w:p>
    <w:p w14:paraId="2056D604">
      <w:pPr>
        <w:spacing w:line="360" w:lineRule="auto"/>
        <w:ind w:firstLine="420" w:firstLineChars="200"/>
        <w:rPr>
          <w:bCs/>
          <w:color w:val="auto"/>
          <w:kern w:val="2"/>
          <w:sz w:val="21"/>
          <w:szCs w:val="21"/>
          <w:highlight w:val="none"/>
        </w:rPr>
      </w:pPr>
      <w:r>
        <w:rPr>
          <w:bCs/>
          <w:color w:val="auto"/>
          <w:kern w:val="2"/>
          <w:sz w:val="21"/>
          <w:szCs w:val="21"/>
          <w:highlight w:val="none"/>
        </w:rPr>
        <w:t>本合同于</w:t>
      </w:r>
      <w:r>
        <w:rPr>
          <w:bCs/>
          <w:color w:val="auto"/>
          <w:kern w:val="2"/>
          <w:sz w:val="21"/>
          <w:szCs w:val="21"/>
          <w:highlight w:val="none"/>
          <w:u w:val="single"/>
        </w:rPr>
        <w:t xml:space="preserve">         </w:t>
      </w:r>
      <w:r>
        <w:rPr>
          <w:bCs/>
          <w:color w:val="auto"/>
          <w:kern w:val="2"/>
          <w:sz w:val="21"/>
          <w:szCs w:val="21"/>
          <w:highlight w:val="none"/>
        </w:rPr>
        <w:t>年</w:t>
      </w:r>
      <w:r>
        <w:rPr>
          <w:bCs/>
          <w:color w:val="auto"/>
          <w:kern w:val="2"/>
          <w:sz w:val="21"/>
          <w:szCs w:val="21"/>
          <w:highlight w:val="none"/>
          <w:u w:val="single"/>
        </w:rPr>
        <w:t xml:space="preserve">    </w:t>
      </w:r>
      <w:r>
        <w:rPr>
          <w:bCs/>
          <w:color w:val="auto"/>
          <w:kern w:val="2"/>
          <w:sz w:val="21"/>
          <w:szCs w:val="21"/>
          <w:highlight w:val="none"/>
        </w:rPr>
        <w:t>月</w:t>
      </w:r>
      <w:r>
        <w:rPr>
          <w:bCs/>
          <w:color w:val="auto"/>
          <w:kern w:val="2"/>
          <w:sz w:val="21"/>
          <w:szCs w:val="21"/>
          <w:highlight w:val="none"/>
          <w:u w:val="single"/>
        </w:rPr>
        <w:t xml:space="preserve">    </w:t>
      </w:r>
      <w:r>
        <w:rPr>
          <w:bCs/>
          <w:color w:val="auto"/>
          <w:kern w:val="2"/>
          <w:sz w:val="21"/>
          <w:szCs w:val="21"/>
          <w:highlight w:val="none"/>
        </w:rPr>
        <w:t>日签订。</w:t>
      </w:r>
    </w:p>
    <w:p w14:paraId="074805C5">
      <w:pPr>
        <w:spacing w:line="360" w:lineRule="auto"/>
        <w:ind w:firstLine="422" w:firstLineChars="200"/>
        <w:rPr>
          <w:b/>
          <w:color w:val="auto"/>
          <w:kern w:val="2"/>
          <w:sz w:val="21"/>
          <w:szCs w:val="21"/>
          <w:highlight w:val="none"/>
        </w:rPr>
      </w:pPr>
      <w:bookmarkStart w:id="31" w:name="_Toc351203490"/>
      <w:r>
        <w:rPr>
          <w:b/>
          <w:color w:val="auto"/>
          <w:kern w:val="2"/>
          <w:sz w:val="21"/>
          <w:szCs w:val="21"/>
          <w:highlight w:val="none"/>
        </w:rPr>
        <w:t>十、签订地点</w:t>
      </w:r>
      <w:bookmarkEnd w:id="31"/>
    </w:p>
    <w:p w14:paraId="2873F0C4">
      <w:pPr>
        <w:spacing w:line="360" w:lineRule="auto"/>
        <w:ind w:firstLine="420" w:firstLineChars="200"/>
        <w:rPr>
          <w:bCs/>
          <w:color w:val="auto"/>
          <w:kern w:val="2"/>
          <w:sz w:val="21"/>
          <w:szCs w:val="21"/>
          <w:highlight w:val="none"/>
        </w:rPr>
      </w:pPr>
      <w:r>
        <w:rPr>
          <w:bCs/>
          <w:color w:val="auto"/>
          <w:kern w:val="2"/>
          <w:sz w:val="21"/>
          <w:szCs w:val="21"/>
          <w:highlight w:val="none"/>
        </w:rPr>
        <w:t>本合同在</w:t>
      </w:r>
      <w:r>
        <w:rPr>
          <w:bCs/>
          <w:color w:val="auto"/>
          <w:kern w:val="2"/>
          <w:sz w:val="21"/>
          <w:szCs w:val="21"/>
          <w:highlight w:val="none"/>
          <w:u w:val="single"/>
        </w:rPr>
        <w:t xml:space="preserve">                                    </w:t>
      </w:r>
      <w:r>
        <w:rPr>
          <w:bCs/>
          <w:color w:val="auto"/>
          <w:kern w:val="2"/>
          <w:sz w:val="21"/>
          <w:szCs w:val="21"/>
          <w:highlight w:val="none"/>
        </w:rPr>
        <w:t>签订。</w:t>
      </w:r>
    </w:p>
    <w:p w14:paraId="5E66194A">
      <w:pPr>
        <w:spacing w:line="360" w:lineRule="auto"/>
        <w:ind w:firstLine="422" w:firstLineChars="200"/>
        <w:rPr>
          <w:b/>
          <w:color w:val="auto"/>
          <w:kern w:val="2"/>
          <w:sz w:val="21"/>
          <w:szCs w:val="21"/>
          <w:highlight w:val="none"/>
        </w:rPr>
      </w:pPr>
      <w:bookmarkStart w:id="32" w:name="_Toc351203491"/>
      <w:r>
        <w:rPr>
          <w:b/>
          <w:color w:val="auto"/>
          <w:kern w:val="2"/>
          <w:sz w:val="21"/>
          <w:szCs w:val="21"/>
          <w:highlight w:val="none"/>
        </w:rPr>
        <w:t>十一、补充协议</w:t>
      </w:r>
      <w:bookmarkEnd w:id="32"/>
    </w:p>
    <w:p w14:paraId="27274613">
      <w:pPr>
        <w:spacing w:line="360" w:lineRule="auto"/>
        <w:ind w:firstLine="420" w:firstLineChars="200"/>
        <w:rPr>
          <w:b/>
          <w:bCs/>
          <w:color w:val="auto"/>
          <w:kern w:val="2"/>
          <w:sz w:val="21"/>
          <w:szCs w:val="21"/>
          <w:highlight w:val="none"/>
        </w:rPr>
      </w:pPr>
      <w:r>
        <w:rPr>
          <w:bCs/>
          <w:color w:val="auto"/>
          <w:kern w:val="2"/>
          <w:sz w:val="21"/>
          <w:szCs w:val="21"/>
          <w:highlight w:val="none"/>
        </w:rPr>
        <w:t>合同未尽事宜，合同当事人另行签订补充协议</w:t>
      </w:r>
      <w:r>
        <w:rPr>
          <w:rFonts w:hint="eastAsia"/>
          <w:bCs/>
          <w:color w:val="auto"/>
          <w:kern w:val="2"/>
          <w:sz w:val="21"/>
          <w:szCs w:val="21"/>
          <w:highlight w:val="none"/>
        </w:rPr>
        <w:t>，</w:t>
      </w:r>
      <w:r>
        <w:rPr>
          <w:bCs/>
          <w:color w:val="auto"/>
          <w:kern w:val="2"/>
          <w:sz w:val="21"/>
          <w:szCs w:val="21"/>
          <w:highlight w:val="none"/>
        </w:rPr>
        <w:t>补充协议是合同的组成部分。</w:t>
      </w:r>
    </w:p>
    <w:p w14:paraId="5EF3FE11">
      <w:pPr>
        <w:spacing w:line="360" w:lineRule="auto"/>
        <w:ind w:firstLine="422" w:firstLineChars="200"/>
        <w:rPr>
          <w:b/>
          <w:color w:val="auto"/>
          <w:kern w:val="2"/>
          <w:sz w:val="21"/>
          <w:szCs w:val="21"/>
          <w:highlight w:val="none"/>
        </w:rPr>
      </w:pPr>
      <w:bookmarkStart w:id="33" w:name="_Toc351203492"/>
      <w:r>
        <w:rPr>
          <w:b/>
          <w:color w:val="auto"/>
          <w:kern w:val="2"/>
          <w:sz w:val="21"/>
          <w:szCs w:val="21"/>
          <w:highlight w:val="none"/>
        </w:rPr>
        <w:t>十二、合同生效</w:t>
      </w:r>
      <w:bookmarkEnd w:id="33"/>
    </w:p>
    <w:p w14:paraId="2E466780">
      <w:pPr>
        <w:spacing w:line="360" w:lineRule="auto"/>
        <w:ind w:firstLine="420" w:firstLineChars="200"/>
        <w:rPr>
          <w:bCs/>
          <w:color w:val="auto"/>
          <w:kern w:val="2"/>
          <w:sz w:val="21"/>
          <w:szCs w:val="21"/>
          <w:highlight w:val="none"/>
        </w:rPr>
      </w:pPr>
      <w:r>
        <w:rPr>
          <w:bCs/>
          <w:color w:val="auto"/>
          <w:kern w:val="2"/>
          <w:sz w:val="21"/>
          <w:szCs w:val="21"/>
          <w:highlight w:val="none"/>
        </w:rPr>
        <w:t>本合同自</w:t>
      </w:r>
      <w:r>
        <w:rPr>
          <w:bCs/>
          <w:color w:val="auto"/>
          <w:kern w:val="2"/>
          <w:sz w:val="21"/>
          <w:szCs w:val="21"/>
          <w:highlight w:val="none"/>
          <w:u w:val="single"/>
        </w:rPr>
        <w:t xml:space="preserve">      </w:t>
      </w:r>
      <w:r>
        <w:rPr>
          <w:rFonts w:hint="eastAsia"/>
          <w:bCs/>
          <w:color w:val="auto"/>
          <w:kern w:val="2"/>
          <w:sz w:val="21"/>
          <w:szCs w:val="21"/>
          <w:highlight w:val="none"/>
          <w:u w:val="single"/>
        </w:rPr>
        <w:t>签订时</w:t>
      </w:r>
      <w:r>
        <w:rPr>
          <w:bCs/>
          <w:color w:val="auto"/>
          <w:kern w:val="2"/>
          <w:sz w:val="21"/>
          <w:szCs w:val="21"/>
          <w:highlight w:val="none"/>
          <w:u w:val="single"/>
        </w:rPr>
        <w:t xml:space="preserve">                             </w:t>
      </w:r>
      <w:r>
        <w:rPr>
          <w:bCs/>
          <w:color w:val="auto"/>
          <w:kern w:val="2"/>
          <w:sz w:val="21"/>
          <w:szCs w:val="21"/>
          <w:highlight w:val="none"/>
        </w:rPr>
        <w:t>生效。</w:t>
      </w:r>
    </w:p>
    <w:p w14:paraId="64EECAC8">
      <w:pPr>
        <w:spacing w:line="360" w:lineRule="auto"/>
        <w:ind w:firstLine="422" w:firstLineChars="200"/>
        <w:rPr>
          <w:b/>
          <w:color w:val="auto"/>
          <w:kern w:val="2"/>
          <w:sz w:val="21"/>
          <w:szCs w:val="21"/>
          <w:highlight w:val="none"/>
        </w:rPr>
      </w:pPr>
      <w:bookmarkStart w:id="34" w:name="_Toc351203493"/>
      <w:r>
        <w:rPr>
          <w:b/>
          <w:color w:val="auto"/>
          <w:kern w:val="2"/>
          <w:sz w:val="21"/>
          <w:szCs w:val="21"/>
          <w:highlight w:val="none"/>
        </w:rPr>
        <w:t>十三、合同份数</w:t>
      </w:r>
      <w:bookmarkEnd w:id="34"/>
    </w:p>
    <w:p w14:paraId="79E67830">
      <w:pPr>
        <w:spacing w:line="360" w:lineRule="auto"/>
        <w:ind w:firstLine="420" w:firstLineChars="200"/>
        <w:rPr>
          <w:bCs/>
          <w:color w:val="auto"/>
          <w:kern w:val="2"/>
          <w:sz w:val="21"/>
          <w:szCs w:val="21"/>
          <w:highlight w:val="none"/>
        </w:rPr>
      </w:pPr>
      <w:r>
        <w:rPr>
          <w:bCs/>
          <w:color w:val="auto"/>
          <w:kern w:val="2"/>
          <w:sz w:val="21"/>
          <w:szCs w:val="21"/>
          <w:highlight w:val="none"/>
        </w:rPr>
        <w:t>本合同一式</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份，均具有同等法律效力，发包人执</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份，承包人执</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w:t>
      </w:r>
    </w:p>
    <w:p w14:paraId="2D056383">
      <w:pPr>
        <w:spacing w:line="360" w:lineRule="auto"/>
        <w:rPr>
          <w:bCs/>
          <w:color w:val="auto"/>
          <w:kern w:val="2"/>
          <w:sz w:val="21"/>
          <w:szCs w:val="21"/>
          <w:highlight w:val="none"/>
        </w:rPr>
      </w:pPr>
    </w:p>
    <w:p w14:paraId="7F56AE35">
      <w:pPr>
        <w:spacing w:line="360" w:lineRule="auto"/>
        <w:rPr>
          <w:color w:val="auto"/>
          <w:kern w:val="2"/>
          <w:sz w:val="21"/>
          <w:szCs w:val="21"/>
          <w:highlight w:val="none"/>
          <w:u w:val="single"/>
        </w:rPr>
      </w:pPr>
      <w:r>
        <w:rPr>
          <w:color w:val="auto"/>
          <w:kern w:val="2"/>
          <w:sz w:val="21"/>
          <w:szCs w:val="21"/>
          <w:highlight w:val="none"/>
        </w:rPr>
        <w:t>发包人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(公章)</w:t>
      </w:r>
      <w:r>
        <w:rPr>
          <w:rFonts w:hint="eastAsia"/>
          <w:color w:val="auto"/>
          <w:kern w:val="2"/>
          <w:sz w:val="21"/>
          <w:szCs w:val="21"/>
          <w:highlight w:val="none"/>
        </w:rPr>
        <w:t xml:space="preserve">            </w:t>
      </w:r>
      <w:r>
        <w:rPr>
          <w:color w:val="auto"/>
          <w:kern w:val="2"/>
          <w:sz w:val="21"/>
          <w:szCs w:val="21"/>
          <w:highlight w:val="none"/>
        </w:rPr>
        <w:t>承包人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(公章)</w:t>
      </w:r>
    </w:p>
    <w:p w14:paraId="272F769D">
      <w:pPr>
        <w:spacing w:line="360" w:lineRule="auto"/>
        <w:rPr>
          <w:color w:val="auto"/>
          <w:kern w:val="2"/>
          <w:sz w:val="21"/>
          <w:szCs w:val="21"/>
          <w:highlight w:val="none"/>
        </w:rPr>
      </w:pPr>
      <w:r>
        <w:rPr>
          <w:rFonts w:hint="eastAsia"/>
          <w:color w:val="auto"/>
          <w:kern w:val="2"/>
          <w:sz w:val="21"/>
          <w:szCs w:val="21"/>
          <w:highlight w:val="none"/>
        </w:rPr>
        <w:t>法定代表人或其委托代理人：                  法定代表人或其委托代理人：</w:t>
      </w:r>
    </w:p>
    <w:p w14:paraId="0744C21E">
      <w:pPr>
        <w:spacing w:line="360" w:lineRule="auto"/>
        <w:rPr>
          <w:color w:val="auto"/>
          <w:kern w:val="2"/>
          <w:sz w:val="21"/>
          <w:szCs w:val="21"/>
          <w:highlight w:val="none"/>
          <w:u w:val="single"/>
        </w:rPr>
      </w:pPr>
      <w:r>
        <w:rPr>
          <w:rFonts w:hint="eastAsia"/>
          <w:color w:val="auto"/>
          <w:kern w:val="2"/>
          <w:sz w:val="21"/>
          <w:szCs w:val="21"/>
          <w:highlight w:val="none"/>
        </w:rPr>
        <w:t>（签字）</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（签字）</w:t>
      </w:r>
      <w:r>
        <w:rPr>
          <w:rFonts w:hint="eastAsia"/>
          <w:color w:val="auto"/>
          <w:kern w:val="2"/>
          <w:sz w:val="21"/>
          <w:szCs w:val="21"/>
          <w:highlight w:val="none"/>
          <w:u w:val="single"/>
        </w:rPr>
        <w:t xml:space="preserve">                     </w:t>
      </w:r>
    </w:p>
    <w:p w14:paraId="4DC0F6FC">
      <w:pPr>
        <w:tabs>
          <w:tab w:val="left" w:pos="4410"/>
        </w:tabs>
        <w:spacing w:line="360" w:lineRule="auto"/>
        <w:rPr>
          <w:color w:val="auto"/>
          <w:kern w:val="2"/>
          <w:sz w:val="21"/>
          <w:szCs w:val="21"/>
          <w:highlight w:val="none"/>
        </w:rPr>
      </w:pPr>
      <w:r>
        <w:rPr>
          <w:rFonts w:hint="eastAsia"/>
          <w:color w:val="auto"/>
          <w:kern w:val="2"/>
          <w:sz w:val="21"/>
          <w:szCs w:val="21"/>
          <w:highlight w:val="none"/>
        </w:rPr>
        <w:t>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p>
    <w:p w14:paraId="0D988EB8">
      <w:pPr>
        <w:spacing w:line="360" w:lineRule="auto"/>
        <w:rPr>
          <w:color w:val="auto"/>
          <w:kern w:val="2"/>
          <w:sz w:val="21"/>
          <w:szCs w:val="21"/>
          <w:highlight w:val="none"/>
        </w:rPr>
      </w:pPr>
      <w:r>
        <w:rPr>
          <w:color w:val="auto"/>
          <w:kern w:val="2"/>
          <w:sz w:val="21"/>
          <w:szCs w:val="21"/>
          <w:highlight w:val="none"/>
        </w:rPr>
        <w:t>地  址：</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地  址：</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3BC535BF">
      <w:pPr>
        <w:spacing w:line="360" w:lineRule="auto"/>
        <w:rPr>
          <w:color w:val="auto"/>
          <w:kern w:val="2"/>
          <w:sz w:val="21"/>
          <w:szCs w:val="21"/>
          <w:highlight w:val="none"/>
        </w:rPr>
      </w:pPr>
      <w:r>
        <w:rPr>
          <w:color w:val="auto"/>
          <w:kern w:val="2"/>
          <w:sz w:val="21"/>
          <w:szCs w:val="21"/>
          <w:highlight w:val="none"/>
        </w:rPr>
        <w:t>邮政编码：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rFonts w:hint="eastAsia"/>
          <w:color w:val="auto"/>
          <w:kern w:val="2"/>
          <w:sz w:val="21"/>
          <w:szCs w:val="21"/>
          <w:highlight w:val="none"/>
        </w:rPr>
        <w:t xml:space="preserve">               </w:t>
      </w:r>
      <w:r>
        <w:rPr>
          <w:color w:val="auto"/>
          <w:kern w:val="2"/>
          <w:sz w:val="21"/>
          <w:szCs w:val="21"/>
          <w:highlight w:val="none"/>
        </w:rPr>
        <w:t>邮政编码：</w:t>
      </w:r>
      <w:r>
        <w:rPr>
          <w:color w:val="auto"/>
          <w:kern w:val="2"/>
          <w:sz w:val="21"/>
          <w:szCs w:val="21"/>
          <w:highlight w:val="none"/>
          <w:u w:val="single"/>
        </w:rPr>
        <w:t xml:space="preserve">   </w:t>
      </w:r>
    </w:p>
    <w:p w14:paraId="74CAD3C5">
      <w:pPr>
        <w:spacing w:line="360" w:lineRule="auto"/>
        <w:rPr>
          <w:color w:val="auto"/>
          <w:kern w:val="2"/>
          <w:sz w:val="21"/>
          <w:szCs w:val="21"/>
          <w:highlight w:val="none"/>
        </w:rPr>
      </w:pP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69620FF0">
      <w:pPr>
        <w:spacing w:line="360" w:lineRule="auto"/>
        <w:rPr>
          <w:color w:val="auto"/>
          <w:kern w:val="2"/>
          <w:sz w:val="21"/>
          <w:szCs w:val="21"/>
          <w:highlight w:val="none"/>
        </w:rPr>
      </w:pP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2C606039">
      <w:pPr>
        <w:spacing w:line="360" w:lineRule="auto"/>
        <w:rPr>
          <w:color w:val="auto"/>
          <w:kern w:val="2"/>
          <w:sz w:val="21"/>
          <w:szCs w:val="21"/>
          <w:highlight w:val="none"/>
        </w:rPr>
      </w:pP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71AA521E">
      <w:pPr>
        <w:spacing w:line="360" w:lineRule="auto"/>
        <w:rPr>
          <w:color w:val="auto"/>
          <w:kern w:val="2"/>
          <w:sz w:val="21"/>
          <w:szCs w:val="21"/>
          <w:highlight w:val="none"/>
        </w:rPr>
      </w:pPr>
      <w:r>
        <w:rPr>
          <w:color w:val="auto"/>
          <w:kern w:val="2"/>
          <w:sz w:val="21"/>
          <w:szCs w:val="21"/>
          <w:highlight w:val="none"/>
        </w:rPr>
        <w:t>传  真：</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传  真：</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0CFF63C4">
      <w:pPr>
        <w:spacing w:line="360" w:lineRule="auto"/>
        <w:rPr>
          <w:color w:val="auto"/>
          <w:kern w:val="2"/>
          <w:sz w:val="21"/>
          <w:szCs w:val="21"/>
          <w:highlight w:val="none"/>
          <w:u w:val="single"/>
        </w:rPr>
      </w:pPr>
      <w:r>
        <w:rPr>
          <w:color w:val="auto"/>
          <w:kern w:val="2"/>
          <w:sz w:val="21"/>
          <w:szCs w:val="21"/>
          <w:highlight w:val="none"/>
        </w:rPr>
        <w:t>电子信箱：</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电子信箱：</w:t>
      </w:r>
      <w:r>
        <w:rPr>
          <w:color w:val="auto"/>
          <w:kern w:val="2"/>
          <w:sz w:val="21"/>
          <w:szCs w:val="21"/>
          <w:highlight w:val="none"/>
          <w:u w:val="single"/>
        </w:rPr>
        <w:t xml:space="preserve">   </w:t>
      </w:r>
    </w:p>
    <w:p w14:paraId="350AB548">
      <w:pPr>
        <w:spacing w:line="360" w:lineRule="auto"/>
        <w:rPr>
          <w:color w:val="auto"/>
          <w:kern w:val="2"/>
          <w:sz w:val="21"/>
          <w:szCs w:val="21"/>
          <w:highlight w:val="none"/>
        </w:rPr>
      </w:pPr>
      <w:r>
        <w:rPr>
          <w:color w:val="auto"/>
          <w:kern w:val="2"/>
          <w:sz w:val="21"/>
          <w:szCs w:val="21"/>
          <w:highlight w:val="none"/>
        </w:rPr>
        <w:t>开户银行：</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开户银行：</w:t>
      </w:r>
      <w:r>
        <w:rPr>
          <w:color w:val="auto"/>
          <w:kern w:val="2"/>
          <w:sz w:val="21"/>
          <w:szCs w:val="21"/>
          <w:highlight w:val="none"/>
          <w:u w:val="single"/>
        </w:rPr>
        <w:t xml:space="preserve">   </w:t>
      </w:r>
    </w:p>
    <w:p w14:paraId="11E7AEFF">
      <w:pPr>
        <w:rPr>
          <w:rFonts w:ascii="Times New Roman" w:hAnsi="Times New Roman"/>
          <w:color w:val="auto"/>
          <w:kern w:val="2"/>
          <w:sz w:val="21"/>
          <w:szCs w:val="24"/>
          <w:highlight w:val="none"/>
        </w:rPr>
      </w:pPr>
      <w:r>
        <w:rPr>
          <w:color w:val="auto"/>
          <w:kern w:val="2"/>
          <w:sz w:val="21"/>
          <w:szCs w:val="21"/>
          <w:highlight w:val="none"/>
        </w:rPr>
        <w:t>账  号：</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账</w:t>
      </w:r>
      <w:r>
        <w:rPr>
          <w:rFonts w:hint="eastAsia"/>
          <w:color w:val="auto"/>
          <w:kern w:val="2"/>
          <w:sz w:val="21"/>
          <w:szCs w:val="21"/>
          <w:highlight w:val="none"/>
        </w:rPr>
        <w:t xml:space="preserve"> </w:t>
      </w:r>
      <w:r>
        <w:rPr>
          <w:color w:val="auto"/>
          <w:kern w:val="2"/>
          <w:sz w:val="21"/>
          <w:szCs w:val="21"/>
          <w:highlight w:val="none"/>
        </w:rPr>
        <w:t xml:space="preserve"> 号：</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p>
    <w:p w14:paraId="445F029D">
      <w:pPr>
        <w:spacing w:line="360" w:lineRule="auto"/>
        <w:rPr>
          <w:color w:val="auto"/>
          <w:highlight w:val="none"/>
        </w:rPr>
      </w:pPr>
      <w:r>
        <w:rPr>
          <w:rFonts w:hint="eastAsia"/>
          <w:color w:val="auto"/>
          <w:kern w:val="2"/>
          <w:sz w:val="21"/>
          <w:szCs w:val="21"/>
          <w:highlight w:val="none"/>
        </w:rPr>
        <w:t xml:space="preserve">                           </w:t>
      </w:r>
      <w:r>
        <w:rPr>
          <w:color w:val="auto"/>
          <w:kern w:val="2"/>
          <w:sz w:val="21"/>
          <w:szCs w:val="21"/>
          <w:highlight w:val="none"/>
        </w:rPr>
        <w:t xml:space="preserve"> </w:t>
      </w:r>
      <w:r>
        <w:rPr>
          <w:rFonts w:hint="eastAsia"/>
          <w:color w:val="auto"/>
          <w:kern w:val="2"/>
          <w:sz w:val="21"/>
          <w:szCs w:val="21"/>
          <w:highlight w:val="none"/>
        </w:rPr>
        <w:t xml:space="preserve">                户  名</w:t>
      </w:r>
      <w:r>
        <w:rPr>
          <w:color w:val="auto"/>
          <w:kern w:val="2"/>
          <w:sz w:val="21"/>
          <w:szCs w:val="21"/>
          <w:highlight w:val="none"/>
        </w:rPr>
        <w:t>：</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6CB8290F">
      <w:pPr>
        <w:spacing w:line="360" w:lineRule="auto"/>
        <w:jc w:val="center"/>
        <w:outlineLvl w:val="2"/>
        <w:rPr>
          <w:rFonts w:ascii="等线" w:hAnsi="等线" w:eastAsia="等线" w:cs="@仿宋_GB2312"/>
          <w:b/>
          <w:color w:val="auto"/>
          <w:kern w:val="2"/>
          <w:sz w:val="24"/>
          <w:highlight w:val="none"/>
        </w:rPr>
      </w:pPr>
      <w:r>
        <w:rPr>
          <w:rFonts w:ascii="Cambria" w:hAnsi="Cambria"/>
          <w:b/>
          <w:bCs/>
          <w:color w:val="auto"/>
          <w:kern w:val="2"/>
          <w:sz w:val="32"/>
          <w:szCs w:val="32"/>
          <w:highlight w:val="none"/>
        </w:rPr>
        <w:br w:type="page"/>
      </w:r>
      <w:bookmarkStart w:id="35" w:name="_Toc15656490"/>
      <w:r>
        <w:rPr>
          <w:rFonts w:hint="eastAsia" w:ascii="等线" w:hAnsi="等线" w:eastAsia="等线" w:cs="@仿宋_GB2312"/>
          <w:b/>
          <w:color w:val="auto"/>
          <w:kern w:val="2"/>
          <w:sz w:val="24"/>
          <w:highlight w:val="none"/>
        </w:rPr>
        <w:t>第二节  通用合同条款</w:t>
      </w:r>
      <w:bookmarkEnd w:id="35"/>
    </w:p>
    <w:p w14:paraId="1FF38614">
      <w:pPr>
        <w:ind w:firstLine="560" w:firstLineChars="200"/>
        <w:rPr>
          <w:rFonts w:ascii="Times New Roman" w:hAnsi="Times New Roman" w:eastAsia="黑体"/>
          <w:snapToGrid w:val="0"/>
          <w:color w:val="auto"/>
          <w:sz w:val="28"/>
          <w:szCs w:val="24"/>
          <w:highlight w:val="none"/>
        </w:rPr>
      </w:pPr>
    </w:p>
    <w:p w14:paraId="28F6037D">
      <w:pPr>
        <w:spacing w:line="360" w:lineRule="auto"/>
        <w:ind w:firstLine="560" w:firstLineChars="200"/>
        <w:rPr>
          <w:snapToGrid w:val="0"/>
          <w:color w:val="auto"/>
          <w:sz w:val="28"/>
          <w:szCs w:val="24"/>
          <w:highlight w:val="none"/>
        </w:rPr>
      </w:pPr>
      <w:r>
        <w:rPr>
          <w:rFonts w:hint="eastAsia"/>
          <w:snapToGrid w:val="0"/>
          <w:color w:val="auto"/>
          <w:sz w:val="28"/>
          <w:szCs w:val="24"/>
          <w:highlight w:val="none"/>
        </w:rPr>
        <w:t>采用《建设工程施工合同(示范文本)》（GF-2017-0201）中通用合同条款。上述资料由</w:t>
      </w:r>
      <w:r>
        <w:rPr>
          <w:rFonts w:hint="eastAsia"/>
          <w:snapToGrid w:val="0"/>
          <w:color w:val="auto"/>
          <w:sz w:val="28"/>
          <w:szCs w:val="24"/>
          <w:highlight w:val="none"/>
          <w:lang w:eastAsia="zh-CN"/>
        </w:rPr>
        <w:t>供应商</w:t>
      </w:r>
      <w:r>
        <w:rPr>
          <w:rFonts w:hint="eastAsia"/>
          <w:snapToGrid w:val="0"/>
          <w:color w:val="auto"/>
          <w:sz w:val="28"/>
          <w:szCs w:val="24"/>
          <w:highlight w:val="none"/>
        </w:rPr>
        <w:t>自行准备。</w:t>
      </w:r>
    </w:p>
    <w:p w14:paraId="155FB3B9">
      <w:pPr>
        <w:spacing w:line="360" w:lineRule="auto"/>
        <w:jc w:val="center"/>
        <w:outlineLvl w:val="2"/>
        <w:rPr>
          <w:rFonts w:ascii="等线" w:hAnsi="等线" w:eastAsia="等线" w:cs="@仿宋_GB2312"/>
          <w:b/>
          <w:color w:val="auto"/>
          <w:kern w:val="2"/>
          <w:sz w:val="24"/>
          <w:highlight w:val="none"/>
        </w:rPr>
      </w:pPr>
      <w:r>
        <w:rPr>
          <w:rFonts w:ascii="黑体" w:hAnsi="Cambria" w:eastAsia="黑体"/>
          <w:b/>
          <w:bCs/>
          <w:color w:val="auto"/>
          <w:kern w:val="2"/>
          <w:sz w:val="24"/>
          <w:szCs w:val="32"/>
          <w:highlight w:val="none"/>
        </w:rPr>
        <w:br w:type="page"/>
      </w:r>
      <w:bookmarkStart w:id="36" w:name="_Toc15656491"/>
      <w:r>
        <w:rPr>
          <w:rFonts w:hint="eastAsia" w:ascii="等线" w:hAnsi="等线" w:eastAsia="等线" w:cs="@仿宋_GB2312"/>
          <w:b/>
          <w:color w:val="auto"/>
          <w:kern w:val="2"/>
          <w:sz w:val="24"/>
          <w:highlight w:val="none"/>
        </w:rPr>
        <w:t>第三节  专用合同条款</w:t>
      </w:r>
      <w:bookmarkEnd w:id="36"/>
    </w:p>
    <w:p w14:paraId="5160C6A6">
      <w:pPr>
        <w:keepNext/>
        <w:keepLines/>
        <w:spacing w:before="120" w:after="120" w:line="360" w:lineRule="auto"/>
        <w:outlineLvl w:val="2"/>
        <w:rPr>
          <w:rFonts w:ascii="黑体" w:hAnsi="黑体" w:eastAsia="黑体"/>
          <w:bCs/>
          <w:color w:val="auto"/>
          <w:kern w:val="2"/>
          <w:sz w:val="24"/>
          <w:szCs w:val="24"/>
          <w:highlight w:val="none"/>
        </w:rPr>
      </w:pPr>
      <w:bookmarkStart w:id="37" w:name="_Toc351203633"/>
      <w:r>
        <w:rPr>
          <w:rFonts w:ascii="黑体" w:hAnsi="黑体" w:eastAsia="黑体"/>
          <w:bCs/>
          <w:color w:val="auto"/>
          <w:kern w:val="2"/>
          <w:sz w:val="24"/>
          <w:szCs w:val="24"/>
          <w:highlight w:val="none"/>
        </w:rPr>
        <w:t>1</w:t>
      </w:r>
      <w:bookmarkStart w:id="38" w:name="_Toc296891196"/>
      <w:bookmarkStart w:id="39" w:name="_Toc296503156"/>
      <w:bookmarkStart w:id="40" w:name="_Toc297120456"/>
      <w:bookmarkStart w:id="41" w:name="_Toc296347155"/>
      <w:bookmarkStart w:id="42" w:name="_Toc292559866"/>
      <w:bookmarkStart w:id="43" w:name="_Toc296346657"/>
      <w:bookmarkStart w:id="44" w:name="_Toc296944495"/>
      <w:bookmarkStart w:id="45" w:name="_Toc297048342"/>
      <w:bookmarkStart w:id="46" w:name="_Toc292559361"/>
      <w:bookmarkStart w:id="47" w:name="_Toc296890984"/>
      <w:r>
        <w:rPr>
          <w:rFonts w:ascii="黑体" w:hAnsi="黑体" w:eastAsia="黑体"/>
          <w:bCs/>
          <w:color w:val="auto"/>
          <w:kern w:val="2"/>
          <w:sz w:val="24"/>
          <w:szCs w:val="24"/>
          <w:highlight w:val="none"/>
        </w:rPr>
        <w:t>. 一般约定</w:t>
      </w:r>
      <w:bookmarkEnd w:id="37"/>
    </w:p>
    <w:bookmarkEnd w:id="38"/>
    <w:bookmarkEnd w:id="39"/>
    <w:bookmarkEnd w:id="40"/>
    <w:bookmarkEnd w:id="41"/>
    <w:bookmarkEnd w:id="42"/>
    <w:bookmarkEnd w:id="43"/>
    <w:bookmarkEnd w:id="44"/>
    <w:bookmarkEnd w:id="45"/>
    <w:bookmarkEnd w:id="46"/>
    <w:bookmarkEnd w:id="47"/>
    <w:p w14:paraId="015431D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词语定义与解释</w:t>
      </w:r>
    </w:p>
    <w:p w14:paraId="761100C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合同</w:t>
      </w:r>
    </w:p>
    <w:p w14:paraId="0DAD1A8A">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1.1.1.10</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其他合同文件包括：</w:t>
      </w:r>
      <w:r>
        <w:rPr>
          <w:rFonts w:ascii="Times New Roman" w:hAnsi="Times New Roman"/>
          <w:color w:val="auto"/>
          <w:kern w:val="2"/>
          <w:sz w:val="21"/>
          <w:szCs w:val="24"/>
          <w:highlight w:val="none"/>
          <w:u w:val="single"/>
        </w:rPr>
        <w:t></w:t>
      </w:r>
      <w:r>
        <w:rPr>
          <w:rFonts w:hint="eastAsia" w:ascii="Times New Roman" w:hAnsi="Times New Roman"/>
          <w:color w:val="auto"/>
          <w:sz w:val="21"/>
          <w:szCs w:val="24"/>
          <w:highlight w:val="none"/>
          <w:u w:val="single"/>
        </w:rPr>
        <w:t>合同履行过程中双方就有关工程洽商、变更达成的书面协议</w:t>
      </w:r>
      <w:r>
        <w:rPr>
          <w:rFonts w:ascii="Times New Roman" w:hAnsi="Times New Roman"/>
          <w:color w:val="auto"/>
          <w:sz w:val="21"/>
          <w:szCs w:val="24"/>
          <w:highlight w:val="none"/>
          <w:u w:val="single"/>
        </w:rPr>
        <w:t>。</w:t>
      </w:r>
    </w:p>
    <w:p w14:paraId="2E8ACA7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 合同当事人及其他相关方</w:t>
      </w:r>
    </w:p>
    <w:p w14:paraId="00182C7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监理人：</w:t>
      </w:r>
    </w:p>
    <w:p w14:paraId="7315D09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名    称：</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5EC977F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资质类别和等级：</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208D14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C0A0E0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11EEEB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5E18CD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1.1.2.5 设计人：</w:t>
      </w:r>
    </w:p>
    <w:p w14:paraId="5F6BB0B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名    称：</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4B57467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资质类别和等级：</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2520E44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3D1AA8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CEFA06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65BF28C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1.1.3 工程和设备</w:t>
      </w:r>
    </w:p>
    <w:p w14:paraId="5F86E8A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1.1.3.7 作为施工现场组成部分的其他场所包括：</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8942B9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1.1.3.9 永久占地包括：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sz w:val="21"/>
          <w:szCs w:val="24"/>
          <w:highlight w:val="none"/>
        </w:rPr>
        <w:t>。</w:t>
      </w:r>
    </w:p>
    <w:p w14:paraId="0E2905A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1.1.3.10 临时占地包括：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sz w:val="21"/>
          <w:szCs w:val="24"/>
          <w:highlight w:val="none"/>
        </w:rPr>
        <w:t>。</w:t>
      </w:r>
    </w:p>
    <w:p w14:paraId="37C0497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 xml:space="preserve">法律 </w:t>
      </w:r>
    </w:p>
    <w:p w14:paraId="51C8DC5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适用于合同的其他规范性文件：</w:t>
      </w:r>
      <w:r>
        <w:rPr>
          <w:rFonts w:hint="eastAsia" w:ascii="Times New Roman" w:hAnsi="Times New Roman"/>
          <w:b/>
          <w:color w:val="auto"/>
          <w:kern w:val="2"/>
          <w:sz w:val="21"/>
          <w:szCs w:val="24"/>
          <w:highlight w:val="none"/>
          <w:u w:val="single"/>
        </w:rPr>
        <w:t>《中华人民共和国民法典》、《中华人民共和国建筑法》、《建设工程质量管理条例》、《建设工程安全生产管理条例》等国家及工程所在地现行有效的法律法规和规章。</w:t>
      </w:r>
    </w:p>
    <w:p w14:paraId="4CD32C9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 标准和规范</w:t>
      </w:r>
    </w:p>
    <w:p w14:paraId="161479A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适用于工程的标准规范包括：</w:t>
      </w:r>
      <w:r>
        <w:rPr>
          <w:rFonts w:hint="eastAsia" w:ascii="Times New Roman" w:hAnsi="Times New Roman"/>
          <w:b/>
          <w:color w:val="auto"/>
          <w:kern w:val="2"/>
          <w:sz w:val="21"/>
          <w:szCs w:val="24"/>
          <w:highlight w:val="none"/>
          <w:u w:val="single"/>
        </w:rPr>
        <w:t>执行通用条款。</w:t>
      </w:r>
    </w:p>
    <w:p w14:paraId="05069FB3">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1.4.2 发包人提供国外标准、规范的名称：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3D9EC87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发包人提供国外标准、规范的份数：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43E548E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发包人提供国外标准、规范的</w:t>
      </w:r>
      <w:r>
        <w:rPr>
          <w:rFonts w:hint="eastAsia" w:ascii="Times New Roman" w:hAnsi="Times New Roman"/>
          <w:color w:val="auto"/>
          <w:sz w:val="21"/>
          <w:szCs w:val="24"/>
          <w:highlight w:val="none"/>
        </w:rPr>
        <w:t>时间</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336EC47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1.4.3</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发包人对工程的技术标准和功能要求的特殊要求：</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26BF2D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 合同文件的优先顺序</w:t>
      </w:r>
    </w:p>
    <w:p w14:paraId="0D6ABF2A">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合同文件组成及优先顺序为：</w:t>
      </w:r>
      <w:r>
        <w:rPr>
          <w:rFonts w:hint="eastAsia"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执行通用条款。</w:t>
      </w:r>
    </w:p>
    <w:p w14:paraId="572400B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 图纸和承包人文件</w:t>
      </w:r>
      <w:r>
        <w:rPr>
          <w:rFonts w:ascii="Arial" w:hAnsi="Arial" w:eastAsia="黑体"/>
          <w:bCs/>
          <w:color w:val="auto"/>
          <w:kern w:val="2"/>
          <w:sz w:val="21"/>
          <w:szCs w:val="28"/>
          <w:highlight w:val="none"/>
        </w:rPr>
        <w:tab/>
      </w:r>
    </w:p>
    <w:p w14:paraId="3812F60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w:t>
      </w:r>
      <w:r>
        <w:rPr>
          <w:rFonts w:hint="eastAsia" w:ascii="Times New Roman" w:hAnsi="Times New Roman"/>
          <w:color w:val="auto"/>
          <w:kern w:val="2"/>
          <w:sz w:val="21"/>
          <w:szCs w:val="24"/>
          <w:highlight w:val="none"/>
        </w:rPr>
        <w:t xml:space="preserve"> 图纸的提供和交底</w:t>
      </w:r>
    </w:p>
    <w:p w14:paraId="371E31A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发包人向承包人提供图纸的期限：</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1D24BD2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发包人向承包人提供图纸的数量：</w:t>
      </w:r>
      <w:r>
        <w:rPr>
          <w:rFonts w:hint="eastAsia" w:ascii="Times New Roman" w:hAnsi="Times New Roman"/>
          <w:b/>
          <w:color w:val="auto"/>
          <w:kern w:val="2"/>
          <w:sz w:val="21"/>
          <w:szCs w:val="24"/>
          <w:highlight w:val="none"/>
          <w:u w:val="single"/>
        </w:rPr>
        <w:t>提供</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套（含竣工图</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套），不足的由承包人自行复制，费用自理；</w:t>
      </w:r>
    </w:p>
    <w:p w14:paraId="18068AF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发包人向承包人提供图纸的内容：</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52B3FD5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1.6.4 承包人文件</w:t>
      </w:r>
    </w:p>
    <w:p w14:paraId="69A5FC2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需要由承包人提供的文件，包括：</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491F76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承包人提供的文件的期限为：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18B22A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承包人提供的文件的数量为：</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1A094B9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承包人提供的文件的形式为：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45CB75F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承包人文件的期限：</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36D7BB7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1.6.5</w:t>
      </w:r>
      <w:r>
        <w:rPr>
          <w:rFonts w:hint="eastAsia" w:ascii="Times New Roman" w:hAnsi="Times New Roman"/>
          <w:color w:val="auto"/>
          <w:kern w:val="2"/>
          <w:sz w:val="21"/>
          <w:szCs w:val="24"/>
          <w:highlight w:val="none"/>
        </w:rPr>
        <w:t xml:space="preserve"> 图纸和承包人文件的保管</w:t>
      </w:r>
    </w:p>
    <w:p w14:paraId="7AFA88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w:t>
      </w:r>
      <w:r>
        <w:rPr>
          <w:rFonts w:hint="eastAsia" w:ascii="Times New Roman" w:hAnsi="Times New Roman"/>
          <w:color w:val="auto"/>
          <w:kern w:val="2"/>
          <w:sz w:val="21"/>
          <w:szCs w:val="24"/>
          <w:highlight w:val="none"/>
        </w:rPr>
        <w:t>图纸和承包人文件保管</w:t>
      </w:r>
      <w:r>
        <w:rPr>
          <w:rFonts w:ascii="Times New Roman" w:hAnsi="Times New Roman"/>
          <w:color w:val="auto"/>
          <w:kern w:val="2"/>
          <w:sz w:val="21"/>
          <w:szCs w:val="24"/>
          <w:highlight w:val="none"/>
        </w:rPr>
        <w:t>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0210A3A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 联络</w:t>
      </w:r>
    </w:p>
    <w:p w14:paraId="2C596FC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发包人和承包人应当在</w:t>
      </w:r>
      <w:r>
        <w:rPr>
          <w:rFonts w:hint="eastAsia" w:ascii="Times New Roman" w:hAnsi="Times New Roman"/>
          <w:color w:val="auto"/>
          <w:kern w:val="2"/>
          <w:sz w:val="21"/>
          <w:szCs w:val="24"/>
          <w:highlight w:val="none"/>
          <w:u w:val="single"/>
        </w:rPr>
        <w:t>7</w:t>
      </w:r>
      <w:r>
        <w:rPr>
          <w:rFonts w:ascii="Times New Roman" w:hAnsi="Times New Roman"/>
          <w:color w:val="auto"/>
          <w:sz w:val="21"/>
          <w:szCs w:val="24"/>
          <w:highlight w:val="none"/>
        </w:rPr>
        <w:t>天内将与合同有关的通知、批准、证明、证书、指示、指令、要求、请求、同意、意见、确定和决定等书面函件送达对方当事人</w:t>
      </w:r>
      <w:r>
        <w:rPr>
          <w:rFonts w:hint="eastAsia" w:ascii="Times New Roman" w:hAnsi="Times New Roman"/>
          <w:color w:val="auto"/>
          <w:sz w:val="21"/>
          <w:szCs w:val="24"/>
          <w:highlight w:val="none"/>
        </w:rPr>
        <w:t>。</w:t>
      </w:r>
    </w:p>
    <w:p w14:paraId="0F38F53F">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1.7.2 发包人接收文件的地点：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23B77B7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112A18B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0C0DCFD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2C534D9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769AFB2F">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3FE3E14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1.10 交通运输</w:t>
      </w:r>
    </w:p>
    <w:p w14:paraId="70A42FE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48" w:name="_Toc304295521"/>
      <w:bookmarkStart w:id="49" w:name="_Toc300934943"/>
      <w:bookmarkStart w:id="50" w:name="_Toc312677986"/>
      <w:bookmarkStart w:id="51" w:name="_Toc318581155"/>
      <w:bookmarkStart w:id="52" w:name="_Toc303539100"/>
      <w:r>
        <w:rPr>
          <w:rFonts w:ascii="Times New Roman" w:hAnsi="Times New Roman"/>
          <w:color w:val="auto"/>
          <w:kern w:val="2"/>
          <w:sz w:val="21"/>
          <w:szCs w:val="24"/>
          <w:highlight w:val="none"/>
        </w:rPr>
        <w:t>.10.1 出入现场的权利</w:t>
      </w:r>
    </w:p>
    <w:p w14:paraId="375FCD4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关于出入现场的权利的约定：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48"/>
    <w:bookmarkEnd w:id="49"/>
    <w:bookmarkEnd w:id="50"/>
    <w:bookmarkEnd w:id="51"/>
    <w:bookmarkEnd w:id="52"/>
    <w:p w14:paraId="747E943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53" w:name="_Toc300934944"/>
      <w:bookmarkStart w:id="54" w:name="_Toc312677987"/>
      <w:bookmarkStart w:id="55" w:name="_Toc318581156"/>
      <w:bookmarkStart w:id="56" w:name="_Toc304295522"/>
      <w:bookmarkStart w:id="57" w:name="_Toc303539101"/>
      <w:r>
        <w:rPr>
          <w:rFonts w:ascii="Times New Roman" w:hAnsi="Times New Roman"/>
          <w:color w:val="auto"/>
          <w:kern w:val="2"/>
          <w:sz w:val="21"/>
          <w:szCs w:val="24"/>
          <w:highlight w:val="none"/>
        </w:rPr>
        <w:t>.10.3 场内交通</w:t>
      </w:r>
    </w:p>
    <w:p w14:paraId="3119272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关于场外交通和场内交通的边界的约定：</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EBE2E8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关于发包人向承包人免费提供满足工程施工需要的场内道路和交通设施的约定：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bookmarkEnd w:id="53"/>
      <w:bookmarkEnd w:id="54"/>
      <w:bookmarkEnd w:id="55"/>
      <w:bookmarkEnd w:id="56"/>
      <w:bookmarkEnd w:id="57"/>
      <w:r>
        <w:rPr>
          <w:rFonts w:ascii="Times New Roman" w:hAnsi="Times New Roman"/>
          <w:color w:val="auto"/>
          <w:kern w:val="2"/>
          <w:sz w:val="21"/>
          <w:szCs w:val="24"/>
          <w:highlight w:val="none"/>
        </w:rPr>
        <w:t xml:space="preserve"> </w:t>
      </w:r>
      <w:bookmarkStart w:id="58" w:name="_Toc318581157"/>
    </w:p>
    <w:p w14:paraId="5CB1E4D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1.10.4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超大件和超重件的运输</w:t>
      </w:r>
    </w:p>
    <w:p w14:paraId="2069CCF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运输超大件或超重件所需的道路和桥梁临时加固改造费用和其他有关费用由</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承担。</w:t>
      </w:r>
    </w:p>
    <w:bookmarkEnd w:id="58"/>
    <w:p w14:paraId="0F47931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1.11 知识产权</w:t>
      </w:r>
    </w:p>
    <w:p w14:paraId="04F32D2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19CAAF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43492D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1.11.2 关于承包人为实施工程所编制文件的著作权的归属：</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7009B1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关于承包人提供的上述文件的使用限制的要求：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5D243F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1.11.4 承包人在施工过程中所采用的专利、专有技术、技术秘密的使用费的承担方式：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D3FC99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工程量清单错误的修正</w:t>
      </w:r>
    </w:p>
    <w:p w14:paraId="3C119D10">
      <w:pPr>
        <w:adjustRightInd w:val="0"/>
        <w:spacing w:line="360" w:lineRule="auto"/>
        <w:ind w:firstLine="420" w:firstLineChars="200"/>
        <w:rPr>
          <w:rFonts w:ascii="Times New Roman" w:hAnsi="Times New Roman" w:cs="Courier New"/>
          <w:bCs/>
          <w:color w:val="auto"/>
          <w:kern w:val="2"/>
          <w:sz w:val="21"/>
          <w:szCs w:val="24"/>
          <w:highlight w:val="none"/>
          <w:u w:val="single"/>
        </w:rPr>
      </w:pPr>
      <w:r>
        <w:rPr>
          <w:rFonts w:hint="eastAsia" w:ascii="Times New Roman" w:hAnsi="Times New Roman" w:cs="Courier New"/>
          <w:color w:val="auto"/>
          <w:kern w:val="2"/>
          <w:sz w:val="21"/>
          <w:szCs w:val="24"/>
          <w:highlight w:val="none"/>
        </w:rPr>
        <w:t>出现工程量清单错误时，是否调整合同价格：</w:t>
      </w:r>
      <w:r>
        <w:rPr>
          <w:rFonts w:hint="eastAsia" w:ascii="Times New Roman" w:hAnsi="Times New Roman" w:cs="Courier New"/>
          <w:bCs/>
          <w:color w:val="auto"/>
          <w:kern w:val="2"/>
          <w:sz w:val="21"/>
          <w:szCs w:val="24"/>
          <w:highlight w:val="none"/>
          <w:u w:val="single"/>
        </w:rPr>
        <w:t xml:space="preserve">    </w:t>
      </w:r>
      <w:r>
        <w:rPr>
          <w:rFonts w:hint="eastAsia" w:ascii="Times New Roman" w:hAnsi="Times New Roman" w:cs="Courier New"/>
          <w:bCs/>
          <w:color w:val="auto"/>
          <w:kern w:val="2"/>
          <w:sz w:val="21"/>
          <w:szCs w:val="24"/>
          <w:highlight w:val="none"/>
          <w:u w:val="single"/>
          <w:lang w:eastAsia="zh-CN"/>
        </w:rPr>
        <w:t>不调整</w:t>
      </w:r>
      <w:r>
        <w:rPr>
          <w:rFonts w:hint="eastAsia" w:ascii="Times New Roman" w:hAnsi="Times New Roman" w:cs="Courier New"/>
          <w:bCs/>
          <w:color w:val="auto"/>
          <w:kern w:val="2"/>
          <w:sz w:val="21"/>
          <w:szCs w:val="24"/>
          <w:highlight w:val="none"/>
          <w:u w:val="single"/>
        </w:rPr>
        <w:t xml:space="preserve">                </w:t>
      </w:r>
    </w:p>
    <w:p w14:paraId="76F392E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允许调整合同价格的工程量偏差范围：</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558AB627">
      <w:pPr>
        <w:keepNext/>
        <w:keepLines/>
        <w:spacing w:before="120" w:after="120" w:line="360" w:lineRule="auto"/>
        <w:jc w:val="left"/>
        <w:outlineLvl w:val="2"/>
        <w:rPr>
          <w:rFonts w:ascii="黑体" w:hAnsi="黑体" w:eastAsia="黑体"/>
          <w:bCs/>
          <w:color w:val="auto"/>
          <w:kern w:val="2"/>
          <w:sz w:val="24"/>
          <w:szCs w:val="24"/>
          <w:highlight w:val="none"/>
        </w:rPr>
      </w:pPr>
      <w:bookmarkStart w:id="59" w:name="_Toc351203634"/>
      <w:r>
        <w:rPr>
          <w:rFonts w:ascii="黑体" w:hAnsi="黑体" w:eastAsia="黑体"/>
          <w:bCs/>
          <w:color w:val="auto"/>
          <w:kern w:val="2"/>
          <w:sz w:val="24"/>
          <w:szCs w:val="24"/>
          <w:highlight w:val="none"/>
        </w:rPr>
        <w:t>2</w:t>
      </w:r>
      <w:bookmarkStart w:id="60" w:name="_Toc296503157"/>
      <w:bookmarkStart w:id="61" w:name="_Toc296944496"/>
      <w:bookmarkStart w:id="62" w:name="_Toc292559362"/>
      <w:bookmarkStart w:id="63" w:name="_Toc292559867"/>
      <w:bookmarkStart w:id="64" w:name="_Toc296347156"/>
      <w:bookmarkStart w:id="65" w:name="_Toc297120457"/>
      <w:bookmarkStart w:id="66" w:name="_Toc296890985"/>
      <w:bookmarkStart w:id="67" w:name="_Toc297048343"/>
      <w:bookmarkStart w:id="68" w:name="_Toc296891197"/>
      <w:bookmarkStart w:id="69" w:name="_Toc296346658"/>
      <w:r>
        <w:rPr>
          <w:rFonts w:ascii="黑体" w:hAnsi="黑体" w:eastAsia="黑体"/>
          <w:bCs/>
          <w:color w:val="auto"/>
          <w:kern w:val="2"/>
          <w:sz w:val="24"/>
          <w:szCs w:val="24"/>
          <w:highlight w:val="none"/>
        </w:rPr>
        <w:t>. 发包人</w:t>
      </w:r>
      <w:bookmarkEnd w:id="59"/>
    </w:p>
    <w:bookmarkEnd w:id="60"/>
    <w:bookmarkEnd w:id="61"/>
    <w:bookmarkEnd w:id="62"/>
    <w:bookmarkEnd w:id="63"/>
    <w:bookmarkEnd w:id="64"/>
    <w:bookmarkEnd w:id="65"/>
    <w:bookmarkEnd w:id="66"/>
    <w:bookmarkEnd w:id="67"/>
    <w:bookmarkEnd w:id="68"/>
    <w:bookmarkEnd w:id="69"/>
    <w:p w14:paraId="260908F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2.2 发包人代表</w:t>
      </w:r>
    </w:p>
    <w:p w14:paraId="1A1794D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发包人代表：</w:t>
      </w:r>
    </w:p>
    <w:p w14:paraId="001F522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B7558F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3CB71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235A8C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27D7BA8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29DEC1E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4C8EF4AE">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发包人对发包人代表的授权范围如下：</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8C34BD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2.4 施工现场、施工条件和基础资料的提供</w:t>
      </w:r>
    </w:p>
    <w:p w14:paraId="11C8B51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2.4.1 提供施工现场</w:t>
      </w:r>
    </w:p>
    <w:p w14:paraId="0589EA4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关于发包人移交施工现场的期限要求：</w:t>
      </w:r>
      <w:r>
        <w:rPr>
          <w:rFonts w:hint="eastAsia" w:ascii="Times New Roman" w:hAnsi="Times New Roman"/>
          <w:b/>
          <w:color w:val="auto"/>
          <w:kern w:val="2"/>
          <w:sz w:val="21"/>
          <w:szCs w:val="24"/>
          <w:highlight w:val="none"/>
          <w:u w:val="single"/>
        </w:rPr>
        <w:t>开工日期</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天前</w:t>
      </w:r>
      <w:r>
        <w:rPr>
          <w:rFonts w:ascii="Times New Roman" w:hAnsi="Times New Roman"/>
          <w:color w:val="auto"/>
          <w:kern w:val="2"/>
          <w:sz w:val="21"/>
          <w:szCs w:val="24"/>
          <w:highlight w:val="none"/>
        </w:rPr>
        <w:t>。</w:t>
      </w:r>
    </w:p>
    <w:p w14:paraId="726CF0C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2.4.2 提供施工条件</w:t>
      </w:r>
    </w:p>
    <w:p w14:paraId="4CEB394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关于发包人应负责提供施工</w:t>
      </w:r>
      <w:r>
        <w:rPr>
          <w:rFonts w:hint="eastAsia" w:ascii="Times New Roman" w:hAnsi="Times New Roman"/>
          <w:color w:val="auto"/>
          <w:kern w:val="2"/>
          <w:sz w:val="21"/>
          <w:szCs w:val="24"/>
          <w:highlight w:val="none"/>
        </w:rPr>
        <w:t>所需要的条件，</w:t>
      </w:r>
      <w:r>
        <w:rPr>
          <w:rFonts w:ascii="Times New Roman" w:hAnsi="Times New Roman"/>
          <w:color w:val="auto"/>
          <w:kern w:val="2"/>
          <w:sz w:val="21"/>
          <w:szCs w:val="24"/>
          <w:highlight w:val="none"/>
        </w:rPr>
        <w:t>包括：</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rPr>
        <w:t>。</w:t>
      </w:r>
    </w:p>
    <w:p w14:paraId="3294D8F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2.5 资金来源证明及支付担保</w:t>
      </w:r>
    </w:p>
    <w:p w14:paraId="75160C1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发包人提供资金来源证明的期限要求：</w:t>
      </w:r>
      <w:r>
        <w:rPr>
          <w:rFonts w:hint="eastAsia" w:ascii="Times New Roman" w:hAnsi="Times New Roman"/>
          <w:color w:val="auto"/>
          <w:kern w:val="2"/>
          <w:sz w:val="21"/>
          <w:szCs w:val="24"/>
          <w:highlight w:val="none"/>
          <w:u w:val="single"/>
        </w:rPr>
        <w:t>按照规定应办理建筑工程施工许可证的房屋建筑和市政工程建设项目，均应办理工程款支付担保，发包人应当在合同签订后15日历天内提供施工合同额10%的工程款支付担保</w:t>
      </w:r>
      <w:r>
        <w:rPr>
          <w:rFonts w:ascii="Times New Roman" w:hAnsi="Times New Roman"/>
          <w:color w:val="auto"/>
          <w:kern w:val="2"/>
          <w:sz w:val="21"/>
          <w:szCs w:val="24"/>
          <w:highlight w:val="none"/>
        </w:rPr>
        <w:t>。</w:t>
      </w:r>
    </w:p>
    <w:p w14:paraId="6BF48DF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发包人是否提供支付担保：</w:t>
      </w:r>
      <w:r>
        <w:rPr>
          <w:rFonts w:hint="eastAsia" w:ascii="Times New Roman" w:hAnsi="Times New Roman"/>
          <w:color w:val="auto"/>
          <w:kern w:val="2"/>
          <w:sz w:val="21"/>
          <w:szCs w:val="24"/>
          <w:highlight w:val="none"/>
          <w:u w:val="single"/>
        </w:rPr>
        <w:t>是</w:t>
      </w:r>
      <w:r>
        <w:rPr>
          <w:rFonts w:ascii="Times New Roman" w:hAnsi="Times New Roman"/>
          <w:color w:val="auto"/>
          <w:kern w:val="2"/>
          <w:sz w:val="21"/>
          <w:szCs w:val="24"/>
          <w:highlight w:val="none"/>
        </w:rPr>
        <w:t>。</w:t>
      </w:r>
    </w:p>
    <w:p w14:paraId="2876DAF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发包人提供支付担保的形式：</w:t>
      </w:r>
      <w:r>
        <w:rPr>
          <w:rFonts w:hint="eastAsia" w:ascii="Times New Roman" w:hAnsi="Times New Roman"/>
          <w:color w:val="auto"/>
          <w:kern w:val="2"/>
          <w:sz w:val="21"/>
          <w:szCs w:val="24"/>
          <w:highlight w:val="none"/>
          <w:u w:val="single"/>
        </w:rPr>
        <w:t>采用银行保函、担保公司担保、第三方担保、工程款支付保证保险等方式。对于政府投资房屋建筑和市政工程建设项目，发包人可以根据合同约定将有权部门出具的相应资金保障证明，作为工程款支付担保凭证</w:t>
      </w:r>
      <w:r>
        <w:rPr>
          <w:rFonts w:ascii="Times New Roman" w:hAnsi="Times New Roman"/>
          <w:color w:val="auto"/>
          <w:kern w:val="2"/>
          <w:sz w:val="21"/>
          <w:szCs w:val="24"/>
          <w:highlight w:val="none"/>
        </w:rPr>
        <w:t>。</w:t>
      </w:r>
    </w:p>
    <w:p w14:paraId="52A46441">
      <w:pPr>
        <w:keepNext/>
        <w:keepLines/>
        <w:spacing w:before="120" w:after="120" w:line="360" w:lineRule="auto"/>
        <w:jc w:val="left"/>
        <w:outlineLvl w:val="2"/>
        <w:rPr>
          <w:rFonts w:ascii="黑体" w:hAnsi="黑体" w:eastAsia="黑体"/>
          <w:bCs/>
          <w:color w:val="auto"/>
          <w:kern w:val="2"/>
          <w:sz w:val="24"/>
          <w:szCs w:val="24"/>
          <w:highlight w:val="none"/>
        </w:rPr>
      </w:pPr>
      <w:bookmarkStart w:id="70" w:name="_Toc351203635"/>
      <w:r>
        <w:rPr>
          <w:rFonts w:ascii="黑体" w:hAnsi="黑体" w:eastAsia="黑体"/>
          <w:bCs/>
          <w:color w:val="auto"/>
          <w:kern w:val="2"/>
          <w:sz w:val="24"/>
          <w:szCs w:val="24"/>
          <w:highlight w:val="none"/>
        </w:rPr>
        <w:t>3</w:t>
      </w:r>
      <w:bookmarkStart w:id="71" w:name="_Toc292559868"/>
      <w:bookmarkStart w:id="72" w:name="_Toc292559363"/>
      <w:bookmarkStart w:id="73" w:name="_Toc296347157"/>
      <w:bookmarkStart w:id="74" w:name="_Toc296346659"/>
      <w:bookmarkStart w:id="75" w:name="_Toc297048344"/>
      <w:bookmarkStart w:id="76" w:name="_Toc296503158"/>
      <w:bookmarkStart w:id="77" w:name="_Toc296944497"/>
      <w:bookmarkStart w:id="78" w:name="_Toc296890986"/>
      <w:bookmarkStart w:id="79" w:name="_Toc296891198"/>
      <w:bookmarkStart w:id="80" w:name="_Toc297120458"/>
      <w:r>
        <w:rPr>
          <w:rFonts w:ascii="黑体" w:hAnsi="黑体" w:eastAsia="黑体"/>
          <w:bCs/>
          <w:color w:val="auto"/>
          <w:kern w:val="2"/>
          <w:sz w:val="24"/>
          <w:szCs w:val="24"/>
          <w:highlight w:val="none"/>
        </w:rPr>
        <w:t>. 承包人</w:t>
      </w:r>
      <w:bookmarkEnd w:id="70"/>
    </w:p>
    <w:bookmarkEnd w:id="71"/>
    <w:bookmarkEnd w:id="72"/>
    <w:bookmarkEnd w:id="73"/>
    <w:bookmarkEnd w:id="74"/>
    <w:bookmarkEnd w:id="75"/>
    <w:bookmarkEnd w:id="76"/>
    <w:bookmarkEnd w:id="77"/>
    <w:bookmarkEnd w:id="78"/>
    <w:bookmarkEnd w:id="79"/>
    <w:bookmarkEnd w:id="80"/>
    <w:p w14:paraId="73C03E4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3.1 承包人的一般义务</w:t>
      </w:r>
    </w:p>
    <w:p w14:paraId="5205DA3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9</w:t>
      </w:r>
      <w:r>
        <w:rPr>
          <w:rFonts w:ascii="Times New Roman" w:hAnsi="Times New Roman"/>
          <w:color w:val="auto"/>
          <w:sz w:val="21"/>
          <w:szCs w:val="24"/>
          <w:highlight w:val="none"/>
        </w:rPr>
        <w:t>）</w:t>
      </w:r>
      <w:r>
        <w:rPr>
          <w:rFonts w:ascii="Times New Roman" w:hAnsi="Times New Roman"/>
          <w:color w:val="auto"/>
          <w:kern w:val="2"/>
          <w:sz w:val="21"/>
          <w:szCs w:val="24"/>
          <w:highlight w:val="none"/>
        </w:rPr>
        <w:t>承包人提交的竣工资料的内容：</w:t>
      </w:r>
      <w:r>
        <w:rPr>
          <w:rFonts w:hint="eastAsia" w:ascii="Times New Roman" w:hAnsi="Times New Roman"/>
          <w:b/>
          <w:color w:val="auto"/>
          <w:kern w:val="2"/>
          <w:sz w:val="21"/>
          <w:szCs w:val="24"/>
          <w:highlight w:val="none"/>
          <w:u w:val="single"/>
        </w:rPr>
        <w:t>承包人提供全套竣工图，所有竣工图应为新图纸</w:t>
      </w:r>
      <w:r>
        <w:rPr>
          <w:rFonts w:ascii="Times New Roman" w:hAnsi="Times New Roman"/>
          <w:color w:val="auto"/>
          <w:kern w:val="2"/>
          <w:sz w:val="21"/>
          <w:szCs w:val="24"/>
          <w:highlight w:val="none"/>
        </w:rPr>
        <w:t>。</w:t>
      </w:r>
    </w:p>
    <w:p w14:paraId="785F1F6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承包人需要提交的竣工资料套数：</w:t>
      </w:r>
      <w:r>
        <w:rPr>
          <w:rFonts w:hint="eastAsia" w:ascii="Times New Roman" w:hAnsi="Times New Roman"/>
          <w:b/>
          <w:color w:val="auto"/>
          <w:kern w:val="2"/>
          <w:sz w:val="21"/>
          <w:szCs w:val="24"/>
          <w:highlight w:val="none"/>
          <w:u w:val="single"/>
        </w:rPr>
        <w:t>2套</w:t>
      </w:r>
      <w:r>
        <w:rPr>
          <w:rFonts w:ascii="Times New Roman" w:hAnsi="Times New Roman"/>
          <w:color w:val="auto"/>
          <w:kern w:val="2"/>
          <w:sz w:val="21"/>
          <w:szCs w:val="24"/>
          <w:highlight w:val="none"/>
        </w:rPr>
        <w:t>。</w:t>
      </w:r>
    </w:p>
    <w:p w14:paraId="29FA19D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承包人提交的竣工资料的费用承担：</w:t>
      </w:r>
      <w:r>
        <w:rPr>
          <w:rFonts w:hint="eastAsia" w:ascii="Times New Roman" w:hAnsi="Times New Roman"/>
          <w:b/>
          <w:color w:val="auto"/>
          <w:kern w:val="2"/>
          <w:sz w:val="21"/>
          <w:szCs w:val="24"/>
          <w:highlight w:val="none"/>
          <w:u w:val="single"/>
        </w:rPr>
        <w:t>承包人承担</w:t>
      </w:r>
      <w:r>
        <w:rPr>
          <w:rFonts w:ascii="Times New Roman" w:hAnsi="Times New Roman"/>
          <w:color w:val="auto"/>
          <w:kern w:val="2"/>
          <w:sz w:val="21"/>
          <w:szCs w:val="24"/>
          <w:highlight w:val="none"/>
        </w:rPr>
        <w:t>。</w:t>
      </w:r>
    </w:p>
    <w:p w14:paraId="3F6B03D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承包人提交的竣工资料移交时间：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8796AD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承包人提交的竣工资料形式要求：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E6DD8A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10</w:t>
      </w:r>
      <w:r>
        <w:rPr>
          <w:rFonts w:ascii="Times New Roman" w:hAnsi="Times New Roman"/>
          <w:color w:val="auto"/>
          <w:sz w:val="21"/>
          <w:szCs w:val="24"/>
          <w:highlight w:val="none"/>
        </w:rPr>
        <w:t>）承包人应履行的其他义务：</w:t>
      </w:r>
      <w:r>
        <w:rPr>
          <w:rFonts w:hint="eastAsia" w:ascii="Times New Roman" w:hAnsi="Times New Roman"/>
          <w:b/>
          <w:color w:val="auto"/>
          <w:kern w:val="2"/>
          <w:sz w:val="21"/>
          <w:szCs w:val="24"/>
          <w:highlight w:val="none"/>
          <w:u w:val="single"/>
        </w:rPr>
        <w:t>每月</w:t>
      </w:r>
      <w:r>
        <w:rPr>
          <w:rFonts w:ascii="Times New Roman" w:hAnsi="Times New Roman"/>
          <w:b/>
          <w:color w:val="auto"/>
          <w:kern w:val="2"/>
          <w:sz w:val="21"/>
          <w:szCs w:val="24"/>
          <w:highlight w:val="none"/>
          <w:u w:val="single"/>
        </w:rPr>
        <w:t>25</w:t>
      </w:r>
      <w:r>
        <w:rPr>
          <w:rFonts w:hint="eastAsia" w:ascii="Times New Roman" w:hAnsi="Times New Roman"/>
          <w:b/>
          <w:color w:val="auto"/>
          <w:kern w:val="2"/>
          <w:sz w:val="21"/>
          <w:szCs w:val="24"/>
          <w:highlight w:val="none"/>
          <w:u w:val="single"/>
        </w:rPr>
        <w:t>日提交本月工程报表和下月工程计划表，（报表和计划表应包括质量、进度、安全、投资、材料计划等内容，反映存在的问题和应对措施；一式叁份提交发包人</w:t>
      </w:r>
      <w:r>
        <w:rPr>
          <w:rFonts w:ascii="Times New Roman" w:hAnsi="Times New Roman"/>
          <w:b/>
          <w:color w:val="auto"/>
          <w:kern w:val="2"/>
          <w:sz w:val="21"/>
          <w:szCs w:val="24"/>
          <w:highlight w:val="none"/>
          <w:u w:val="single"/>
        </w:rPr>
        <w:t>)。</w:t>
      </w:r>
    </w:p>
    <w:p w14:paraId="229FD3D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3.2 项目经理</w:t>
      </w:r>
    </w:p>
    <w:p w14:paraId="51EFBE1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 xml:space="preserve">3.2.1 </w:t>
      </w:r>
      <w:r>
        <w:rPr>
          <w:rFonts w:ascii="Times New Roman" w:hAnsi="Times New Roman"/>
          <w:color w:val="auto"/>
          <w:kern w:val="2"/>
          <w:sz w:val="21"/>
          <w:szCs w:val="24"/>
          <w:highlight w:val="none"/>
        </w:rPr>
        <w:t>项目经理：</w:t>
      </w:r>
      <w:r>
        <w:rPr>
          <w:rFonts w:ascii="Times New Roman" w:hAnsi="Times New Roman"/>
          <w:color w:val="auto"/>
          <w:kern w:val="2"/>
          <w:sz w:val="21"/>
          <w:szCs w:val="24"/>
          <w:highlight w:val="none"/>
        </w:rPr>
        <w:tab/>
      </w:r>
    </w:p>
    <w:p w14:paraId="420FF2D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8C3177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70C9610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建造师执业资格等级：</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DC754A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建造师注册证书号：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D6DDD1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建造师执业印章号：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E0E73C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安全生产考核合格证书号：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B3EB20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F5C8BD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297C0B7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89BD93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承包人对项目经理的授权范围如下：</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CD488B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关于项目经理每月在施工现场的时间要求：</w:t>
      </w:r>
      <w:r>
        <w:rPr>
          <w:rFonts w:hint="eastAsia" w:ascii="Times New Roman" w:hAnsi="Times New Roman"/>
          <w:b/>
          <w:color w:val="auto"/>
          <w:kern w:val="2"/>
          <w:sz w:val="21"/>
          <w:szCs w:val="24"/>
          <w:highlight w:val="none"/>
          <w:u w:val="single"/>
        </w:rPr>
        <w:t>驻场时间每月不少于22天，每天在岗工作时间不得少于8小时。</w:t>
      </w:r>
      <w:r>
        <w:rPr>
          <w:rFonts w:hint="eastAsia" w:ascii="Times New Roman" w:hAnsi="Times New Roman"/>
          <w:color w:val="auto"/>
          <w:kern w:val="2"/>
          <w:sz w:val="21"/>
          <w:szCs w:val="24"/>
          <w:highlight w:val="none"/>
          <w:u w:val="single"/>
        </w:rPr>
        <w:t xml:space="preserve"> </w:t>
      </w:r>
    </w:p>
    <w:p w14:paraId="22FF39B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承包人未提交劳动合同，以及没有为项目经理缴纳社会保险证明的违约责任：</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AE14A7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项目经理未经批准，擅自离开施工现场的违约责任：</w:t>
      </w:r>
      <w:r>
        <w:rPr>
          <w:rFonts w:hint="eastAsia" w:ascii="Times New Roman" w:hAnsi="Times New Roman"/>
          <w:b/>
          <w:color w:val="auto"/>
          <w:kern w:val="2"/>
          <w:sz w:val="21"/>
          <w:szCs w:val="24"/>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ascii="Times New Roman" w:hAnsi="Times New Roman"/>
          <w:b/>
          <w:color w:val="auto"/>
          <w:kern w:val="2"/>
          <w:sz w:val="21"/>
          <w:szCs w:val="24"/>
          <w:highlight w:val="none"/>
          <w:u w:val="single"/>
        </w:rPr>
        <w:t>。</w:t>
      </w:r>
    </w:p>
    <w:p w14:paraId="655BEE0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3.2.3 承包人擅自更换项目经理的违约责任：</w:t>
      </w:r>
    </w:p>
    <w:p w14:paraId="1F5A4456">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承包人不得擅自更换</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时所报项目经理,否则发包人有权解除合同，由此造成的损失由承包人自行承担，承包人还应赔偿由此造成发包人的全部损失。确需更换的须在签订合同后，报经发包人同意后按相关规定办理，更换后的人员不得低于承包人</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时所报人员资质和技术水平。</w:t>
      </w:r>
    </w:p>
    <w:p w14:paraId="33E2E76B">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3.2.4 承包人无正当理由拒绝更换项目经理的违约责任：</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1938793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3.3 承包人人员</w:t>
      </w:r>
    </w:p>
    <w:p w14:paraId="609E562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3.3.1 承包人提交项目管理机构及施工现场管理人员安排报告的期限：</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0C78E7C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3.3.3 承包人无正当理由拒绝撤换主要施工管理人员的违约责任：</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2F54FB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3.3.4 承包人主要施工管理人员离开施工现场的批准要求：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22F2A38">
      <w:pPr>
        <w:adjustRightInd w:val="0"/>
        <w:spacing w:line="360" w:lineRule="auto"/>
        <w:ind w:firstLine="424" w:firstLineChars="202"/>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承包人擅自更换主要施工管理人员的违约责任：</w:t>
      </w:r>
      <w:r>
        <w:rPr>
          <w:rFonts w:hint="eastAsia" w:ascii="Times New Roman" w:hAnsi="Times New Roman"/>
          <w:b/>
          <w:color w:val="auto"/>
          <w:kern w:val="2"/>
          <w:sz w:val="21"/>
          <w:szCs w:val="24"/>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时所报人员资质和技术水平。发包人如认为有必要，可要求对上述人员中的部分人员作出更好的调整</w:t>
      </w:r>
      <w:r>
        <w:rPr>
          <w:rFonts w:ascii="Times New Roman" w:hAnsi="Times New Roman"/>
          <w:b/>
          <w:color w:val="auto"/>
          <w:kern w:val="2"/>
          <w:sz w:val="21"/>
          <w:szCs w:val="24"/>
          <w:highlight w:val="none"/>
          <w:u w:val="single"/>
        </w:rPr>
        <w:t>。</w:t>
      </w:r>
    </w:p>
    <w:p w14:paraId="374AFF5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承包人主要施工管理人员擅自离开施工现场的违约责任：</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778336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w:t>
      </w:r>
      <w:bookmarkStart w:id="81" w:name="_Toc312677988"/>
      <w:bookmarkStart w:id="82" w:name="_Toc303539102"/>
      <w:bookmarkStart w:id="83" w:name="_Toc297216151"/>
      <w:bookmarkStart w:id="84" w:name="_Toc296503159"/>
      <w:bookmarkStart w:id="85" w:name="_Toc296346660"/>
      <w:bookmarkStart w:id="86" w:name="_Toc300934945"/>
      <w:bookmarkStart w:id="87" w:name="_Toc296347158"/>
      <w:bookmarkStart w:id="88" w:name="_Toc296891199"/>
      <w:bookmarkStart w:id="89" w:name="_Toc296890987"/>
      <w:bookmarkStart w:id="90" w:name="_Toc297123492"/>
      <w:bookmarkStart w:id="91" w:name="_Toc292559364"/>
      <w:bookmarkStart w:id="92" w:name="_Toc304295523"/>
      <w:bookmarkStart w:id="93" w:name="_Toc297120459"/>
      <w:bookmarkStart w:id="94" w:name="_Toc292559869"/>
      <w:bookmarkStart w:id="95" w:name="_Toc297048345"/>
      <w:bookmarkStart w:id="96" w:name="_Toc296944498"/>
      <w:r>
        <w:rPr>
          <w:rFonts w:ascii="Arial" w:hAnsi="Arial" w:eastAsia="黑体"/>
          <w:bCs/>
          <w:color w:val="auto"/>
          <w:kern w:val="2"/>
          <w:sz w:val="21"/>
          <w:szCs w:val="28"/>
          <w:highlight w:val="none"/>
        </w:rPr>
        <w:t>.5 分包</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09D6D62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97" w:name="_Toc292559365"/>
      <w:bookmarkStart w:id="98" w:name="_Toc297120460"/>
      <w:bookmarkStart w:id="99" w:name="_Toc303539103"/>
      <w:bookmarkStart w:id="100" w:name="_Toc296346661"/>
      <w:bookmarkStart w:id="101" w:name="_Toc292559870"/>
      <w:bookmarkStart w:id="102" w:name="_Toc296891200"/>
      <w:bookmarkStart w:id="103" w:name="_Toc297216152"/>
      <w:bookmarkStart w:id="104" w:name="_Toc296944499"/>
      <w:bookmarkStart w:id="105" w:name="_Toc300934946"/>
      <w:bookmarkStart w:id="106" w:name="_Toc296347159"/>
      <w:bookmarkStart w:id="107" w:name="_Toc296503160"/>
      <w:bookmarkStart w:id="108" w:name="_Toc297048346"/>
      <w:bookmarkStart w:id="109" w:name="_Toc296890988"/>
      <w:bookmarkStart w:id="110" w:name="_Toc297123493"/>
      <w:bookmarkStart w:id="111" w:name="_Toc304295524"/>
      <w:bookmarkStart w:id="112" w:name="_Toc312677989"/>
      <w:bookmarkStart w:id="113" w:name="_Toc318581158"/>
      <w:r>
        <w:rPr>
          <w:rFonts w:ascii="Times New Roman" w:hAnsi="Times New Roman"/>
          <w:color w:val="auto"/>
          <w:kern w:val="2"/>
          <w:sz w:val="21"/>
          <w:szCs w:val="24"/>
          <w:highlight w:val="none"/>
        </w:rPr>
        <w:t>.5.1 分包的一般约定</w:t>
      </w:r>
    </w:p>
    <w:p w14:paraId="26096B1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禁止分包的工程包括：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E0CE61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主体结构、关键性工作的范围：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4" w:name="_Toc296346662"/>
      <w:bookmarkStart w:id="115" w:name="_Toc296503161"/>
      <w:bookmarkStart w:id="116" w:name="_Toc296347160"/>
      <w:bookmarkStart w:id="117" w:name="_Toc304295525"/>
      <w:bookmarkStart w:id="118" w:name="_Toc296891201"/>
      <w:bookmarkStart w:id="119" w:name="_Toc297123494"/>
      <w:bookmarkStart w:id="120" w:name="_Toc297048347"/>
      <w:bookmarkStart w:id="121" w:name="_Toc296890989"/>
      <w:bookmarkStart w:id="122" w:name="_Toc297216153"/>
      <w:bookmarkStart w:id="123" w:name="_Toc303539104"/>
      <w:bookmarkStart w:id="124" w:name="_Toc296944500"/>
      <w:bookmarkStart w:id="125" w:name="_Toc297120461"/>
      <w:bookmarkStart w:id="126" w:name="_Toc300934947"/>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72C766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127" w:name="_Toc318581159"/>
      <w:bookmarkStart w:id="128" w:name="_Toc312677990"/>
      <w:r>
        <w:rPr>
          <w:rFonts w:ascii="Times New Roman" w:hAnsi="Times New Roman"/>
          <w:color w:val="auto"/>
          <w:kern w:val="2"/>
          <w:sz w:val="21"/>
          <w:szCs w:val="24"/>
          <w:highlight w:val="none"/>
        </w:rPr>
        <w:t>.5.2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分包的确定</w:t>
      </w:r>
    </w:p>
    <w:p w14:paraId="6998F05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允许分包的专业工程包括：</w:t>
      </w:r>
      <w:r>
        <w:rPr>
          <w:rFonts w:hint="eastAsia" w:ascii="Times New Roman" w:hAnsi="Times New Roman"/>
          <w:b/>
          <w:color w:val="auto"/>
          <w:kern w:val="2"/>
          <w:sz w:val="21"/>
          <w:szCs w:val="24"/>
          <w:highlight w:val="none"/>
          <w:u w:val="single"/>
        </w:rPr>
        <w:t>执行通用条款，发生时双方另行协商</w:t>
      </w:r>
      <w:r>
        <w:rPr>
          <w:rFonts w:ascii="Times New Roman" w:hAnsi="Times New Roman"/>
          <w:color w:val="auto"/>
          <w:kern w:val="2"/>
          <w:sz w:val="21"/>
          <w:szCs w:val="24"/>
          <w:highlight w:val="none"/>
        </w:rPr>
        <w:t>。</w:t>
      </w:r>
    </w:p>
    <w:p w14:paraId="0B2D690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其他关于分包的约定：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D414F5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3.5.4 分包合同价款</w:t>
      </w:r>
    </w:p>
    <w:p w14:paraId="75B9E3E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关于分包合同价款支付的约定：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127"/>
    <w:bookmarkEnd w:id="128"/>
    <w:p w14:paraId="6EB83BC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3.6 工程照管与成品、半成品保护</w:t>
      </w:r>
    </w:p>
    <w:p w14:paraId="5430CD18">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承包人负责照管工程及工程相关的材料、工程设备的起始时间：</w:t>
      </w:r>
      <w:r>
        <w:rPr>
          <w:rFonts w:hint="eastAsia" w:ascii="Times New Roman" w:hAnsi="Times New Roman"/>
          <w:b/>
          <w:color w:val="auto"/>
          <w:sz w:val="21"/>
          <w:szCs w:val="24"/>
          <w:highlight w:val="none"/>
          <w:u w:val="single"/>
        </w:rPr>
        <w:t>自发包人向承包人移交施工现场之日起，承包人应负责照管工程及工程相关的材料、工程设备，直到颁发工程接收证书之日止</w:t>
      </w:r>
      <w:r>
        <w:rPr>
          <w:rFonts w:ascii="Times New Roman" w:hAnsi="Times New Roman"/>
          <w:b/>
          <w:color w:val="auto"/>
          <w:sz w:val="21"/>
          <w:szCs w:val="24"/>
          <w:highlight w:val="none"/>
        </w:rPr>
        <w:t>。</w:t>
      </w:r>
    </w:p>
    <w:p w14:paraId="70DF690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3.7 履约保证金</w:t>
      </w:r>
    </w:p>
    <w:p w14:paraId="61D56424">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承包人是否提供履约保证金：</w:t>
      </w:r>
      <w:r>
        <w:rPr>
          <w:rFonts w:hint="eastAsia" w:ascii="宋体" w:hAnsi="宋体" w:eastAsia="宋体" w:cs="宋体"/>
          <w:b/>
          <w:color w:val="auto"/>
          <w:kern w:val="2"/>
          <w:sz w:val="21"/>
          <w:szCs w:val="24"/>
          <w:highlight w:val="none"/>
          <w:u w:val="single"/>
        </w:rPr>
        <w:t>否</w:t>
      </w:r>
      <w:r>
        <w:rPr>
          <w:rFonts w:hint="eastAsia" w:ascii="宋体" w:hAnsi="宋体" w:eastAsia="宋体" w:cs="宋体"/>
          <w:color w:val="auto"/>
          <w:kern w:val="2"/>
          <w:sz w:val="21"/>
          <w:szCs w:val="24"/>
          <w:highlight w:val="none"/>
        </w:rPr>
        <w:t>。</w:t>
      </w:r>
    </w:p>
    <w:p w14:paraId="14CB0DFB">
      <w:pPr>
        <w:snapToGrid w:val="0"/>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color w:val="auto"/>
          <w:kern w:val="2"/>
          <w:sz w:val="21"/>
          <w:szCs w:val="24"/>
          <w:highlight w:val="none"/>
        </w:rPr>
        <w:t>承包人提供履约保证金的形式：</w:t>
      </w:r>
      <w:r>
        <w:rPr>
          <w:rFonts w:hint="eastAsia" w:ascii="宋体" w:hAnsi="宋体" w:eastAsia="宋体" w:cs="宋体"/>
          <w:bCs/>
          <w:snapToGrid w:val="0"/>
          <w:color w:val="auto"/>
          <w:sz w:val="21"/>
          <w:szCs w:val="21"/>
          <w:highlight w:val="none"/>
        </w:rPr>
        <w:t>□银行转账         □银行电汇         □银行保函</w:t>
      </w:r>
    </w:p>
    <w:p w14:paraId="1C52DABB">
      <w:pPr>
        <w:snapToGrid w:val="0"/>
        <w:ind w:firstLine="3288" w:firstLineChars="1566"/>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□担保机构担保      □保证保险</w:t>
      </w:r>
    </w:p>
    <w:p w14:paraId="4B96938C">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注：</w:t>
      </w:r>
    </w:p>
    <w:p w14:paraId="210A5FCB">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（1）如采用银行保函，银行保函由注册地在合肥行政区域范围（含四县一市）内的银行出具的见索即付无条件保函。</w:t>
      </w:r>
    </w:p>
    <w:p w14:paraId="053D3208">
      <w:pPr>
        <w:adjustRightInd w:val="0"/>
        <w:snapToGrid w:val="0"/>
        <w:spacing w:line="360" w:lineRule="auto"/>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（2）如采用担保机构担保，应为注册地在本地的融资担保机构或经安徽省地方金融监督管理局备案许可的融资担保机构出具的无条件担保。</w:t>
      </w:r>
    </w:p>
    <w:p w14:paraId="2B96DDE7">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 xml:space="preserve">履约保证金的金额：成交合同金额的 </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w:t>
      </w:r>
    </w:p>
    <w:p w14:paraId="2D4C07E4">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履约保证金提交期限的要求：</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b/>
          <w:color w:val="auto"/>
          <w:kern w:val="2"/>
          <w:sz w:val="21"/>
          <w:szCs w:val="24"/>
          <w:highlight w:val="none"/>
          <w:u w:val="single"/>
        </w:rPr>
        <w:t xml:space="preserve">/ </w:t>
      </w:r>
      <w:r>
        <w:rPr>
          <w:rFonts w:hint="eastAsia" w:ascii="宋体" w:hAnsi="宋体" w:eastAsia="宋体" w:cs="宋体"/>
          <w:b/>
          <w:color w:val="auto"/>
          <w:kern w:val="2"/>
          <w:sz w:val="21"/>
          <w:szCs w:val="24"/>
          <w:highlight w:val="none"/>
        </w:rPr>
        <w:t>。</w:t>
      </w:r>
      <w:r>
        <w:rPr>
          <w:rFonts w:hint="eastAsia" w:ascii="宋体" w:hAnsi="宋体" w:eastAsia="宋体" w:cs="宋体"/>
          <w:color w:val="auto"/>
          <w:kern w:val="2"/>
          <w:sz w:val="21"/>
          <w:szCs w:val="24"/>
          <w:highlight w:val="none"/>
        </w:rPr>
        <w:t xml:space="preserve"> </w:t>
      </w:r>
    </w:p>
    <w:p w14:paraId="5304BF59">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bCs/>
          <w:snapToGrid w:val="0"/>
          <w:color w:val="auto"/>
          <w:sz w:val="21"/>
          <w:szCs w:val="21"/>
          <w:highlight w:val="none"/>
        </w:rPr>
        <w:t>履约保证金退还时限：履约保证金有效期满7日内（最迟不得超过项目竣工验收通过后28天）。</w:t>
      </w:r>
    </w:p>
    <w:p w14:paraId="42EB0E3D">
      <w:pPr>
        <w:keepNext/>
        <w:keepLines/>
        <w:spacing w:before="120" w:after="120" w:line="360" w:lineRule="auto"/>
        <w:jc w:val="left"/>
        <w:outlineLvl w:val="2"/>
        <w:rPr>
          <w:rFonts w:ascii="黑体" w:hAnsi="黑体" w:eastAsia="黑体"/>
          <w:bCs/>
          <w:color w:val="auto"/>
          <w:kern w:val="2"/>
          <w:sz w:val="24"/>
          <w:szCs w:val="24"/>
          <w:highlight w:val="none"/>
        </w:rPr>
      </w:pPr>
      <w:bookmarkStart w:id="129" w:name="_Toc351203636"/>
      <w:r>
        <w:rPr>
          <w:rFonts w:ascii="黑体" w:hAnsi="黑体" w:eastAsia="黑体"/>
          <w:bCs/>
          <w:color w:val="auto"/>
          <w:kern w:val="2"/>
          <w:sz w:val="24"/>
          <w:szCs w:val="24"/>
          <w:highlight w:val="none"/>
        </w:rPr>
        <w:t>4</w:t>
      </w:r>
      <w:bookmarkStart w:id="130" w:name="_Toc297048348"/>
      <w:bookmarkStart w:id="131" w:name="_Toc296346663"/>
      <w:bookmarkStart w:id="132" w:name="_Toc297120462"/>
      <w:bookmarkStart w:id="133" w:name="_Toc296944501"/>
      <w:bookmarkStart w:id="134" w:name="_Toc296347161"/>
      <w:bookmarkStart w:id="135" w:name="_Toc296891202"/>
      <w:bookmarkStart w:id="136" w:name="_Toc296890990"/>
      <w:bookmarkStart w:id="137" w:name="_Toc267251413"/>
      <w:bookmarkStart w:id="138" w:name="_Toc296503162"/>
      <w:bookmarkStart w:id="139" w:name="_Toc292559366"/>
      <w:bookmarkStart w:id="140" w:name="_Toc292559871"/>
      <w:r>
        <w:rPr>
          <w:rFonts w:ascii="黑体" w:hAnsi="黑体" w:eastAsia="黑体"/>
          <w:bCs/>
          <w:color w:val="auto"/>
          <w:kern w:val="2"/>
          <w:sz w:val="24"/>
          <w:szCs w:val="24"/>
          <w:highlight w:val="none"/>
        </w:rPr>
        <w:t>. 监</w:t>
      </w:r>
      <w:bookmarkEnd w:id="130"/>
      <w:bookmarkEnd w:id="131"/>
      <w:bookmarkEnd w:id="132"/>
      <w:bookmarkEnd w:id="133"/>
      <w:bookmarkEnd w:id="134"/>
      <w:bookmarkEnd w:id="135"/>
      <w:bookmarkEnd w:id="136"/>
      <w:bookmarkEnd w:id="137"/>
      <w:bookmarkEnd w:id="138"/>
      <w:bookmarkEnd w:id="139"/>
      <w:bookmarkEnd w:id="140"/>
      <w:r>
        <w:rPr>
          <w:rFonts w:ascii="黑体" w:hAnsi="黑体" w:eastAsia="黑体"/>
          <w:bCs/>
          <w:color w:val="auto"/>
          <w:kern w:val="2"/>
          <w:sz w:val="24"/>
          <w:szCs w:val="24"/>
          <w:highlight w:val="none"/>
        </w:rPr>
        <w:t>理人</w:t>
      </w:r>
      <w:bookmarkEnd w:id="129"/>
    </w:p>
    <w:p w14:paraId="76FA8A7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监理人的一般规定</w:t>
      </w:r>
    </w:p>
    <w:p w14:paraId="5972E01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关于监理人的监理内容：</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p>
    <w:p w14:paraId="1D8F6EB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关于监理人的监理权限：</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r>
        <w:rPr>
          <w:rFonts w:ascii="Times New Roman" w:hAnsi="Times New Roman"/>
          <w:color w:val="auto"/>
          <w:kern w:val="2"/>
          <w:sz w:val="21"/>
          <w:szCs w:val="24"/>
          <w:highlight w:val="none"/>
        </w:rPr>
        <w:t xml:space="preserve"> </w:t>
      </w:r>
    </w:p>
    <w:p w14:paraId="6264D7B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关于监理人在施工现场的办公场所、生活场所的提供和费用承担的约定：</w:t>
      </w:r>
      <w:r>
        <w:rPr>
          <w:rFonts w:hint="eastAsia" w:ascii="Times New Roman" w:hAnsi="Times New Roman"/>
          <w:b/>
          <w:color w:val="auto"/>
          <w:sz w:val="21"/>
          <w:szCs w:val="24"/>
          <w:highlight w:val="none"/>
          <w:u w:val="single"/>
        </w:rPr>
        <w:t>执行通用条款</w:t>
      </w:r>
      <w:r>
        <w:rPr>
          <w:rFonts w:ascii="Times New Roman" w:hAnsi="Times New Roman"/>
          <w:b/>
          <w:color w:val="auto"/>
          <w:sz w:val="21"/>
          <w:szCs w:val="24"/>
          <w:highlight w:val="none"/>
          <w:u w:val="single"/>
        </w:rPr>
        <w:t>。</w:t>
      </w:r>
    </w:p>
    <w:p w14:paraId="1DD0A9D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4.2 监理人员</w:t>
      </w:r>
    </w:p>
    <w:p w14:paraId="44F331C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总监理工程师：</w:t>
      </w:r>
    </w:p>
    <w:p w14:paraId="11A0590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87D1F2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3A2981D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监理工程师执业资格证书号：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64C8BCC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D78D3B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1D00FC4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235CB9B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关于监理人的其他约定：</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3DB9A43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4.4 商定或确定</w:t>
      </w:r>
    </w:p>
    <w:p w14:paraId="4AC68F79">
      <w:pPr>
        <w:adjustRightInd w:val="0"/>
        <w:spacing w:line="360" w:lineRule="auto"/>
        <w:ind w:firstLine="420" w:firstLineChars="200"/>
        <w:rPr>
          <w:rFonts w:ascii="Times New Roman" w:hAnsi="Times New Roman"/>
          <w:color w:val="auto"/>
          <w:kern w:val="2"/>
          <w:sz w:val="21"/>
          <w:szCs w:val="24"/>
          <w:highlight w:val="none"/>
        </w:rPr>
      </w:pPr>
      <w:bookmarkStart w:id="141" w:name="_Toc267251418"/>
      <w:r>
        <w:rPr>
          <w:rFonts w:ascii="Times New Roman" w:hAnsi="Times New Roman"/>
          <w:color w:val="auto"/>
          <w:kern w:val="2"/>
          <w:sz w:val="21"/>
          <w:szCs w:val="24"/>
          <w:highlight w:val="none"/>
        </w:rPr>
        <w:t>在发包人和承包人不能通过协商达成一致意见时，发包人授权监理人对以下事项进行确定：</w:t>
      </w:r>
    </w:p>
    <w:p w14:paraId="69E9468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6369E3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F7D67E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914086A">
      <w:pPr>
        <w:keepNext/>
        <w:keepLines/>
        <w:spacing w:before="120" w:after="120" w:line="360" w:lineRule="auto"/>
        <w:jc w:val="left"/>
        <w:outlineLvl w:val="2"/>
        <w:rPr>
          <w:rFonts w:ascii="黑体" w:hAnsi="黑体" w:eastAsia="黑体"/>
          <w:bCs/>
          <w:color w:val="auto"/>
          <w:kern w:val="2"/>
          <w:sz w:val="24"/>
          <w:szCs w:val="24"/>
          <w:highlight w:val="none"/>
        </w:rPr>
      </w:pPr>
      <w:bookmarkStart w:id="142" w:name="_Toc351203637"/>
      <w:r>
        <w:rPr>
          <w:rFonts w:ascii="黑体" w:hAnsi="黑体" w:eastAsia="黑体"/>
          <w:bCs/>
          <w:color w:val="auto"/>
          <w:kern w:val="2"/>
          <w:sz w:val="24"/>
          <w:szCs w:val="24"/>
          <w:highlight w:val="none"/>
        </w:rPr>
        <w:t>5</w:t>
      </w:r>
      <w:bookmarkEnd w:id="141"/>
      <w:bookmarkStart w:id="143" w:name="_Toc292559872"/>
      <w:bookmarkStart w:id="144" w:name="_Toc296891203"/>
      <w:bookmarkStart w:id="145" w:name="_Toc292559367"/>
      <w:bookmarkStart w:id="146" w:name="_Toc297048349"/>
      <w:bookmarkStart w:id="147" w:name="_Toc296503163"/>
      <w:bookmarkStart w:id="148" w:name="_Toc296346664"/>
      <w:bookmarkStart w:id="149" w:name="_Toc297120463"/>
      <w:bookmarkStart w:id="150" w:name="_Toc296944502"/>
      <w:bookmarkStart w:id="151" w:name="_Toc296890991"/>
      <w:bookmarkStart w:id="152" w:name="_Toc296347162"/>
      <w:r>
        <w:rPr>
          <w:rFonts w:ascii="黑体" w:hAnsi="黑体" w:eastAsia="黑体"/>
          <w:bCs/>
          <w:color w:val="auto"/>
          <w:kern w:val="2"/>
          <w:sz w:val="24"/>
          <w:szCs w:val="24"/>
          <w:highlight w:val="none"/>
        </w:rPr>
        <w:t>. 工程质量</w:t>
      </w:r>
      <w:bookmarkEnd w:id="142"/>
    </w:p>
    <w:p w14:paraId="0D047FA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5.1 质量要求</w:t>
      </w:r>
    </w:p>
    <w:p w14:paraId="33F1252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w:t>
      </w:r>
      <w:bookmarkStart w:id="153" w:name="_Toc297216155"/>
      <w:bookmarkStart w:id="154" w:name="_Toc297123496"/>
      <w:bookmarkStart w:id="155" w:name="_Toc318581164"/>
      <w:bookmarkStart w:id="156" w:name="_Toc312677997"/>
      <w:bookmarkStart w:id="157" w:name="_Toc304295527"/>
      <w:bookmarkStart w:id="158" w:name="_Toc300934949"/>
      <w:bookmarkStart w:id="159" w:name="_Toc303539106"/>
      <w:r>
        <w:rPr>
          <w:rFonts w:ascii="Times New Roman" w:hAnsi="Times New Roman"/>
          <w:color w:val="auto"/>
          <w:kern w:val="2"/>
          <w:sz w:val="21"/>
          <w:szCs w:val="24"/>
          <w:highlight w:val="none"/>
        </w:rPr>
        <w:t>.1.1 特殊质量标准和要求：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D2BCDD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关于工程奖项的约定：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55BD45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5.3 隐蔽工程检查</w:t>
      </w:r>
    </w:p>
    <w:p w14:paraId="257C037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承包人提前通知监理人隐蔽工程检查的期限的约定：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4D79EA7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监理人不能按时进行检查时，应提前</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小时提交书面延期要求。</w:t>
      </w:r>
    </w:p>
    <w:p w14:paraId="413BD03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关于延期最长不得超过：</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w:t>
      </w:r>
    </w:p>
    <w:p w14:paraId="69278616">
      <w:pPr>
        <w:keepNext/>
        <w:keepLines/>
        <w:spacing w:before="120" w:after="120" w:line="360" w:lineRule="auto"/>
        <w:jc w:val="left"/>
        <w:outlineLvl w:val="2"/>
        <w:rPr>
          <w:rFonts w:ascii="黑体" w:hAnsi="黑体" w:eastAsia="黑体"/>
          <w:bCs/>
          <w:color w:val="auto"/>
          <w:kern w:val="2"/>
          <w:sz w:val="24"/>
          <w:szCs w:val="24"/>
          <w:highlight w:val="none"/>
        </w:rPr>
      </w:pPr>
      <w:bookmarkStart w:id="160" w:name="_Toc351203638"/>
      <w:r>
        <w:rPr>
          <w:rFonts w:ascii="黑体" w:hAnsi="黑体" w:eastAsia="黑体"/>
          <w:bCs/>
          <w:color w:val="auto"/>
          <w:kern w:val="2"/>
          <w:sz w:val="24"/>
          <w:szCs w:val="24"/>
          <w:highlight w:val="none"/>
        </w:rPr>
        <w:t>6. 安全文明施工与环境保护</w:t>
      </w:r>
      <w:bookmarkEnd w:id="160"/>
    </w:p>
    <w:p w14:paraId="739E764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6.1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安全文明施工</w:t>
      </w:r>
    </w:p>
    <w:p w14:paraId="6A49432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6.1.1 项目安全生产的达标目标及相应事项的约定：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BBD588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6.1.4 关于治安保卫的特别约定：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012A5C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关于编制施工场地治安管理计划的约定：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4A991A13">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6.1.5 文明施工</w:t>
      </w:r>
    </w:p>
    <w:p w14:paraId="4EB47643">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合同当事人对文明施工的要求：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37B9193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6.1.6 关于安全文明施工费支付比例和支付期限的约定：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153"/>
    <w:bookmarkEnd w:id="154"/>
    <w:bookmarkEnd w:id="155"/>
    <w:bookmarkEnd w:id="156"/>
    <w:bookmarkEnd w:id="157"/>
    <w:bookmarkEnd w:id="158"/>
    <w:bookmarkEnd w:id="159"/>
    <w:p w14:paraId="23FB1E6A">
      <w:pPr>
        <w:keepNext/>
        <w:keepLines/>
        <w:spacing w:before="120" w:after="120" w:line="360" w:lineRule="auto"/>
        <w:jc w:val="left"/>
        <w:outlineLvl w:val="2"/>
        <w:rPr>
          <w:rFonts w:ascii="黑体" w:hAnsi="黑体" w:eastAsia="黑体"/>
          <w:bCs/>
          <w:color w:val="auto"/>
          <w:kern w:val="2"/>
          <w:sz w:val="24"/>
          <w:szCs w:val="24"/>
          <w:highlight w:val="none"/>
        </w:rPr>
      </w:pPr>
      <w:bookmarkStart w:id="161" w:name="_Toc351203639"/>
      <w:r>
        <w:rPr>
          <w:rFonts w:ascii="黑体" w:hAnsi="黑体" w:eastAsia="黑体"/>
          <w:bCs/>
          <w:color w:val="auto"/>
          <w:kern w:val="2"/>
          <w:sz w:val="24"/>
          <w:szCs w:val="24"/>
          <w:highlight w:val="none"/>
        </w:rPr>
        <w:t>7. 工期和进度</w:t>
      </w:r>
      <w:bookmarkEnd w:id="161"/>
    </w:p>
    <w:p w14:paraId="7571CF0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7.1 施工组织设计</w:t>
      </w:r>
    </w:p>
    <w:p w14:paraId="3859D3F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7.1.</w:t>
      </w:r>
      <w:r>
        <w:rPr>
          <w:rFonts w:hint="eastAsia" w:ascii="Times New Roman" w:hAnsi="Times New Roman"/>
          <w:color w:val="auto"/>
          <w:kern w:val="2"/>
          <w:sz w:val="21"/>
          <w:szCs w:val="24"/>
          <w:highlight w:val="none"/>
        </w:rPr>
        <w:t>1 合</w:t>
      </w:r>
      <w:r>
        <w:rPr>
          <w:rFonts w:hint="eastAsia" w:ascii="Times New Roman" w:hAnsi="Times New Roman"/>
          <w:color w:val="auto"/>
          <w:sz w:val="21"/>
          <w:szCs w:val="24"/>
          <w:highlight w:val="none"/>
        </w:rPr>
        <w:t>同当事人约定的</w:t>
      </w:r>
      <w:r>
        <w:rPr>
          <w:rFonts w:ascii="Times New Roman" w:hAnsi="Times New Roman"/>
          <w:color w:val="auto"/>
          <w:sz w:val="21"/>
          <w:szCs w:val="24"/>
          <w:highlight w:val="none"/>
        </w:rPr>
        <w:t>施工组织设计</w:t>
      </w:r>
      <w:r>
        <w:rPr>
          <w:rFonts w:hint="eastAsia" w:ascii="Times New Roman" w:hAnsi="Times New Roman"/>
          <w:color w:val="auto"/>
          <w:sz w:val="21"/>
          <w:szCs w:val="24"/>
          <w:highlight w:val="none"/>
        </w:rPr>
        <w:t>应包括的其他内容</w:t>
      </w:r>
      <w:r>
        <w:rPr>
          <w:rFonts w:ascii="Times New Roman" w:hAnsi="Times New Roman"/>
          <w:color w:val="auto"/>
          <w:sz w:val="21"/>
          <w:szCs w:val="24"/>
          <w:highlight w:val="none"/>
        </w:rPr>
        <w:t>：</w:t>
      </w:r>
      <w:r>
        <w:rPr>
          <w:rFonts w:hint="eastAsia" w:ascii="Times New Roman" w:hAnsi="Times New Roman"/>
          <w:b/>
          <w:color w:val="auto"/>
          <w:kern w:val="2"/>
          <w:sz w:val="21"/>
          <w:szCs w:val="24"/>
          <w:highlight w:val="none"/>
          <w:u w:val="single"/>
        </w:rPr>
        <w:t>总进度计划须含网络图、横道图</w:t>
      </w:r>
      <w:r>
        <w:rPr>
          <w:rFonts w:ascii="Times New Roman" w:hAnsi="Times New Roman"/>
          <w:b/>
          <w:color w:val="auto"/>
          <w:kern w:val="2"/>
          <w:sz w:val="21"/>
          <w:szCs w:val="24"/>
          <w:highlight w:val="none"/>
        </w:rPr>
        <w:t>。</w:t>
      </w:r>
    </w:p>
    <w:p w14:paraId="173A9A6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 xml:space="preserve">7.1.2 </w:t>
      </w:r>
      <w:r>
        <w:rPr>
          <w:rFonts w:ascii="Times New Roman" w:hAnsi="Times New Roman"/>
          <w:color w:val="auto"/>
          <w:sz w:val="21"/>
          <w:szCs w:val="24"/>
          <w:highlight w:val="none"/>
        </w:rPr>
        <w:t>施工组织设计的提交和修改</w:t>
      </w:r>
    </w:p>
    <w:p w14:paraId="633CC98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承包人提交详细施工组织设计的期限的约定：</w:t>
      </w:r>
      <w:r>
        <w:rPr>
          <w:rFonts w:hint="eastAsia" w:ascii="Times New Roman" w:hAnsi="Times New Roman"/>
          <w:b/>
          <w:color w:val="auto"/>
          <w:kern w:val="2"/>
          <w:sz w:val="21"/>
          <w:szCs w:val="24"/>
          <w:highlight w:val="none"/>
          <w:u w:val="single"/>
        </w:rPr>
        <w:t>合同签订后14天内，但最迟不得晚于第7.3.2项〔开工通知〕载明的开工日期前7天</w:t>
      </w:r>
      <w:r>
        <w:rPr>
          <w:rFonts w:ascii="Times New Roman" w:hAnsi="Times New Roman"/>
          <w:color w:val="auto"/>
          <w:kern w:val="2"/>
          <w:sz w:val="21"/>
          <w:szCs w:val="24"/>
          <w:highlight w:val="none"/>
        </w:rPr>
        <w:t>。</w:t>
      </w:r>
    </w:p>
    <w:p w14:paraId="12D99B5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w:t>
      </w:r>
      <w:r>
        <w:rPr>
          <w:rFonts w:hint="eastAsia" w:ascii="Times New Roman" w:hAnsi="Times New Roman"/>
          <w:color w:val="auto"/>
          <w:kern w:val="2"/>
          <w:sz w:val="21"/>
          <w:szCs w:val="24"/>
          <w:highlight w:val="none"/>
        </w:rPr>
        <w:t>详细的施工组织设计</w:t>
      </w:r>
      <w:r>
        <w:rPr>
          <w:rFonts w:ascii="Times New Roman" w:hAnsi="Times New Roman"/>
          <w:color w:val="auto"/>
          <w:kern w:val="2"/>
          <w:sz w:val="21"/>
          <w:szCs w:val="24"/>
          <w:highlight w:val="none"/>
        </w:rPr>
        <w:t>后确认或提出修改意见的期限：</w:t>
      </w:r>
      <w:r>
        <w:rPr>
          <w:rFonts w:hint="eastAsia" w:ascii="Times New Roman" w:hAnsi="Times New Roman"/>
          <w:b/>
          <w:color w:val="auto"/>
          <w:kern w:val="2"/>
          <w:sz w:val="21"/>
          <w:szCs w:val="24"/>
          <w:highlight w:val="none"/>
          <w:u w:val="single"/>
        </w:rPr>
        <w:t>收到施工组织设计后7天内</w:t>
      </w:r>
      <w:r>
        <w:rPr>
          <w:rFonts w:ascii="Times New Roman" w:hAnsi="Times New Roman"/>
          <w:color w:val="auto"/>
          <w:kern w:val="2"/>
          <w:sz w:val="21"/>
          <w:szCs w:val="24"/>
          <w:highlight w:val="none"/>
        </w:rPr>
        <w:t>。</w:t>
      </w:r>
    </w:p>
    <w:p w14:paraId="707FA32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62" w:name="_Toc312678005"/>
      <w:bookmarkStart w:id="163" w:name="_Toc300934966"/>
      <w:bookmarkStart w:id="164" w:name="_Toc303539123"/>
      <w:bookmarkStart w:id="165" w:name="_Toc304295541"/>
      <w:bookmarkStart w:id="166" w:name="_Toc297123514"/>
      <w:bookmarkStart w:id="167" w:name="_Toc312677479"/>
      <w:bookmarkStart w:id="168" w:name="_Toc297216173"/>
      <w:r>
        <w:rPr>
          <w:rFonts w:ascii="Arial" w:hAnsi="Arial" w:eastAsia="黑体"/>
          <w:bCs/>
          <w:color w:val="auto"/>
          <w:kern w:val="2"/>
          <w:sz w:val="21"/>
          <w:szCs w:val="28"/>
          <w:highlight w:val="none"/>
        </w:rPr>
        <w:t>.2 施工进度计划</w:t>
      </w:r>
    </w:p>
    <w:p w14:paraId="1A20911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7.2.2 施工进度计划的修订</w:t>
      </w:r>
    </w:p>
    <w:p w14:paraId="10C5282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发包人和监理人在收到修订的施工进度计划后确认或提出修改意见的期限：</w:t>
      </w:r>
      <w:r>
        <w:rPr>
          <w:rFonts w:hint="eastAsia" w:ascii="Times New Roman" w:hAnsi="Times New Roman"/>
          <w:b/>
          <w:color w:val="auto"/>
          <w:kern w:val="2"/>
          <w:sz w:val="21"/>
          <w:szCs w:val="24"/>
          <w:highlight w:val="none"/>
          <w:u w:val="single"/>
        </w:rPr>
        <w:t>收到修订的施工进度计划后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p>
    <w:p w14:paraId="04B931B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7.3 开工</w:t>
      </w:r>
    </w:p>
    <w:p w14:paraId="1AC4122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7.3.1 开工准备</w:t>
      </w:r>
    </w:p>
    <w:p w14:paraId="3D11B49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关于承包人提交</w:t>
      </w:r>
      <w:r>
        <w:rPr>
          <w:rFonts w:ascii="Times New Roman" w:hAnsi="Times New Roman"/>
          <w:color w:val="auto"/>
          <w:sz w:val="21"/>
          <w:szCs w:val="24"/>
          <w:highlight w:val="none"/>
        </w:rPr>
        <w:t>工程开工报审表的期限：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0DB69C4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74DE8D3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0A68D14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开工通知</w:t>
      </w:r>
    </w:p>
    <w:p w14:paraId="5A640E6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因发包人原因造成监理人未能在计划开工日期之日起</w:t>
      </w:r>
      <w:r>
        <w:rPr>
          <w:rFonts w:hint="eastAsia" w:ascii="Times New Roman" w:hAnsi="Times New Roman"/>
          <w:b/>
          <w:color w:val="auto"/>
          <w:kern w:val="2"/>
          <w:sz w:val="21"/>
          <w:szCs w:val="24"/>
          <w:highlight w:val="none"/>
          <w:u w:val="single"/>
        </w:rPr>
        <w:t>90</w:t>
      </w:r>
      <w:r>
        <w:rPr>
          <w:rFonts w:ascii="Times New Roman" w:hAnsi="Times New Roman"/>
          <w:color w:val="auto"/>
          <w:kern w:val="2"/>
          <w:sz w:val="21"/>
          <w:szCs w:val="24"/>
          <w:highlight w:val="none"/>
        </w:rPr>
        <w:t>天内发出开工通知的，承包人有权提出价格调整要求，或者解除合同。</w:t>
      </w:r>
    </w:p>
    <w:bookmarkEnd w:id="162"/>
    <w:bookmarkEnd w:id="163"/>
    <w:bookmarkEnd w:id="164"/>
    <w:bookmarkEnd w:id="165"/>
    <w:bookmarkEnd w:id="166"/>
    <w:bookmarkEnd w:id="167"/>
    <w:bookmarkEnd w:id="168"/>
    <w:p w14:paraId="6146F5A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7.4 测量放线</w:t>
      </w:r>
    </w:p>
    <w:p w14:paraId="12B02F0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发包人通过监理人向承包人提供测量基准点、基准线和水准点及其书面资料的期限：</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69B5BE8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69" w:name="_Toc297216175"/>
      <w:bookmarkStart w:id="170" w:name="_Toc300934968"/>
      <w:bookmarkStart w:id="171" w:name="_Toc297123516"/>
      <w:bookmarkStart w:id="172" w:name="_Toc312677484"/>
      <w:bookmarkStart w:id="173" w:name="_Toc304295546"/>
      <w:bookmarkStart w:id="174" w:name="_Toc303539125"/>
      <w:bookmarkStart w:id="175" w:name="_Toc312678010"/>
      <w:r>
        <w:rPr>
          <w:rFonts w:ascii="Arial" w:hAnsi="Arial" w:eastAsia="黑体"/>
          <w:bCs/>
          <w:color w:val="auto"/>
          <w:kern w:val="2"/>
          <w:sz w:val="21"/>
          <w:szCs w:val="28"/>
          <w:highlight w:val="none"/>
        </w:rPr>
        <w:t>.5 工期延误</w:t>
      </w:r>
    </w:p>
    <w:bookmarkEnd w:id="169"/>
    <w:bookmarkEnd w:id="170"/>
    <w:bookmarkEnd w:id="171"/>
    <w:bookmarkEnd w:id="172"/>
    <w:bookmarkEnd w:id="173"/>
    <w:bookmarkEnd w:id="174"/>
    <w:bookmarkEnd w:id="175"/>
    <w:p w14:paraId="278F87C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7.5.1 因发包人原因导致工期延误</w:t>
      </w:r>
    </w:p>
    <w:p w14:paraId="35550C4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（7）因发包人原因导致工期延误的其他情形：</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DDC5F1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w:t>
      </w:r>
      <w:bookmarkStart w:id="176" w:name="_Toc318581169"/>
      <w:bookmarkStart w:id="177" w:name="_Toc312678012"/>
      <w:bookmarkStart w:id="178" w:name="_Toc312677486"/>
      <w:bookmarkStart w:id="179" w:name="_Toc300934970"/>
      <w:bookmarkStart w:id="180" w:name="_Toc303539127"/>
      <w:bookmarkStart w:id="181" w:name="_Toc297123518"/>
      <w:bookmarkStart w:id="182" w:name="_Toc297216177"/>
      <w:bookmarkStart w:id="183" w:name="_Toc304295548"/>
      <w:r>
        <w:rPr>
          <w:rFonts w:ascii="Times New Roman" w:hAnsi="Times New Roman"/>
          <w:color w:val="auto"/>
          <w:kern w:val="2"/>
          <w:sz w:val="21"/>
          <w:szCs w:val="24"/>
          <w:highlight w:val="none"/>
        </w:rPr>
        <w:t>.5.2 因承包人原因导致工期延误</w:t>
      </w:r>
    </w:p>
    <w:bookmarkEnd w:id="176"/>
    <w:bookmarkEnd w:id="177"/>
    <w:bookmarkEnd w:id="178"/>
    <w:p w14:paraId="4D0A0663">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因</w:t>
      </w:r>
      <w:bookmarkStart w:id="184" w:name="_Toc312678013"/>
      <w:bookmarkStart w:id="185" w:name="_Toc312677487"/>
      <w:bookmarkStart w:id="186" w:name="_Toc318581170"/>
      <w:r>
        <w:rPr>
          <w:rFonts w:ascii="Times New Roman" w:hAnsi="Times New Roman"/>
          <w:color w:val="auto"/>
          <w:kern w:val="2"/>
          <w:sz w:val="21"/>
          <w:szCs w:val="24"/>
          <w:highlight w:val="none"/>
        </w:rPr>
        <w:t>承包人原因造成工期延误，逾期竣工违约金的计算方法为：</w:t>
      </w:r>
    </w:p>
    <w:p w14:paraId="52AC4953">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每延期竣工一天，承包人支付发包人合同价款的万分之二的违约金；工程延期</w:t>
      </w:r>
      <w:r>
        <w:rPr>
          <w:rFonts w:ascii="Times New Roman" w:hAnsi="Times New Roman"/>
          <w:b/>
          <w:color w:val="auto"/>
          <w:kern w:val="2"/>
          <w:sz w:val="21"/>
          <w:szCs w:val="24"/>
          <w:highlight w:val="none"/>
          <w:u w:val="single"/>
        </w:rPr>
        <w:t>28</w:t>
      </w:r>
      <w:r>
        <w:rPr>
          <w:rFonts w:hint="eastAsia" w:ascii="Times New Roman" w:hAnsi="Times New Roman"/>
          <w:b/>
          <w:color w:val="auto"/>
          <w:kern w:val="2"/>
          <w:sz w:val="21"/>
          <w:szCs w:val="24"/>
          <w:highlight w:val="none"/>
          <w:u w:val="single"/>
        </w:rPr>
        <w:t>天以上的，每天按合同价款万分之五向发包人支付违约金；延期竣工</w:t>
      </w:r>
      <w:r>
        <w:rPr>
          <w:rFonts w:ascii="Times New Roman" w:hAnsi="Times New Roman"/>
          <w:b/>
          <w:color w:val="auto"/>
          <w:kern w:val="2"/>
          <w:sz w:val="21"/>
          <w:szCs w:val="24"/>
          <w:highlight w:val="none"/>
          <w:u w:val="single"/>
        </w:rPr>
        <w:t>56</w:t>
      </w:r>
      <w:r>
        <w:rPr>
          <w:rFonts w:hint="eastAsia" w:ascii="Times New Roman" w:hAnsi="Times New Roman"/>
          <w:b/>
          <w:color w:val="auto"/>
          <w:kern w:val="2"/>
          <w:sz w:val="21"/>
          <w:szCs w:val="24"/>
          <w:highlight w:val="none"/>
          <w:u w:val="single"/>
        </w:rPr>
        <w:t>天以上的，发包人有权解除合同，并追究连带损失</w:t>
      </w:r>
      <w:r>
        <w:rPr>
          <w:rFonts w:ascii="Times New Roman" w:hAnsi="Times New Roman"/>
          <w:color w:val="auto"/>
          <w:kern w:val="2"/>
          <w:sz w:val="21"/>
          <w:szCs w:val="24"/>
          <w:highlight w:val="none"/>
        </w:rPr>
        <w:t>。</w:t>
      </w:r>
      <w:bookmarkEnd w:id="179"/>
      <w:bookmarkEnd w:id="180"/>
      <w:bookmarkEnd w:id="181"/>
      <w:bookmarkEnd w:id="182"/>
      <w:bookmarkEnd w:id="183"/>
      <w:bookmarkEnd w:id="184"/>
      <w:bookmarkEnd w:id="185"/>
    </w:p>
    <w:bookmarkEnd w:id="186"/>
    <w:p w14:paraId="7313C09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因承包人原因造成工期延误，逾</w:t>
      </w:r>
      <w:bookmarkStart w:id="187" w:name="_Toc312678014"/>
      <w:bookmarkStart w:id="188" w:name="_Toc318581171"/>
      <w:r>
        <w:rPr>
          <w:rFonts w:ascii="Times New Roman" w:hAnsi="Times New Roman"/>
          <w:color w:val="auto"/>
          <w:kern w:val="2"/>
          <w:sz w:val="21"/>
          <w:szCs w:val="24"/>
          <w:highlight w:val="none"/>
        </w:rPr>
        <w:t>期竣工违约金的上限：</w:t>
      </w:r>
      <w:r>
        <w:rPr>
          <w:rFonts w:hint="eastAsia" w:ascii="Times New Roman" w:hAnsi="Times New Roman"/>
          <w:b/>
          <w:color w:val="auto"/>
          <w:kern w:val="2"/>
          <w:sz w:val="21"/>
          <w:szCs w:val="24"/>
          <w:highlight w:val="none"/>
          <w:u w:val="single"/>
        </w:rPr>
        <w:t>违约金最高限额为合同价款的</w:t>
      </w:r>
      <w:r>
        <w:rPr>
          <w:rFonts w:ascii="Times New Roman" w:hAnsi="Times New Roman"/>
          <w:b/>
          <w:color w:val="auto"/>
          <w:kern w:val="2"/>
          <w:sz w:val="21"/>
          <w:szCs w:val="24"/>
          <w:highlight w:val="none"/>
          <w:u w:val="single"/>
        </w:rPr>
        <w:t>4%。</w:t>
      </w:r>
    </w:p>
    <w:bookmarkEnd w:id="187"/>
    <w:bookmarkEnd w:id="188"/>
    <w:p w14:paraId="2EFF4DB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89" w:name="_Toc297216178"/>
      <w:bookmarkStart w:id="190" w:name="_Toc304295549"/>
      <w:bookmarkStart w:id="191" w:name="_Toc303539128"/>
      <w:bookmarkStart w:id="192" w:name="_Toc300934971"/>
      <w:bookmarkStart w:id="193" w:name="_Toc312678015"/>
      <w:bookmarkStart w:id="194" w:name="_Toc297123519"/>
      <w:r>
        <w:rPr>
          <w:rFonts w:ascii="Arial" w:hAnsi="Arial" w:eastAsia="黑体"/>
          <w:bCs/>
          <w:color w:val="auto"/>
          <w:kern w:val="2"/>
          <w:sz w:val="21"/>
          <w:szCs w:val="28"/>
          <w:highlight w:val="none"/>
        </w:rPr>
        <w:t>.6 不</w:t>
      </w:r>
      <w:bookmarkEnd w:id="189"/>
      <w:bookmarkEnd w:id="190"/>
      <w:bookmarkEnd w:id="191"/>
      <w:bookmarkEnd w:id="192"/>
      <w:bookmarkEnd w:id="193"/>
      <w:bookmarkEnd w:id="194"/>
      <w:r>
        <w:rPr>
          <w:rFonts w:ascii="Arial" w:hAnsi="Arial" w:eastAsia="黑体"/>
          <w:bCs/>
          <w:color w:val="auto"/>
          <w:kern w:val="2"/>
          <w:sz w:val="21"/>
          <w:szCs w:val="28"/>
          <w:highlight w:val="none"/>
        </w:rPr>
        <w:t>利物质条件</w:t>
      </w:r>
    </w:p>
    <w:p w14:paraId="0CE20CFC">
      <w:pPr>
        <w:adjustRightInd w:val="0"/>
        <w:spacing w:line="360" w:lineRule="auto"/>
        <w:ind w:firstLine="420" w:firstLineChars="200"/>
        <w:rPr>
          <w:rFonts w:ascii="Times New Roman" w:hAnsi="Times New Roman"/>
          <w:b/>
          <w:color w:val="auto"/>
          <w:kern w:val="2"/>
          <w:sz w:val="21"/>
          <w:szCs w:val="24"/>
          <w:highlight w:val="none"/>
          <w:u w:val="single"/>
        </w:rPr>
      </w:pPr>
      <w:bookmarkStart w:id="195" w:name="_Toc300934972"/>
      <w:bookmarkStart w:id="196" w:name="_Toc304295550"/>
      <w:bookmarkStart w:id="197" w:name="_Toc303539129"/>
      <w:bookmarkStart w:id="198" w:name="_Toc297123520"/>
      <w:bookmarkStart w:id="199" w:name="_Toc312678016"/>
      <w:bookmarkStart w:id="200" w:name="_Toc318581172"/>
      <w:bookmarkStart w:id="201" w:name="_Toc297216179"/>
      <w:r>
        <w:rPr>
          <w:rFonts w:ascii="Times New Roman" w:hAnsi="Times New Roman"/>
          <w:color w:val="auto"/>
          <w:kern w:val="2"/>
          <w:sz w:val="21"/>
          <w:szCs w:val="24"/>
          <w:highlight w:val="none"/>
        </w:rPr>
        <w:t>不利物质条件的其他情形和有关约定：</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bookmarkEnd w:id="195"/>
    <w:bookmarkEnd w:id="196"/>
    <w:bookmarkEnd w:id="197"/>
    <w:bookmarkEnd w:id="198"/>
    <w:bookmarkEnd w:id="199"/>
    <w:bookmarkEnd w:id="200"/>
    <w:bookmarkEnd w:id="201"/>
    <w:p w14:paraId="46A89A9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202" w:name="_Toc297123521"/>
      <w:bookmarkStart w:id="203" w:name="_Toc300934973"/>
      <w:bookmarkStart w:id="204" w:name="_Toc303539130"/>
      <w:bookmarkStart w:id="205" w:name="_Toc312678017"/>
      <w:bookmarkStart w:id="206" w:name="_Toc297216180"/>
      <w:bookmarkStart w:id="207" w:name="_Toc304295551"/>
      <w:r>
        <w:rPr>
          <w:rFonts w:ascii="Arial" w:hAnsi="Arial" w:eastAsia="黑体"/>
          <w:bCs/>
          <w:color w:val="auto"/>
          <w:kern w:val="2"/>
          <w:sz w:val="21"/>
          <w:szCs w:val="28"/>
          <w:highlight w:val="none"/>
        </w:rPr>
        <w:t>.7</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异常恶劣的气候条件</w:t>
      </w:r>
    </w:p>
    <w:bookmarkEnd w:id="202"/>
    <w:bookmarkEnd w:id="203"/>
    <w:bookmarkEnd w:id="204"/>
    <w:bookmarkEnd w:id="205"/>
    <w:bookmarkEnd w:id="206"/>
    <w:bookmarkEnd w:id="207"/>
    <w:p w14:paraId="7DECC94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发包人和承包人同意以下情形视为异常恶劣的气候条件：</w:t>
      </w:r>
    </w:p>
    <w:p w14:paraId="4A4EBAC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314EAA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FE8AB2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1A6E6E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7.9 提前竣工</w:t>
      </w:r>
    </w:p>
    <w:p w14:paraId="0B8D444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7.9.2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提前竣工的奖励：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4B58B56">
      <w:pPr>
        <w:keepNext/>
        <w:keepLines/>
        <w:spacing w:before="120" w:after="120" w:line="360" w:lineRule="auto"/>
        <w:jc w:val="left"/>
        <w:outlineLvl w:val="2"/>
        <w:rPr>
          <w:rFonts w:ascii="黑体" w:hAnsi="黑体" w:eastAsia="黑体"/>
          <w:bCs/>
          <w:color w:val="auto"/>
          <w:kern w:val="2"/>
          <w:sz w:val="24"/>
          <w:szCs w:val="24"/>
          <w:highlight w:val="none"/>
        </w:rPr>
      </w:pPr>
      <w:bookmarkStart w:id="208" w:name="_Toc351203640"/>
      <w:r>
        <w:rPr>
          <w:rFonts w:ascii="黑体" w:hAnsi="黑体" w:eastAsia="黑体"/>
          <w:bCs/>
          <w:color w:val="auto"/>
          <w:kern w:val="2"/>
          <w:sz w:val="24"/>
          <w:szCs w:val="24"/>
          <w:highlight w:val="none"/>
        </w:rPr>
        <w:t>8. 材料与设备</w:t>
      </w:r>
      <w:bookmarkEnd w:id="208"/>
    </w:p>
    <w:bookmarkEnd w:id="143"/>
    <w:bookmarkEnd w:id="144"/>
    <w:bookmarkEnd w:id="145"/>
    <w:bookmarkEnd w:id="146"/>
    <w:bookmarkEnd w:id="147"/>
    <w:bookmarkEnd w:id="148"/>
    <w:bookmarkEnd w:id="149"/>
    <w:bookmarkEnd w:id="150"/>
    <w:bookmarkEnd w:id="151"/>
    <w:bookmarkEnd w:id="152"/>
    <w:p w14:paraId="0D90046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w:t>
      </w:r>
      <w:bookmarkStart w:id="209" w:name="_Toc312678019"/>
      <w:bookmarkStart w:id="210" w:name="_Toc297216186"/>
      <w:bookmarkStart w:id="211" w:name="_Toc297123527"/>
      <w:bookmarkStart w:id="212" w:name="_Toc280868654"/>
      <w:bookmarkStart w:id="213" w:name="_Toc303539136"/>
      <w:bookmarkStart w:id="214" w:name="_Toc292559877"/>
      <w:bookmarkStart w:id="215" w:name="_Toc297120467"/>
      <w:bookmarkStart w:id="216" w:name="_Toc296891207"/>
      <w:bookmarkStart w:id="217" w:name="_Toc296944506"/>
      <w:bookmarkStart w:id="218" w:name="_Toc296346668"/>
      <w:bookmarkStart w:id="219" w:name="_Toc297048353"/>
      <w:bookmarkStart w:id="220" w:name="_Toc300934979"/>
      <w:bookmarkStart w:id="221" w:name="_Toc296503167"/>
      <w:bookmarkStart w:id="222" w:name="_Toc296890995"/>
      <w:bookmarkStart w:id="223" w:name="_Toc292559372"/>
      <w:bookmarkStart w:id="224" w:name="_Toc296347166"/>
      <w:bookmarkStart w:id="225" w:name="_Toc312677493"/>
      <w:bookmarkStart w:id="226" w:name="_Toc304295556"/>
      <w:bookmarkStart w:id="227" w:name="_Toc280868656"/>
      <w:bookmarkStart w:id="228" w:name="_Toc280868655"/>
      <w:bookmarkStart w:id="229" w:name="_Toc267251424"/>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材料与工程设备的保管与使用</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14:paraId="5363E55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8</w:t>
      </w:r>
      <w:bookmarkStart w:id="230" w:name="_Toc292559373"/>
      <w:bookmarkStart w:id="231" w:name="_Toc292559878"/>
      <w:bookmarkStart w:id="232" w:name="_Toc297216187"/>
      <w:bookmarkStart w:id="233" w:name="_Toc296944507"/>
      <w:bookmarkStart w:id="234" w:name="_Toc304295557"/>
      <w:bookmarkStart w:id="235" w:name="_Toc297123528"/>
      <w:bookmarkStart w:id="236" w:name="_Toc296347167"/>
      <w:bookmarkStart w:id="237" w:name="_Toc312678020"/>
      <w:bookmarkStart w:id="238" w:name="_Toc296503168"/>
      <w:bookmarkStart w:id="239" w:name="_Toc296890996"/>
      <w:bookmarkStart w:id="240" w:name="_Toc297120468"/>
      <w:bookmarkStart w:id="241" w:name="_Toc296891208"/>
      <w:bookmarkStart w:id="242" w:name="_Toc318581173"/>
      <w:bookmarkStart w:id="243" w:name="_Toc296346669"/>
      <w:bookmarkStart w:id="244" w:name="_Toc297048354"/>
      <w:bookmarkStart w:id="245" w:name="_Toc312677494"/>
      <w:bookmarkStart w:id="246" w:name="_Toc303539137"/>
      <w:bookmarkStart w:id="247" w:name="_Toc300934980"/>
      <w:r>
        <w:rPr>
          <w:rFonts w:ascii="Times New Roman" w:hAnsi="Times New Roman"/>
          <w:color w:val="auto"/>
          <w:kern w:val="2"/>
          <w:sz w:val="21"/>
          <w:szCs w:val="24"/>
          <w:highlight w:val="none"/>
        </w:rPr>
        <w:t>.4.1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发包人供应的材料设备的保管费用的承担：</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230"/>
      <w:bookmarkEnd w:id="231"/>
    </w:p>
    <w:p w14:paraId="1E7C901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8.6 样品</w:t>
      </w:r>
    </w:p>
    <w:p w14:paraId="4830CFB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8.6.1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样品的报送</w:t>
      </w:r>
      <w:r>
        <w:rPr>
          <w:rFonts w:hint="eastAsia" w:ascii="Times New Roman" w:hAnsi="Times New Roman"/>
          <w:color w:val="auto"/>
          <w:sz w:val="21"/>
          <w:szCs w:val="24"/>
          <w:highlight w:val="none"/>
        </w:rPr>
        <w:t>与封存</w:t>
      </w:r>
    </w:p>
    <w:p w14:paraId="6E4B4ED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需要承包人报送样品的材料或工程设备，样品的种类、名称、规格、数量要求：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DA839C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 施工设备和临时设施</w:t>
      </w:r>
    </w:p>
    <w:p w14:paraId="3EB37B6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8.8.1 承包人提供的施工设备和临时设施</w:t>
      </w:r>
    </w:p>
    <w:p w14:paraId="273A554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关于修建临时设施费用承担的约定：</w:t>
      </w:r>
      <w:r>
        <w:rPr>
          <w:rFonts w:hint="eastAsia" w:ascii="Times New Roman" w:hAnsi="Times New Roman"/>
          <w:b/>
          <w:color w:val="auto"/>
          <w:kern w:val="2"/>
          <w:sz w:val="21"/>
          <w:szCs w:val="24"/>
          <w:highlight w:val="none"/>
          <w:u w:val="single"/>
        </w:rPr>
        <w:t>承包人承担</w:t>
      </w:r>
      <w:r>
        <w:rPr>
          <w:rFonts w:ascii="Times New Roman" w:hAnsi="Times New Roman"/>
          <w:b/>
          <w:color w:val="auto"/>
          <w:kern w:val="2"/>
          <w:sz w:val="21"/>
          <w:szCs w:val="24"/>
          <w:highlight w:val="none"/>
          <w:u w:val="single"/>
        </w:rPr>
        <w:t>。</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BA014D6">
      <w:pPr>
        <w:keepNext/>
        <w:keepLines/>
        <w:spacing w:before="120" w:after="120" w:line="360" w:lineRule="auto"/>
        <w:jc w:val="left"/>
        <w:outlineLvl w:val="2"/>
        <w:rPr>
          <w:rFonts w:ascii="黑体" w:hAnsi="黑体" w:eastAsia="黑体"/>
          <w:bCs/>
          <w:color w:val="auto"/>
          <w:kern w:val="2"/>
          <w:sz w:val="24"/>
          <w:szCs w:val="24"/>
          <w:highlight w:val="none"/>
        </w:rPr>
      </w:pPr>
      <w:bookmarkStart w:id="248" w:name="_Toc351203641"/>
      <w:r>
        <w:rPr>
          <w:rFonts w:ascii="黑体" w:hAnsi="黑体" w:eastAsia="黑体"/>
          <w:bCs/>
          <w:color w:val="auto"/>
          <w:kern w:val="2"/>
          <w:sz w:val="24"/>
          <w:szCs w:val="24"/>
          <w:highlight w:val="none"/>
        </w:rPr>
        <w:t>9</w:t>
      </w:r>
      <w:bookmarkEnd w:id="227"/>
      <w:bookmarkEnd w:id="228"/>
      <w:bookmarkEnd w:id="229"/>
      <w:bookmarkStart w:id="249" w:name="_Toc312677495"/>
      <w:bookmarkStart w:id="250" w:name="_Toc300934982"/>
      <w:bookmarkStart w:id="251" w:name="_Toc304295559"/>
      <w:bookmarkStart w:id="252" w:name="_Toc297216192"/>
      <w:bookmarkStart w:id="253" w:name="_Toc297123533"/>
      <w:bookmarkStart w:id="254" w:name="_Toc303539139"/>
      <w:bookmarkStart w:id="255" w:name="_Toc312678021"/>
      <w:bookmarkStart w:id="256" w:name="_Toc297120473"/>
      <w:bookmarkStart w:id="257" w:name="_Toc296944512"/>
      <w:bookmarkStart w:id="258" w:name="_Toc296347172"/>
      <w:bookmarkStart w:id="259" w:name="_Toc267251428"/>
      <w:bookmarkStart w:id="260" w:name="_Toc296346674"/>
      <w:bookmarkStart w:id="261" w:name="_Toc296891001"/>
      <w:bookmarkStart w:id="262" w:name="_Toc292559378"/>
      <w:bookmarkStart w:id="263" w:name="_Toc297048359"/>
      <w:bookmarkStart w:id="264" w:name="_Toc296891213"/>
      <w:bookmarkStart w:id="265" w:name="_Toc296503173"/>
      <w:bookmarkStart w:id="266" w:name="_Toc267251427"/>
      <w:bookmarkStart w:id="267" w:name="_Toc292559883"/>
      <w:r>
        <w:rPr>
          <w:rFonts w:ascii="黑体" w:hAnsi="黑体" w:eastAsia="黑体"/>
          <w:bCs/>
          <w:color w:val="auto"/>
          <w:kern w:val="2"/>
          <w:sz w:val="24"/>
          <w:szCs w:val="24"/>
          <w:highlight w:val="none"/>
        </w:rPr>
        <w:t>. 试验与检验</w:t>
      </w:r>
      <w:bookmarkEnd w:id="248"/>
    </w:p>
    <w:bookmarkEnd w:id="249"/>
    <w:bookmarkEnd w:id="250"/>
    <w:bookmarkEnd w:id="251"/>
    <w:bookmarkEnd w:id="252"/>
    <w:bookmarkEnd w:id="253"/>
    <w:bookmarkEnd w:id="254"/>
    <w:bookmarkEnd w:id="255"/>
    <w:p w14:paraId="5426908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9</w:t>
      </w:r>
      <w:bookmarkStart w:id="268" w:name="_Toc312677496"/>
      <w:bookmarkStart w:id="269" w:name="_Toc312678022"/>
      <w:bookmarkStart w:id="270" w:name="_Toc304295560"/>
      <w:bookmarkStart w:id="271" w:name="_Toc300934983"/>
      <w:bookmarkStart w:id="272" w:name="_Toc303539140"/>
      <w:bookmarkStart w:id="273" w:name="_Toc297123534"/>
      <w:bookmarkStart w:id="274" w:name="_Toc297216193"/>
      <w:r>
        <w:rPr>
          <w:rFonts w:ascii="Arial" w:hAnsi="Arial" w:eastAsia="黑体"/>
          <w:bCs/>
          <w:color w:val="auto"/>
          <w:kern w:val="2"/>
          <w:sz w:val="21"/>
          <w:szCs w:val="28"/>
          <w:highlight w:val="none"/>
        </w:rPr>
        <w:t>.1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试验设备与试验人员</w:t>
      </w:r>
    </w:p>
    <w:bookmarkEnd w:id="268"/>
    <w:bookmarkEnd w:id="269"/>
    <w:bookmarkEnd w:id="270"/>
    <w:bookmarkEnd w:id="271"/>
    <w:bookmarkEnd w:id="272"/>
    <w:bookmarkEnd w:id="273"/>
    <w:bookmarkEnd w:id="274"/>
    <w:p w14:paraId="4C3C2AF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9</w:t>
      </w:r>
      <w:bookmarkStart w:id="275" w:name="_Toc300934984"/>
      <w:bookmarkStart w:id="276" w:name="_Toc297123535"/>
      <w:bookmarkStart w:id="277" w:name="_Toc312678023"/>
      <w:bookmarkStart w:id="278" w:name="_Toc312677497"/>
      <w:bookmarkStart w:id="279" w:name="_Toc297216194"/>
      <w:bookmarkStart w:id="280" w:name="_Toc303539141"/>
      <w:bookmarkStart w:id="281" w:name="_Toc304295561"/>
      <w:bookmarkStart w:id="282" w:name="_Toc318581174"/>
      <w:r>
        <w:rPr>
          <w:rFonts w:ascii="Times New Roman" w:hAnsi="Times New Roman"/>
          <w:color w:val="auto"/>
          <w:kern w:val="2"/>
          <w:sz w:val="21"/>
          <w:szCs w:val="24"/>
          <w:highlight w:val="none"/>
        </w:rPr>
        <w:t>.1.2 试验设备</w:t>
      </w:r>
    </w:p>
    <w:p w14:paraId="16D8005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施工现场需要配置的试验场所</w:t>
      </w:r>
      <w:bookmarkEnd w:id="275"/>
      <w:bookmarkEnd w:id="276"/>
      <w:bookmarkEnd w:id="277"/>
      <w:bookmarkEnd w:id="278"/>
      <w:bookmarkEnd w:id="279"/>
      <w:bookmarkEnd w:id="280"/>
      <w:bookmarkEnd w:id="281"/>
      <w:bookmarkStart w:id="283" w:name="_Toc297216195"/>
      <w:bookmarkStart w:id="284" w:name="_Toc312678024"/>
      <w:bookmarkStart w:id="285" w:name="_Toc312677498"/>
      <w:bookmarkStart w:id="286" w:name="_Toc303539142"/>
      <w:bookmarkStart w:id="287" w:name="_Toc297123536"/>
      <w:bookmarkStart w:id="288" w:name="_Toc304295562"/>
      <w:bookmarkStart w:id="289" w:name="_Toc300934985"/>
      <w:r>
        <w:rPr>
          <w:rFonts w:hint="eastAsia"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rPr>
        <w:t xml:space="preserve"> </w:t>
      </w:r>
    </w:p>
    <w:p w14:paraId="15B47E1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施工现场需要配备的试验设备：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F3B96A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施工现场需要具备的其他试验条件：</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3AA9A2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9.4 现场工艺试验</w:t>
      </w:r>
      <w:r>
        <w:rPr>
          <w:rFonts w:hint="eastAsia" w:ascii="Arial" w:hAnsi="Arial" w:eastAsia="黑体"/>
          <w:bCs/>
          <w:color w:val="auto"/>
          <w:kern w:val="2"/>
          <w:sz w:val="21"/>
          <w:szCs w:val="28"/>
          <w:highlight w:val="none"/>
        </w:rPr>
        <w:t xml:space="preserve"> </w:t>
      </w:r>
    </w:p>
    <w:p w14:paraId="26AC5BF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现场工艺试验的有关约定：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282"/>
    <w:bookmarkEnd w:id="283"/>
    <w:bookmarkEnd w:id="284"/>
    <w:bookmarkEnd w:id="285"/>
    <w:bookmarkEnd w:id="286"/>
    <w:bookmarkEnd w:id="287"/>
    <w:bookmarkEnd w:id="288"/>
    <w:bookmarkEnd w:id="289"/>
    <w:p w14:paraId="2BF6C2B5">
      <w:pPr>
        <w:keepNext/>
        <w:keepLines/>
        <w:spacing w:before="120" w:after="120" w:line="360" w:lineRule="auto"/>
        <w:jc w:val="left"/>
        <w:outlineLvl w:val="2"/>
        <w:rPr>
          <w:rFonts w:ascii="黑体" w:hAnsi="黑体" w:eastAsia="黑体"/>
          <w:bCs/>
          <w:color w:val="auto"/>
          <w:kern w:val="2"/>
          <w:sz w:val="24"/>
          <w:szCs w:val="24"/>
          <w:highlight w:val="none"/>
        </w:rPr>
      </w:pPr>
      <w:bookmarkStart w:id="290" w:name="_Toc351203642"/>
      <w:r>
        <w:rPr>
          <w:rFonts w:ascii="黑体" w:hAnsi="黑体" w:eastAsia="黑体"/>
          <w:bCs/>
          <w:color w:val="auto"/>
          <w:kern w:val="2"/>
          <w:sz w:val="24"/>
          <w:szCs w:val="24"/>
          <w:highlight w:val="none"/>
        </w:rPr>
        <w:t>1</w:t>
      </w:r>
      <w:bookmarkEnd w:id="256"/>
      <w:bookmarkEnd w:id="257"/>
      <w:bookmarkEnd w:id="258"/>
      <w:bookmarkEnd w:id="259"/>
      <w:bookmarkEnd w:id="260"/>
      <w:bookmarkEnd w:id="261"/>
      <w:bookmarkEnd w:id="262"/>
      <w:bookmarkEnd w:id="263"/>
      <w:bookmarkEnd w:id="264"/>
      <w:bookmarkEnd w:id="265"/>
      <w:bookmarkEnd w:id="266"/>
      <w:bookmarkEnd w:id="267"/>
      <w:bookmarkStart w:id="291" w:name="_Toc296891233"/>
      <w:bookmarkStart w:id="292" w:name="_Toc297048379"/>
      <w:bookmarkStart w:id="293" w:name="_Toc297216199"/>
      <w:bookmarkStart w:id="294" w:name="_Toc292559398"/>
      <w:bookmarkStart w:id="295" w:name="_Toc296347192"/>
      <w:bookmarkStart w:id="296" w:name="_Toc296891021"/>
      <w:bookmarkStart w:id="297" w:name="_Toc304295566"/>
      <w:bookmarkStart w:id="298" w:name="_Toc300934989"/>
      <w:bookmarkStart w:id="299" w:name="_Toc292559903"/>
      <w:bookmarkStart w:id="300" w:name="_Toc297123540"/>
      <w:bookmarkStart w:id="301" w:name="_Toc296503193"/>
      <w:bookmarkStart w:id="302" w:name="_Toc296944532"/>
      <w:bookmarkStart w:id="303" w:name="_Toc297120493"/>
      <w:bookmarkStart w:id="304" w:name="_Toc296346694"/>
      <w:bookmarkStart w:id="305" w:name="_Toc303539146"/>
      <w:bookmarkStart w:id="306" w:name="_Toc312677499"/>
      <w:bookmarkStart w:id="307" w:name="_Toc312678025"/>
      <w:bookmarkStart w:id="308" w:name="_Toc267251433"/>
      <w:bookmarkStart w:id="309" w:name="_Toc267251435"/>
      <w:bookmarkStart w:id="310" w:name="_Toc267251439"/>
      <w:bookmarkStart w:id="311" w:name="_Toc267251437"/>
      <w:bookmarkStart w:id="312" w:name="_Toc267251440"/>
      <w:bookmarkStart w:id="313" w:name="_Toc267251441"/>
      <w:bookmarkStart w:id="314" w:name="_Toc267251442"/>
      <w:r>
        <w:rPr>
          <w:rFonts w:ascii="黑体" w:hAnsi="黑体" w:eastAsia="黑体"/>
          <w:bCs/>
          <w:color w:val="auto"/>
          <w:kern w:val="2"/>
          <w:sz w:val="24"/>
          <w:szCs w:val="24"/>
          <w:highlight w:val="none"/>
        </w:rPr>
        <w:t>0. 变更</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bookmarkEnd w:id="306"/>
    <w:bookmarkEnd w:id="307"/>
    <w:p w14:paraId="7D63C07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315" w:name="_Toc296891234"/>
      <w:bookmarkStart w:id="316" w:name="_Toc296944533"/>
      <w:bookmarkStart w:id="317" w:name="_Toc296346695"/>
      <w:bookmarkStart w:id="318" w:name="_Toc312678026"/>
      <w:bookmarkStart w:id="319" w:name="_Toc300934990"/>
      <w:bookmarkStart w:id="320" w:name="_Toc292559904"/>
      <w:bookmarkStart w:id="321" w:name="_Toc312677500"/>
      <w:bookmarkStart w:id="322" w:name="_Toc296891022"/>
      <w:bookmarkStart w:id="323" w:name="_Toc303539147"/>
      <w:bookmarkStart w:id="324" w:name="_Toc297123541"/>
      <w:bookmarkStart w:id="325" w:name="_Toc297216200"/>
      <w:bookmarkStart w:id="326" w:name="_Toc297048380"/>
      <w:bookmarkStart w:id="327" w:name="_Toc296503194"/>
      <w:bookmarkStart w:id="328" w:name="_Toc304295567"/>
      <w:bookmarkStart w:id="329" w:name="_Toc292559399"/>
      <w:bookmarkStart w:id="330" w:name="_Toc297120494"/>
      <w:bookmarkStart w:id="331" w:name="_Toc296347193"/>
      <w:r>
        <w:rPr>
          <w:rFonts w:ascii="Arial" w:hAnsi="Arial" w:eastAsia="黑体"/>
          <w:bCs/>
          <w:color w:val="auto"/>
          <w:kern w:val="2"/>
          <w:sz w:val="21"/>
          <w:szCs w:val="28"/>
          <w:highlight w:val="none"/>
        </w:rPr>
        <w:t>0.1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变更的范围</w:t>
      </w:r>
    </w:p>
    <w:p w14:paraId="558569F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关于变更的范围的约定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B91A7E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10.4 变更估价</w:t>
      </w:r>
    </w:p>
    <w:p w14:paraId="3FE83E9A">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10.4.1 变更估价原则</w:t>
      </w:r>
    </w:p>
    <w:p w14:paraId="67BA19C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关于变更估价的约定</w:t>
      </w:r>
      <w:r>
        <w:rPr>
          <w:rFonts w:hint="eastAsia" w:ascii="Times New Roman" w:hAnsi="Times New Roman"/>
          <w:color w:val="auto"/>
          <w:kern w:val="2"/>
          <w:sz w:val="21"/>
          <w:szCs w:val="24"/>
          <w:highlight w:val="none"/>
        </w:rPr>
        <w:t>：</w:t>
      </w:r>
    </w:p>
    <w:p w14:paraId="48544B7A">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10.4.1.1 因工程变更引起已标价工程量清单项目或其工程数量发生变化时，按下列规定调整：</w:t>
      </w:r>
    </w:p>
    <w:p w14:paraId="1B65DFD6">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(1)已标价工程量清单中有适用于变更工程项目的，采用该项目的单价；但对于</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报价中分部分项工程项目单价高于最高限价（控制价）相应子目单价的清单项目，工程量增加幅度超过本项目工程数量15%（不含15%）的，超过15%的增加部分工程量的单价按最高限价（控制价）相应子目单价与</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优惠率同比下浮，确定工程变更单价，作为结算的依据；对于</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报价中分部分项工程项目单价低于最高限价（控制价）相应子目单价的30%（含30%）的清单项目，工程量减少幅度超过本项目工程数量15%（不含15%）的，超过15%的减少部分工程量的单价按最高限价（控制价）相应子目单价与</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优惠率同比下浮，确定工程变更单价，作为结算的依据；</w:t>
      </w:r>
    </w:p>
    <w:p w14:paraId="363A6613">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rPr>
        <w:t>(2)</w:t>
      </w:r>
      <w:r>
        <w:rPr>
          <w:rFonts w:hint="eastAsia" w:ascii="Times New Roman" w:hAnsi="Times New Roman"/>
          <w:b/>
          <w:color w:val="auto"/>
          <w:kern w:val="2"/>
          <w:sz w:val="21"/>
          <w:szCs w:val="24"/>
          <w:highlight w:val="none"/>
          <w:u w:val="single"/>
        </w:rPr>
        <w:t>已标价工程量清单中没有适用但有类似于变更工程项目的，可在合理范围内参照类似项目的单价。</w:t>
      </w:r>
    </w:p>
    <w:p w14:paraId="45D611B0">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(3)已标价工程量清单中没有适用也没有类似于变更工程项目的，由承包人根据变更工程资料、</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时的计量规则和计价办法、当期的工程造价管理机构发布的信息价格和承包人</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 xml:space="preserve">总价降幅同比下浮标准，提出变更工程项目的单价； </w:t>
      </w:r>
    </w:p>
    <w:p w14:paraId="4E11DCC2">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(4)已标价工程量清单中没有适用也没有类似于变更工程项目的，且工程造价管理机构发布的信息价缺价的，应由承包人根据变更工程资料、</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时的计量规则和计价办法和通过市场调查等取得有合法依据的市场价格和承包人</w:t>
      </w:r>
      <w:r>
        <w:rPr>
          <w:rFonts w:hint="eastAsia" w:ascii="Times New Roman" w:hAnsi="Times New Roman"/>
          <w:b/>
          <w:color w:val="auto"/>
          <w:kern w:val="2"/>
          <w:sz w:val="21"/>
          <w:szCs w:val="24"/>
          <w:highlight w:val="none"/>
          <w:u w:val="single"/>
          <w:lang w:eastAsia="zh-CN"/>
        </w:rPr>
        <w:t>比选</w:t>
      </w:r>
      <w:r>
        <w:rPr>
          <w:rFonts w:hint="eastAsia" w:ascii="Times New Roman" w:hAnsi="Times New Roman"/>
          <w:b/>
          <w:color w:val="auto"/>
          <w:kern w:val="2"/>
          <w:sz w:val="21"/>
          <w:szCs w:val="24"/>
          <w:highlight w:val="none"/>
          <w:u w:val="single"/>
        </w:rPr>
        <w:t>总价降幅同比下浮标准，提出变更工程项目的单价，作为结算的依据；</w:t>
      </w:r>
    </w:p>
    <w:p w14:paraId="5C6F20A6">
      <w:pPr>
        <w:adjustRightInd w:val="0"/>
        <w:snapToGrid w:val="0"/>
        <w:spacing w:before="93" w:beforeLines="30" w:line="360" w:lineRule="auto"/>
        <w:ind w:firstLine="422" w:firstLineChars="200"/>
        <w:rPr>
          <w:b/>
          <w:color w:val="auto"/>
          <w:sz w:val="24"/>
          <w:szCs w:val="24"/>
          <w:highlight w:val="none"/>
          <w:lang w:val="zh-CN"/>
        </w:rPr>
      </w:pPr>
      <w:r>
        <w:rPr>
          <w:rFonts w:hint="eastAsia"/>
          <w:b/>
          <w:color w:val="auto"/>
          <w:kern w:val="2"/>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425C72D1">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（1）按照费率计算的措施费，应按照实际发生变化的措施项目依据原</w:t>
      </w:r>
      <w:r>
        <w:rPr>
          <w:rFonts w:hint="eastAsia"/>
          <w:b/>
          <w:color w:val="auto"/>
          <w:kern w:val="2"/>
          <w:sz w:val="21"/>
          <w:szCs w:val="21"/>
          <w:highlight w:val="none"/>
          <w:u w:val="single"/>
          <w:lang w:eastAsia="zh-CN"/>
        </w:rPr>
        <w:t>比选</w:t>
      </w:r>
      <w:r>
        <w:rPr>
          <w:rFonts w:hint="eastAsia"/>
          <w:b/>
          <w:color w:val="auto"/>
          <w:kern w:val="2"/>
          <w:sz w:val="21"/>
          <w:szCs w:val="21"/>
          <w:highlight w:val="none"/>
          <w:u w:val="single"/>
        </w:rPr>
        <w:t>文件规定的费率计算；</w:t>
      </w:r>
    </w:p>
    <w:p w14:paraId="08B8B017">
      <w:pPr>
        <w:adjustRightInd w:val="0"/>
        <w:snapToGrid w:val="0"/>
        <w:spacing w:before="93" w:beforeLines="30" w:line="360" w:lineRule="auto"/>
        <w:ind w:firstLine="422" w:firstLineChars="200"/>
        <w:jc w:val="left"/>
        <w:rPr>
          <w:b/>
          <w:color w:val="auto"/>
          <w:kern w:val="2"/>
          <w:sz w:val="21"/>
          <w:szCs w:val="21"/>
          <w:highlight w:val="none"/>
          <w:u w:val="single"/>
        </w:rPr>
      </w:pPr>
      <w:r>
        <w:rPr>
          <w:rFonts w:hint="eastAsia"/>
          <w:b/>
          <w:color w:val="auto"/>
          <w:kern w:val="2"/>
          <w:sz w:val="21"/>
          <w:szCs w:val="21"/>
          <w:highlight w:val="none"/>
          <w:u w:val="single"/>
        </w:rPr>
        <w:t>（2）按照单价计算的措施项目费，应按照实际发生变化的措施项目，按本合同专业条款第10.4.1.1目计算；</w:t>
      </w:r>
    </w:p>
    <w:p w14:paraId="1D5133FA">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（3）按总价（或系数）计算的措施项目费，应按照实际发生变化的措施项目和承包人</w:t>
      </w:r>
      <w:r>
        <w:rPr>
          <w:rFonts w:hint="eastAsia"/>
          <w:b/>
          <w:color w:val="auto"/>
          <w:kern w:val="2"/>
          <w:sz w:val="21"/>
          <w:szCs w:val="21"/>
          <w:highlight w:val="none"/>
          <w:u w:val="single"/>
          <w:lang w:eastAsia="zh-CN"/>
        </w:rPr>
        <w:t>比选</w:t>
      </w:r>
      <w:r>
        <w:rPr>
          <w:rFonts w:hint="eastAsia"/>
          <w:b/>
          <w:color w:val="auto"/>
          <w:kern w:val="2"/>
          <w:sz w:val="21"/>
          <w:szCs w:val="21"/>
          <w:highlight w:val="none"/>
          <w:u w:val="single"/>
        </w:rPr>
        <w:t>总价降幅同比下浮标准，提出新的措施项目费，作为结算的依据；</w:t>
      </w:r>
    </w:p>
    <w:p w14:paraId="41E77D11">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（4）如果承包人未事前将拟实施的方案提交给发包人确认，则应视为工程变更不引起措施项目费的调整或承包人放弃调整措施项目费的权利。</w:t>
      </w:r>
    </w:p>
    <w:p w14:paraId="3E7D713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Start w:id="332" w:name="_Toc296891237"/>
      <w:bookmarkStart w:id="333" w:name="_Toc296346698"/>
      <w:bookmarkStart w:id="334" w:name="_Toc297048383"/>
      <w:bookmarkStart w:id="335" w:name="_Toc296891025"/>
      <w:bookmarkStart w:id="336" w:name="_Toc300934993"/>
      <w:bookmarkStart w:id="337" w:name="_Toc292559402"/>
      <w:bookmarkStart w:id="338" w:name="_Toc296503197"/>
      <w:bookmarkStart w:id="339" w:name="_Toc296347196"/>
      <w:bookmarkStart w:id="340" w:name="_Toc296944536"/>
      <w:bookmarkStart w:id="341" w:name="_Toc303539150"/>
      <w:bookmarkStart w:id="342" w:name="_Toc297120497"/>
      <w:bookmarkStart w:id="343" w:name="_Toc297123544"/>
      <w:bookmarkStart w:id="344" w:name="_Toc292559907"/>
      <w:bookmarkStart w:id="345" w:name="_Toc297216203"/>
      <w:bookmarkStart w:id="346" w:name="_Toc304295570"/>
      <w:bookmarkStart w:id="347" w:name="_Toc312678029"/>
      <w:bookmarkStart w:id="348" w:name="_Toc312677503"/>
      <w:r>
        <w:rPr>
          <w:rFonts w:ascii="Arial" w:hAnsi="Arial" w:eastAsia="黑体"/>
          <w:bCs/>
          <w:color w:val="auto"/>
          <w:kern w:val="2"/>
          <w:sz w:val="21"/>
          <w:szCs w:val="28"/>
          <w:highlight w:val="none"/>
        </w:rPr>
        <w:t>0.5</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承</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9" w:name="_Toc297048389"/>
      <w:bookmarkStart w:id="350" w:name="_Toc297123545"/>
      <w:bookmarkStart w:id="351" w:name="_Toc303539151"/>
      <w:bookmarkStart w:id="352" w:name="_Toc296346704"/>
      <w:bookmarkStart w:id="353" w:name="_Toc296944542"/>
      <w:bookmarkStart w:id="354" w:name="_Toc300934994"/>
      <w:bookmarkStart w:id="355" w:name="_Toc296891243"/>
      <w:bookmarkStart w:id="356" w:name="_Toc292559913"/>
      <w:bookmarkStart w:id="357" w:name="_Toc296891031"/>
      <w:bookmarkStart w:id="358" w:name="_Toc296347202"/>
      <w:bookmarkStart w:id="359" w:name="_Toc297216204"/>
      <w:bookmarkStart w:id="360" w:name="_Toc292559408"/>
      <w:bookmarkStart w:id="361" w:name="_Toc297120503"/>
      <w:bookmarkStart w:id="362" w:name="_Toc296503203"/>
      <w:r>
        <w:rPr>
          <w:rFonts w:ascii="Arial" w:hAnsi="Arial" w:eastAsia="黑体"/>
          <w:bCs/>
          <w:color w:val="auto"/>
          <w:kern w:val="2"/>
          <w:sz w:val="21"/>
          <w:szCs w:val="28"/>
          <w:highlight w:val="none"/>
        </w:rPr>
        <w:t>包人的合理化建议</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6FFBFBF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监理人审查承包人合理化建议的期限：</w:t>
      </w:r>
      <w:r>
        <w:rPr>
          <w:rFonts w:hint="eastAsia" w:ascii="Times New Roman" w:hAnsi="Times New Roman"/>
          <w:b/>
          <w:color w:val="auto"/>
          <w:kern w:val="2"/>
          <w:sz w:val="21"/>
          <w:szCs w:val="24"/>
          <w:highlight w:val="none"/>
          <w:u w:val="single"/>
        </w:rPr>
        <w:t>收到承包人提交的合理化建议后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天内审查完毕</w:t>
      </w:r>
      <w:r>
        <w:rPr>
          <w:rFonts w:ascii="Times New Roman" w:hAnsi="Times New Roman"/>
          <w:color w:val="auto"/>
          <w:kern w:val="2"/>
          <w:sz w:val="21"/>
          <w:szCs w:val="24"/>
          <w:highlight w:val="none"/>
        </w:rPr>
        <w:t>。</w:t>
      </w:r>
    </w:p>
    <w:p w14:paraId="23AA887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发包人审批承包人合理化建议的期限：</w:t>
      </w:r>
      <w:r>
        <w:rPr>
          <w:rFonts w:hint="eastAsia" w:ascii="Times New Roman" w:hAnsi="Times New Roman"/>
          <w:b/>
          <w:color w:val="auto"/>
          <w:kern w:val="2"/>
          <w:sz w:val="21"/>
          <w:szCs w:val="24"/>
          <w:highlight w:val="none"/>
          <w:u w:val="single"/>
        </w:rPr>
        <w:t>收到监理人报送的合理化建议后7天内审批完毕</w:t>
      </w:r>
      <w:r>
        <w:rPr>
          <w:rFonts w:ascii="Times New Roman" w:hAnsi="Times New Roman"/>
          <w:color w:val="auto"/>
          <w:kern w:val="2"/>
          <w:sz w:val="21"/>
          <w:szCs w:val="24"/>
          <w:highlight w:val="none"/>
        </w:rPr>
        <w:t>。</w:t>
      </w:r>
    </w:p>
    <w:p w14:paraId="1F05A13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w:t>
      </w:r>
      <w:bookmarkStart w:id="363" w:name="_Toc297123546"/>
      <w:bookmarkStart w:id="364" w:name="_Toc300934995"/>
      <w:bookmarkStart w:id="365" w:name="_Toc296503204"/>
      <w:bookmarkStart w:id="366" w:name="_Toc296891244"/>
      <w:bookmarkStart w:id="367" w:name="_Toc297048390"/>
      <w:bookmarkStart w:id="368" w:name="_Toc312678030"/>
      <w:bookmarkStart w:id="369" w:name="_Toc296944543"/>
      <w:bookmarkStart w:id="370" w:name="_Toc292559409"/>
      <w:bookmarkStart w:id="371" w:name="_Toc297120504"/>
      <w:bookmarkStart w:id="372" w:name="_Toc296346705"/>
      <w:bookmarkStart w:id="373" w:name="_Toc296891032"/>
      <w:bookmarkStart w:id="374" w:name="_Toc304295571"/>
      <w:bookmarkStart w:id="375" w:name="_Toc303539152"/>
      <w:bookmarkStart w:id="376" w:name="_Toc312677504"/>
      <w:bookmarkStart w:id="377" w:name="_Toc292559914"/>
      <w:bookmarkStart w:id="378" w:name="_Toc297216205"/>
      <w:bookmarkStart w:id="379" w:name="_Toc318581175"/>
      <w:bookmarkStart w:id="380" w:name="_Toc296347203"/>
      <w:r>
        <w:rPr>
          <w:rFonts w:ascii="Times New Roman" w:hAnsi="Times New Roman"/>
          <w:color w:val="auto"/>
          <w:kern w:val="2"/>
          <w:sz w:val="21"/>
          <w:szCs w:val="24"/>
          <w:highlight w:val="none"/>
        </w:rPr>
        <w:t>包人提出的合理化建议降低了合同价格或者提高了工程经济效益的奖励的方法和金额为：</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02505C6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381" w:name="_Toc297120499"/>
      <w:bookmarkStart w:id="382" w:name="_Toc292559909"/>
      <w:bookmarkStart w:id="383" w:name="_Toc296346700"/>
      <w:bookmarkStart w:id="384" w:name="_Toc296891027"/>
      <w:bookmarkStart w:id="385" w:name="_Toc292559404"/>
      <w:bookmarkStart w:id="386" w:name="_Toc300934997"/>
      <w:bookmarkStart w:id="387" w:name="_Toc297216207"/>
      <w:bookmarkStart w:id="388" w:name="_Toc297123548"/>
      <w:bookmarkStart w:id="389" w:name="_Toc303539154"/>
      <w:bookmarkStart w:id="390" w:name="_Toc312678033"/>
      <w:bookmarkStart w:id="391" w:name="_Toc312677507"/>
      <w:bookmarkStart w:id="392" w:name="_Toc296347198"/>
      <w:bookmarkStart w:id="393" w:name="_Toc297048385"/>
      <w:bookmarkStart w:id="394" w:name="_Toc296944538"/>
      <w:bookmarkStart w:id="395" w:name="_Toc296503199"/>
      <w:bookmarkStart w:id="396" w:name="_Toc304295574"/>
      <w:bookmarkStart w:id="397" w:name="_Toc296891239"/>
      <w:r>
        <w:rPr>
          <w:rFonts w:ascii="Arial" w:hAnsi="Arial" w:eastAsia="黑体"/>
          <w:bCs/>
          <w:color w:val="auto"/>
          <w:kern w:val="2"/>
          <w:sz w:val="21"/>
          <w:szCs w:val="28"/>
          <w:highlight w:val="none"/>
        </w:rPr>
        <w:t>0.7 暂估价</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0A52380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暂</w:t>
      </w:r>
      <w:bookmarkStart w:id="398" w:name="_Toc318581176"/>
      <w:bookmarkStart w:id="399" w:name="_Toc312677508"/>
      <w:bookmarkStart w:id="400" w:name="_Toc312678034"/>
      <w:r>
        <w:rPr>
          <w:rFonts w:ascii="Times New Roman" w:hAnsi="Times New Roman"/>
          <w:color w:val="auto"/>
          <w:sz w:val="21"/>
          <w:szCs w:val="24"/>
          <w:highlight w:val="none"/>
        </w:rPr>
        <w:t>估价材料和工程设备的明细详见附件</w:t>
      </w:r>
      <w:r>
        <w:rPr>
          <w:rFonts w:hint="eastAsia" w:ascii="Times New Roman" w:hAnsi="Times New Roman"/>
          <w:color w:val="auto"/>
          <w:sz w:val="21"/>
          <w:szCs w:val="24"/>
          <w:highlight w:val="none"/>
        </w:rPr>
        <w:t>11：《</w:t>
      </w:r>
      <w:r>
        <w:rPr>
          <w:rFonts w:ascii="Times New Roman" w:hAnsi="Times New Roman"/>
          <w:color w:val="auto"/>
          <w:kern w:val="2"/>
          <w:sz w:val="21"/>
          <w:szCs w:val="24"/>
          <w:highlight w:val="none"/>
        </w:rPr>
        <w:t>暂估价一览表</w:t>
      </w:r>
      <w:r>
        <w:rPr>
          <w:rFonts w:hint="eastAsia" w:ascii="Times New Roman" w:hAnsi="Times New Roman"/>
          <w:color w:val="auto"/>
          <w:kern w:val="2"/>
          <w:sz w:val="21"/>
          <w:szCs w:val="24"/>
          <w:highlight w:val="none"/>
        </w:rPr>
        <w:t>》</w:t>
      </w:r>
      <w:r>
        <w:rPr>
          <w:rFonts w:hint="eastAsia" w:ascii="Times New Roman" w:hAnsi="Times New Roman"/>
          <w:color w:val="auto"/>
          <w:sz w:val="21"/>
          <w:szCs w:val="24"/>
          <w:highlight w:val="none"/>
        </w:rPr>
        <w:t>。</w:t>
      </w:r>
    </w:p>
    <w:bookmarkEnd w:id="398"/>
    <w:bookmarkEnd w:id="399"/>
    <w:bookmarkEnd w:id="400"/>
    <w:p w14:paraId="346D4BE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401" w:name="_Toc312677509"/>
      <w:bookmarkStart w:id="402" w:name="_Toc312678035"/>
      <w:bookmarkStart w:id="403" w:name="_Toc318581177"/>
      <w:r>
        <w:rPr>
          <w:rFonts w:ascii="Times New Roman" w:hAnsi="Times New Roman"/>
          <w:color w:val="auto"/>
          <w:kern w:val="2"/>
          <w:sz w:val="21"/>
          <w:szCs w:val="24"/>
          <w:highlight w:val="none"/>
        </w:rPr>
        <w:t>0.7.1 依法必须招标的暂估价项目</w:t>
      </w:r>
    </w:p>
    <w:bookmarkEnd w:id="401"/>
    <w:bookmarkEnd w:id="402"/>
    <w:bookmarkEnd w:id="403"/>
    <w:p w14:paraId="3E7EE2B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对于依法必须招标的暂估价项目的确认和批准采取第</w:t>
      </w:r>
      <w:r>
        <w:rPr>
          <w:rFonts w:hint="eastAsia" w:ascii="Times New Roman" w:hAnsi="Times New Roman"/>
          <w:color w:val="auto"/>
          <w:kern w:val="2"/>
          <w:sz w:val="21"/>
          <w:szCs w:val="24"/>
          <w:highlight w:val="none"/>
          <w:u w:val="singl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种方式确定。</w:t>
      </w:r>
      <w:r>
        <w:rPr>
          <w:rFonts w:hint="eastAsia" w:ascii="Times New Roman"/>
          <w:b/>
          <w:color w:val="auto"/>
          <w:highlight w:val="none"/>
          <w:u w:val="single"/>
        </w:rPr>
        <w:t>并应按相关规定进行二次招标</w:t>
      </w:r>
      <w:r>
        <w:rPr>
          <w:rFonts w:ascii="Times New Roman" w:hAnsi="Times New Roman"/>
          <w:color w:val="auto"/>
          <w:kern w:val="2"/>
          <w:sz w:val="21"/>
          <w:szCs w:val="24"/>
          <w:highlight w:val="none"/>
        </w:rPr>
        <w:t>。</w:t>
      </w:r>
    </w:p>
    <w:p w14:paraId="2869B5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10.7.2 不属于依法必须招标的暂估价项目</w:t>
      </w:r>
    </w:p>
    <w:p w14:paraId="5632082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对于不属于依法必须招标的暂估价项目的确认和批准采取第</w:t>
      </w:r>
      <w:r>
        <w:rPr>
          <w:rFonts w:hint="eastAsia" w:ascii="Times New Roman" w:hAnsi="Times New Roman"/>
          <w:color w:val="auto"/>
          <w:kern w:val="2"/>
          <w:sz w:val="21"/>
          <w:szCs w:val="24"/>
          <w:highlight w:val="none"/>
          <w:u w:val="single"/>
        </w:rPr>
        <w:t>1</w:t>
      </w:r>
      <w:r>
        <w:rPr>
          <w:rFonts w:ascii="Times New Roman" w:hAnsi="Times New Roman"/>
          <w:color w:val="auto"/>
          <w:kern w:val="2"/>
          <w:sz w:val="21"/>
          <w:szCs w:val="24"/>
          <w:highlight w:val="none"/>
        </w:rPr>
        <w:t>种方式确定。</w:t>
      </w:r>
    </w:p>
    <w:p w14:paraId="696A1CC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第3种方式：</w:t>
      </w:r>
      <w:r>
        <w:rPr>
          <w:rFonts w:ascii="Times New Roman" w:hAnsi="Times New Roman"/>
          <w:color w:val="auto"/>
          <w:sz w:val="21"/>
          <w:szCs w:val="24"/>
          <w:highlight w:val="none"/>
        </w:rPr>
        <w:t>承包人直接实施的暂估价项目</w:t>
      </w:r>
    </w:p>
    <w:p w14:paraId="1D17565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承包人直接实施的暂估价项目的约定：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EDF6B0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10.8 暂列金额</w:t>
      </w:r>
    </w:p>
    <w:p w14:paraId="22DD51A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合同当事人关于暂列金额使用的约定：</w:t>
      </w:r>
      <w:r>
        <w:rPr>
          <w:rFonts w:hint="eastAsia" w:ascii="Times New Roman" w:hAnsi="Times New Roman"/>
          <w:b/>
          <w:color w:val="auto"/>
          <w:sz w:val="21"/>
          <w:szCs w:val="24"/>
          <w:highlight w:val="none"/>
          <w:u w:val="single"/>
        </w:rPr>
        <w:t>执行通用条款</w:t>
      </w:r>
      <w:r>
        <w:rPr>
          <w:rFonts w:hint="eastAsia" w:ascii="Times New Roman" w:hAnsi="Times New Roman"/>
          <w:color w:val="auto"/>
          <w:sz w:val="21"/>
          <w:szCs w:val="24"/>
          <w:highlight w:val="none"/>
        </w:rPr>
        <w:t>。</w:t>
      </w:r>
    </w:p>
    <w:p w14:paraId="522DDA38">
      <w:pPr>
        <w:adjustRightInd w:val="0"/>
        <w:spacing w:line="360" w:lineRule="auto"/>
        <w:ind w:firstLine="420" w:firstLineChars="200"/>
        <w:rPr>
          <w:rFonts w:ascii="Times New Roman" w:hAnsi="Times New Roman"/>
          <w:color w:val="auto"/>
          <w:kern w:val="2"/>
          <w:sz w:val="21"/>
          <w:szCs w:val="24"/>
          <w:highlight w:val="none"/>
          <w:u w:val="single"/>
        </w:rPr>
      </w:pPr>
    </w:p>
    <w:p w14:paraId="23C77F70">
      <w:pPr>
        <w:keepNext/>
        <w:keepLines/>
        <w:spacing w:before="120" w:after="120" w:line="360" w:lineRule="auto"/>
        <w:jc w:val="left"/>
        <w:outlineLvl w:val="2"/>
        <w:rPr>
          <w:rFonts w:ascii="黑体" w:hAnsi="黑体" w:eastAsia="黑体"/>
          <w:bCs/>
          <w:color w:val="auto"/>
          <w:kern w:val="2"/>
          <w:sz w:val="24"/>
          <w:szCs w:val="24"/>
          <w:highlight w:val="none"/>
        </w:rPr>
      </w:pPr>
      <w:bookmarkStart w:id="404" w:name="_Toc351203643"/>
      <w:r>
        <w:rPr>
          <w:rFonts w:ascii="黑体" w:hAnsi="黑体" w:eastAsia="黑体"/>
          <w:bCs/>
          <w:color w:val="auto"/>
          <w:kern w:val="2"/>
          <w:sz w:val="24"/>
          <w:szCs w:val="24"/>
          <w:highlight w:val="none"/>
        </w:rPr>
        <w:t>11. 价格调整</w:t>
      </w:r>
      <w:bookmarkEnd w:id="404"/>
    </w:p>
    <w:p w14:paraId="687BA8F4">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05" w:name="_Toc296347200"/>
      <w:bookmarkStart w:id="406" w:name="_Toc303539157"/>
      <w:bookmarkStart w:id="407" w:name="_Toc296346702"/>
      <w:bookmarkStart w:id="408" w:name="_Toc297123550"/>
      <w:bookmarkStart w:id="409" w:name="_Toc297216209"/>
      <w:bookmarkStart w:id="410" w:name="_Toc296891241"/>
      <w:bookmarkStart w:id="411" w:name="_Toc304295577"/>
      <w:bookmarkStart w:id="412" w:name="_Toc296944540"/>
      <w:bookmarkStart w:id="413" w:name="_Toc297120501"/>
      <w:bookmarkStart w:id="414" w:name="_Toc296503201"/>
      <w:bookmarkStart w:id="415" w:name="_Toc297048387"/>
      <w:bookmarkStart w:id="416" w:name="_Toc296891029"/>
      <w:bookmarkStart w:id="417" w:name="_Toc312678039"/>
      <w:bookmarkStart w:id="418" w:name="_Toc292559406"/>
      <w:bookmarkStart w:id="419" w:name="_Toc300935000"/>
      <w:bookmarkStart w:id="420" w:name="_Toc292559911"/>
      <w:r>
        <w:rPr>
          <w:rFonts w:ascii="Arial" w:hAnsi="Arial" w:eastAsia="黑体"/>
          <w:bCs/>
          <w:color w:val="auto"/>
          <w:kern w:val="2"/>
          <w:sz w:val="21"/>
          <w:szCs w:val="28"/>
          <w:highlight w:val="none"/>
        </w:rPr>
        <w:t>11.1 市场价格波动引起的调整</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5902583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市场价格波动是否调整合同价格的约定：</w:t>
      </w:r>
      <w:r>
        <w:rPr>
          <w:rFonts w:hint="eastAsia" w:cs="宋体"/>
          <w:color w:val="auto"/>
          <w:sz w:val="21"/>
          <w:szCs w:val="21"/>
          <w:highlight w:val="none"/>
          <w:u w:val="single"/>
          <w:shd w:val="clear" w:color="auto" w:fill="FFFFFF"/>
        </w:rPr>
        <w:t>仅对</w:t>
      </w:r>
      <w:r>
        <w:rPr>
          <w:rFonts w:hint="eastAsia" w:cs="宋体"/>
          <w:color w:val="auto"/>
          <w:sz w:val="21"/>
          <w:szCs w:val="21"/>
          <w:highlight w:val="none"/>
          <w:u w:val="single"/>
          <w:shd w:val="clear" w:color="auto" w:fill="FFFFFF"/>
          <w:lang w:eastAsia="zh-CN"/>
        </w:rPr>
        <w:t>比选</w:t>
      </w:r>
      <w:r>
        <w:rPr>
          <w:rFonts w:hint="eastAsia" w:cs="宋体"/>
          <w:color w:val="auto"/>
          <w:sz w:val="21"/>
          <w:szCs w:val="21"/>
          <w:highlight w:val="none"/>
          <w:u w:val="single"/>
          <w:shd w:val="clear" w:color="auto" w:fill="FFFFFF"/>
        </w:rPr>
        <w:t>文件发布的《可调整价差人工和主要材料一览表》中的约定的人工、主要材料进行价格调整</w:t>
      </w:r>
      <w:r>
        <w:rPr>
          <w:rFonts w:ascii="Times New Roman" w:hAnsi="Times New Roman"/>
          <w:color w:val="auto"/>
          <w:kern w:val="2"/>
          <w:sz w:val="21"/>
          <w:szCs w:val="24"/>
          <w:highlight w:val="none"/>
        </w:rPr>
        <w:t>。</w:t>
      </w:r>
    </w:p>
    <w:p w14:paraId="7B8B3AF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因市场价格波动调整合同价格，采用以下第</w:t>
      </w:r>
      <w:r>
        <w:rPr>
          <w:rFonts w:hint="eastAsia" w:ascii="Times New Roman" w:hAnsi="Times New Roman"/>
          <w:color w:val="auto"/>
          <w:kern w:val="2"/>
          <w:sz w:val="21"/>
          <w:szCs w:val="24"/>
          <w:highlight w:val="none"/>
          <w:u w:val="single"/>
        </w:rPr>
        <w:t>3</w:t>
      </w:r>
      <w:r>
        <w:rPr>
          <w:rFonts w:ascii="Times New Roman" w:hAnsi="Times New Roman"/>
          <w:color w:val="auto"/>
          <w:kern w:val="2"/>
          <w:sz w:val="21"/>
          <w:szCs w:val="24"/>
          <w:highlight w:val="none"/>
        </w:rPr>
        <w:t>种方式对合同价格进行调整：</w:t>
      </w:r>
    </w:p>
    <w:p w14:paraId="777F8EA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第1种方式：采用价格指数</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7463F15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关于各可调因子、定值和变值权重，以及基本价格指数及其来源的约定：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004EDAB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第2种方式：采用造价信息</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24858B4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（2）关于基准价格的约定：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547AB12">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①</w:t>
      </w:r>
      <w:r>
        <w:rPr>
          <w:rFonts w:ascii="Times New Roman" w:hAnsi="Times New Roman"/>
          <w:color w:val="auto"/>
          <w:kern w:val="2"/>
          <w:sz w:val="21"/>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%时，或材料单价跌幅以已标价工程量清单或预算书中载明材料单价为基础超过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4776E53E">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②</w:t>
      </w:r>
      <w:r>
        <w:rPr>
          <w:rFonts w:ascii="Times New Roman" w:hAnsi="Times New Roman"/>
          <w:color w:val="auto"/>
          <w:kern w:val="2"/>
          <w:sz w:val="21"/>
          <w:szCs w:val="24"/>
          <w:highlight w:val="none"/>
        </w:rPr>
        <w:t>承包人在已标价工程量清单或预算书中载明的材料单价高于基准价格的：专用合同条款合同履行期间材料单价跌幅以基准价格为基础超过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%时，材料单价涨幅以已标价工程量清单或预算书中载明材料单价为基础超过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4BB1A541">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③</w:t>
      </w:r>
      <w:r>
        <w:rPr>
          <w:rFonts w:ascii="Times New Roman" w:hAnsi="Times New Roman"/>
          <w:color w:val="auto"/>
          <w:kern w:val="2"/>
          <w:sz w:val="21"/>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17CB70F3">
      <w:pPr>
        <w:pStyle w:val="17"/>
        <w:shd w:val="clear" w:color="auto" w:fill="FFFFFF"/>
        <w:spacing w:before="0" w:beforeAutospacing="0" w:after="0" w:afterAutospacing="0" w:line="360" w:lineRule="auto"/>
        <w:ind w:firstLine="640"/>
        <w:jc w:val="both"/>
        <w:rPr>
          <w:color w:val="auto"/>
          <w:sz w:val="21"/>
          <w:szCs w:val="21"/>
          <w:highlight w:val="none"/>
        </w:rPr>
      </w:pPr>
      <w:r>
        <w:rPr>
          <w:rFonts w:ascii="Times New Roman" w:hAnsi="Times New Roman" w:eastAsia="宋体" w:cs="Times New Roman"/>
          <w:color w:val="auto"/>
          <w:kern w:val="2"/>
          <w:sz w:val="21"/>
          <w:szCs w:val="24"/>
          <w:highlight w:val="none"/>
          <w:lang w:val="en-US" w:eastAsia="zh-CN" w:bidi="ar-SA"/>
        </w:rPr>
        <w:t>第3种方式：</w:t>
      </w:r>
      <w:r>
        <w:rPr>
          <w:rFonts w:hint="eastAsia"/>
          <w:color w:val="auto"/>
          <w:sz w:val="21"/>
          <w:szCs w:val="21"/>
          <w:highlight w:val="none"/>
          <w:u w:val="single"/>
          <w:shd w:val="clear" w:color="auto" w:fill="FFFFFF"/>
        </w:rPr>
        <w:t>按照如下约定对合同价格进行调整，具体如下：</w:t>
      </w:r>
    </w:p>
    <w:p w14:paraId="60E795F9">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（1）可调整价差的人工、主要材料范围的约定:</w:t>
      </w:r>
      <w:r>
        <w:rPr>
          <w:rFonts w:hint="eastAsia"/>
          <w:color w:val="auto"/>
          <w:sz w:val="21"/>
          <w:szCs w:val="21"/>
          <w:highlight w:val="none"/>
          <w:u w:val="single"/>
          <w:shd w:val="clear" w:color="auto" w:fill="FFFFFF"/>
        </w:rPr>
        <w:t> 详见《可调整价差人工和主要材料一览表》 </w:t>
      </w:r>
      <w:r>
        <w:rPr>
          <w:rFonts w:hint="eastAsia"/>
          <w:color w:val="auto"/>
          <w:sz w:val="21"/>
          <w:szCs w:val="21"/>
          <w:highlight w:val="none"/>
          <w:shd w:val="clear" w:color="auto" w:fill="FFFFFF"/>
        </w:rPr>
        <w:t>；</w:t>
      </w:r>
    </w:p>
    <w:p w14:paraId="0BC94F35">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（2）可调整价差的人工、主要材料价格依据：</w:t>
      </w:r>
      <w:r>
        <w:rPr>
          <w:rFonts w:hint="eastAsia"/>
          <w:color w:val="auto"/>
          <w:sz w:val="21"/>
          <w:szCs w:val="21"/>
          <w:highlight w:val="none"/>
          <w:u w:val="single"/>
          <w:shd w:val="clear" w:color="auto" w:fill="FFFFFF"/>
        </w:rPr>
        <w:t>《合肥建设工程市场价格信息》发布的人工、材料信息价或经发承包双方确认的价格。</w:t>
      </w:r>
    </w:p>
    <w:p w14:paraId="48A01E7D">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（3）可调整价差的人工、主要材料风险幅度的约定:</w:t>
      </w:r>
      <w:r>
        <w:rPr>
          <w:rFonts w:hint="eastAsia"/>
          <w:color w:val="auto"/>
          <w:sz w:val="21"/>
          <w:szCs w:val="21"/>
          <w:highlight w:val="none"/>
          <w:u w:val="single"/>
          <w:shd w:val="clear" w:color="auto" w:fill="FFFFFF"/>
        </w:rPr>
        <w:t>      承包人承担可调整价格的人工、主要材料的价格波动市场风险幅度为±5%。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p>
    <w:p w14:paraId="3083984F">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（4）可调整价差的人工、主要材料调整周期的约定：</w:t>
      </w:r>
    </w:p>
    <w:p w14:paraId="0E298F93">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①可调整人工价差调整周期为：</w:t>
      </w:r>
      <w:r>
        <w:rPr>
          <w:rFonts w:hint="eastAsia"/>
          <w:color w:val="auto"/>
          <w:sz w:val="21"/>
          <w:szCs w:val="21"/>
          <w:highlight w:val="none"/>
          <w:u w:val="single"/>
          <w:shd w:val="clear" w:color="auto" w:fill="FFFFFF"/>
        </w:rPr>
        <w:t>标段工程工期；</w:t>
      </w:r>
    </w:p>
    <w:p w14:paraId="423594B2">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②可调整主要材料价差调整周期为：</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参照合建〔2021〕173号文件，根据具体周期及节点进度具体约定；</w:t>
      </w:r>
    </w:p>
    <w:p w14:paraId="2036CF45">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（5）可调整的人工、主要材料价差调整计算方法的约定:</w:t>
      </w:r>
      <w:r>
        <w:rPr>
          <w:rFonts w:hint="eastAsia"/>
          <w:color w:val="auto"/>
          <w:sz w:val="21"/>
          <w:szCs w:val="21"/>
          <w:highlight w:val="none"/>
          <w:u w:val="single"/>
          <w:shd w:val="clear" w:color="auto" w:fill="FFFFFF"/>
        </w:rPr>
        <w:t> 经发承包双方确认的人工、材料价格为价差调整周期内的《合肥建设工程市场价格信息》中发布的各期人工、材料信息价（或发承包双方共同确定的人工、材料价格）算术平均值，设为A；</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编制最高限价中采用《合肥建设工程市场价格信息》中的人工、材料基准单价为B；</w:t>
      </w:r>
      <w:r>
        <w:rPr>
          <w:rFonts w:hint="eastAsia"/>
          <w:color w:val="auto"/>
          <w:sz w:val="21"/>
          <w:szCs w:val="18"/>
          <w:highlight w:val="none"/>
          <w:u w:val="single"/>
          <w:lang w:eastAsia="zh-CN"/>
        </w:rPr>
        <w:t>供应商</w:t>
      </w:r>
      <w:r>
        <w:rPr>
          <w:rFonts w:hint="eastAsia"/>
          <w:color w:val="auto"/>
          <w:sz w:val="21"/>
          <w:szCs w:val="21"/>
          <w:highlight w:val="none"/>
          <w:u w:val="single"/>
          <w:shd w:val="clear" w:color="auto" w:fill="FFFFFF"/>
        </w:rPr>
        <w:t>报价中的人工、材料单价为C；承包人应承担的风险幅度为D </w:t>
      </w:r>
      <w:r>
        <w:rPr>
          <w:rFonts w:hint="eastAsia"/>
          <w:color w:val="auto"/>
          <w:sz w:val="21"/>
          <w:szCs w:val="21"/>
          <w:highlight w:val="none"/>
          <w:shd w:val="clear" w:color="auto" w:fill="FFFFFF"/>
        </w:rPr>
        <w:t>。</w:t>
      </w:r>
    </w:p>
    <w:p w14:paraId="3400B14F">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①人工、材料价格上涨达到可以调整幅度时，其计算公式为：</w:t>
      </w:r>
      <w:r>
        <w:rPr>
          <w:rFonts w:hint="eastAsia"/>
          <w:color w:val="auto"/>
          <w:sz w:val="21"/>
          <w:szCs w:val="21"/>
          <w:highlight w:val="none"/>
          <w:u w:val="single"/>
          <w:shd w:val="clear" w:color="auto" w:fill="FFFFFF"/>
        </w:rPr>
        <w:t>人工、材料结算单价＝A－Max(B,C)×(1+D)＋C </w:t>
      </w:r>
      <w:r>
        <w:rPr>
          <w:rFonts w:hint="eastAsia"/>
          <w:color w:val="auto"/>
          <w:sz w:val="21"/>
          <w:szCs w:val="21"/>
          <w:highlight w:val="none"/>
          <w:shd w:val="clear" w:color="auto" w:fill="FFFFFF"/>
        </w:rPr>
        <w:t>；</w:t>
      </w:r>
    </w:p>
    <w:p w14:paraId="708E0048">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②人工、材料价格下跌达到可以调整幅度时，其计算公式为：</w:t>
      </w:r>
      <w:r>
        <w:rPr>
          <w:rFonts w:hint="eastAsia"/>
          <w:color w:val="auto"/>
          <w:sz w:val="21"/>
          <w:szCs w:val="21"/>
          <w:highlight w:val="none"/>
          <w:u w:val="single"/>
          <w:shd w:val="clear" w:color="auto" w:fill="FFFFFF"/>
        </w:rPr>
        <w:t>人工、材料结算单价＝A－Min(B,C)×(1-D)＋C </w:t>
      </w:r>
      <w:r>
        <w:rPr>
          <w:rFonts w:hint="eastAsia"/>
          <w:color w:val="auto"/>
          <w:sz w:val="21"/>
          <w:szCs w:val="21"/>
          <w:highlight w:val="none"/>
          <w:shd w:val="clear" w:color="auto" w:fill="FFFFFF"/>
        </w:rPr>
        <w:t>；</w:t>
      </w:r>
    </w:p>
    <w:p w14:paraId="0B9278E7">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（6）</w:t>
      </w:r>
      <w:r>
        <w:rPr>
          <w:rFonts w:hint="eastAsia"/>
          <w:color w:val="auto"/>
          <w:sz w:val="21"/>
          <w:szCs w:val="21"/>
          <w:highlight w:val="none"/>
          <w:u w:val="single"/>
          <w:shd w:val="clear" w:color="auto" w:fill="FFFFFF"/>
        </w:rPr>
        <w:t>因承包人原因导致工期延误的，计划进度日期后续工程的人工、材料价格，应采用计划进度日期与实际进度日期两者的较低者。因非承包人原因导致工期延误的，计划进度日期后续工程的人工、材料价格，应采用计划进度日期与实际进度日期两者的较高者</w:t>
      </w:r>
      <w:r>
        <w:rPr>
          <w:rFonts w:hint="eastAsia"/>
          <w:color w:val="auto"/>
          <w:sz w:val="21"/>
          <w:szCs w:val="21"/>
          <w:highlight w:val="none"/>
          <w:shd w:val="clear" w:color="auto" w:fill="FFFFFF"/>
        </w:rPr>
        <w:t>。</w:t>
      </w:r>
    </w:p>
    <w:p w14:paraId="1C27E0D3">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（7）签订总价合同工程的可调整价差人工、材料数量为可调整价差人工、材料投标消耗量±变更工程可调整价差人工、材料消耗量，由</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明确具体数量，其中市级投资建设项目变更工程量依据《合肥市市级投资建设项目工程变更管理规定》确定</w:t>
      </w:r>
      <w:r>
        <w:rPr>
          <w:rFonts w:hint="eastAsia"/>
          <w:color w:val="auto"/>
          <w:sz w:val="21"/>
          <w:szCs w:val="21"/>
          <w:highlight w:val="none"/>
          <w:shd w:val="clear" w:color="auto" w:fill="FFFFFF"/>
        </w:rPr>
        <w:t>。</w:t>
      </w:r>
    </w:p>
    <w:p w14:paraId="14F5D8AA">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（8）可调整价差的人工、主要材料调差的实施：发承包双方应在合同中约定人工、材料市场价格波动引起的合同价款调整时间，原则上在工程竣工结算时进行调整。实施过程结算的，应在相应过程结算中调整</w:t>
      </w:r>
      <w:r>
        <w:rPr>
          <w:rFonts w:hint="eastAsia"/>
          <w:color w:val="auto"/>
          <w:sz w:val="21"/>
          <w:szCs w:val="21"/>
          <w:highlight w:val="none"/>
          <w:shd w:val="clear" w:color="auto" w:fill="FFFFFF"/>
        </w:rPr>
        <w:t>。</w:t>
      </w:r>
    </w:p>
    <w:p w14:paraId="04355713">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实施价差调整时发承包双方应共同确定可调整价差人工、材料名称、规格、型号、计量单位、数量（</w:t>
      </w:r>
      <w:r>
        <w:rPr>
          <w:rFonts w:hint="eastAsia"/>
          <w:color w:val="auto"/>
          <w:sz w:val="21"/>
          <w:szCs w:val="18"/>
          <w:highlight w:val="none"/>
          <w:u w:val="single"/>
          <w:lang w:eastAsia="zh-CN"/>
        </w:rPr>
        <w:t>供应商</w:t>
      </w:r>
      <w:r>
        <w:rPr>
          <w:rFonts w:hint="eastAsia"/>
          <w:color w:val="auto"/>
          <w:sz w:val="21"/>
          <w:szCs w:val="21"/>
          <w:highlight w:val="none"/>
          <w:u w:val="single"/>
          <w:shd w:val="clear" w:color="auto" w:fill="FFFFFF"/>
        </w:rPr>
        <w:t>工、材料消耗量±变更工程人工、材料实际消耗量）、实际价格波动幅度、承包人承担的风险幅度、基准单价、投标单价、发承包双方确认的单价、结算单价，列出清单（格式见合同附表），作为实施人工及主材价差调整的依据</w:t>
      </w:r>
      <w:r>
        <w:rPr>
          <w:rFonts w:hint="eastAsia"/>
          <w:color w:val="auto"/>
          <w:sz w:val="21"/>
          <w:szCs w:val="21"/>
          <w:highlight w:val="none"/>
          <w:shd w:val="clear" w:color="auto" w:fill="FFFFFF"/>
        </w:rPr>
        <w:t>。</w:t>
      </w:r>
    </w:p>
    <w:p w14:paraId="60B9D5B9">
      <w:pPr>
        <w:pStyle w:val="17"/>
        <w:shd w:val="clear" w:color="auto" w:fill="FFFFFF"/>
        <w:spacing w:before="0" w:beforeAutospacing="0" w:after="0" w:afterAutospacing="0" w:line="360" w:lineRule="auto"/>
        <w:ind w:firstLine="640"/>
        <w:jc w:val="both"/>
        <w:rPr>
          <w:rFonts w:ascii="Times New Roman" w:hAnsi="Times New Roman" w:cs="Times New Roman"/>
          <w:color w:val="auto"/>
          <w:kern w:val="2"/>
          <w:sz w:val="21"/>
          <w:highlight w:val="none"/>
          <w:u w:val="single"/>
        </w:rPr>
      </w:pPr>
      <w:r>
        <w:rPr>
          <w:rFonts w:hint="eastAsia"/>
          <w:color w:val="auto"/>
          <w:sz w:val="21"/>
          <w:szCs w:val="21"/>
          <w:highlight w:val="none"/>
          <w:u w:val="single"/>
          <w:shd w:val="clear" w:color="auto" w:fill="FFFFFF"/>
        </w:rPr>
        <w:t>（9）人工、材料价差调整费用只计取税金，不再计取其他费用。</w:t>
      </w:r>
    </w:p>
    <w:bookmarkEnd w:id="308"/>
    <w:bookmarkEnd w:id="309"/>
    <w:bookmarkEnd w:id="310"/>
    <w:bookmarkEnd w:id="311"/>
    <w:bookmarkEnd w:id="312"/>
    <w:bookmarkEnd w:id="313"/>
    <w:p w14:paraId="0F05A494">
      <w:pPr>
        <w:keepNext/>
        <w:keepLines/>
        <w:spacing w:before="120" w:after="120" w:line="360" w:lineRule="auto"/>
        <w:jc w:val="left"/>
        <w:outlineLvl w:val="2"/>
        <w:rPr>
          <w:rFonts w:ascii="黑体" w:hAnsi="黑体" w:eastAsia="黑体"/>
          <w:bCs/>
          <w:color w:val="auto"/>
          <w:kern w:val="2"/>
          <w:sz w:val="24"/>
          <w:szCs w:val="24"/>
          <w:highlight w:val="none"/>
        </w:rPr>
      </w:pPr>
      <w:bookmarkStart w:id="421" w:name="_Toc292559410"/>
      <w:bookmarkStart w:id="422" w:name="_Toc296891245"/>
      <w:bookmarkStart w:id="423" w:name="_Toc296347204"/>
      <w:bookmarkStart w:id="424" w:name="_Toc296944544"/>
      <w:bookmarkStart w:id="425" w:name="_Toc292559915"/>
      <w:bookmarkStart w:id="426" w:name="_Toc296891033"/>
      <w:bookmarkStart w:id="427" w:name="_Toc296503205"/>
      <w:bookmarkStart w:id="428" w:name="_Toc296346706"/>
      <w:bookmarkStart w:id="429" w:name="_Toc297120505"/>
      <w:bookmarkStart w:id="430" w:name="_Toc297048391"/>
      <w:bookmarkStart w:id="431" w:name="_Toc351203644"/>
      <w:bookmarkStart w:id="432" w:name="_Toc312678040"/>
      <w:bookmarkStart w:id="433" w:name="_Toc297216211"/>
      <w:bookmarkStart w:id="434" w:name="_Toc297123552"/>
      <w:bookmarkStart w:id="435" w:name="_Toc304295579"/>
      <w:bookmarkStart w:id="436" w:name="_Toc303539159"/>
      <w:bookmarkStart w:id="437" w:name="_Toc300935002"/>
      <w:r>
        <w:rPr>
          <w:rFonts w:ascii="黑体" w:hAnsi="黑体" w:eastAsia="黑体"/>
          <w:bCs/>
          <w:color w:val="auto"/>
          <w:kern w:val="2"/>
          <w:sz w:val="24"/>
          <w:szCs w:val="24"/>
          <w:highlight w:val="none"/>
        </w:rPr>
        <w:t xml:space="preserve">12. </w:t>
      </w:r>
      <w:bookmarkEnd w:id="421"/>
      <w:bookmarkEnd w:id="422"/>
      <w:bookmarkEnd w:id="423"/>
      <w:bookmarkEnd w:id="424"/>
      <w:bookmarkEnd w:id="425"/>
      <w:bookmarkEnd w:id="426"/>
      <w:bookmarkEnd w:id="427"/>
      <w:bookmarkEnd w:id="428"/>
      <w:bookmarkEnd w:id="429"/>
      <w:bookmarkEnd w:id="430"/>
      <w:r>
        <w:rPr>
          <w:rFonts w:ascii="黑体" w:hAnsi="黑体" w:eastAsia="黑体"/>
          <w:bCs/>
          <w:color w:val="auto"/>
          <w:kern w:val="2"/>
          <w:sz w:val="24"/>
          <w:szCs w:val="24"/>
          <w:highlight w:val="none"/>
        </w:rPr>
        <w:t>合同价格、计量与支付</w:t>
      </w:r>
      <w:bookmarkEnd w:id="431"/>
    </w:p>
    <w:bookmarkEnd w:id="432"/>
    <w:bookmarkEnd w:id="433"/>
    <w:bookmarkEnd w:id="434"/>
    <w:bookmarkEnd w:id="435"/>
    <w:bookmarkEnd w:id="436"/>
    <w:bookmarkEnd w:id="437"/>
    <w:p w14:paraId="3498B054">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38" w:name="_Toc267251461"/>
      <w:bookmarkStart w:id="439" w:name="_Toc292559411"/>
      <w:bookmarkStart w:id="440" w:name="_Toc292559916"/>
      <w:bookmarkStart w:id="441" w:name="_Toc296891034"/>
      <w:bookmarkStart w:id="442" w:name="_Toc296891246"/>
      <w:bookmarkStart w:id="443" w:name="_Toc297048392"/>
      <w:bookmarkStart w:id="444" w:name="_Toc296347205"/>
      <w:bookmarkStart w:id="445" w:name="_Toc296346707"/>
      <w:bookmarkStart w:id="446" w:name="_Toc296944545"/>
      <w:bookmarkStart w:id="447" w:name="_Toc297120506"/>
      <w:bookmarkStart w:id="448" w:name="_Toc296503206"/>
      <w:bookmarkStart w:id="449" w:name="_Toc303539160"/>
      <w:bookmarkStart w:id="450" w:name="_Toc297123553"/>
      <w:bookmarkStart w:id="451" w:name="_Toc312678041"/>
      <w:bookmarkStart w:id="452" w:name="_Toc300935003"/>
      <w:bookmarkStart w:id="453" w:name="_Toc304295580"/>
      <w:bookmarkStart w:id="454" w:name="_Toc297216212"/>
      <w:r>
        <w:rPr>
          <w:rFonts w:ascii="Arial" w:hAnsi="Arial" w:eastAsia="黑体"/>
          <w:bCs/>
          <w:color w:val="auto"/>
          <w:kern w:val="2"/>
          <w:sz w:val="21"/>
          <w:szCs w:val="28"/>
          <w:highlight w:val="none"/>
        </w:rPr>
        <w:t>12.1 合</w:t>
      </w:r>
      <w:bookmarkEnd w:id="438"/>
      <w:bookmarkEnd w:id="439"/>
      <w:bookmarkEnd w:id="440"/>
      <w:r>
        <w:rPr>
          <w:rFonts w:ascii="Arial" w:hAnsi="Arial" w:eastAsia="黑体"/>
          <w:bCs/>
          <w:color w:val="auto"/>
          <w:kern w:val="2"/>
          <w:sz w:val="21"/>
          <w:szCs w:val="28"/>
          <w:highlight w:val="none"/>
        </w:rPr>
        <w:t>同价</w:t>
      </w:r>
      <w:bookmarkEnd w:id="441"/>
      <w:bookmarkEnd w:id="442"/>
      <w:bookmarkEnd w:id="443"/>
      <w:bookmarkEnd w:id="444"/>
      <w:bookmarkEnd w:id="445"/>
      <w:bookmarkEnd w:id="446"/>
      <w:bookmarkEnd w:id="447"/>
      <w:bookmarkEnd w:id="448"/>
      <w:r>
        <w:rPr>
          <w:rFonts w:ascii="Arial" w:hAnsi="Arial" w:eastAsia="黑体"/>
          <w:bCs/>
          <w:color w:val="auto"/>
          <w:kern w:val="2"/>
          <w:sz w:val="21"/>
          <w:szCs w:val="28"/>
          <w:highlight w:val="none"/>
        </w:rPr>
        <w:t>格形式</w:t>
      </w:r>
    </w:p>
    <w:bookmarkEnd w:id="449"/>
    <w:bookmarkEnd w:id="450"/>
    <w:bookmarkEnd w:id="451"/>
    <w:bookmarkEnd w:id="452"/>
    <w:bookmarkEnd w:id="453"/>
    <w:bookmarkEnd w:id="454"/>
    <w:p w14:paraId="6D9DA03A">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w:t>
      </w:r>
      <w:r>
        <w:rPr>
          <w:rFonts w:ascii="Times New Roman" w:hAnsi="Times New Roman"/>
          <w:color w:val="auto"/>
          <w:kern w:val="2"/>
          <w:sz w:val="21"/>
          <w:szCs w:val="24"/>
          <w:highlight w:val="none"/>
        </w:rPr>
        <w:t>单价合同。</w:t>
      </w:r>
    </w:p>
    <w:p w14:paraId="46BF7A5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综合单价包含的风险范围：</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124E32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6D887E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25CFEA25">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w:t>
      </w:r>
    </w:p>
    <w:p w14:paraId="446C9D71">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总价包含的风险范围：</w:t>
      </w:r>
      <w:r>
        <w:rPr>
          <w:rFonts w:ascii="Times New Roman" w:hAnsi="Times New Roman"/>
          <w:color w:val="auto"/>
          <w:kern w:val="2"/>
          <w:sz w:val="21"/>
          <w:szCs w:val="24"/>
          <w:highlight w:val="none"/>
          <w:u w:val="single"/>
        </w:rPr>
        <w:t>人工、材料、机械费用的市场价格变化（不包含</w:t>
      </w:r>
      <w:r>
        <w:rPr>
          <w:rFonts w:hint="eastAsia" w:ascii="Times New Roman" w:hAnsi="Times New Roman"/>
          <w:color w:val="auto"/>
          <w:kern w:val="2"/>
          <w:sz w:val="21"/>
          <w:szCs w:val="24"/>
          <w:highlight w:val="none"/>
          <w:u w:val="single"/>
          <w:lang w:eastAsia="zh-CN"/>
        </w:rPr>
        <w:t>比选</w:t>
      </w:r>
      <w:r>
        <w:rPr>
          <w:rFonts w:hint="eastAsia" w:ascii="Times New Roman" w:hAnsi="Times New Roman"/>
          <w:color w:val="auto"/>
          <w:kern w:val="2"/>
          <w:sz w:val="21"/>
          <w:szCs w:val="24"/>
          <w:highlight w:val="none"/>
          <w:u w:val="single"/>
        </w:rPr>
        <w:t>文件发布的《可调整价差人工和主要材料一览表》中的约定的可调整价差人工、主要材料），除不可抗力以外的其它风险。</w:t>
      </w:r>
    </w:p>
    <w:p w14:paraId="4AEB7B5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hint="eastAsia"/>
          <w:color w:val="auto"/>
          <w:sz w:val="21"/>
          <w:szCs w:val="18"/>
          <w:highlight w:val="none"/>
          <w:u w:val="single"/>
          <w:lang w:eastAsia="zh-CN"/>
        </w:rPr>
        <w:t>供应商</w:t>
      </w:r>
      <w:r>
        <w:rPr>
          <w:rFonts w:ascii="Times New Roman" w:hAnsi="Times New Roman"/>
          <w:color w:val="auto"/>
          <w:kern w:val="2"/>
          <w:sz w:val="21"/>
          <w:szCs w:val="24"/>
          <w:highlight w:val="none"/>
          <w:u w:val="single"/>
        </w:rPr>
        <w:t>在报价时已经考虑，不再另行计取</w:t>
      </w:r>
      <w:r>
        <w:rPr>
          <w:rFonts w:ascii="Times New Roman" w:hAnsi="Times New Roman"/>
          <w:color w:val="auto"/>
          <w:kern w:val="2"/>
          <w:sz w:val="21"/>
          <w:szCs w:val="24"/>
          <w:highlight w:val="none"/>
        </w:rPr>
        <w:t>。</w:t>
      </w:r>
    </w:p>
    <w:p w14:paraId="73AFEFC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详见合同专用条款“</w:t>
      </w:r>
      <w:r>
        <w:rPr>
          <w:rFonts w:hint="eastAsia" w:ascii="Times New Roman" w:hAnsi="Times New Roman"/>
          <w:color w:val="auto"/>
          <w:kern w:val="2"/>
          <w:sz w:val="21"/>
          <w:szCs w:val="24"/>
          <w:highlight w:val="none"/>
          <w:u w:val="single"/>
        </w:rPr>
        <w:t>11.1 市场价格波动引起的调整”约定。</w:t>
      </w:r>
    </w:p>
    <w:p w14:paraId="7A7ADA47">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其他价格方式：</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FBBB327">
      <w:pPr>
        <w:keepNext/>
        <w:keepLines/>
        <w:spacing w:before="120" w:after="120" w:line="360" w:lineRule="auto"/>
        <w:jc w:val="left"/>
        <w:outlineLvl w:val="2"/>
        <w:rPr>
          <w:rFonts w:ascii="黑体" w:hAnsi="黑体" w:eastAsia="黑体"/>
          <w:bCs/>
          <w:color w:val="auto"/>
          <w:kern w:val="2"/>
          <w:sz w:val="24"/>
          <w:szCs w:val="24"/>
          <w:highlight w:val="none"/>
        </w:rPr>
      </w:pPr>
      <w:bookmarkStart w:id="455" w:name="_Toc297216213"/>
      <w:bookmarkStart w:id="456" w:name="_Toc297123554"/>
      <w:bookmarkStart w:id="457" w:name="_Toc303539161"/>
      <w:bookmarkStart w:id="458" w:name="_Toc300935004"/>
      <w:bookmarkStart w:id="459" w:name="_Toc312678042"/>
      <w:bookmarkStart w:id="460" w:name="_Toc304295581"/>
      <w:bookmarkStart w:id="461" w:name="_Toc292559412"/>
      <w:bookmarkStart w:id="462" w:name="_Toc296891247"/>
      <w:bookmarkStart w:id="463" w:name="_Toc297120507"/>
      <w:bookmarkStart w:id="464" w:name="_Toc296891035"/>
      <w:bookmarkStart w:id="465" w:name="_Toc296503207"/>
      <w:bookmarkStart w:id="466" w:name="_Toc296944546"/>
      <w:bookmarkStart w:id="467" w:name="_Toc296347206"/>
      <w:bookmarkStart w:id="468" w:name="_Toc297048393"/>
      <w:bookmarkStart w:id="469" w:name="_Toc296346708"/>
      <w:bookmarkStart w:id="470" w:name="_Toc292559917"/>
      <w:r>
        <w:rPr>
          <w:rFonts w:ascii="黑体" w:hAnsi="黑体" w:eastAsia="黑体"/>
          <w:bCs/>
          <w:color w:val="auto"/>
          <w:kern w:val="2"/>
          <w:sz w:val="24"/>
          <w:szCs w:val="24"/>
          <w:highlight w:val="none"/>
        </w:rPr>
        <w:t>12.2 预付款</w:t>
      </w:r>
    </w:p>
    <w:bookmarkEnd w:id="455"/>
    <w:bookmarkEnd w:id="456"/>
    <w:bookmarkEnd w:id="457"/>
    <w:bookmarkEnd w:id="458"/>
    <w:bookmarkEnd w:id="459"/>
    <w:bookmarkEnd w:id="460"/>
    <w:p w14:paraId="0B4E305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12.2.1 预付款的支付</w:t>
      </w:r>
    </w:p>
    <w:p w14:paraId="4E61133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预付款支付比例或金额</w:t>
      </w:r>
      <w:r>
        <w:rPr>
          <w:rFonts w:ascii="Times New Roman" w:hAnsi="Times New Roman"/>
          <w:color w:val="auto"/>
          <w:kern w:val="2"/>
          <w:sz w:val="21"/>
          <w:szCs w:val="24"/>
          <w:highlight w:val="none"/>
          <w:vertAlign w:val="superscript"/>
        </w:rPr>
        <w:footnoteReference w:id="0"/>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91B388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预付款支付期限</w:t>
      </w:r>
      <w:r>
        <w:rPr>
          <w:rFonts w:ascii="Times New Roman" w:hAnsi="Times New Roman"/>
          <w:color w:val="auto"/>
          <w:kern w:val="2"/>
          <w:sz w:val="21"/>
          <w:szCs w:val="24"/>
          <w:highlight w:val="none"/>
          <w:vertAlign w:val="superscript"/>
        </w:rPr>
        <w:footnoteReference w:id="1"/>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8BEA81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预付款扣回的方式：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DBF878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12.2.2 预付款担保</w:t>
      </w:r>
    </w:p>
    <w:p w14:paraId="41EF5FD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承包人提交预付款担保的期限：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8A60DD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预付款担保的形式为：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461"/>
    <w:bookmarkEnd w:id="462"/>
    <w:bookmarkEnd w:id="463"/>
    <w:bookmarkEnd w:id="464"/>
    <w:bookmarkEnd w:id="465"/>
    <w:bookmarkEnd w:id="466"/>
    <w:bookmarkEnd w:id="467"/>
    <w:bookmarkEnd w:id="468"/>
    <w:bookmarkEnd w:id="469"/>
    <w:bookmarkEnd w:id="470"/>
    <w:p w14:paraId="2F7FD24A">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12.3 计量</w:t>
      </w:r>
    </w:p>
    <w:p w14:paraId="6435416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12.3.1 计量原则</w:t>
      </w:r>
    </w:p>
    <w:p w14:paraId="2594BDE4">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工程量计算规则：</w:t>
      </w:r>
      <w:r>
        <w:rPr>
          <w:rFonts w:hint="eastAsia" w:ascii="Times New Roman" w:hAnsi="Times New Roman"/>
          <w:b/>
          <w:color w:val="auto"/>
          <w:kern w:val="2"/>
          <w:sz w:val="21"/>
          <w:szCs w:val="24"/>
          <w:highlight w:val="none"/>
          <w:u w:val="single"/>
        </w:rPr>
        <w:t>按工程量清单及最高限价（控制价）所采用的工程量清单计价规范及配套文件等</w:t>
      </w:r>
      <w:r>
        <w:rPr>
          <w:rFonts w:ascii="Times New Roman" w:hAnsi="Times New Roman"/>
          <w:b/>
          <w:color w:val="auto"/>
          <w:kern w:val="2"/>
          <w:sz w:val="21"/>
          <w:szCs w:val="24"/>
          <w:highlight w:val="none"/>
        </w:rPr>
        <w:t>。</w:t>
      </w:r>
    </w:p>
    <w:p w14:paraId="7F940DD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12.3.2 计量周期</w:t>
      </w:r>
    </w:p>
    <w:p w14:paraId="0AECE453">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关于计量周期的约定</w:t>
      </w:r>
      <w:r>
        <w:rPr>
          <w:rFonts w:ascii="Times New Roman" w:hAnsi="Times New Roman"/>
          <w:b/>
          <w:color w:val="auto"/>
          <w:kern w:val="2"/>
          <w:sz w:val="21"/>
          <w:szCs w:val="24"/>
          <w:highlight w:val="none"/>
        </w:rPr>
        <w:t>：</w:t>
      </w:r>
      <w:r>
        <w:rPr>
          <w:rFonts w:hint="eastAsia" w:ascii="Times New Roman" w:hAnsi="Times New Roman"/>
          <w:b/>
          <w:color w:val="auto"/>
          <w:kern w:val="2"/>
          <w:sz w:val="21"/>
          <w:szCs w:val="24"/>
          <w:highlight w:val="none"/>
          <w:u w:val="single"/>
        </w:rPr>
        <w:t>工程量的计量按月进行</w:t>
      </w:r>
      <w:r>
        <w:rPr>
          <w:rFonts w:ascii="Times New Roman" w:hAnsi="Times New Roman"/>
          <w:b/>
          <w:color w:val="auto"/>
          <w:kern w:val="2"/>
          <w:sz w:val="21"/>
          <w:szCs w:val="24"/>
          <w:highlight w:val="none"/>
        </w:rPr>
        <w:t>。</w:t>
      </w:r>
    </w:p>
    <w:p w14:paraId="5D6C26D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12.3.3 单价合同的计量</w:t>
      </w:r>
    </w:p>
    <w:p w14:paraId="77D99E8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关于单价合同计量的约定：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AF5663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12.3.4 总价合同的计量</w:t>
      </w:r>
    </w:p>
    <w:p w14:paraId="5E6265C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关于总价合同计量的约定：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1E249A0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总价合同采用支付分解表计量支付的，是否适用第</w:t>
      </w:r>
      <w:r>
        <w:rPr>
          <w:rFonts w:ascii="Times New Roman" w:hAnsi="Times New Roman"/>
          <w:color w:val="auto"/>
          <w:sz w:val="21"/>
          <w:szCs w:val="24"/>
          <w:highlight w:val="none"/>
        </w:rPr>
        <w:t>12.3.4</w:t>
      </w:r>
      <w:r>
        <w:rPr>
          <w:rFonts w:ascii="Times New Roman" w:hAnsi="Times New Roman"/>
          <w:color w:val="auto"/>
          <w:kern w:val="2"/>
          <w:sz w:val="21"/>
          <w:szCs w:val="24"/>
          <w:highlight w:val="none"/>
        </w:rPr>
        <w:t>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总价合同的计量</w:t>
      </w:r>
      <w:r>
        <w:rPr>
          <w:rFonts w:hint="eastAsia" w:ascii="Times New Roman" w:hAnsi="Times New Roman"/>
          <w:color w:val="auto"/>
          <w:sz w:val="21"/>
          <w:szCs w:val="24"/>
          <w:highlight w:val="none"/>
        </w:rPr>
        <w:t>〕</w:t>
      </w:r>
      <w:r>
        <w:rPr>
          <w:rFonts w:ascii="Times New Roman" w:hAnsi="Times New Roman"/>
          <w:color w:val="auto"/>
          <w:kern w:val="2"/>
          <w:sz w:val="21"/>
          <w:szCs w:val="24"/>
          <w:highlight w:val="none"/>
        </w:rPr>
        <w:t>约定</w:t>
      </w:r>
      <w:r>
        <w:rPr>
          <w:rFonts w:hint="eastAsia" w:ascii="Times New Roman" w:hAnsi="Times New Roman"/>
          <w:color w:val="auto"/>
          <w:kern w:val="2"/>
          <w:sz w:val="21"/>
          <w:szCs w:val="24"/>
          <w:highlight w:val="none"/>
        </w:rPr>
        <w:t>进行计量：</w:t>
      </w:r>
      <w:r>
        <w:rPr>
          <w:rFonts w:hint="eastAsia" w:ascii="Times New Roman" w:hAnsi="Times New Roman"/>
          <w:b/>
          <w:color w:val="auto"/>
          <w:kern w:val="2"/>
          <w:sz w:val="21"/>
          <w:szCs w:val="24"/>
          <w:highlight w:val="none"/>
          <w:u w:val="single"/>
        </w:rPr>
        <w:t>不采用</w:t>
      </w:r>
      <w:r>
        <w:rPr>
          <w:rFonts w:ascii="Times New Roman" w:hAnsi="Times New Roman"/>
          <w:b/>
          <w:color w:val="auto"/>
          <w:kern w:val="2"/>
          <w:sz w:val="21"/>
          <w:szCs w:val="24"/>
          <w:highlight w:val="none"/>
        </w:rPr>
        <w:t>。</w:t>
      </w:r>
    </w:p>
    <w:p w14:paraId="2779677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12.3.6 其他价格形式合同的计量</w:t>
      </w:r>
    </w:p>
    <w:p w14:paraId="60060F2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其他价格形式的计量方式和程序：</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p w14:paraId="1450BFC5">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12.4 工程进度款支付</w:t>
      </w:r>
    </w:p>
    <w:p w14:paraId="43A32DA2">
      <w:pPr>
        <w:adjustRightInd w:val="0"/>
        <w:spacing w:line="360" w:lineRule="auto"/>
        <w:ind w:firstLine="420" w:firstLineChars="200"/>
        <w:rPr>
          <w:rFonts w:ascii="Times New Roman" w:hAnsi="Times New Roman"/>
          <w:color w:val="auto"/>
          <w:kern w:val="2"/>
          <w:sz w:val="21"/>
          <w:szCs w:val="24"/>
          <w:highlight w:val="none"/>
        </w:rPr>
      </w:pPr>
      <w:bookmarkStart w:id="471" w:name="_Toc292559416"/>
      <w:bookmarkStart w:id="472" w:name="_Toc297123556"/>
      <w:bookmarkStart w:id="473" w:name="_Toc296891039"/>
      <w:bookmarkStart w:id="474" w:name="_Toc296346712"/>
      <w:bookmarkStart w:id="475" w:name="_Toc296347210"/>
      <w:bookmarkStart w:id="476" w:name="_Toc297120511"/>
      <w:bookmarkStart w:id="477" w:name="_Toc297216215"/>
      <w:bookmarkStart w:id="478" w:name="_Toc300935006"/>
      <w:bookmarkStart w:id="479" w:name="_Toc292559921"/>
      <w:bookmarkStart w:id="480" w:name="_Toc296891251"/>
      <w:bookmarkStart w:id="481" w:name="_Toc297048397"/>
      <w:bookmarkStart w:id="482" w:name="_Toc303539163"/>
      <w:bookmarkStart w:id="483" w:name="_Toc296503211"/>
      <w:bookmarkStart w:id="484" w:name="_Toc296944550"/>
      <w:r>
        <w:rPr>
          <w:rFonts w:ascii="Times New Roman" w:hAnsi="Times New Roman"/>
          <w:color w:val="auto"/>
          <w:kern w:val="2"/>
          <w:sz w:val="21"/>
          <w:szCs w:val="24"/>
          <w:highlight w:val="none"/>
        </w:rPr>
        <w:t>12.4.1 付款周期</w:t>
      </w:r>
    </w:p>
    <w:p w14:paraId="0955EED2">
      <w:pPr>
        <w:adjustRightInd w:val="0"/>
        <w:spacing w:line="360" w:lineRule="auto"/>
        <w:ind w:firstLine="420" w:firstLineChars="200"/>
        <w:rPr>
          <w:rFonts w:hint="eastAsia"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关于付款周期的约定</w:t>
      </w:r>
      <w:r>
        <w:rPr>
          <w:rFonts w:ascii="Times New Roman" w:hAnsi="Times New Roman"/>
          <w:color w:val="auto"/>
          <w:kern w:val="2"/>
          <w:sz w:val="21"/>
          <w:szCs w:val="24"/>
          <w:highlight w:val="none"/>
          <w:vertAlign w:val="superscript"/>
        </w:rPr>
        <w:footnoteReference w:id="2"/>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工工程竣工验收合格后付至合同价的85%，工程结算审定完成后付至结算审定价的97%。余款缺陷责任期(2年)结束后无质量问题一次性支付。</w:t>
      </w:r>
    </w:p>
    <w:p w14:paraId="2618F2AB">
      <w:pPr>
        <w:adjustRightInd w:val="0"/>
        <w:spacing w:line="360" w:lineRule="auto"/>
        <w:ind w:firstLine="420" w:firstLineChars="200"/>
        <w:rPr>
          <w:rFonts w:hint="eastAsia"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u w:val="single"/>
        </w:rPr>
        <w:t>注：1.如承包人采用“银行保函或保证保险等方式”提交等额工程质量保证金，则在工程审定结算后业主单位应付至最终结算价款的100%。</w:t>
      </w:r>
    </w:p>
    <w:p w14:paraId="0BBFF58D">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u w:val="single"/>
        </w:rPr>
        <w:t>2.以现金形式提交质量保证金的（含从工程款中以扣留方式提交的），同时退还银行同期活期存款利息。</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429700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12.4.2 进度付款申请单的编制</w:t>
      </w:r>
    </w:p>
    <w:p w14:paraId="0BAF094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关于进度付款申请单编制的约定：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A6B112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Times New Roman" w:hAnsi="Times New Roman"/>
          <w:color w:val="auto"/>
          <w:kern w:val="2"/>
          <w:sz w:val="21"/>
          <w:szCs w:val="24"/>
          <w:highlight w:val="none"/>
        </w:rPr>
        <w:t>2.4.3 进度付款申请单的提交</w:t>
      </w:r>
    </w:p>
    <w:p w14:paraId="2C36BC5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（1）单价合同进度付款申请单提交的约定</w:t>
      </w:r>
      <w:r>
        <w:rPr>
          <w:rFonts w:hint="eastAsia"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E5F4C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（2）总价合同进度付款申请单提交的约定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19D73D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（3）其他价格形式合同进度付款申请单提交的约定：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FFD0F9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12.4.4 进度款审核和支付</w:t>
      </w:r>
    </w:p>
    <w:p w14:paraId="1CC713B1">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（1）监理人审查并报送发包人的期限：</w:t>
      </w:r>
      <w:r>
        <w:rPr>
          <w:rFonts w:hint="eastAsia" w:ascii="Times New Roman" w:hAnsi="Times New Roman"/>
          <w:b/>
          <w:color w:val="auto"/>
          <w:kern w:val="2"/>
          <w:sz w:val="21"/>
          <w:szCs w:val="24"/>
          <w:highlight w:val="none"/>
          <w:u w:val="single"/>
        </w:rPr>
        <w:t>收到承包人进度付款申请单以及相关资料后7天内完成审查并报送发包人</w:t>
      </w:r>
      <w:r>
        <w:rPr>
          <w:rFonts w:ascii="Times New Roman" w:hAnsi="Times New Roman"/>
          <w:b/>
          <w:color w:val="auto"/>
          <w:kern w:val="2"/>
          <w:sz w:val="21"/>
          <w:szCs w:val="24"/>
          <w:highlight w:val="none"/>
        </w:rPr>
        <w:t>。</w:t>
      </w:r>
    </w:p>
    <w:p w14:paraId="01B37B4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发包人完成审批并签发进度款支付证书的期限：</w:t>
      </w:r>
      <w:r>
        <w:rPr>
          <w:rFonts w:hint="eastAsia" w:ascii="Times New Roman" w:hAnsi="Times New Roman"/>
          <w:b/>
          <w:color w:val="auto"/>
          <w:kern w:val="2"/>
          <w:sz w:val="21"/>
          <w:szCs w:val="24"/>
          <w:highlight w:val="none"/>
          <w:u w:val="single"/>
        </w:rPr>
        <w:t>应在收到监理人报送的进度付款申请单及相关资料后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rPr>
        <w:tab/>
      </w:r>
      <w:r>
        <w:rPr>
          <w:rFonts w:ascii="Times New Roman" w:hAnsi="Times New Roman"/>
          <w:color w:val="auto"/>
          <w:kern w:val="2"/>
          <w:sz w:val="21"/>
          <w:szCs w:val="24"/>
          <w:highlight w:val="none"/>
        </w:rPr>
        <w:tab/>
      </w:r>
    </w:p>
    <w:p w14:paraId="5771C1EE">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（2）发包人支付进度款的期限：</w:t>
      </w:r>
      <w:r>
        <w:rPr>
          <w:rFonts w:hint="eastAsia" w:ascii="Times New Roman" w:hAnsi="Times New Roman"/>
          <w:b/>
          <w:color w:val="auto"/>
          <w:kern w:val="2"/>
          <w:sz w:val="21"/>
          <w:szCs w:val="24"/>
          <w:highlight w:val="none"/>
          <w:u w:val="single"/>
        </w:rPr>
        <w:t>发包人应在进度款支付证书或临时进度款支付证书签发后14天内完成支付</w:t>
      </w:r>
      <w:r>
        <w:rPr>
          <w:rFonts w:ascii="Times New Roman" w:hAnsi="Times New Roman"/>
          <w:b/>
          <w:color w:val="auto"/>
          <w:kern w:val="2"/>
          <w:sz w:val="21"/>
          <w:szCs w:val="24"/>
          <w:highlight w:val="none"/>
        </w:rPr>
        <w:t>。</w:t>
      </w:r>
    </w:p>
    <w:p w14:paraId="4D99508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发包人逾期支付进度款的违约金的计算方式：</w:t>
      </w:r>
      <w:r>
        <w:rPr>
          <w:rFonts w:hint="eastAsia" w:ascii="Times New Roman" w:hAnsi="Times New Roman"/>
          <w:b/>
          <w:color w:val="auto"/>
          <w:kern w:val="2"/>
          <w:sz w:val="21"/>
          <w:szCs w:val="24"/>
          <w:highlight w:val="none"/>
          <w:u w:val="single"/>
        </w:rPr>
        <w:t>应按照中国人民银行发布的同期同类贷款基准利率支付违约金</w:t>
      </w:r>
      <w:r>
        <w:rPr>
          <w:rFonts w:ascii="Times New Roman" w:hAnsi="Times New Roman"/>
          <w:b/>
          <w:color w:val="auto"/>
          <w:kern w:val="2"/>
          <w:sz w:val="21"/>
          <w:szCs w:val="24"/>
          <w:highlight w:val="none"/>
        </w:rPr>
        <w:t>。</w:t>
      </w:r>
    </w:p>
    <w:p w14:paraId="1BA7701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12.4.6 支付分解表的编制</w:t>
      </w:r>
    </w:p>
    <w:p w14:paraId="5659B990">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E5748F9">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单价合同的总价项目支付分解表的编制与审批：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D69DE70">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12.4.7 农民工工资管理</w:t>
      </w:r>
    </w:p>
    <w:p w14:paraId="244CC3FD">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(1)本工程农民工工资实行专用账户管理，承包人设立的专用账户开户行为</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，账号：</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w:t>
      </w:r>
    </w:p>
    <w:p w14:paraId="4D959573">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(2)本工程工资性工程款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元（相应的最低工资标准乘建筑面积）；其中工资性工程预付款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元。(工资性工程款除月工期)</w:t>
      </w:r>
    </w:p>
    <w:p w14:paraId="4E1BFC31">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(3)发包人在监理人签发开工报告前，将工资性工程预付款转入承包人开立的农民工工资专用账户。</w:t>
      </w:r>
    </w:p>
    <w:p w14:paraId="15251FFB">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工程开工后第一个月支付工资性工程进度款起，分</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lang w:val="en-US" w:eastAsia="zh-CN"/>
        </w:rPr>
        <w:t xml:space="preserve"> </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月扣回工资性工程预付款。</w:t>
      </w:r>
    </w:p>
    <w:p w14:paraId="3387A9AD">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(4)发包人于每月25日前将工资性工程进度款转入农民工工资专用账户。</w:t>
      </w:r>
    </w:p>
    <w:p w14:paraId="4BD24CE5">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(5)承包人每月25日前上报本工程农民工工资清单，每月10日前委托开设农民工工资专用账户的银行支付农民工工资。</w:t>
      </w:r>
    </w:p>
    <w:p w14:paraId="36C28EB5">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(6)工程竣工后，经项目部农民工维权组确认无农民工工资拖欠后，发、承双方办理农民工工资专用账户撤销手续，农民工工资专用账户余额划至本合同约定的承包人账户。</w:t>
      </w:r>
    </w:p>
    <w:p w14:paraId="0964FB3B">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(7)农民工工资保证金保函严格执行转发《关于印发〈安徽省工程建设领域农民工工资保证金实施办法〉的通知》的通知(合治欠办〔2022</w:t>
      </w:r>
      <w:r>
        <w:rPr>
          <w:rFonts w:hint="eastAsia"/>
          <w:b/>
          <w:bCs/>
          <w:color w:val="auto"/>
          <w:sz w:val="24"/>
          <w:szCs w:val="24"/>
          <w:highlight w:val="none"/>
        </w:rPr>
        <w:t>〕</w:t>
      </w:r>
      <w:r>
        <w:rPr>
          <w:rFonts w:hint="eastAsia" w:ascii="Times New Roman" w:hAnsi="Times New Roman"/>
          <w:b/>
          <w:color w:val="auto"/>
          <w:kern w:val="2"/>
          <w:sz w:val="21"/>
          <w:szCs w:val="24"/>
          <w:highlight w:val="none"/>
        </w:rPr>
        <w:t>5号)，支持以银行保函、保险机构保单保函方式存储”。</w:t>
      </w:r>
    </w:p>
    <w:bookmarkEnd w:id="314"/>
    <w:p w14:paraId="215B075C">
      <w:pPr>
        <w:keepNext/>
        <w:keepLines/>
        <w:spacing w:before="120" w:after="120" w:line="360" w:lineRule="auto"/>
        <w:jc w:val="left"/>
        <w:outlineLvl w:val="2"/>
        <w:rPr>
          <w:rFonts w:ascii="黑体" w:hAnsi="黑体" w:eastAsia="黑体"/>
          <w:bCs/>
          <w:color w:val="auto"/>
          <w:kern w:val="2"/>
          <w:sz w:val="24"/>
          <w:szCs w:val="24"/>
          <w:highlight w:val="none"/>
        </w:rPr>
      </w:pPr>
      <w:bookmarkStart w:id="485" w:name="_Toc351203645"/>
      <w:bookmarkStart w:id="486" w:name="_Toc297216223"/>
      <w:bookmarkStart w:id="487" w:name="_Toc296891259"/>
      <w:bookmarkStart w:id="488" w:name="_Toc297123564"/>
      <w:bookmarkStart w:id="489" w:name="_Toc296944558"/>
      <w:bookmarkStart w:id="490" w:name="_Toc297120519"/>
      <w:bookmarkStart w:id="491" w:name="_Toc296891047"/>
      <w:bookmarkStart w:id="492" w:name="_Toc292559929"/>
      <w:bookmarkStart w:id="493" w:name="_Toc292559424"/>
      <w:bookmarkStart w:id="494" w:name="_Toc303539172"/>
      <w:bookmarkStart w:id="495" w:name="_Toc296503219"/>
      <w:bookmarkStart w:id="496" w:name="_Toc304295593"/>
      <w:bookmarkStart w:id="497" w:name="_Toc296346720"/>
      <w:bookmarkStart w:id="498" w:name="_Toc296347218"/>
      <w:bookmarkStart w:id="499" w:name="_Toc297048405"/>
      <w:bookmarkStart w:id="500" w:name="_Toc312678053"/>
      <w:bookmarkStart w:id="501" w:name="_Toc300935015"/>
      <w:r>
        <w:rPr>
          <w:rFonts w:ascii="黑体" w:hAnsi="黑体" w:eastAsia="黑体"/>
          <w:bCs/>
          <w:color w:val="auto"/>
          <w:kern w:val="2"/>
          <w:sz w:val="24"/>
          <w:szCs w:val="24"/>
          <w:highlight w:val="none"/>
        </w:rPr>
        <w:t>13.</w:t>
      </w:r>
      <w:r>
        <w:rPr>
          <w:rFonts w:hint="eastAsia" w:ascii="黑体" w:hAnsi="黑体" w:eastAsia="黑体"/>
          <w:bCs/>
          <w:color w:val="auto"/>
          <w:kern w:val="2"/>
          <w:sz w:val="24"/>
          <w:szCs w:val="24"/>
          <w:highlight w:val="none"/>
        </w:rPr>
        <w:t xml:space="preserve"> </w:t>
      </w:r>
      <w:r>
        <w:rPr>
          <w:rFonts w:ascii="黑体" w:hAnsi="黑体" w:eastAsia="黑体"/>
          <w:bCs/>
          <w:color w:val="auto"/>
          <w:kern w:val="2"/>
          <w:sz w:val="24"/>
          <w:szCs w:val="24"/>
          <w:highlight w:val="none"/>
        </w:rPr>
        <w:t>验收和工程试车</w:t>
      </w:r>
      <w:bookmarkEnd w:id="485"/>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36759E70">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13.1 分部分项工程验收</w:t>
      </w:r>
    </w:p>
    <w:p w14:paraId="2C779CF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13.1.2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监理人不能按时进行验收时，应提前</w:t>
      </w:r>
      <w:r>
        <w:rPr>
          <w:rFonts w:hint="eastAsia" w:ascii="Times New Roman" w:hAnsi="Times New Roman"/>
          <w:color w:val="auto"/>
          <w:kern w:val="2"/>
          <w:sz w:val="21"/>
          <w:szCs w:val="24"/>
          <w:highlight w:val="none"/>
          <w:u w:val="single"/>
        </w:rPr>
        <w:t>24</w:t>
      </w:r>
      <w:r>
        <w:rPr>
          <w:rFonts w:ascii="Times New Roman" w:hAnsi="Times New Roman"/>
          <w:color w:val="auto"/>
          <w:kern w:val="2"/>
          <w:sz w:val="21"/>
          <w:szCs w:val="24"/>
          <w:highlight w:val="none"/>
        </w:rPr>
        <w:t>小时提交书面延期要求。</w:t>
      </w:r>
    </w:p>
    <w:p w14:paraId="2CF6E7E4">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关于延期最长不得超过：</w:t>
      </w:r>
      <w:r>
        <w:rPr>
          <w:rFonts w:ascii="Times New Roman" w:hAnsi="Times New Roman"/>
          <w:color w:val="auto"/>
          <w:kern w:val="2"/>
          <w:sz w:val="21"/>
          <w:szCs w:val="24"/>
          <w:highlight w:val="none"/>
          <w:u w:val="single"/>
        </w:rPr>
        <w:t xml:space="preserve"> </w:t>
      </w:r>
      <w:r>
        <w:rPr>
          <w:rFonts w:hint="eastAsia" w:ascii="Times New Roman" w:hAnsi="Times New Roman"/>
          <w:b/>
          <w:color w:val="auto"/>
          <w:sz w:val="21"/>
          <w:szCs w:val="24"/>
          <w:highlight w:val="none"/>
          <w:u w:val="single"/>
        </w:rPr>
        <w:t>48</w:t>
      </w:r>
      <w:r>
        <w:rPr>
          <w:rFonts w:ascii="Times New Roman" w:hAnsi="Times New Roman"/>
          <w:color w:val="auto"/>
          <w:kern w:val="2"/>
          <w:sz w:val="21"/>
          <w:szCs w:val="24"/>
          <w:highlight w:val="none"/>
        </w:rPr>
        <w:t>小时。</w:t>
      </w:r>
    </w:p>
    <w:p w14:paraId="03581875">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502" w:name="_Toc296891051"/>
      <w:bookmarkStart w:id="503" w:name="_Toc297216224"/>
      <w:bookmarkStart w:id="504" w:name="_Toc303539173"/>
      <w:bookmarkStart w:id="505" w:name="_Toc297123565"/>
      <w:bookmarkStart w:id="506" w:name="_Toc296346724"/>
      <w:bookmarkStart w:id="507" w:name="_Toc296944562"/>
      <w:bookmarkStart w:id="508" w:name="_Toc296891263"/>
      <w:bookmarkStart w:id="509" w:name="_Toc297120523"/>
      <w:bookmarkStart w:id="510" w:name="_Toc312678056"/>
      <w:bookmarkStart w:id="511" w:name="_Toc304295596"/>
      <w:bookmarkStart w:id="512" w:name="_Toc292559933"/>
      <w:bookmarkStart w:id="513" w:name="_Toc297048409"/>
      <w:bookmarkStart w:id="514" w:name="_Toc300935016"/>
      <w:bookmarkStart w:id="515" w:name="_Toc296503223"/>
      <w:bookmarkStart w:id="516" w:name="_Toc296347222"/>
      <w:bookmarkStart w:id="517" w:name="_Toc292559428"/>
      <w:bookmarkStart w:id="518" w:name="_Toc267251471"/>
      <w:bookmarkStart w:id="519" w:name="_Toc267251473"/>
      <w:bookmarkStart w:id="520" w:name="_Toc267251475"/>
      <w:bookmarkStart w:id="521" w:name="_Toc267251474"/>
      <w:bookmarkStart w:id="522" w:name="_Toc267251476"/>
      <w:bookmarkStart w:id="523" w:name="_Toc267251470"/>
      <w:bookmarkStart w:id="524" w:name="_Toc267251472"/>
      <w:r>
        <w:rPr>
          <w:rFonts w:ascii="Arial" w:hAnsi="Arial" w:eastAsia="黑体"/>
          <w:bCs/>
          <w:color w:val="auto"/>
          <w:kern w:val="2"/>
          <w:sz w:val="21"/>
          <w:szCs w:val="28"/>
          <w:highlight w:val="none"/>
        </w:rPr>
        <w:t>13.2 竣工验收</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5CA00ED0">
      <w:pPr>
        <w:adjustRightInd w:val="0"/>
        <w:spacing w:line="360" w:lineRule="auto"/>
        <w:ind w:firstLine="420" w:firstLineChars="200"/>
        <w:rPr>
          <w:rFonts w:ascii="Times New Roman" w:hAnsi="Times New Roman"/>
          <w:color w:val="auto"/>
          <w:kern w:val="2"/>
          <w:sz w:val="21"/>
          <w:szCs w:val="24"/>
          <w:highlight w:val="none"/>
        </w:rPr>
      </w:pPr>
      <w:bookmarkStart w:id="525" w:name="_Toc280868704"/>
      <w:bookmarkStart w:id="526" w:name="_Toc280868705"/>
      <w:bookmarkStart w:id="527" w:name="_Toc280868706"/>
      <w:bookmarkStart w:id="528" w:name="_Toc280868707"/>
      <w:bookmarkStart w:id="529" w:name="_Toc280868708"/>
      <w:bookmarkStart w:id="530" w:name="_Toc280868709"/>
      <w:r>
        <w:rPr>
          <w:rFonts w:ascii="Times New Roman" w:hAnsi="Times New Roman"/>
          <w:color w:val="auto"/>
          <w:kern w:val="2"/>
          <w:sz w:val="21"/>
          <w:szCs w:val="24"/>
          <w:highlight w:val="none"/>
        </w:rPr>
        <w:t>13.2.2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竣工验收程序</w:t>
      </w:r>
    </w:p>
    <w:bookmarkEnd w:id="525"/>
    <w:p w14:paraId="5EBCC73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关于竣工验收程序的约定：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47C68573">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发包人不按照本项约定组织竣工验收、颁发工程接收证书的违约金的计算方法：</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526"/>
    <w:p w14:paraId="62FA1F1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13.2.5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移交、接收全部与部分工程</w:t>
      </w:r>
    </w:p>
    <w:bookmarkEnd w:id="527"/>
    <w:p w14:paraId="5818CAF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承包人向发包人移交工程的期限：</w:t>
      </w:r>
      <w:r>
        <w:rPr>
          <w:rFonts w:hint="eastAsia" w:ascii="Times New Roman" w:hAnsi="Times New Roman"/>
          <w:b/>
          <w:color w:val="auto"/>
          <w:kern w:val="2"/>
          <w:sz w:val="21"/>
          <w:szCs w:val="24"/>
          <w:highlight w:val="none"/>
          <w:u w:val="single"/>
        </w:rPr>
        <w:t>颁发工程接收证书后7天内完成工程的移交</w:t>
      </w:r>
      <w:r>
        <w:rPr>
          <w:rFonts w:hint="eastAsia" w:ascii="Times New Roman" w:hAnsi="Times New Roman"/>
          <w:color w:val="auto"/>
          <w:kern w:val="2"/>
          <w:sz w:val="21"/>
          <w:szCs w:val="24"/>
          <w:highlight w:val="none"/>
        </w:rPr>
        <w:t>。</w:t>
      </w:r>
    </w:p>
    <w:p w14:paraId="13207A6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发包人未按本合同约定接收全部或部分工程的，违约金的计算方法为：</w:t>
      </w:r>
      <w:r>
        <w:rPr>
          <w:rFonts w:hint="eastAsia" w:ascii="Times New Roman" w:hAnsi="Times New Roman"/>
          <w:b/>
          <w:color w:val="auto"/>
          <w:kern w:val="2"/>
          <w:sz w:val="21"/>
          <w:szCs w:val="24"/>
          <w:highlight w:val="none"/>
          <w:u w:val="single"/>
        </w:rPr>
        <w:t>发包人自应当接收工程之日起，承担工程照管、成品保护、保管等与工程有关的各项费用</w:t>
      </w:r>
      <w:r>
        <w:rPr>
          <w:rFonts w:ascii="Times New Roman" w:hAnsi="Times New Roman"/>
          <w:color w:val="auto"/>
          <w:kern w:val="2"/>
          <w:sz w:val="21"/>
          <w:szCs w:val="24"/>
          <w:highlight w:val="none"/>
        </w:rPr>
        <w:t>。</w:t>
      </w:r>
    </w:p>
    <w:bookmarkEnd w:id="528"/>
    <w:p w14:paraId="7E836D3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承包人未按时移交工程的，违约金的计算方法为：</w:t>
      </w:r>
      <w:r>
        <w:rPr>
          <w:rFonts w:hint="eastAsia" w:ascii="Times New Roman" w:hAnsi="Times New Roman"/>
          <w:b/>
          <w:color w:val="auto"/>
          <w:kern w:val="2"/>
          <w:sz w:val="21"/>
          <w:szCs w:val="24"/>
          <w:highlight w:val="none"/>
          <w:u w:val="single"/>
        </w:rPr>
        <w:t>承包人应承担工程照管、成品保护、保管等与工程有关的各项费用</w:t>
      </w:r>
      <w:r>
        <w:rPr>
          <w:rFonts w:ascii="Times New Roman" w:hAnsi="Times New Roman"/>
          <w:color w:val="auto"/>
          <w:kern w:val="2"/>
          <w:sz w:val="21"/>
          <w:szCs w:val="24"/>
          <w:highlight w:val="none"/>
        </w:rPr>
        <w:t>。</w:t>
      </w:r>
    </w:p>
    <w:p w14:paraId="7D4F1E0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13.3 工程试车</w:t>
      </w:r>
    </w:p>
    <w:bookmarkEnd w:id="529"/>
    <w:p w14:paraId="0C391A9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13.3.1 试车程序</w:t>
      </w:r>
    </w:p>
    <w:p w14:paraId="06B4897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工程试车内容：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F558C94">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（1）单机无负荷试车费用由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1D84BDB4">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（2）无负荷联动试车费用由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70A59D9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13.3.3 投料试车</w:t>
      </w:r>
    </w:p>
    <w:p w14:paraId="3DA0BE2E">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sz w:val="21"/>
          <w:szCs w:val="24"/>
          <w:highlight w:val="none"/>
        </w:rPr>
        <w:t>关于投料试车相关事项的约定：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6CD5E1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13.6 竣工退场</w:t>
      </w:r>
    </w:p>
    <w:p w14:paraId="2753BD4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13.6.1 竣工退场</w:t>
      </w:r>
    </w:p>
    <w:p w14:paraId="16D52A87">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承包人完成竣工退场的期限：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137477C4">
      <w:pPr>
        <w:keepNext/>
        <w:keepLines/>
        <w:spacing w:before="120" w:after="120" w:line="360" w:lineRule="auto"/>
        <w:jc w:val="left"/>
        <w:outlineLvl w:val="2"/>
        <w:rPr>
          <w:rFonts w:ascii="黑体" w:hAnsi="黑体" w:eastAsia="黑体"/>
          <w:bCs/>
          <w:color w:val="auto"/>
          <w:kern w:val="2"/>
          <w:sz w:val="24"/>
          <w:szCs w:val="24"/>
          <w:highlight w:val="none"/>
        </w:rPr>
      </w:pPr>
      <w:bookmarkStart w:id="531" w:name="_Toc351203646"/>
      <w:r>
        <w:rPr>
          <w:rFonts w:ascii="黑体" w:hAnsi="黑体" w:eastAsia="黑体"/>
          <w:bCs/>
          <w:color w:val="auto"/>
          <w:kern w:val="2"/>
          <w:sz w:val="24"/>
          <w:szCs w:val="24"/>
          <w:highlight w:val="none"/>
        </w:rPr>
        <w:t xml:space="preserve">14. </w:t>
      </w:r>
      <w:r>
        <w:rPr>
          <w:rFonts w:hint="eastAsia" w:ascii="黑体" w:hAnsi="黑体" w:eastAsia="黑体" w:cs="宋体"/>
          <w:bCs/>
          <w:color w:val="auto"/>
          <w:kern w:val="2"/>
          <w:sz w:val="24"/>
          <w:szCs w:val="24"/>
          <w:highlight w:val="none"/>
        </w:rPr>
        <w:t>竣工结算</w:t>
      </w:r>
      <w:bookmarkEnd w:id="531"/>
    </w:p>
    <w:p w14:paraId="05D37ED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14.1 竣工</w:t>
      </w:r>
      <w:r>
        <w:rPr>
          <w:rFonts w:hint="eastAsia" w:ascii="Arial" w:hAnsi="Arial" w:eastAsia="黑体"/>
          <w:bCs/>
          <w:color w:val="auto"/>
          <w:kern w:val="2"/>
          <w:sz w:val="21"/>
          <w:szCs w:val="28"/>
          <w:highlight w:val="none"/>
        </w:rPr>
        <w:t>结算</w:t>
      </w:r>
      <w:r>
        <w:rPr>
          <w:rFonts w:ascii="Arial" w:hAnsi="Arial" w:eastAsia="黑体"/>
          <w:bCs/>
          <w:color w:val="auto"/>
          <w:kern w:val="2"/>
          <w:sz w:val="21"/>
          <w:szCs w:val="28"/>
          <w:highlight w:val="none"/>
        </w:rPr>
        <w:t>申请</w:t>
      </w:r>
    </w:p>
    <w:p w14:paraId="5E99C6A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申请单的期限：</w:t>
      </w:r>
      <w:r>
        <w:rPr>
          <w:rFonts w:hint="eastAsia" w:ascii="Times New Roman" w:hAnsi="Times New Roman"/>
          <w:b/>
          <w:color w:val="auto"/>
          <w:kern w:val="2"/>
          <w:sz w:val="21"/>
          <w:szCs w:val="24"/>
          <w:highlight w:val="none"/>
          <w:u w:val="single"/>
        </w:rPr>
        <w:t>承包人应在工程竣工验收合格后28天内</w:t>
      </w:r>
      <w:r>
        <w:rPr>
          <w:rFonts w:ascii="Times New Roman" w:hAnsi="Times New Roman"/>
          <w:color w:val="auto"/>
          <w:kern w:val="2"/>
          <w:sz w:val="21"/>
          <w:szCs w:val="24"/>
          <w:highlight w:val="none"/>
        </w:rPr>
        <w:t>。</w:t>
      </w:r>
    </w:p>
    <w:p w14:paraId="33598A4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申请单应包括的内容：</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12393EC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14.2 竣工结算审核</w:t>
      </w:r>
    </w:p>
    <w:p w14:paraId="12BD5C2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竣工付款申请单的期限：</w:t>
      </w:r>
      <w:r>
        <w:rPr>
          <w:rFonts w:hint="eastAsia" w:ascii="Times New Roman" w:hAnsi="Times New Roman"/>
          <w:b/>
          <w:color w:val="auto"/>
          <w:kern w:val="2"/>
          <w:sz w:val="21"/>
          <w:szCs w:val="24"/>
          <w:highlight w:val="none"/>
          <w:u w:val="single"/>
        </w:rPr>
        <w:t>发包人应在收到监理人提交的经审核的竣工结算申请单后14天内完成审批</w:t>
      </w:r>
      <w:r>
        <w:rPr>
          <w:rFonts w:ascii="Times New Roman" w:hAnsi="Times New Roman"/>
          <w:color w:val="auto"/>
          <w:kern w:val="2"/>
          <w:sz w:val="21"/>
          <w:szCs w:val="24"/>
          <w:highlight w:val="none"/>
        </w:rPr>
        <w:t>。</w:t>
      </w:r>
    </w:p>
    <w:p w14:paraId="7BB2716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发包人完成竣工付款的期限：</w:t>
      </w:r>
      <w:r>
        <w:rPr>
          <w:rFonts w:hint="eastAsia" w:ascii="Times New Roman" w:hAnsi="Times New Roman"/>
          <w:b/>
          <w:color w:val="auto"/>
          <w:kern w:val="2"/>
          <w:sz w:val="21"/>
          <w:szCs w:val="24"/>
          <w:highlight w:val="none"/>
          <w:u w:val="single"/>
        </w:rPr>
        <w:t>发包人应在签发竣工付款证书后的14 天内，完成对承包人的竣工付款。</w:t>
      </w:r>
    </w:p>
    <w:p w14:paraId="685C2812">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关于竣工付款证书异议部分复核的方式和程序：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F97D6F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 最终结清</w:t>
      </w:r>
    </w:p>
    <w:p w14:paraId="6F181C5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14.4.1 最终结清申请单</w:t>
      </w:r>
    </w:p>
    <w:p w14:paraId="2109565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承包人提交最终结清申请单的份数：</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FC2EA3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承包人提交最终结算申请单的期限：</w:t>
      </w:r>
      <w:r>
        <w:rPr>
          <w:rFonts w:hint="eastAsia" w:ascii="Times New Roman" w:hAnsi="Times New Roman"/>
          <w:b/>
          <w:color w:val="auto"/>
          <w:kern w:val="2"/>
          <w:sz w:val="21"/>
          <w:szCs w:val="24"/>
          <w:highlight w:val="none"/>
          <w:u w:val="single"/>
        </w:rPr>
        <w:t>缺陷责任期终止证书颁发后7天内</w:t>
      </w:r>
      <w:r>
        <w:rPr>
          <w:rFonts w:ascii="Times New Roman" w:hAnsi="Times New Roman"/>
          <w:color w:val="auto"/>
          <w:kern w:val="2"/>
          <w:sz w:val="21"/>
          <w:szCs w:val="24"/>
          <w:highlight w:val="none"/>
        </w:rPr>
        <w:t xml:space="preserve">。 </w:t>
      </w:r>
    </w:p>
    <w:p w14:paraId="498BE60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14.4.2 最终结清证书和支付</w:t>
      </w:r>
    </w:p>
    <w:p w14:paraId="7B1E592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（1）发包人完成最终结清申请单的</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并颁发最终结清证书的期限：</w:t>
      </w:r>
      <w:r>
        <w:rPr>
          <w:rFonts w:hint="eastAsia" w:ascii="Times New Roman" w:hAnsi="Times New Roman"/>
          <w:b/>
          <w:color w:val="auto"/>
          <w:kern w:val="2"/>
          <w:sz w:val="21"/>
          <w:szCs w:val="24"/>
          <w:highlight w:val="none"/>
          <w:u w:val="single"/>
        </w:rPr>
        <w:t>收到承包人提交的最终结清申请单后14天内</w:t>
      </w:r>
      <w:r>
        <w:rPr>
          <w:rFonts w:ascii="Times New Roman" w:hAnsi="Times New Roman"/>
          <w:color w:val="auto"/>
          <w:kern w:val="2"/>
          <w:sz w:val="21"/>
          <w:szCs w:val="24"/>
          <w:highlight w:val="none"/>
        </w:rPr>
        <w:t>。</w:t>
      </w:r>
    </w:p>
    <w:p w14:paraId="3CCD74D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（2）发包人完成支付的期限：</w:t>
      </w:r>
      <w:r>
        <w:rPr>
          <w:rFonts w:hint="eastAsia" w:ascii="Times New Roman" w:hAnsi="Times New Roman"/>
          <w:b/>
          <w:color w:val="auto"/>
          <w:kern w:val="2"/>
          <w:sz w:val="21"/>
          <w:szCs w:val="24"/>
          <w:highlight w:val="none"/>
          <w:u w:val="single"/>
        </w:rPr>
        <w:t>颁发最终结清证书后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天内完成支付</w:t>
      </w:r>
      <w:r>
        <w:rPr>
          <w:rFonts w:ascii="Times New Roman" w:hAnsi="Times New Roman"/>
          <w:color w:val="auto"/>
          <w:kern w:val="2"/>
          <w:sz w:val="21"/>
          <w:szCs w:val="24"/>
          <w:highlight w:val="none"/>
        </w:rPr>
        <w:t>。</w:t>
      </w:r>
    </w:p>
    <w:bookmarkEnd w:id="518"/>
    <w:bookmarkEnd w:id="519"/>
    <w:bookmarkEnd w:id="520"/>
    <w:bookmarkEnd w:id="521"/>
    <w:bookmarkEnd w:id="522"/>
    <w:bookmarkEnd w:id="523"/>
    <w:bookmarkEnd w:id="524"/>
    <w:bookmarkEnd w:id="530"/>
    <w:p w14:paraId="5611D604">
      <w:pPr>
        <w:keepNext/>
        <w:keepLines/>
        <w:spacing w:before="120" w:after="120" w:line="360" w:lineRule="auto"/>
        <w:jc w:val="left"/>
        <w:outlineLvl w:val="2"/>
        <w:rPr>
          <w:rFonts w:ascii="黑体" w:hAnsi="黑体" w:eastAsia="黑体"/>
          <w:bCs/>
          <w:color w:val="auto"/>
          <w:kern w:val="2"/>
          <w:sz w:val="24"/>
          <w:szCs w:val="24"/>
          <w:highlight w:val="none"/>
        </w:rPr>
      </w:pPr>
      <w:bookmarkStart w:id="532" w:name="_Toc351203647"/>
      <w:bookmarkStart w:id="533" w:name="_Toc267251483"/>
      <w:bookmarkStart w:id="534" w:name="_Toc267251484"/>
      <w:bookmarkStart w:id="535" w:name="_Toc267251482"/>
      <w:bookmarkStart w:id="536" w:name="_Toc267251485"/>
      <w:bookmarkStart w:id="537" w:name="_Toc267251489"/>
      <w:bookmarkStart w:id="538" w:name="_Toc267251488"/>
      <w:bookmarkStart w:id="539" w:name="_Toc267251490"/>
      <w:bookmarkStart w:id="540" w:name="_Toc267251486"/>
      <w:bookmarkStart w:id="541" w:name="_Toc267251499"/>
      <w:bookmarkStart w:id="542" w:name="_Toc267251491"/>
      <w:bookmarkStart w:id="543" w:name="_Toc267251492"/>
      <w:bookmarkStart w:id="544" w:name="_Toc267251495"/>
      <w:bookmarkStart w:id="545" w:name="_Toc267251498"/>
      <w:bookmarkStart w:id="546" w:name="_Toc267251493"/>
      <w:bookmarkStart w:id="547" w:name="_Toc267251497"/>
      <w:bookmarkStart w:id="548" w:name="_Toc267251502"/>
      <w:bookmarkStart w:id="549" w:name="_Toc267251494"/>
      <w:bookmarkStart w:id="550" w:name="_Toc267251496"/>
      <w:bookmarkStart w:id="551" w:name="_Toc267251503"/>
      <w:bookmarkStart w:id="552" w:name="_Toc267251501"/>
      <w:bookmarkStart w:id="553" w:name="_Toc267251504"/>
      <w:bookmarkStart w:id="554" w:name="_Toc267251506"/>
      <w:bookmarkStart w:id="555" w:name="_Toc267251507"/>
      <w:bookmarkStart w:id="556" w:name="_Toc267251508"/>
      <w:bookmarkStart w:id="557" w:name="_Toc267251515"/>
      <w:bookmarkStart w:id="558" w:name="_Toc267251509"/>
      <w:bookmarkStart w:id="559" w:name="_Toc267251513"/>
      <w:bookmarkStart w:id="560" w:name="_Toc267251510"/>
      <w:bookmarkStart w:id="561" w:name="_Toc267251514"/>
      <w:bookmarkStart w:id="562" w:name="_Toc267251511"/>
      <w:r>
        <w:rPr>
          <w:rFonts w:ascii="黑体" w:hAnsi="黑体" w:eastAsia="黑体"/>
          <w:bCs/>
          <w:color w:val="auto"/>
          <w:kern w:val="2"/>
          <w:sz w:val="24"/>
          <w:szCs w:val="24"/>
          <w:highlight w:val="none"/>
        </w:rPr>
        <w:t>15. 缺陷责任期与保修</w:t>
      </w:r>
      <w:bookmarkEnd w:id="532"/>
    </w:p>
    <w:p w14:paraId="1DCD3CB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15.2</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缺陷责任期</w:t>
      </w:r>
      <w:bookmarkEnd w:id="533"/>
    </w:p>
    <w:p w14:paraId="1956F49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缺陷责任期的具体期限：</w:t>
      </w:r>
      <w:r>
        <w:rPr>
          <w:rFonts w:hint="eastAsia" w:ascii="Times New Roman" w:hAnsi="Times New Roman"/>
          <w:b/>
          <w:color w:val="auto"/>
          <w:kern w:val="2"/>
          <w:sz w:val="21"/>
          <w:szCs w:val="24"/>
          <w:highlight w:val="none"/>
          <w:u w:val="single"/>
        </w:rPr>
        <w:t>24个月</w:t>
      </w:r>
      <w:r>
        <w:rPr>
          <w:rFonts w:ascii="Times New Roman" w:hAnsi="Times New Roman"/>
          <w:color w:val="auto"/>
          <w:kern w:val="2"/>
          <w:sz w:val="21"/>
          <w:szCs w:val="24"/>
          <w:highlight w:val="none"/>
        </w:rPr>
        <w:t>。</w:t>
      </w:r>
    </w:p>
    <w:p w14:paraId="50D1B42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15.3 质量保证金</w:t>
      </w:r>
    </w:p>
    <w:p w14:paraId="52311CFF">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关于是否扣留质量保证金的约定：</w:t>
      </w:r>
      <w:r>
        <w:rPr>
          <w:rFonts w:hint="eastAsia" w:ascii="Times New Roman" w:hAnsi="Times New Roman"/>
          <w:color w:val="auto"/>
          <w:kern w:val="2"/>
          <w:sz w:val="21"/>
          <w:szCs w:val="24"/>
          <w:highlight w:val="none"/>
          <w:u w:val="single"/>
        </w:rPr>
        <w:t>否</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rPr>
        <w:t>在工程项目竣工前，承包人按专用合同条款第3.7条提供履约保证金的，发包人不得同时预留工程质量保证金。</w:t>
      </w:r>
    </w:p>
    <w:p w14:paraId="7F243C3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15.3.1 </w:t>
      </w:r>
      <w:r>
        <w:rPr>
          <w:rFonts w:hint="eastAsia" w:ascii="Times New Roman" w:hAnsi="Times New Roman"/>
          <w:color w:val="auto"/>
          <w:kern w:val="2"/>
          <w:sz w:val="21"/>
          <w:szCs w:val="24"/>
          <w:highlight w:val="none"/>
        </w:rPr>
        <w:t>承包人提供</w:t>
      </w:r>
      <w:r>
        <w:rPr>
          <w:rFonts w:ascii="Times New Roman" w:hAnsi="Times New Roman"/>
          <w:color w:val="auto"/>
          <w:kern w:val="2"/>
          <w:sz w:val="21"/>
          <w:szCs w:val="24"/>
          <w:highlight w:val="none"/>
        </w:rPr>
        <w:t>质量保证金的</w:t>
      </w:r>
      <w:r>
        <w:rPr>
          <w:rFonts w:hint="eastAsia" w:ascii="Times New Roman" w:hAnsi="Times New Roman"/>
          <w:color w:val="auto"/>
          <w:kern w:val="2"/>
          <w:sz w:val="21"/>
          <w:szCs w:val="24"/>
          <w:highlight w:val="none"/>
        </w:rPr>
        <w:t>方</w:t>
      </w:r>
      <w:r>
        <w:rPr>
          <w:rFonts w:ascii="Times New Roman" w:hAnsi="Times New Roman"/>
          <w:color w:val="auto"/>
          <w:kern w:val="2"/>
          <w:sz w:val="21"/>
          <w:szCs w:val="24"/>
          <w:highlight w:val="none"/>
        </w:rPr>
        <w:t>式</w:t>
      </w:r>
    </w:p>
    <w:p w14:paraId="170091D7">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质量保证金可采用以下任意一种方式：   </w:t>
      </w:r>
    </w:p>
    <w:p w14:paraId="320507C3">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（1）由银行业金融机构、工程担保公司、保险机构出具电子保函、纸质保函等担保方式，担保/保证金额为：</w:t>
      </w:r>
      <w:r>
        <w:rPr>
          <w:rFonts w:hint="eastAsia" w:ascii="Times New Roman" w:hAnsi="Times New Roman"/>
          <w:color w:val="auto"/>
          <w:kern w:val="2"/>
          <w:sz w:val="21"/>
          <w:szCs w:val="24"/>
          <w:highlight w:val="none"/>
          <w:u w:val="single"/>
        </w:rPr>
        <w:t xml:space="preserve"> 3% 的合同价款 </w:t>
      </w:r>
      <w:r>
        <w:rPr>
          <w:rFonts w:hint="eastAsia" w:ascii="Times New Roman" w:hAnsi="Times New Roman"/>
          <w:color w:val="auto"/>
          <w:kern w:val="2"/>
          <w:sz w:val="21"/>
          <w:szCs w:val="24"/>
          <w:highlight w:val="none"/>
        </w:rPr>
        <w:t>；</w:t>
      </w:r>
    </w:p>
    <w:p w14:paraId="13820538">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hint="eastAsia" w:ascii="Times New Roman" w:hAnsi="Times New Roman"/>
          <w:color w:val="auto"/>
          <w:kern w:val="2"/>
          <w:sz w:val="21"/>
          <w:szCs w:val="24"/>
          <w:highlight w:val="none"/>
          <w:u w:val="single"/>
        </w:rPr>
        <w:t xml:space="preserve"> 3  </w:t>
      </w:r>
      <w:r>
        <w:rPr>
          <w:rFonts w:hint="eastAsia" w:ascii="Times New Roman" w:hAnsi="Times New Roman"/>
          <w:color w:val="auto"/>
          <w:kern w:val="2"/>
          <w:sz w:val="21"/>
          <w:szCs w:val="24"/>
          <w:highlight w:val="none"/>
        </w:rPr>
        <w:t>%的工程款；</w:t>
      </w:r>
    </w:p>
    <w:p w14:paraId="3A92E490">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（3）其他方式：</w:t>
      </w:r>
      <w:r>
        <w:rPr>
          <w:rFonts w:hint="eastAsia"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rPr>
        <w:t>。</w:t>
      </w:r>
    </w:p>
    <w:p w14:paraId="6F723067">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注：以现金形式提交质量保证金的（含从工程款中以扣留方式提交的），同时退还银行同期活期存款利息。</w:t>
      </w:r>
    </w:p>
    <w:p w14:paraId="5857B3C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15.3.2 质量保证金的扣留 </w:t>
      </w:r>
    </w:p>
    <w:p w14:paraId="34B0F44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质量保证金的扣留采取以下第</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2</w:t>
      </w:r>
      <w:r>
        <w:rPr>
          <w:rFonts w:hint="eastAsia" w:ascii="Times New Roman" w:hAnsi="Times New Roman"/>
          <w:color w:val="auto"/>
          <w:sz w:val="21"/>
          <w:szCs w:val="24"/>
          <w:highlight w:val="none"/>
          <w:u w:val="single"/>
        </w:rPr>
        <w:t xml:space="preserve"> </w:t>
      </w:r>
      <w:r>
        <w:rPr>
          <w:rFonts w:ascii="Times New Roman" w:hAnsi="Times New Roman"/>
          <w:color w:val="auto"/>
          <w:kern w:val="2"/>
          <w:sz w:val="21"/>
          <w:szCs w:val="24"/>
          <w:highlight w:val="none"/>
        </w:rPr>
        <w:t>种方式：</w:t>
      </w:r>
    </w:p>
    <w:p w14:paraId="77D72F4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（1）在支付工程进度款时逐次扣留，在此情形下，质量保证金的计算基数不包括预付款的支付、扣回以及价格调整的金额；</w:t>
      </w:r>
    </w:p>
    <w:p w14:paraId="50AC1FE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（2）工程竣工结算时一次性扣留质量保证金；</w:t>
      </w:r>
    </w:p>
    <w:p w14:paraId="7CBD47D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（3）其他扣留方式:</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0EF74E8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关于质量保证金的补充约定：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34"/>
    <w:bookmarkEnd w:id="535"/>
    <w:p w14:paraId="386D0CB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保修</w:t>
      </w:r>
    </w:p>
    <w:bookmarkEnd w:id="536"/>
    <w:p w14:paraId="3A39924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15.4.1 保修责任</w:t>
      </w:r>
    </w:p>
    <w:p w14:paraId="73917CC0">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kern w:val="2"/>
          <w:sz w:val="21"/>
          <w:szCs w:val="24"/>
          <w:highlight w:val="none"/>
        </w:rPr>
        <w:t>工程保修期为：</w:t>
      </w:r>
      <w:r>
        <w:rPr>
          <w:rFonts w:hint="eastAsia" w:ascii="Times New Roman" w:hAnsi="Times New Roman"/>
          <w:b/>
          <w:color w:val="auto"/>
          <w:kern w:val="2"/>
          <w:sz w:val="21"/>
          <w:szCs w:val="24"/>
          <w:highlight w:val="none"/>
          <w:u w:val="single"/>
        </w:rPr>
        <w:t>执行《工程质量保修书》规定</w:t>
      </w:r>
      <w:r>
        <w:rPr>
          <w:rFonts w:ascii="Times New Roman" w:hAnsi="Times New Roman"/>
          <w:color w:val="auto"/>
          <w:sz w:val="21"/>
          <w:szCs w:val="24"/>
          <w:highlight w:val="none"/>
        </w:rPr>
        <w:t>。</w:t>
      </w:r>
    </w:p>
    <w:p w14:paraId="0A94EC4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15.4.3 修复通知</w:t>
      </w:r>
    </w:p>
    <w:p w14:paraId="4911AB08">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承包人收到保修通知并到达工程现场的合理时间：</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37"/>
    <w:bookmarkEnd w:id="538"/>
    <w:bookmarkEnd w:id="539"/>
    <w:bookmarkEnd w:id="540"/>
    <w:p w14:paraId="49AB5963">
      <w:pPr>
        <w:keepNext/>
        <w:keepLines/>
        <w:spacing w:before="120" w:after="120" w:line="360" w:lineRule="auto"/>
        <w:jc w:val="left"/>
        <w:outlineLvl w:val="2"/>
        <w:rPr>
          <w:rFonts w:ascii="黑体" w:hAnsi="黑体" w:eastAsia="黑体"/>
          <w:bCs/>
          <w:color w:val="auto"/>
          <w:kern w:val="2"/>
          <w:sz w:val="24"/>
          <w:szCs w:val="24"/>
          <w:highlight w:val="none"/>
        </w:rPr>
      </w:pPr>
      <w:bookmarkStart w:id="563" w:name="_Toc351203648"/>
      <w:bookmarkStart w:id="564" w:name="_Toc280868717"/>
      <w:bookmarkStart w:id="565" w:name="_Toc280868718"/>
      <w:r>
        <w:rPr>
          <w:rFonts w:ascii="黑体" w:hAnsi="黑体" w:eastAsia="黑体"/>
          <w:bCs/>
          <w:color w:val="auto"/>
          <w:kern w:val="2"/>
          <w:sz w:val="24"/>
          <w:szCs w:val="24"/>
          <w:highlight w:val="none"/>
        </w:rPr>
        <w:t>16. 违约</w:t>
      </w:r>
      <w:bookmarkEnd w:id="563"/>
    </w:p>
    <w:p w14:paraId="3AF204F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16.1 发包人违约</w:t>
      </w:r>
    </w:p>
    <w:p w14:paraId="46D5CA1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发包人违约的情形</w:t>
      </w:r>
    </w:p>
    <w:p w14:paraId="684C9AF9">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发包人违约的其他情形：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5E02DD6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16.1.2 发包人违约的责任</w:t>
      </w:r>
    </w:p>
    <w:p w14:paraId="32DAF41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发包人违约责任的承担方式和计算方法：</w:t>
      </w:r>
    </w:p>
    <w:p w14:paraId="49B52B8C">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（1）因发包人原因未能在计划开工日期前7天内下达开工通知的违约责任：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3E2580B7">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（2）因发包人原因未能按合同约定支付合同价款的违约责任：</w:t>
      </w:r>
      <w:r>
        <w:rPr>
          <w:rFonts w:hint="eastAsia" w:ascii="Times New Roman" w:hAnsi="Times New Roman"/>
          <w:color w:val="auto"/>
          <w:sz w:val="21"/>
          <w:szCs w:val="24"/>
          <w:highlight w:val="none"/>
          <w:u w:val="single"/>
        </w:rPr>
        <w:t>因甲方未按合同约定支付价款、未按合同约定受领标的物、擅自解除合同导致乙方遭受的直接损失，乙方可向甲方申请赔偿，赔偿金额由双方协商一致； 针对因政策变化等原因不能签订合同或解除合同时，造成乙方合法利益受损的情形，可以给予乙方合理补偿，补偿金额不得超过乙方的直接损失</w:t>
      </w:r>
      <w:r>
        <w:rPr>
          <w:rFonts w:ascii="Times New Roman" w:hAnsi="Times New Roman"/>
          <w:color w:val="auto"/>
          <w:sz w:val="21"/>
          <w:szCs w:val="24"/>
          <w:highlight w:val="none"/>
          <w:u w:val="single"/>
        </w:rPr>
        <w:t>。</w:t>
      </w:r>
    </w:p>
    <w:p w14:paraId="13C67CDC">
      <w:pPr>
        <w:adjustRightInd w:val="0"/>
        <w:spacing w:line="360" w:lineRule="auto"/>
        <w:ind w:firstLine="420" w:firstLineChars="200"/>
        <w:rPr>
          <w:rFonts w:ascii="Times New Roman" w:hAnsi="Times New Roman"/>
          <w:b/>
          <w:color w:val="auto"/>
          <w:sz w:val="21"/>
          <w:szCs w:val="24"/>
          <w:highlight w:val="none"/>
          <w:u w:val="single"/>
        </w:rPr>
      </w:pPr>
      <w:r>
        <w:rPr>
          <w:rFonts w:ascii="Times New Roman" w:hAnsi="Times New Roman"/>
          <w:color w:val="auto"/>
          <w:sz w:val="21"/>
          <w:szCs w:val="24"/>
          <w:highlight w:val="none"/>
        </w:rPr>
        <w:t>（3）发包人违反第10.1款</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变更的范围</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第（2）项约定，自行实施被取消的工作或转由他人实施的违约责任：</w:t>
      </w:r>
      <w:r>
        <w:rPr>
          <w:rFonts w:hint="eastAsia" w:ascii="Times New Roman" w:hAnsi="Times New Roman"/>
          <w:b/>
          <w:color w:val="auto"/>
          <w:kern w:val="2"/>
          <w:sz w:val="21"/>
          <w:szCs w:val="24"/>
          <w:highlight w:val="none"/>
          <w:u w:val="single"/>
        </w:rPr>
        <w:t>双方协商解决</w:t>
      </w:r>
      <w:r>
        <w:rPr>
          <w:rFonts w:ascii="Times New Roman" w:hAnsi="Times New Roman"/>
          <w:b/>
          <w:color w:val="auto"/>
          <w:sz w:val="21"/>
          <w:szCs w:val="24"/>
          <w:highlight w:val="none"/>
        </w:rPr>
        <w:t>。</w:t>
      </w:r>
    </w:p>
    <w:p w14:paraId="7DE1AE57">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（4）发包人提供的材料、工程设备的规格、数量或质量不符合合同约定，或因发包人原因导致交货日期延误或交货地点变更等情况的违约责任：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387C735E">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（5）因发包人违反合同约定造成暂停施工的违约责任：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05F1042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（6）发包人无正当理由没有在约定期限内发出复工指示，导致承包人无法复工的违约责任：</w:t>
      </w:r>
      <w:r>
        <w:rPr>
          <w:rFonts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2925CFA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（7）</w:t>
      </w:r>
      <w:r>
        <w:rPr>
          <w:rFonts w:hint="eastAsia" w:ascii="Times New Roman" w:hAnsi="Times New Roman"/>
          <w:color w:val="auto"/>
          <w:sz w:val="21"/>
          <w:szCs w:val="24"/>
          <w:highlight w:val="none"/>
        </w:rPr>
        <w:t>其他：</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5617CA8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16.1.3 因发包人违约解除合同</w:t>
      </w:r>
    </w:p>
    <w:p w14:paraId="7C4937D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承包人按16.1.1项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发包人违约的情形</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约定暂停施工满</w:t>
      </w:r>
      <w:r>
        <w:rPr>
          <w:rFonts w:hint="eastAsia" w:ascii="Times New Roman" w:hAnsi="Times New Roman"/>
          <w:color w:val="auto"/>
          <w:sz w:val="21"/>
          <w:szCs w:val="24"/>
          <w:highlight w:val="none"/>
          <w:u w:val="single"/>
        </w:rPr>
        <w:t>28</w:t>
      </w:r>
      <w:r>
        <w:rPr>
          <w:rFonts w:ascii="Times New Roman" w:hAnsi="Times New Roman"/>
          <w:color w:val="auto"/>
          <w:sz w:val="21"/>
          <w:szCs w:val="24"/>
          <w:highlight w:val="none"/>
        </w:rPr>
        <w:t>天后发包人仍不纠正其违约行为并致使合同目的不能实现的，承包人有权解除合同。</w:t>
      </w:r>
    </w:p>
    <w:p w14:paraId="6717675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16.2 承包人违约</w:t>
      </w:r>
    </w:p>
    <w:p w14:paraId="72B9627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16.2.1 承包人违约的情形</w:t>
      </w:r>
    </w:p>
    <w:p w14:paraId="5BFB5EEF">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6579996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16.2.2</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承包人违约的责任</w:t>
      </w:r>
    </w:p>
    <w:p w14:paraId="6783F57B">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承包人违约责任的承担方式和计算方法：</w:t>
      </w:r>
      <w:r>
        <w:rPr>
          <w:rFonts w:hint="eastAsia" w:ascii="Times New Roman" w:hAnsi="Times New Roman"/>
          <w:bCs/>
          <w:color w:val="auto"/>
          <w:kern w:val="2"/>
          <w:sz w:val="21"/>
          <w:szCs w:val="24"/>
          <w:highlight w:val="none"/>
          <w:u w:val="single"/>
        </w:rPr>
        <w:t xml:space="preserve">                               </w:t>
      </w:r>
      <w:r>
        <w:rPr>
          <w:rFonts w:hint="eastAsia" w:ascii="Times New Roman" w:hAnsi="Times New Roman"/>
          <w:bCs/>
          <w:color w:val="auto"/>
          <w:kern w:val="2"/>
          <w:sz w:val="21"/>
          <w:szCs w:val="24"/>
          <w:highlight w:val="none"/>
        </w:rPr>
        <w:t>。</w:t>
      </w:r>
    </w:p>
    <w:p w14:paraId="38BFC84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16.2.3 因承包人违约解除合同</w:t>
      </w:r>
    </w:p>
    <w:p w14:paraId="7824F169">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关于承包人违约解除合同的特别约定：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1816A6F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w:t>
      </w:r>
      <w:r>
        <w:rPr>
          <w:rFonts w:hint="eastAsia" w:ascii="Times New Roman" w:hAnsi="Times New Roman"/>
          <w:color w:val="auto"/>
          <w:sz w:val="21"/>
          <w:szCs w:val="24"/>
          <w:highlight w:val="none"/>
        </w:rPr>
        <w:t>继续</w:t>
      </w:r>
      <w:r>
        <w:rPr>
          <w:rFonts w:ascii="Times New Roman" w:hAnsi="Times New Roman"/>
          <w:color w:val="auto"/>
          <w:sz w:val="21"/>
          <w:szCs w:val="24"/>
          <w:highlight w:val="none"/>
        </w:rPr>
        <w:t>使用承包人在施工现场的材料、设备、临时工程、承包人文件和由承包人或以其名义编制的其他文件</w:t>
      </w:r>
      <w:r>
        <w:rPr>
          <w:rFonts w:hint="eastAsia" w:ascii="Times New Roman" w:hAnsi="Times New Roman"/>
          <w:color w:val="auto"/>
          <w:sz w:val="21"/>
          <w:szCs w:val="24"/>
          <w:highlight w:val="none"/>
        </w:rPr>
        <w:t>的费用承担方式</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w:t>
      </w:r>
    </w:p>
    <w:p w14:paraId="440212F3">
      <w:pPr>
        <w:keepNext/>
        <w:keepLines/>
        <w:spacing w:before="120" w:after="120" w:line="360" w:lineRule="auto"/>
        <w:jc w:val="left"/>
        <w:outlineLvl w:val="2"/>
        <w:rPr>
          <w:rFonts w:ascii="黑体" w:hAnsi="黑体" w:eastAsia="黑体"/>
          <w:bCs/>
          <w:color w:val="auto"/>
          <w:kern w:val="2"/>
          <w:sz w:val="24"/>
          <w:szCs w:val="24"/>
          <w:highlight w:val="none"/>
        </w:rPr>
      </w:pPr>
      <w:bookmarkStart w:id="566" w:name="_Toc351203649"/>
      <w:r>
        <w:rPr>
          <w:rFonts w:ascii="黑体" w:hAnsi="黑体" w:eastAsia="黑体"/>
          <w:bCs/>
          <w:color w:val="auto"/>
          <w:kern w:val="2"/>
          <w:sz w:val="24"/>
          <w:szCs w:val="24"/>
          <w:highlight w:val="none"/>
        </w:rPr>
        <w:t>17. 不可抗力</w:t>
      </w:r>
      <w:bookmarkEnd w:id="566"/>
      <w:r>
        <w:rPr>
          <w:rFonts w:ascii="黑体" w:hAnsi="黑体" w:eastAsia="黑体"/>
          <w:bCs/>
          <w:color w:val="auto"/>
          <w:kern w:val="2"/>
          <w:sz w:val="24"/>
          <w:szCs w:val="24"/>
          <w:highlight w:val="none"/>
        </w:rPr>
        <w:t xml:space="preserve"> </w:t>
      </w:r>
      <w:bookmarkEnd w:id="564"/>
    </w:p>
    <w:p w14:paraId="24D7C95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17.1 不可抗力的确认</w:t>
      </w:r>
    </w:p>
    <w:p w14:paraId="5472F2F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除通用合同条款约定的不可抗力事件之外，视为不可抗力的其他情形：</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p w14:paraId="5B8D341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17.4 因不可抗力解除合同</w:t>
      </w:r>
    </w:p>
    <w:p w14:paraId="06F0971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合同解除后，发包人应在商定或确定发包人应支付款项后</w:t>
      </w:r>
      <w:r>
        <w:rPr>
          <w:rFonts w:hint="eastAsia" w:ascii="Times New Roman" w:hAnsi="Times New Roman"/>
          <w:b/>
          <w:color w:val="auto"/>
          <w:kern w:val="2"/>
          <w:sz w:val="21"/>
          <w:szCs w:val="24"/>
          <w:highlight w:val="none"/>
          <w:u w:val="single"/>
        </w:rPr>
        <w:t>28</w:t>
      </w:r>
      <w:r>
        <w:rPr>
          <w:rFonts w:ascii="Times New Roman" w:hAnsi="Times New Roman"/>
          <w:color w:val="auto"/>
          <w:kern w:val="2"/>
          <w:sz w:val="21"/>
          <w:szCs w:val="24"/>
          <w:highlight w:val="none"/>
        </w:rPr>
        <w:t>天内完成款项的支付。</w:t>
      </w:r>
    </w:p>
    <w:p w14:paraId="6FBF3BFB">
      <w:pPr>
        <w:keepNext/>
        <w:keepLines/>
        <w:spacing w:before="120" w:after="120" w:line="360" w:lineRule="auto"/>
        <w:jc w:val="left"/>
        <w:outlineLvl w:val="2"/>
        <w:rPr>
          <w:rFonts w:ascii="黑体" w:hAnsi="黑体" w:eastAsia="黑体"/>
          <w:bCs/>
          <w:color w:val="auto"/>
          <w:kern w:val="2"/>
          <w:sz w:val="24"/>
          <w:szCs w:val="24"/>
          <w:highlight w:val="none"/>
        </w:rPr>
      </w:pPr>
      <w:bookmarkStart w:id="567" w:name="_Toc351203650"/>
      <w:r>
        <w:rPr>
          <w:rFonts w:ascii="黑体" w:hAnsi="黑体" w:eastAsia="黑体"/>
          <w:bCs/>
          <w:color w:val="auto"/>
          <w:kern w:val="2"/>
          <w:sz w:val="24"/>
          <w:szCs w:val="24"/>
          <w:highlight w:val="none"/>
        </w:rPr>
        <w:t>18. 保险</w:t>
      </w:r>
      <w:bookmarkEnd w:id="567"/>
    </w:p>
    <w:bookmarkEnd w:id="565"/>
    <w:p w14:paraId="7092AC3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18.1 工程保险</w:t>
      </w:r>
    </w:p>
    <w:p w14:paraId="4523A16A">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关于工程保险的特别约定：</w:t>
      </w:r>
      <w:r>
        <w:rPr>
          <w:rFonts w:hint="eastAsia" w:ascii="Times New Roman" w:hAnsi="Times New Roman"/>
          <w:b/>
          <w:color w:val="auto"/>
          <w:sz w:val="21"/>
          <w:szCs w:val="24"/>
          <w:highlight w:val="none"/>
          <w:u w:val="single"/>
        </w:rPr>
        <w:t>发包人应投保建筑工程一切险或安装工程一切险</w:t>
      </w:r>
      <w:r>
        <w:rPr>
          <w:rFonts w:ascii="Times New Roman" w:hAnsi="Times New Roman"/>
          <w:b/>
          <w:color w:val="auto"/>
          <w:sz w:val="21"/>
          <w:szCs w:val="24"/>
          <w:highlight w:val="none"/>
        </w:rPr>
        <w:t>。</w:t>
      </w:r>
    </w:p>
    <w:p w14:paraId="71B51DA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18.3 其他保险</w:t>
      </w:r>
    </w:p>
    <w:p w14:paraId="364DE1B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关于其他保险的约定：</w:t>
      </w:r>
      <w:r>
        <w:rPr>
          <w:rFonts w:hint="eastAsia" w:ascii="Times New Roman" w:hAnsi="Times New Roman"/>
          <w:b/>
          <w:color w:val="auto"/>
          <w:sz w:val="21"/>
          <w:szCs w:val="24"/>
          <w:highlight w:val="none"/>
          <w:u w:val="single"/>
        </w:rPr>
        <w:t>承包人须为其施工现场的全部人员办理意外伤害保险并支付保险费，包括其员工及为履行合同聘请的第三方的人员</w:t>
      </w:r>
      <w:r>
        <w:rPr>
          <w:rFonts w:ascii="Times New Roman" w:hAnsi="Times New Roman"/>
          <w:color w:val="auto"/>
          <w:sz w:val="21"/>
          <w:szCs w:val="24"/>
          <w:highlight w:val="none"/>
        </w:rPr>
        <w:t>。</w:t>
      </w:r>
    </w:p>
    <w:p w14:paraId="198AB06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承包人是否应为其施工设备等办理财产保险：</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096F3092">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18.7 通知义务</w:t>
      </w:r>
    </w:p>
    <w:p w14:paraId="55CF45AF">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关于变更保险合同时的通知义务的约定：</w:t>
      </w:r>
      <w:r>
        <w:rPr>
          <w:rFonts w:hint="eastAsia" w:ascii="Times New Roman" w:hAnsi="Times New Roman"/>
          <w:b/>
          <w:color w:val="auto"/>
          <w:sz w:val="21"/>
          <w:szCs w:val="24"/>
          <w:highlight w:val="none"/>
          <w:u w:val="single"/>
        </w:rPr>
        <w:t>执行通用条款</w:t>
      </w:r>
      <w:r>
        <w:rPr>
          <w:rFonts w:ascii="Times New Roman" w:hAnsi="Times New Roman"/>
          <w:b/>
          <w:color w:val="auto"/>
          <w:kern w:val="2"/>
          <w:sz w:val="21"/>
          <w:szCs w:val="24"/>
          <w:highlight w:val="none"/>
        </w:rPr>
        <w:t>。</w:t>
      </w:r>
    </w:p>
    <w:bookmarkEnd w:id="541"/>
    <w:bookmarkEnd w:id="542"/>
    <w:bookmarkEnd w:id="543"/>
    <w:bookmarkEnd w:id="544"/>
    <w:bookmarkEnd w:id="545"/>
    <w:bookmarkEnd w:id="546"/>
    <w:bookmarkEnd w:id="547"/>
    <w:bookmarkEnd w:id="548"/>
    <w:bookmarkEnd w:id="549"/>
    <w:bookmarkEnd w:id="550"/>
    <w:bookmarkEnd w:id="551"/>
    <w:bookmarkEnd w:id="552"/>
    <w:p w14:paraId="03DE89EB">
      <w:pPr>
        <w:keepNext/>
        <w:keepLines/>
        <w:spacing w:before="120" w:after="120" w:line="360" w:lineRule="auto"/>
        <w:jc w:val="left"/>
        <w:outlineLvl w:val="2"/>
        <w:rPr>
          <w:rFonts w:ascii="黑体" w:hAnsi="黑体" w:eastAsia="黑体"/>
          <w:bCs/>
          <w:color w:val="auto"/>
          <w:kern w:val="2"/>
          <w:sz w:val="24"/>
          <w:szCs w:val="24"/>
          <w:highlight w:val="none"/>
        </w:rPr>
      </w:pPr>
      <w:bookmarkStart w:id="568" w:name="_Toc351203651"/>
      <w:r>
        <w:rPr>
          <w:rFonts w:ascii="黑体" w:hAnsi="黑体" w:eastAsia="黑体"/>
          <w:bCs/>
          <w:color w:val="auto"/>
          <w:kern w:val="2"/>
          <w:sz w:val="24"/>
          <w:szCs w:val="24"/>
          <w:highlight w:val="none"/>
        </w:rPr>
        <w:t>20. 争议解决</w:t>
      </w:r>
      <w:bookmarkEnd w:id="568"/>
    </w:p>
    <w:bookmarkEnd w:id="553"/>
    <w:bookmarkEnd w:id="554"/>
    <w:p w14:paraId="564FEB4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20.3 争</w:t>
      </w:r>
      <w:bookmarkEnd w:id="555"/>
      <w:r>
        <w:rPr>
          <w:rFonts w:ascii="Arial" w:hAnsi="Arial" w:eastAsia="黑体"/>
          <w:bCs/>
          <w:color w:val="auto"/>
          <w:kern w:val="2"/>
          <w:sz w:val="21"/>
          <w:szCs w:val="28"/>
          <w:highlight w:val="none"/>
        </w:rPr>
        <w:t>议评审</w:t>
      </w:r>
    </w:p>
    <w:p w14:paraId="3799CC8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合同当事人是否同意将工程争议提交争议评审小组决</w:t>
      </w:r>
      <w:r>
        <w:rPr>
          <w:rFonts w:hint="eastAsia" w:ascii="Times New Roman" w:hAnsi="Times New Roman"/>
          <w:color w:val="auto"/>
          <w:kern w:val="2"/>
          <w:sz w:val="21"/>
          <w:szCs w:val="24"/>
          <w:highlight w:val="none"/>
        </w:rPr>
        <w:t>定：</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 xml:space="preserve">。  </w:t>
      </w:r>
    </w:p>
    <w:p w14:paraId="6D4BDCA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20.3.1 争议评审小组的确定</w:t>
      </w:r>
    </w:p>
    <w:p w14:paraId="221549B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争议评审小组成员的确定：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83E658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选定争议评审员的期限：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89F382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争议评审小组成员的报酬承担方式：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5B7BC0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其他事项的约定：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445AEF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20.3.2 争议评审小组的决定</w:t>
      </w:r>
    </w:p>
    <w:p w14:paraId="0ADCB7D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合同当事人关于本项的约定：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DFED6D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仲裁或诉讼</w:t>
      </w:r>
      <w:bookmarkEnd w:id="556"/>
    </w:p>
    <w:p w14:paraId="61597EC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因合同及合同有关事项发生的争议，按下列第</w:t>
      </w:r>
      <w:r>
        <w:rPr>
          <w:rFonts w:hint="eastAsia" w:ascii="Times New Roman" w:hAnsi="Times New Roman"/>
          <w:b/>
          <w:color w:val="auto"/>
          <w:kern w:val="2"/>
          <w:sz w:val="21"/>
          <w:szCs w:val="24"/>
          <w:highlight w:val="none"/>
          <w:u w:val="single"/>
        </w:rPr>
        <w:t>(2)</w:t>
      </w:r>
      <w:r>
        <w:rPr>
          <w:rFonts w:ascii="Times New Roman" w:hAnsi="Times New Roman"/>
          <w:color w:val="auto"/>
          <w:kern w:val="2"/>
          <w:sz w:val="21"/>
          <w:szCs w:val="24"/>
          <w:highlight w:val="none"/>
        </w:rPr>
        <w:t>种方式</w:t>
      </w:r>
      <w:r>
        <w:rPr>
          <w:rFonts w:hint="eastAsia" w:ascii="Times New Roman" w:hAnsi="Times New Roman"/>
          <w:color w:val="auto"/>
          <w:kern w:val="2"/>
          <w:sz w:val="21"/>
          <w:szCs w:val="24"/>
          <w:highlight w:val="none"/>
        </w:rPr>
        <w:t>解</w:t>
      </w:r>
      <w:r>
        <w:rPr>
          <w:rFonts w:ascii="Times New Roman" w:hAnsi="Times New Roman"/>
          <w:color w:val="auto"/>
          <w:kern w:val="2"/>
          <w:sz w:val="21"/>
          <w:szCs w:val="24"/>
          <w:highlight w:val="none"/>
        </w:rPr>
        <w:t>决：</w:t>
      </w:r>
    </w:p>
    <w:p w14:paraId="283234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（1）向</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w:t>
      </w:r>
      <w:r>
        <w:rPr>
          <w:rFonts w:ascii="Times New Roman" w:hAnsi="Times New Roman"/>
          <w:color w:val="auto"/>
          <w:kern w:val="2"/>
          <w:sz w:val="21"/>
          <w:szCs w:val="24"/>
          <w:highlight w:val="none"/>
        </w:rPr>
        <w:t>仲裁委员会申请仲裁；</w:t>
      </w:r>
    </w:p>
    <w:p w14:paraId="3673AA9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（2）向</w:t>
      </w:r>
      <w:r>
        <w:rPr>
          <w:rFonts w:hint="eastAsia" w:ascii="Times New Roman" w:hAnsi="Times New Roman"/>
          <w:b/>
          <w:color w:val="auto"/>
          <w:kern w:val="2"/>
          <w:sz w:val="21"/>
          <w:szCs w:val="24"/>
          <w:highlight w:val="none"/>
          <w:u w:val="single"/>
        </w:rPr>
        <w:t>工程所在地</w:t>
      </w:r>
      <w:r>
        <w:rPr>
          <w:rFonts w:ascii="Times New Roman" w:hAnsi="Times New Roman"/>
          <w:color w:val="auto"/>
          <w:kern w:val="2"/>
          <w:sz w:val="21"/>
          <w:szCs w:val="24"/>
          <w:highlight w:val="none"/>
        </w:rPr>
        <w:t>人民法院起诉。</w:t>
      </w:r>
      <w:bookmarkEnd w:id="557"/>
      <w:bookmarkEnd w:id="558"/>
      <w:bookmarkEnd w:id="559"/>
      <w:bookmarkEnd w:id="560"/>
      <w:bookmarkEnd w:id="561"/>
      <w:bookmarkEnd w:id="562"/>
    </w:p>
    <w:p w14:paraId="26052772">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21. 补充条款</w:t>
      </w:r>
      <w:r>
        <w:rPr>
          <w:rFonts w:ascii="黑体" w:hAnsi="黑体" w:eastAsia="黑体"/>
          <w:bCs/>
          <w:color w:val="auto"/>
          <w:kern w:val="2"/>
          <w:sz w:val="24"/>
          <w:szCs w:val="24"/>
          <w:highlight w:val="none"/>
        </w:rPr>
        <w:t xml:space="preserve"> </w:t>
      </w:r>
    </w:p>
    <w:p w14:paraId="7D459E3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本补充条款是专用条款的一部分，其解释顺序优先于专用条款内的其他条款。</w:t>
      </w:r>
    </w:p>
    <w:p w14:paraId="3EE162D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人员及职责</w:t>
      </w:r>
    </w:p>
    <w:p w14:paraId="3391A3A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发包人委派的发包人代表或监理工程师（以下简称“工程师”）无权更改合同，也无权解除发包人和承包人的义务和责任。</w:t>
      </w:r>
    </w:p>
    <w:p w14:paraId="4705B2C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1.1.2</w:t>
      </w:r>
      <w:r>
        <w:rPr>
          <w:rFonts w:hint="eastAsia" w:ascii="Times New Roman" w:hAnsi="Times New Roman"/>
          <w:color w:val="auto"/>
          <w:sz w:val="21"/>
          <w:szCs w:val="24"/>
          <w:highlight w:val="none"/>
        </w:rPr>
        <w:t xml:space="preserve"> 发包人代表的任何批准、检查、证书、同意、通知、建议、检验、指令和要求等不解除承包人在合同中的责任。</w:t>
      </w:r>
    </w:p>
    <w:p w14:paraId="5ACB8FF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1.1.3</w:t>
      </w:r>
      <w:r>
        <w:rPr>
          <w:rFonts w:hint="eastAsia" w:ascii="Times New Roman" w:hAnsi="Times New Roman"/>
          <w:color w:val="auto"/>
          <w:sz w:val="21"/>
          <w:szCs w:val="24"/>
          <w:highlight w:val="none"/>
        </w:rPr>
        <w:t xml:space="preserve"> 承包人只能从发包人代表或其授权代表处接受指令。</w:t>
      </w:r>
    </w:p>
    <w:p w14:paraId="4D3B708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1.1.4</w:t>
      </w:r>
      <w:r>
        <w:rPr>
          <w:rFonts w:hint="eastAsia" w:ascii="Times New Roman" w:hAnsi="Times New Roman"/>
          <w:color w:val="auto"/>
          <w:sz w:val="21"/>
          <w:szCs w:val="24"/>
          <w:highlight w:val="none"/>
        </w:rPr>
        <w:t xml:space="preserve"> 发包人如需更换发包人代表须提前</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天通知承包人。</w:t>
      </w:r>
    </w:p>
    <w:p w14:paraId="7CABB06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1.1.5</w:t>
      </w:r>
      <w:r>
        <w:rPr>
          <w:rFonts w:hint="eastAsia" w:ascii="Times New Roman" w:hAnsi="Times New Roman"/>
          <w:color w:val="auto"/>
          <w:sz w:val="21"/>
          <w:szCs w:val="24"/>
          <w:highlight w:val="none"/>
        </w:rPr>
        <w:t xml:space="preserve"> </w:t>
      </w:r>
      <w:r>
        <w:rPr>
          <w:rFonts w:hint="eastAsia"/>
          <w:color w:val="auto"/>
          <w:sz w:val="21"/>
          <w:szCs w:val="18"/>
          <w:highlight w:val="none"/>
        </w:rPr>
        <w:t>承包人</w:t>
      </w:r>
      <w:r>
        <w:rPr>
          <w:rFonts w:hint="eastAsia" w:ascii="Times New Roman" w:hAnsi="Times New Roman"/>
          <w:color w:val="auto"/>
          <w:sz w:val="21"/>
          <w:szCs w:val="24"/>
          <w:highlight w:val="none"/>
        </w:rPr>
        <w:t>委任的项目经理、项目技术负责人、各专业负责人（其他主要管理人员和技术人员）及施工机械等在整个项目施工期内必须在位。</w:t>
      </w:r>
    </w:p>
    <w:p w14:paraId="12B2B58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承包人的项目经理离开现场的，须经发包人代表同意，并书面指定临时代表，代为行使项目经理的权力；该临时代表的一切行为，甲方均认为是项目经理的行为。</w:t>
      </w:r>
    </w:p>
    <w:p w14:paraId="5A1DEAAE">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0E5E215">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149CC389">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8 承包人雇佣职员或工人应遵守相关法律法规的规定。</w:t>
      </w:r>
    </w:p>
    <w:p w14:paraId="199B7F79">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9 参与本项目的承包人代表或其雇员不遵守合同规定或一贯行为不轨</w:t>
      </w:r>
      <w:r>
        <w:rPr>
          <w:rFonts w:hint="eastAsia" w:ascii="Times New Roman" w:hAnsi="Times New Roman"/>
          <w:color w:val="auto"/>
          <w:kern w:val="2"/>
          <w:sz w:val="21"/>
          <w:szCs w:val="24"/>
          <w:highlight w:val="none"/>
          <w:lang w:eastAsia="zh-CN"/>
        </w:rPr>
        <w:t>或</w:t>
      </w:r>
      <w:r>
        <w:rPr>
          <w:rFonts w:hint="eastAsia" w:ascii="Times New Roman" w:hAnsi="Times New Roman"/>
          <w:color w:val="auto"/>
          <w:kern w:val="2"/>
          <w:sz w:val="21"/>
          <w:szCs w:val="24"/>
          <w:highlight w:val="none"/>
        </w:rPr>
        <w:t>不能胜任工作或危害安全，发包人代表有权要求更换；原人选未经发包人许可不得再进入本项目（包括项目经理在内）。</w:t>
      </w:r>
    </w:p>
    <w:p w14:paraId="35293C43">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1.1.1</w:t>
      </w:r>
      <w:r>
        <w:rPr>
          <w:rFonts w:hint="eastAsia" w:ascii="Times New Roman" w:hAnsi="Times New Roman"/>
          <w:color w:val="auto"/>
          <w:kern w:val="2"/>
          <w:sz w:val="21"/>
          <w:szCs w:val="24"/>
          <w:highlight w:val="none"/>
        </w:rPr>
        <w:t>0 承包人更换项目经理的，须提前</w:t>
      </w:r>
      <w:r>
        <w:rPr>
          <w:rFonts w:ascii="Times New Roman" w:hAnsi="Times New Roman"/>
          <w:color w:val="auto"/>
          <w:kern w:val="2"/>
          <w:sz w:val="21"/>
          <w:szCs w:val="24"/>
          <w:highlight w:val="none"/>
        </w:rPr>
        <w:t>14</w:t>
      </w:r>
      <w:r>
        <w:rPr>
          <w:rFonts w:hint="eastAsia" w:ascii="Times New Roman" w:hAnsi="Times New Roman"/>
          <w:color w:val="auto"/>
          <w:kern w:val="2"/>
          <w:sz w:val="21"/>
          <w:szCs w:val="24"/>
          <w:highlight w:val="none"/>
        </w:rPr>
        <w:t>天通知发包人，并征得发包人同意；该行为视为违约，承包人须支付发包人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万元违约金。更换后的项目经理资历、水平不得降低。</w:t>
      </w:r>
    </w:p>
    <w:p w14:paraId="3704DB8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1.2</w:t>
      </w:r>
      <w:r>
        <w:rPr>
          <w:rFonts w:hint="eastAsia" w:ascii="Arial" w:hAnsi="Arial" w:eastAsia="黑体"/>
          <w:bCs/>
          <w:color w:val="auto"/>
          <w:kern w:val="2"/>
          <w:sz w:val="21"/>
          <w:szCs w:val="28"/>
          <w:highlight w:val="none"/>
        </w:rPr>
        <w:t xml:space="preserve"> 变更与调整</w:t>
      </w:r>
    </w:p>
    <w:p w14:paraId="715545D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1.2.1</w:t>
      </w:r>
      <w:r>
        <w:rPr>
          <w:rFonts w:hint="eastAsia" w:ascii="Times New Roman" w:hAnsi="Times New Roman"/>
          <w:color w:val="auto"/>
          <w:sz w:val="21"/>
          <w:szCs w:val="24"/>
          <w:highlight w:val="none"/>
        </w:rPr>
        <w:t xml:space="preserve"> 在工程移交前，发包人代表有权签发变更指令，承包人应按照指令来实施变更，并进行工期和费用的估算，提交发包人代表。</w:t>
      </w:r>
    </w:p>
    <w:p w14:paraId="4B36A92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1.2.2</w:t>
      </w:r>
      <w:r>
        <w:rPr>
          <w:rFonts w:hint="eastAsia" w:ascii="Times New Roman" w:hAnsi="Times New Roman"/>
          <w:color w:val="auto"/>
          <w:sz w:val="21"/>
          <w:szCs w:val="24"/>
          <w:highlight w:val="none"/>
        </w:rPr>
        <w:t xml:space="preserve"> 发包人代表收到承包人的估算后，可以决定撤销、修改或确认实施该项变更。</w:t>
      </w:r>
    </w:p>
    <w:p w14:paraId="72ACDC3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1.2.3</w:t>
      </w:r>
      <w:r>
        <w:rPr>
          <w:rFonts w:hint="eastAsia" w:ascii="Times New Roman" w:hAnsi="Times New Roman"/>
          <w:color w:val="auto"/>
          <w:sz w:val="21"/>
          <w:szCs w:val="24"/>
          <w:highlight w:val="none"/>
        </w:rPr>
        <w:t xml:space="preserve"> 如果承包人认为自己的建议能缩短工期、降低工程实施或运营成本，或对业主产生其他利益，可以向发包人代表提交建议书；建议书的编制费用自理。</w:t>
      </w:r>
    </w:p>
    <w:p w14:paraId="0630434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1.2.4</w:t>
      </w:r>
      <w:r>
        <w:rPr>
          <w:rFonts w:hint="eastAsia" w:ascii="Times New Roman" w:hAnsi="Times New Roman"/>
          <w:color w:val="auto"/>
          <w:sz w:val="21"/>
          <w:szCs w:val="24"/>
          <w:highlight w:val="none"/>
        </w:rPr>
        <w:t xml:space="preserve"> 如果发包人采纳承包人的建议节省了工程费用，将给予承包人节约费用适当比例的奖励。</w:t>
      </w:r>
    </w:p>
    <w:p w14:paraId="75CA773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1.2.5</w:t>
      </w:r>
      <w:r>
        <w:rPr>
          <w:rFonts w:hint="eastAsia" w:ascii="Times New Roman" w:hAnsi="Times New Roman"/>
          <w:color w:val="auto"/>
          <w:sz w:val="21"/>
          <w:szCs w:val="24"/>
          <w:highlight w:val="none"/>
        </w:rPr>
        <w:t xml:space="preserve"> 上一款中节省费用的计算方法为：降低的合同额度减去因变更而引起在工程质量、寿命、以及运营效率等方面为发包人带来的潜在损失。</w:t>
      </w:r>
    </w:p>
    <w:p w14:paraId="09B7E6C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1.2.6</w:t>
      </w:r>
      <w:r>
        <w:rPr>
          <w:rFonts w:hint="eastAsia" w:ascii="Times New Roman" w:hAnsi="Times New Roman"/>
          <w:color w:val="auto"/>
          <w:sz w:val="21"/>
          <w:szCs w:val="24"/>
          <w:highlight w:val="none"/>
        </w:rPr>
        <w:t xml:space="preserve"> 任何变更指令都应由发包人代表签发给承包人，承包人收到后应回函说明；涉及到费用调整的，按照相关条款执行。</w:t>
      </w:r>
    </w:p>
    <w:p w14:paraId="4078200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1.2.7</w:t>
      </w:r>
      <w:r>
        <w:rPr>
          <w:rFonts w:hint="eastAsia" w:ascii="Times New Roman" w:hAnsi="Times New Roman"/>
          <w:color w:val="auto"/>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40C8C09A">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1.2.8</w:t>
      </w:r>
      <w:r>
        <w:rPr>
          <w:rFonts w:hint="eastAsia" w:ascii="Times New Roman" w:hAnsi="Times New Roman"/>
          <w:color w:val="auto"/>
          <w:sz w:val="21"/>
          <w:szCs w:val="24"/>
          <w:highlight w:val="none"/>
        </w:rPr>
        <w:t xml:space="preserve"> 未经发包人代表批准，承包人不得对工程进行任何变更。</w:t>
      </w:r>
    </w:p>
    <w:p w14:paraId="03CA937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分包与配合</w:t>
      </w:r>
    </w:p>
    <w:p w14:paraId="22A1B40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1.3.1</w:t>
      </w:r>
      <w:r>
        <w:rPr>
          <w:rFonts w:hint="eastAsia" w:ascii="Times New Roman" w:hAnsi="Times New Roman"/>
          <w:color w:val="auto"/>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7901C20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1.3.2</w:t>
      </w:r>
      <w:r>
        <w:rPr>
          <w:rFonts w:hint="eastAsia" w:ascii="Times New Roman" w:hAnsi="Times New Roman"/>
          <w:color w:val="auto"/>
          <w:sz w:val="21"/>
          <w:szCs w:val="24"/>
          <w:highlight w:val="none"/>
        </w:rPr>
        <w:t xml:space="preserve"> 发包人分包的专业工程范围如下：</w:t>
      </w:r>
      <w:r>
        <w:rPr>
          <w:rFonts w:ascii="Times New Roman" w:hAnsi="Times New Roman"/>
          <w:color w:val="auto"/>
          <w:sz w:val="21"/>
          <w:szCs w:val="24"/>
          <w:highlight w:val="none"/>
        </w:rPr>
        <w:t xml:space="preserve"> </w:t>
      </w:r>
    </w:p>
    <w:p w14:paraId="7F438C0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4D840B3D">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11F1DEC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1.3.3</w:t>
      </w:r>
      <w:r>
        <w:rPr>
          <w:rFonts w:hint="eastAsia" w:ascii="Times New Roman" w:hAnsi="Times New Roman"/>
          <w:color w:val="auto"/>
          <w:sz w:val="21"/>
          <w:szCs w:val="24"/>
          <w:highlight w:val="none"/>
        </w:rPr>
        <w:t xml:space="preserve"> 发包人通过招标方式选择专业工程分包施工单位，承包人参与分包工程的招标，认可招标结果，并作为总包单位与分包工程的成交人（以下简称“分包人”）签订工程分包施工合同。</w:t>
      </w:r>
    </w:p>
    <w:p w14:paraId="27082C4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1.3.4</w:t>
      </w:r>
      <w:r>
        <w:rPr>
          <w:rFonts w:hint="eastAsia" w:ascii="Times New Roman" w:hAnsi="Times New Roman"/>
          <w:color w:val="auto"/>
          <w:sz w:val="21"/>
          <w:szCs w:val="24"/>
          <w:highlight w:val="none"/>
        </w:rPr>
        <w:t xml:space="preserve"> 发包人支付给承包人专业分包工程合同价款（不含设备价格）的</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作为总承包服务配合费用，承包人不得向分包人收取其他费用；该项费用包括但不限于以下内容：</w:t>
      </w:r>
    </w:p>
    <w:p w14:paraId="5142B62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）乙方承担总包责任所发生的费用。</w:t>
      </w:r>
    </w:p>
    <w:p w14:paraId="6D93359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）“分包工程”施工完毕、土建工程的收尾和修复以及使用承包人的施工所用水电管线等费用（水电费用装表计量，按照实际用量结算）。</w:t>
      </w:r>
    </w:p>
    <w:p w14:paraId="3A557FD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）分包人使用承包人现场临时工程及在用的脚手架、塔吊、施工电梯等费用。</w:t>
      </w:r>
    </w:p>
    <w:p w14:paraId="09840E9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4</w:t>
      </w:r>
      <w:r>
        <w:rPr>
          <w:rFonts w:hint="eastAsia" w:ascii="Times New Roman" w:hAnsi="Times New Roman"/>
          <w:color w:val="auto"/>
          <w:sz w:val="21"/>
          <w:szCs w:val="24"/>
          <w:highlight w:val="none"/>
        </w:rPr>
        <w:t>）分包人使用工程的施工道路，到总包单位搭伙，使用总包单位的卫生间等。</w:t>
      </w:r>
    </w:p>
    <w:p w14:paraId="6795445A">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5</w:t>
      </w:r>
      <w:r>
        <w:rPr>
          <w:rFonts w:hint="eastAsia" w:ascii="Times New Roman" w:hAnsi="Times New Roman"/>
          <w:color w:val="auto"/>
          <w:sz w:val="21"/>
          <w:szCs w:val="24"/>
          <w:highlight w:val="none"/>
        </w:rPr>
        <w:t>）门窗洞口、安装工程管道口、楼地面墙面凿洞、槽等的后塞及修补等，以及整个工程的安全保卫等。</w:t>
      </w:r>
    </w:p>
    <w:p w14:paraId="6F74435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6</w:t>
      </w:r>
      <w:r>
        <w:rPr>
          <w:rFonts w:hint="eastAsia" w:ascii="Times New Roman" w:hAnsi="Times New Roman"/>
          <w:color w:val="auto"/>
          <w:sz w:val="21"/>
          <w:szCs w:val="24"/>
          <w:highlight w:val="none"/>
        </w:rPr>
        <w:t>）为分包人提供标高、轴线、定位，隐蔽工程指引等。</w:t>
      </w:r>
    </w:p>
    <w:p w14:paraId="315E6BD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）分包人的工程资料收集整理和移交；工程质量的检验和验收。</w:t>
      </w:r>
    </w:p>
    <w:p w14:paraId="5AABAC7D">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8</w:t>
      </w:r>
      <w:r>
        <w:rPr>
          <w:rFonts w:hint="eastAsia" w:ascii="Times New Roman" w:hAnsi="Times New Roman"/>
          <w:color w:val="auto"/>
          <w:sz w:val="21"/>
          <w:szCs w:val="24"/>
          <w:highlight w:val="none"/>
        </w:rPr>
        <w:t>）保证分包工程在施工期间有足够的工作面，保证其按时开工和连续施工，并承担因乙方原因使分包工程不能按时开工和配合不及时造成的工期延误责任。</w:t>
      </w:r>
    </w:p>
    <w:p w14:paraId="4DF534C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1.3.5</w:t>
      </w:r>
      <w:r>
        <w:rPr>
          <w:rFonts w:hint="eastAsia" w:ascii="Times New Roman" w:hAnsi="Times New Roman"/>
          <w:color w:val="auto"/>
          <w:sz w:val="21"/>
          <w:szCs w:val="24"/>
          <w:highlight w:val="none"/>
        </w:rPr>
        <w:t xml:space="preserve"> 配合工程：是指某一位于施工现场内或现场外的工程，并非由承包人施工或总包，但与承包人的工程有一定联系，需要承包人配合的工程；配合工程如下：</w:t>
      </w:r>
    </w:p>
    <w:p w14:paraId="76B5538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7C431CD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0F93A04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1.3.6</w:t>
      </w:r>
      <w:r>
        <w:rPr>
          <w:rFonts w:hint="eastAsia" w:ascii="Times New Roman" w:hAnsi="Times New Roman"/>
          <w:color w:val="auto"/>
          <w:sz w:val="21"/>
          <w:szCs w:val="24"/>
          <w:highlight w:val="none"/>
        </w:rPr>
        <w:t xml:space="preserve"> 对于配合工程，承包人除不需要承办总包责任外，其他责任和义务同分包工程；发包人给予承包人</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万元作为承包人承担配合工作的配合费用。</w:t>
      </w:r>
    </w:p>
    <w:p w14:paraId="214E804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1.3.7</w:t>
      </w:r>
      <w:r>
        <w:rPr>
          <w:rFonts w:hint="eastAsia" w:ascii="Times New Roman" w:hAnsi="Times New Roman"/>
          <w:color w:val="auto"/>
          <w:sz w:val="21"/>
          <w:szCs w:val="24"/>
          <w:highlight w:val="none"/>
        </w:rPr>
        <w:t xml:space="preserve"> 凡在与已交工工程有关联的部位施工时，必须提前向甲方提出书面联系单，经甲方同意，并签字后方可施工。</w:t>
      </w:r>
    </w:p>
    <w:p w14:paraId="56EE44F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1.4</w:t>
      </w:r>
      <w:r>
        <w:rPr>
          <w:rFonts w:hint="eastAsia" w:ascii="Arial" w:hAnsi="Arial" w:eastAsia="黑体"/>
          <w:bCs/>
          <w:color w:val="auto"/>
          <w:kern w:val="2"/>
          <w:sz w:val="21"/>
          <w:szCs w:val="28"/>
          <w:highlight w:val="none"/>
        </w:rPr>
        <w:t xml:space="preserve"> 结算</w:t>
      </w:r>
    </w:p>
    <w:p w14:paraId="08602F9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1.4.1</w:t>
      </w:r>
      <w:r>
        <w:rPr>
          <w:rFonts w:hint="eastAsia" w:ascii="Times New Roman" w:hAnsi="Times New Roman"/>
          <w:color w:val="auto"/>
          <w:sz w:val="21"/>
          <w:szCs w:val="24"/>
          <w:highlight w:val="none"/>
        </w:rPr>
        <w:t xml:space="preserve"> 承包人的报价（合同价款）是承包人基于业主提供的资料和现场数据及承包人的解释和现场考察计算出来的，覆盖了完成合同义务所包括的一切工作，不得以漏项或考虑不周提出索赔。</w:t>
      </w:r>
    </w:p>
    <w:p w14:paraId="5829B7DB">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1.4.2</w:t>
      </w:r>
      <w:r>
        <w:rPr>
          <w:rFonts w:hint="eastAsia" w:ascii="Times New Roman" w:hAnsi="Times New Roman"/>
          <w:color w:val="auto"/>
          <w:sz w:val="21"/>
          <w:szCs w:val="24"/>
          <w:highlight w:val="none"/>
        </w:rPr>
        <w:t xml:space="preserve"> 水电费的结算：</w:t>
      </w:r>
    </w:p>
    <w:p w14:paraId="74B5428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）发包人在现场安装计量装置，承包人负责施工期间的保护，并在工程移交的同时完好地移交给发包人。</w:t>
      </w:r>
    </w:p>
    <w:p w14:paraId="6A46B0E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）承包人报价已经包含水电费用，工程结算时按照发包人实际缴纳的水电费在结算价（税前）中扣除。</w:t>
      </w:r>
    </w:p>
    <w:p w14:paraId="30EEC87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）因承包人保护不善造成计量装置损坏，承包人负责修复，并承担由此造成的增加费用（包括修复费用和水电损失费用以及可能发生的罚款或其他费用）。</w:t>
      </w:r>
    </w:p>
    <w:p w14:paraId="36C8630D">
      <w:pPr>
        <w:adjustRightInd w:val="0"/>
        <w:spacing w:line="360" w:lineRule="auto"/>
        <w:ind w:firstLine="420" w:firstLineChars="200"/>
        <w:rPr>
          <w:rFonts w:ascii="Times New Roman" w:hAnsi="Times New Roman"/>
          <w:color w:val="auto"/>
          <w:sz w:val="21"/>
          <w:szCs w:val="24"/>
          <w:highlight w:val="none"/>
          <w:u w:val="single" w:color="FFFFFF"/>
        </w:rPr>
      </w:pPr>
      <w:r>
        <w:rPr>
          <w:rFonts w:hint="eastAsia" w:ascii="Times New Roman" w:hAnsi="Times New Roman"/>
          <w:color w:val="auto"/>
          <w:sz w:val="21"/>
          <w:szCs w:val="24"/>
          <w:highlight w:val="none"/>
          <w:u w:val="single" w:color="FFFFFF"/>
        </w:rPr>
        <w:t>2</w:t>
      </w:r>
      <w:r>
        <w:rPr>
          <w:rFonts w:ascii="Times New Roman" w:hAnsi="Times New Roman"/>
          <w:color w:val="auto"/>
          <w:sz w:val="21"/>
          <w:szCs w:val="24"/>
          <w:highlight w:val="none"/>
          <w:u w:val="single" w:color="FFFFFF"/>
        </w:rPr>
        <w:t>1.4.3</w:t>
      </w:r>
      <w:r>
        <w:rPr>
          <w:rFonts w:hint="eastAsia" w:ascii="Times New Roman" w:hAnsi="Times New Roman"/>
          <w:color w:val="auto"/>
          <w:sz w:val="21"/>
          <w:szCs w:val="24"/>
          <w:highlight w:val="none"/>
          <w:u w:val="single" w:color="FFFFFF"/>
        </w:rPr>
        <w:t xml:space="preserve"> 发包人供应材料设备的结算：材料按照总价的</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计取保管费（材料数量最多不超过设计文件的用量（可以计算定额损耗））；设备按照总价的</w:t>
      </w:r>
      <w:r>
        <w:rPr>
          <w:rFonts w:ascii="Times New Roman" w:hAnsi="Times New Roman"/>
          <w:color w:val="auto"/>
          <w:sz w:val="21"/>
          <w:szCs w:val="24"/>
          <w:highlight w:val="none"/>
          <w:u w:val="single" w:color="FFFFFF"/>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计取保管费；此费用仅计取税金。</w:t>
      </w:r>
    </w:p>
    <w:p w14:paraId="149F820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1.4.4</w:t>
      </w:r>
      <w:r>
        <w:rPr>
          <w:rFonts w:hint="eastAsia" w:ascii="Times New Roman" w:hAnsi="Times New Roman"/>
          <w:color w:val="auto"/>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5E2103A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5 对于发包人提供的工程量清单中工程量的错误，承包人未在</w:t>
      </w:r>
      <w:r>
        <w:rPr>
          <w:rFonts w:hint="eastAsia" w:ascii="Times New Roman" w:hAnsi="Times New Roman"/>
          <w:color w:val="auto"/>
          <w:sz w:val="21"/>
          <w:szCs w:val="24"/>
          <w:highlight w:val="none"/>
          <w:lang w:eastAsia="zh-CN"/>
        </w:rPr>
        <w:t>比选</w:t>
      </w:r>
      <w:r>
        <w:rPr>
          <w:rFonts w:hint="eastAsia" w:ascii="Times New Roman" w:hAnsi="Times New Roman"/>
          <w:color w:val="auto"/>
          <w:sz w:val="21"/>
          <w:szCs w:val="24"/>
          <w:highlight w:val="none"/>
        </w:rPr>
        <w:t>文件规定的异议截止日期前提出异议并附计算书的，工程结算时不再调整。</w:t>
      </w:r>
    </w:p>
    <w:p w14:paraId="0823F3B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6 对于发包人提供的工程量清单中单项子目工程量的误差，承包人在</w:t>
      </w:r>
      <w:r>
        <w:rPr>
          <w:rFonts w:hint="eastAsia" w:ascii="Times New Roman" w:hAnsi="Times New Roman"/>
          <w:color w:val="auto"/>
          <w:sz w:val="21"/>
          <w:szCs w:val="24"/>
          <w:highlight w:val="none"/>
          <w:lang w:eastAsia="zh-CN"/>
        </w:rPr>
        <w:t>比选</w:t>
      </w:r>
      <w:r>
        <w:rPr>
          <w:rFonts w:hint="eastAsia" w:ascii="Times New Roman" w:hAnsi="Times New Roman"/>
          <w:color w:val="auto"/>
          <w:sz w:val="21"/>
          <w:szCs w:val="24"/>
          <w:highlight w:val="none"/>
        </w:rPr>
        <w:t>文件规定的截止日期前提出异议未被</w:t>
      </w:r>
      <w:r>
        <w:rPr>
          <w:rFonts w:hint="eastAsia"/>
          <w:color w:val="auto"/>
          <w:sz w:val="21"/>
          <w:szCs w:val="18"/>
          <w:highlight w:val="none"/>
        </w:rPr>
        <w:t>业主单位</w:t>
      </w:r>
      <w:r>
        <w:rPr>
          <w:rFonts w:hint="eastAsia" w:ascii="Times New Roman" w:hAnsi="Times New Roman"/>
          <w:color w:val="auto"/>
          <w:sz w:val="21"/>
          <w:szCs w:val="24"/>
          <w:highlight w:val="none"/>
        </w:rPr>
        <w:t>接受，但事后被证明异议的实质性内容是正确的，其工程量可以调整，但只调整单项子目工程量误差超出</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以外的部分。本条仅针对该单项子目造价占合同价款</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以上的情况。</w:t>
      </w:r>
    </w:p>
    <w:p w14:paraId="1F63998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7 对于发包人提供的工程量清单中的单项子目，承包人没有报价的，发包人认为视同该项价格已经包括在其他项目中。</w:t>
      </w:r>
    </w:p>
    <w:p w14:paraId="310FC39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21.5 其他</w:t>
      </w:r>
    </w:p>
    <w:p w14:paraId="432824B1">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21.5.1 注册地不在合肥市行政区域范围（含四县一市）的成交人，应按照《纳税人跨县（市、区）提供建筑服务增值税征收管理暂行办法》（国家税务总局公告2016年第17号）规定，在建筑服务发生地及时足额预缴增值税。</w:t>
      </w:r>
    </w:p>
    <w:p w14:paraId="370626A8">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21.5.2 根据合政〔2018〕16号文要求，工程结算审计核减额超过报审金额10%的，其超过10%以上部分的审计咨询费用由施工单位（合同乙方）承担，发包人在支付工程结算款时予以代扣，并支付给审计委托的工程造价咨询单位。</w:t>
      </w:r>
    </w:p>
    <w:p w14:paraId="7BB6F622">
      <w:pPr>
        <w:spacing w:line="360" w:lineRule="auto"/>
        <w:rPr>
          <w:rFonts w:ascii="Times New Roman" w:hAnsi="Times New Roman"/>
          <w:b/>
          <w:color w:val="auto"/>
          <w:kern w:val="2"/>
          <w:sz w:val="21"/>
          <w:szCs w:val="24"/>
          <w:highlight w:val="none"/>
        </w:rPr>
      </w:pPr>
    </w:p>
    <w:p w14:paraId="400D4F41">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发包人：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承包人：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w:t>
      </w:r>
    </w:p>
    <w:p w14:paraId="159A7D51">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法定代表人或其委托代理人：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法定代表人或其委托代理人：</w:t>
      </w:r>
    </w:p>
    <w:p w14:paraId="1934B61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（签字）</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（签字）</w:t>
      </w:r>
    </w:p>
    <w:p w14:paraId="2C15BD4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3200F2E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094EC59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邮政编码：</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邮政编码：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36862BD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3E3E4A90">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279542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4B6F6691">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691CA5A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电子信箱：</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097A7A17">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67F74F46">
      <w:pPr>
        <w:spacing w:line="360" w:lineRule="auto"/>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491EB22B">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户  名：</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393F3328">
      <w:pPr>
        <w:pStyle w:val="3"/>
        <w:rPr>
          <w:color w:val="auto"/>
          <w:highlight w:val="none"/>
        </w:rPr>
      </w:pPr>
    </w:p>
    <w:p w14:paraId="1C21107D">
      <w:pPr>
        <w:spacing w:line="360" w:lineRule="auto"/>
        <w:rPr>
          <w:rFonts w:ascii="Times New Roman" w:hAnsi="Times New Roman"/>
          <w:b/>
          <w:color w:val="auto"/>
          <w:kern w:val="2"/>
          <w:sz w:val="24"/>
          <w:szCs w:val="24"/>
          <w:highlight w:val="none"/>
        </w:rPr>
      </w:pPr>
    </w:p>
    <w:p w14:paraId="39940B80">
      <w:pPr>
        <w:spacing w:line="360" w:lineRule="auto"/>
        <w:rPr>
          <w:rFonts w:ascii="Times New Roman" w:hAnsi="Times New Roman"/>
          <w:b/>
          <w:color w:val="auto"/>
          <w:kern w:val="2"/>
          <w:sz w:val="21"/>
          <w:szCs w:val="24"/>
          <w:highlight w:val="none"/>
        </w:rPr>
      </w:pPr>
      <w:r>
        <w:rPr>
          <w:rFonts w:ascii="Times New Roman" w:hAnsi="Times New Roman"/>
          <w:b/>
          <w:color w:val="auto"/>
          <w:kern w:val="2"/>
          <w:sz w:val="21"/>
          <w:szCs w:val="24"/>
          <w:highlight w:val="none"/>
        </w:rPr>
        <w:br w:type="page"/>
      </w:r>
      <w:r>
        <w:rPr>
          <w:rFonts w:hint="eastAsia" w:ascii="Times New Roman" w:hAnsi="Times New Roman"/>
          <w:b/>
          <w:color w:val="auto"/>
          <w:kern w:val="2"/>
          <w:sz w:val="21"/>
          <w:szCs w:val="24"/>
          <w:highlight w:val="none"/>
        </w:rPr>
        <w:t>附件</w:t>
      </w:r>
    </w:p>
    <w:p w14:paraId="1F0D5A8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协议书附件：</w:t>
      </w:r>
    </w:p>
    <w:p w14:paraId="2D64B587">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：承包人承揽工程项目一览表</w:t>
      </w:r>
    </w:p>
    <w:p w14:paraId="40B1C5C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专用合同条款附件：</w:t>
      </w:r>
    </w:p>
    <w:p w14:paraId="471B7A1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2</w:t>
      </w:r>
      <w:r>
        <w:rPr>
          <w:rFonts w:hint="eastAsia" w:ascii="Times New Roman" w:hAnsi="Times New Roman"/>
          <w:color w:val="auto"/>
          <w:kern w:val="2"/>
          <w:sz w:val="21"/>
          <w:szCs w:val="24"/>
          <w:highlight w:val="none"/>
        </w:rPr>
        <w:t>：发包人供应材料设备一览表</w:t>
      </w:r>
    </w:p>
    <w:p w14:paraId="52A85BB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3</w:t>
      </w:r>
      <w:r>
        <w:rPr>
          <w:rFonts w:hint="eastAsia" w:ascii="Times New Roman" w:hAnsi="Times New Roman"/>
          <w:color w:val="auto"/>
          <w:kern w:val="2"/>
          <w:sz w:val="21"/>
          <w:szCs w:val="24"/>
          <w:highlight w:val="none"/>
        </w:rPr>
        <w:t>：工程质量保修书</w:t>
      </w:r>
    </w:p>
    <w:p w14:paraId="62296AD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：主要建设工程文件目录</w:t>
      </w:r>
    </w:p>
    <w:p w14:paraId="62E3D284">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5</w:t>
      </w:r>
      <w:r>
        <w:rPr>
          <w:rFonts w:hint="eastAsia" w:ascii="Times New Roman" w:hAnsi="Times New Roman"/>
          <w:color w:val="auto"/>
          <w:kern w:val="2"/>
          <w:sz w:val="21"/>
          <w:szCs w:val="24"/>
          <w:highlight w:val="none"/>
        </w:rPr>
        <w:t>：承包人用于本工程施工的机械设备表</w:t>
      </w:r>
    </w:p>
    <w:p w14:paraId="772198CB">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6</w:t>
      </w:r>
      <w:r>
        <w:rPr>
          <w:rFonts w:hint="eastAsia" w:ascii="Times New Roman" w:hAnsi="Times New Roman"/>
          <w:color w:val="auto"/>
          <w:kern w:val="2"/>
          <w:sz w:val="21"/>
          <w:szCs w:val="24"/>
          <w:highlight w:val="none"/>
        </w:rPr>
        <w:t>：承包人主要施工管理人员表</w:t>
      </w:r>
    </w:p>
    <w:p w14:paraId="0BDA12C4">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7</w:t>
      </w:r>
      <w:r>
        <w:rPr>
          <w:rFonts w:hint="eastAsia" w:ascii="Times New Roman" w:hAnsi="Times New Roman"/>
          <w:color w:val="auto"/>
          <w:kern w:val="2"/>
          <w:sz w:val="21"/>
          <w:szCs w:val="24"/>
          <w:highlight w:val="none"/>
        </w:rPr>
        <w:t>：分包人主要施工管理人员表</w:t>
      </w:r>
    </w:p>
    <w:p w14:paraId="47A3DC51">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8</w:t>
      </w:r>
      <w:r>
        <w:rPr>
          <w:rFonts w:hint="eastAsia" w:ascii="Times New Roman" w:hAnsi="Times New Roman"/>
          <w:color w:val="auto"/>
          <w:kern w:val="2"/>
          <w:sz w:val="21"/>
          <w:szCs w:val="24"/>
          <w:highlight w:val="none"/>
        </w:rPr>
        <w:t>：廉政协议</w:t>
      </w:r>
    </w:p>
    <w:p w14:paraId="03CEFB1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附件9：履约保证金格式</w:t>
      </w:r>
    </w:p>
    <w:p w14:paraId="30FD856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附件10：预付款担保格式</w:t>
      </w:r>
    </w:p>
    <w:p w14:paraId="235F623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附件11：支付担保格式</w:t>
      </w:r>
    </w:p>
    <w:p w14:paraId="31A5D58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2：暂估价一览表</w:t>
      </w:r>
    </w:p>
    <w:p w14:paraId="7982E565">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：承包人承揽工程项目一览表</w:t>
      </w:r>
    </w:p>
    <w:p w14:paraId="208E18A6">
      <w:pPr>
        <w:spacing w:line="360" w:lineRule="auto"/>
        <w:jc w:val="center"/>
        <w:rPr>
          <w:color w:val="auto"/>
          <w:kern w:val="2"/>
          <w:sz w:val="22"/>
          <w:szCs w:val="21"/>
          <w:highlight w:val="none"/>
        </w:rPr>
      </w:pPr>
      <w:r>
        <w:rPr>
          <w:rFonts w:hint="eastAsia"/>
          <w:color w:val="auto"/>
          <w:kern w:val="2"/>
          <w:sz w:val="22"/>
          <w:szCs w:val="21"/>
          <w:highlight w:val="none"/>
        </w:rPr>
        <w:t>承包人承揽工程项目一览表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75"/>
        <w:gridCol w:w="998"/>
        <w:gridCol w:w="998"/>
        <w:gridCol w:w="875"/>
        <w:gridCol w:w="624"/>
        <w:gridCol w:w="998"/>
        <w:gridCol w:w="998"/>
        <w:gridCol w:w="875"/>
        <w:gridCol w:w="624"/>
        <w:gridCol w:w="497"/>
      </w:tblGrid>
      <w:tr w14:paraId="4BDC4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3" w:type="pct"/>
            <w:tcBorders>
              <w:top w:val="single" w:color="auto" w:sz="12" w:space="0"/>
              <w:bottom w:val="double" w:color="auto" w:sz="6" w:space="0"/>
            </w:tcBorders>
            <w:vAlign w:val="center"/>
          </w:tcPr>
          <w:p w14:paraId="75BD3C02">
            <w:pPr>
              <w:keepNext/>
              <w:snapToGrid w:val="0"/>
              <w:spacing w:line="360" w:lineRule="auto"/>
              <w:rPr>
                <w:color w:val="auto"/>
                <w:kern w:val="2"/>
                <w:sz w:val="22"/>
                <w:szCs w:val="21"/>
                <w:highlight w:val="none"/>
              </w:rPr>
            </w:pPr>
            <w:r>
              <w:rPr>
                <w:rFonts w:hint="eastAsia"/>
                <w:color w:val="auto"/>
                <w:kern w:val="2"/>
                <w:sz w:val="22"/>
                <w:szCs w:val="21"/>
                <w:highlight w:val="none"/>
              </w:rPr>
              <w:t>单位工程名称</w:t>
            </w:r>
          </w:p>
        </w:tc>
        <w:tc>
          <w:tcPr>
            <w:tcW w:w="597" w:type="pct"/>
            <w:tcBorders>
              <w:top w:val="single" w:color="auto" w:sz="12" w:space="0"/>
              <w:bottom w:val="double" w:color="auto" w:sz="6" w:space="0"/>
            </w:tcBorders>
            <w:vAlign w:val="center"/>
          </w:tcPr>
          <w:p w14:paraId="66F36221">
            <w:pPr>
              <w:keepNext/>
              <w:snapToGrid w:val="0"/>
              <w:spacing w:line="360" w:lineRule="auto"/>
              <w:rPr>
                <w:color w:val="auto"/>
                <w:kern w:val="2"/>
                <w:sz w:val="22"/>
                <w:szCs w:val="21"/>
                <w:highlight w:val="none"/>
              </w:rPr>
            </w:pPr>
            <w:r>
              <w:rPr>
                <w:rFonts w:hint="eastAsia"/>
                <w:color w:val="auto"/>
                <w:kern w:val="2"/>
                <w:sz w:val="22"/>
                <w:szCs w:val="21"/>
                <w:highlight w:val="none"/>
              </w:rPr>
              <w:t>建设规模</w:t>
            </w:r>
          </w:p>
        </w:tc>
        <w:tc>
          <w:tcPr>
            <w:tcW w:w="597" w:type="pct"/>
            <w:tcBorders>
              <w:top w:val="single" w:color="auto" w:sz="12" w:space="0"/>
              <w:bottom w:val="double" w:color="auto" w:sz="6" w:space="0"/>
            </w:tcBorders>
            <w:vAlign w:val="center"/>
          </w:tcPr>
          <w:p w14:paraId="26CBC3B0">
            <w:pPr>
              <w:keepNext/>
              <w:snapToGrid w:val="0"/>
              <w:spacing w:line="360" w:lineRule="auto"/>
              <w:rPr>
                <w:color w:val="auto"/>
                <w:kern w:val="2"/>
                <w:sz w:val="22"/>
                <w:szCs w:val="21"/>
                <w:highlight w:val="none"/>
              </w:rPr>
            </w:pPr>
            <w:r>
              <w:rPr>
                <w:rFonts w:hint="eastAsia"/>
                <w:color w:val="auto"/>
                <w:kern w:val="2"/>
                <w:sz w:val="22"/>
                <w:szCs w:val="21"/>
                <w:highlight w:val="none"/>
              </w:rPr>
              <w:t>建筑面积</w:t>
            </w:r>
            <w:r>
              <w:rPr>
                <w:color w:val="auto"/>
                <w:kern w:val="2"/>
                <w:sz w:val="22"/>
                <w:szCs w:val="21"/>
                <w:highlight w:val="none"/>
              </w:rPr>
              <w:t>(</w:t>
            </w:r>
            <w:r>
              <w:rPr>
                <w:rFonts w:hint="eastAsia"/>
                <w:color w:val="auto"/>
                <w:kern w:val="2"/>
                <w:sz w:val="22"/>
                <w:szCs w:val="21"/>
                <w:highlight w:val="none"/>
              </w:rPr>
              <w:t>平方米</w:t>
            </w:r>
            <w:r>
              <w:rPr>
                <w:color w:val="auto"/>
                <w:kern w:val="2"/>
                <w:sz w:val="22"/>
                <w:szCs w:val="21"/>
                <w:highlight w:val="none"/>
              </w:rPr>
              <w:t>)</w:t>
            </w:r>
          </w:p>
        </w:tc>
        <w:tc>
          <w:tcPr>
            <w:tcW w:w="523" w:type="pct"/>
            <w:tcBorders>
              <w:top w:val="single" w:color="auto" w:sz="12" w:space="0"/>
              <w:bottom w:val="double" w:color="auto" w:sz="6" w:space="0"/>
            </w:tcBorders>
            <w:vAlign w:val="center"/>
          </w:tcPr>
          <w:p w14:paraId="2147A42E">
            <w:pPr>
              <w:keepNext/>
              <w:snapToGrid w:val="0"/>
              <w:spacing w:line="360" w:lineRule="auto"/>
              <w:rPr>
                <w:color w:val="auto"/>
                <w:kern w:val="2"/>
                <w:sz w:val="22"/>
                <w:szCs w:val="21"/>
                <w:highlight w:val="none"/>
              </w:rPr>
            </w:pPr>
            <w:r>
              <w:rPr>
                <w:rFonts w:hint="eastAsia"/>
                <w:color w:val="auto"/>
                <w:kern w:val="2"/>
                <w:sz w:val="22"/>
                <w:szCs w:val="21"/>
                <w:highlight w:val="none"/>
              </w:rPr>
              <w:t>结构形式</w:t>
            </w:r>
          </w:p>
        </w:tc>
        <w:tc>
          <w:tcPr>
            <w:tcW w:w="373" w:type="pct"/>
            <w:tcBorders>
              <w:top w:val="single" w:color="auto" w:sz="12" w:space="0"/>
              <w:bottom w:val="double" w:color="auto" w:sz="6" w:space="0"/>
            </w:tcBorders>
            <w:vAlign w:val="center"/>
          </w:tcPr>
          <w:p w14:paraId="72EF9CCC">
            <w:pPr>
              <w:keepNext/>
              <w:snapToGrid w:val="0"/>
              <w:spacing w:line="360" w:lineRule="auto"/>
              <w:rPr>
                <w:color w:val="auto"/>
                <w:kern w:val="2"/>
                <w:sz w:val="22"/>
                <w:szCs w:val="21"/>
                <w:highlight w:val="none"/>
              </w:rPr>
            </w:pPr>
            <w:r>
              <w:rPr>
                <w:rFonts w:hint="eastAsia"/>
                <w:color w:val="auto"/>
                <w:kern w:val="2"/>
                <w:sz w:val="22"/>
                <w:szCs w:val="21"/>
                <w:highlight w:val="none"/>
              </w:rPr>
              <w:t>层数</w:t>
            </w:r>
          </w:p>
        </w:tc>
        <w:tc>
          <w:tcPr>
            <w:tcW w:w="597" w:type="pct"/>
            <w:tcBorders>
              <w:top w:val="single" w:color="auto" w:sz="12" w:space="0"/>
              <w:bottom w:val="double" w:color="auto" w:sz="6" w:space="0"/>
            </w:tcBorders>
            <w:vAlign w:val="center"/>
          </w:tcPr>
          <w:p w14:paraId="2DACB29C">
            <w:pPr>
              <w:keepNext/>
              <w:snapToGrid w:val="0"/>
              <w:spacing w:line="360" w:lineRule="auto"/>
              <w:rPr>
                <w:color w:val="auto"/>
                <w:kern w:val="2"/>
                <w:sz w:val="22"/>
                <w:szCs w:val="21"/>
                <w:highlight w:val="none"/>
              </w:rPr>
            </w:pPr>
            <w:r>
              <w:rPr>
                <w:rFonts w:hint="eastAsia"/>
                <w:color w:val="auto"/>
                <w:kern w:val="2"/>
                <w:sz w:val="22"/>
                <w:szCs w:val="21"/>
                <w:highlight w:val="none"/>
              </w:rPr>
              <w:t>生产能力</w:t>
            </w:r>
          </w:p>
        </w:tc>
        <w:tc>
          <w:tcPr>
            <w:tcW w:w="597" w:type="pct"/>
            <w:tcBorders>
              <w:top w:val="single" w:color="auto" w:sz="12" w:space="0"/>
              <w:bottom w:val="double" w:color="auto" w:sz="6" w:space="0"/>
            </w:tcBorders>
            <w:vAlign w:val="center"/>
          </w:tcPr>
          <w:p w14:paraId="30CADDF9">
            <w:pPr>
              <w:keepNext/>
              <w:snapToGrid w:val="0"/>
              <w:spacing w:line="360" w:lineRule="auto"/>
              <w:rPr>
                <w:color w:val="auto"/>
                <w:kern w:val="2"/>
                <w:sz w:val="22"/>
                <w:szCs w:val="21"/>
                <w:highlight w:val="none"/>
              </w:rPr>
            </w:pPr>
            <w:r>
              <w:rPr>
                <w:rFonts w:hint="eastAsia"/>
                <w:color w:val="auto"/>
                <w:kern w:val="2"/>
                <w:sz w:val="22"/>
                <w:szCs w:val="21"/>
                <w:highlight w:val="none"/>
              </w:rPr>
              <w:t>设备安装内容</w:t>
            </w:r>
          </w:p>
        </w:tc>
        <w:tc>
          <w:tcPr>
            <w:tcW w:w="523" w:type="pct"/>
            <w:tcBorders>
              <w:top w:val="single" w:color="auto" w:sz="12" w:space="0"/>
              <w:bottom w:val="double" w:color="auto" w:sz="6" w:space="0"/>
            </w:tcBorders>
            <w:vAlign w:val="center"/>
          </w:tcPr>
          <w:p w14:paraId="20832382">
            <w:pPr>
              <w:keepNext/>
              <w:snapToGrid w:val="0"/>
              <w:spacing w:line="360" w:lineRule="auto"/>
              <w:rPr>
                <w:color w:val="auto"/>
                <w:kern w:val="2"/>
                <w:sz w:val="22"/>
                <w:szCs w:val="21"/>
                <w:highlight w:val="none"/>
              </w:rPr>
            </w:pPr>
            <w:r>
              <w:rPr>
                <w:rFonts w:hint="eastAsia"/>
                <w:color w:val="auto"/>
                <w:kern w:val="2"/>
                <w:sz w:val="22"/>
                <w:szCs w:val="21"/>
                <w:highlight w:val="none"/>
              </w:rPr>
              <w:t>合同价格（元）</w:t>
            </w:r>
          </w:p>
        </w:tc>
        <w:tc>
          <w:tcPr>
            <w:tcW w:w="373" w:type="pct"/>
            <w:tcBorders>
              <w:top w:val="single" w:color="auto" w:sz="12" w:space="0"/>
              <w:bottom w:val="double" w:color="auto" w:sz="6" w:space="0"/>
            </w:tcBorders>
            <w:vAlign w:val="center"/>
          </w:tcPr>
          <w:p w14:paraId="7BCD31AA">
            <w:pPr>
              <w:keepNext/>
              <w:snapToGrid w:val="0"/>
              <w:spacing w:line="360" w:lineRule="auto"/>
              <w:rPr>
                <w:color w:val="auto"/>
                <w:kern w:val="2"/>
                <w:sz w:val="22"/>
                <w:szCs w:val="21"/>
                <w:highlight w:val="none"/>
              </w:rPr>
            </w:pPr>
            <w:r>
              <w:rPr>
                <w:rFonts w:hint="eastAsia"/>
                <w:color w:val="auto"/>
                <w:kern w:val="2"/>
                <w:sz w:val="22"/>
                <w:szCs w:val="21"/>
                <w:highlight w:val="none"/>
              </w:rPr>
              <w:t>开工日期</w:t>
            </w:r>
          </w:p>
        </w:tc>
        <w:tc>
          <w:tcPr>
            <w:tcW w:w="298" w:type="pct"/>
            <w:tcBorders>
              <w:top w:val="single" w:color="auto" w:sz="12" w:space="0"/>
              <w:bottom w:val="double" w:color="auto" w:sz="6" w:space="0"/>
            </w:tcBorders>
            <w:vAlign w:val="center"/>
          </w:tcPr>
          <w:p w14:paraId="0E9CDD64">
            <w:pPr>
              <w:keepNext/>
              <w:snapToGrid w:val="0"/>
              <w:spacing w:line="360" w:lineRule="auto"/>
              <w:rPr>
                <w:color w:val="auto"/>
                <w:kern w:val="2"/>
                <w:sz w:val="22"/>
                <w:szCs w:val="21"/>
                <w:highlight w:val="none"/>
              </w:rPr>
            </w:pPr>
            <w:r>
              <w:rPr>
                <w:rFonts w:hint="eastAsia"/>
                <w:color w:val="auto"/>
                <w:kern w:val="2"/>
                <w:sz w:val="22"/>
                <w:szCs w:val="21"/>
                <w:highlight w:val="none"/>
              </w:rPr>
              <w:t>竣工日期</w:t>
            </w:r>
          </w:p>
        </w:tc>
      </w:tr>
      <w:tr w14:paraId="2C354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double" w:color="auto" w:sz="6" w:space="0"/>
            </w:tcBorders>
            <w:vAlign w:val="center"/>
          </w:tcPr>
          <w:p w14:paraId="2640E228">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25B8AF95">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05A0C5D9">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0E1E8E73">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5A8E0923">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6F93B47D">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37399F0D">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0E82F1A1">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3EB5CED4">
            <w:pPr>
              <w:keepNext/>
              <w:snapToGrid w:val="0"/>
              <w:spacing w:line="360" w:lineRule="auto"/>
              <w:rPr>
                <w:color w:val="auto"/>
                <w:kern w:val="2"/>
                <w:sz w:val="22"/>
                <w:szCs w:val="21"/>
                <w:highlight w:val="none"/>
              </w:rPr>
            </w:pPr>
          </w:p>
        </w:tc>
        <w:tc>
          <w:tcPr>
            <w:tcW w:w="298" w:type="pct"/>
            <w:tcBorders>
              <w:top w:val="double" w:color="auto" w:sz="6" w:space="0"/>
            </w:tcBorders>
            <w:vAlign w:val="center"/>
          </w:tcPr>
          <w:p w14:paraId="09E150A0">
            <w:pPr>
              <w:keepNext/>
              <w:snapToGrid w:val="0"/>
              <w:spacing w:line="360" w:lineRule="auto"/>
              <w:rPr>
                <w:color w:val="auto"/>
                <w:kern w:val="2"/>
                <w:sz w:val="22"/>
                <w:szCs w:val="21"/>
                <w:highlight w:val="none"/>
              </w:rPr>
            </w:pPr>
          </w:p>
        </w:tc>
      </w:tr>
      <w:tr w14:paraId="78349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42743C73">
            <w:pPr>
              <w:keepNext/>
              <w:snapToGrid w:val="0"/>
              <w:spacing w:line="360" w:lineRule="auto"/>
              <w:rPr>
                <w:color w:val="auto"/>
                <w:kern w:val="2"/>
                <w:sz w:val="22"/>
                <w:szCs w:val="21"/>
                <w:highlight w:val="none"/>
              </w:rPr>
            </w:pPr>
          </w:p>
        </w:tc>
        <w:tc>
          <w:tcPr>
            <w:tcW w:w="597" w:type="pct"/>
            <w:tcBorders>
              <w:top w:val="nil"/>
            </w:tcBorders>
            <w:vAlign w:val="center"/>
          </w:tcPr>
          <w:p w14:paraId="4A4FCA12">
            <w:pPr>
              <w:keepNext/>
              <w:snapToGrid w:val="0"/>
              <w:spacing w:line="360" w:lineRule="auto"/>
              <w:rPr>
                <w:color w:val="auto"/>
                <w:kern w:val="2"/>
                <w:sz w:val="22"/>
                <w:szCs w:val="21"/>
                <w:highlight w:val="none"/>
              </w:rPr>
            </w:pPr>
          </w:p>
        </w:tc>
        <w:tc>
          <w:tcPr>
            <w:tcW w:w="597" w:type="pct"/>
            <w:tcBorders>
              <w:top w:val="nil"/>
            </w:tcBorders>
            <w:vAlign w:val="center"/>
          </w:tcPr>
          <w:p w14:paraId="4649400A">
            <w:pPr>
              <w:keepNext/>
              <w:snapToGrid w:val="0"/>
              <w:spacing w:line="360" w:lineRule="auto"/>
              <w:rPr>
                <w:color w:val="auto"/>
                <w:kern w:val="2"/>
                <w:sz w:val="22"/>
                <w:szCs w:val="21"/>
                <w:highlight w:val="none"/>
              </w:rPr>
            </w:pPr>
          </w:p>
        </w:tc>
        <w:tc>
          <w:tcPr>
            <w:tcW w:w="523" w:type="pct"/>
            <w:tcBorders>
              <w:top w:val="nil"/>
            </w:tcBorders>
            <w:vAlign w:val="center"/>
          </w:tcPr>
          <w:p w14:paraId="4A2A866D">
            <w:pPr>
              <w:keepNext/>
              <w:snapToGrid w:val="0"/>
              <w:spacing w:line="360" w:lineRule="auto"/>
              <w:rPr>
                <w:color w:val="auto"/>
                <w:kern w:val="2"/>
                <w:sz w:val="22"/>
                <w:szCs w:val="21"/>
                <w:highlight w:val="none"/>
              </w:rPr>
            </w:pPr>
          </w:p>
        </w:tc>
        <w:tc>
          <w:tcPr>
            <w:tcW w:w="373" w:type="pct"/>
            <w:tcBorders>
              <w:top w:val="nil"/>
            </w:tcBorders>
            <w:vAlign w:val="center"/>
          </w:tcPr>
          <w:p w14:paraId="759FD496">
            <w:pPr>
              <w:keepNext/>
              <w:snapToGrid w:val="0"/>
              <w:spacing w:line="360" w:lineRule="auto"/>
              <w:rPr>
                <w:color w:val="auto"/>
                <w:kern w:val="2"/>
                <w:sz w:val="22"/>
                <w:szCs w:val="21"/>
                <w:highlight w:val="none"/>
              </w:rPr>
            </w:pPr>
          </w:p>
        </w:tc>
        <w:tc>
          <w:tcPr>
            <w:tcW w:w="597" w:type="pct"/>
            <w:tcBorders>
              <w:top w:val="nil"/>
            </w:tcBorders>
            <w:vAlign w:val="center"/>
          </w:tcPr>
          <w:p w14:paraId="697E5F1D">
            <w:pPr>
              <w:keepNext/>
              <w:snapToGrid w:val="0"/>
              <w:spacing w:line="360" w:lineRule="auto"/>
              <w:rPr>
                <w:color w:val="auto"/>
                <w:kern w:val="2"/>
                <w:sz w:val="22"/>
                <w:szCs w:val="21"/>
                <w:highlight w:val="none"/>
              </w:rPr>
            </w:pPr>
          </w:p>
        </w:tc>
        <w:tc>
          <w:tcPr>
            <w:tcW w:w="597" w:type="pct"/>
            <w:tcBorders>
              <w:top w:val="nil"/>
            </w:tcBorders>
            <w:vAlign w:val="center"/>
          </w:tcPr>
          <w:p w14:paraId="2C50A58B">
            <w:pPr>
              <w:keepNext/>
              <w:snapToGrid w:val="0"/>
              <w:spacing w:line="360" w:lineRule="auto"/>
              <w:rPr>
                <w:color w:val="auto"/>
                <w:kern w:val="2"/>
                <w:sz w:val="22"/>
                <w:szCs w:val="21"/>
                <w:highlight w:val="none"/>
              </w:rPr>
            </w:pPr>
          </w:p>
        </w:tc>
        <w:tc>
          <w:tcPr>
            <w:tcW w:w="523" w:type="pct"/>
            <w:tcBorders>
              <w:top w:val="nil"/>
            </w:tcBorders>
            <w:vAlign w:val="center"/>
          </w:tcPr>
          <w:p w14:paraId="4495BBF8">
            <w:pPr>
              <w:keepNext/>
              <w:snapToGrid w:val="0"/>
              <w:spacing w:line="360" w:lineRule="auto"/>
              <w:rPr>
                <w:color w:val="auto"/>
                <w:kern w:val="2"/>
                <w:sz w:val="22"/>
                <w:szCs w:val="21"/>
                <w:highlight w:val="none"/>
              </w:rPr>
            </w:pPr>
          </w:p>
        </w:tc>
        <w:tc>
          <w:tcPr>
            <w:tcW w:w="373" w:type="pct"/>
            <w:tcBorders>
              <w:top w:val="nil"/>
            </w:tcBorders>
            <w:vAlign w:val="center"/>
          </w:tcPr>
          <w:p w14:paraId="305653E6">
            <w:pPr>
              <w:keepNext/>
              <w:snapToGrid w:val="0"/>
              <w:spacing w:line="360" w:lineRule="auto"/>
              <w:rPr>
                <w:color w:val="auto"/>
                <w:kern w:val="2"/>
                <w:sz w:val="22"/>
                <w:szCs w:val="21"/>
                <w:highlight w:val="none"/>
              </w:rPr>
            </w:pPr>
          </w:p>
        </w:tc>
        <w:tc>
          <w:tcPr>
            <w:tcW w:w="298" w:type="pct"/>
            <w:tcBorders>
              <w:top w:val="nil"/>
            </w:tcBorders>
            <w:vAlign w:val="center"/>
          </w:tcPr>
          <w:p w14:paraId="45FCB8EC">
            <w:pPr>
              <w:keepNext/>
              <w:snapToGrid w:val="0"/>
              <w:spacing w:line="360" w:lineRule="auto"/>
              <w:rPr>
                <w:color w:val="auto"/>
                <w:kern w:val="2"/>
                <w:sz w:val="22"/>
                <w:szCs w:val="21"/>
                <w:highlight w:val="none"/>
              </w:rPr>
            </w:pPr>
          </w:p>
        </w:tc>
      </w:tr>
      <w:tr w14:paraId="4A926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17D608D2">
            <w:pPr>
              <w:keepNext/>
              <w:snapToGrid w:val="0"/>
              <w:spacing w:line="360" w:lineRule="auto"/>
              <w:rPr>
                <w:color w:val="auto"/>
                <w:kern w:val="2"/>
                <w:sz w:val="22"/>
                <w:szCs w:val="21"/>
                <w:highlight w:val="none"/>
              </w:rPr>
            </w:pPr>
          </w:p>
        </w:tc>
        <w:tc>
          <w:tcPr>
            <w:tcW w:w="597" w:type="pct"/>
            <w:tcBorders>
              <w:top w:val="nil"/>
            </w:tcBorders>
            <w:vAlign w:val="center"/>
          </w:tcPr>
          <w:p w14:paraId="6E104481">
            <w:pPr>
              <w:keepNext/>
              <w:snapToGrid w:val="0"/>
              <w:spacing w:line="360" w:lineRule="auto"/>
              <w:rPr>
                <w:color w:val="auto"/>
                <w:kern w:val="2"/>
                <w:sz w:val="22"/>
                <w:szCs w:val="21"/>
                <w:highlight w:val="none"/>
              </w:rPr>
            </w:pPr>
          </w:p>
        </w:tc>
        <w:tc>
          <w:tcPr>
            <w:tcW w:w="597" w:type="pct"/>
            <w:tcBorders>
              <w:top w:val="nil"/>
            </w:tcBorders>
            <w:vAlign w:val="center"/>
          </w:tcPr>
          <w:p w14:paraId="0EA8D9F6">
            <w:pPr>
              <w:keepNext/>
              <w:snapToGrid w:val="0"/>
              <w:spacing w:line="360" w:lineRule="auto"/>
              <w:rPr>
                <w:color w:val="auto"/>
                <w:kern w:val="2"/>
                <w:sz w:val="22"/>
                <w:szCs w:val="21"/>
                <w:highlight w:val="none"/>
              </w:rPr>
            </w:pPr>
          </w:p>
        </w:tc>
        <w:tc>
          <w:tcPr>
            <w:tcW w:w="523" w:type="pct"/>
            <w:tcBorders>
              <w:top w:val="nil"/>
            </w:tcBorders>
            <w:vAlign w:val="center"/>
          </w:tcPr>
          <w:p w14:paraId="0A32538A">
            <w:pPr>
              <w:keepNext/>
              <w:snapToGrid w:val="0"/>
              <w:spacing w:line="360" w:lineRule="auto"/>
              <w:rPr>
                <w:color w:val="auto"/>
                <w:kern w:val="2"/>
                <w:sz w:val="22"/>
                <w:szCs w:val="21"/>
                <w:highlight w:val="none"/>
              </w:rPr>
            </w:pPr>
          </w:p>
        </w:tc>
        <w:tc>
          <w:tcPr>
            <w:tcW w:w="373" w:type="pct"/>
            <w:tcBorders>
              <w:top w:val="nil"/>
            </w:tcBorders>
            <w:vAlign w:val="center"/>
          </w:tcPr>
          <w:p w14:paraId="7602F3EE">
            <w:pPr>
              <w:keepNext/>
              <w:snapToGrid w:val="0"/>
              <w:spacing w:line="360" w:lineRule="auto"/>
              <w:rPr>
                <w:color w:val="auto"/>
                <w:kern w:val="2"/>
                <w:sz w:val="22"/>
                <w:szCs w:val="21"/>
                <w:highlight w:val="none"/>
              </w:rPr>
            </w:pPr>
          </w:p>
        </w:tc>
        <w:tc>
          <w:tcPr>
            <w:tcW w:w="597" w:type="pct"/>
            <w:tcBorders>
              <w:top w:val="nil"/>
            </w:tcBorders>
            <w:vAlign w:val="center"/>
          </w:tcPr>
          <w:p w14:paraId="39D6AF39">
            <w:pPr>
              <w:keepNext/>
              <w:snapToGrid w:val="0"/>
              <w:spacing w:line="360" w:lineRule="auto"/>
              <w:rPr>
                <w:color w:val="auto"/>
                <w:kern w:val="2"/>
                <w:sz w:val="22"/>
                <w:szCs w:val="21"/>
                <w:highlight w:val="none"/>
              </w:rPr>
            </w:pPr>
          </w:p>
        </w:tc>
        <w:tc>
          <w:tcPr>
            <w:tcW w:w="597" w:type="pct"/>
            <w:tcBorders>
              <w:top w:val="nil"/>
            </w:tcBorders>
            <w:vAlign w:val="center"/>
          </w:tcPr>
          <w:p w14:paraId="0D968A14">
            <w:pPr>
              <w:keepNext/>
              <w:snapToGrid w:val="0"/>
              <w:spacing w:line="360" w:lineRule="auto"/>
              <w:rPr>
                <w:color w:val="auto"/>
                <w:kern w:val="2"/>
                <w:sz w:val="22"/>
                <w:szCs w:val="21"/>
                <w:highlight w:val="none"/>
              </w:rPr>
            </w:pPr>
          </w:p>
        </w:tc>
        <w:tc>
          <w:tcPr>
            <w:tcW w:w="523" w:type="pct"/>
            <w:tcBorders>
              <w:top w:val="nil"/>
            </w:tcBorders>
            <w:vAlign w:val="center"/>
          </w:tcPr>
          <w:p w14:paraId="3A511E47">
            <w:pPr>
              <w:keepNext/>
              <w:snapToGrid w:val="0"/>
              <w:spacing w:line="360" w:lineRule="auto"/>
              <w:rPr>
                <w:color w:val="auto"/>
                <w:kern w:val="2"/>
                <w:sz w:val="22"/>
                <w:szCs w:val="21"/>
                <w:highlight w:val="none"/>
              </w:rPr>
            </w:pPr>
          </w:p>
        </w:tc>
        <w:tc>
          <w:tcPr>
            <w:tcW w:w="373" w:type="pct"/>
            <w:tcBorders>
              <w:top w:val="nil"/>
            </w:tcBorders>
            <w:vAlign w:val="center"/>
          </w:tcPr>
          <w:p w14:paraId="79AB915F">
            <w:pPr>
              <w:keepNext/>
              <w:snapToGrid w:val="0"/>
              <w:spacing w:line="360" w:lineRule="auto"/>
              <w:rPr>
                <w:color w:val="auto"/>
                <w:kern w:val="2"/>
                <w:sz w:val="22"/>
                <w:szCs w:val="21"/>
                <w:highlight w:val="none"/>
              </w:rPr>
            </w:pPr>
          </w:p>
        </w:tc>
        <w:tc>
          <w:tcPr>
            <w:tcW w:w="298" w:type="pct"/>
            <w:tcBorders>
              <w:top w:val="nil"/>
            </w:tcBorders>
            <w:vAlign w:val="center"/>
          </w:tcPr>
          <w:p w14:paraId="19227E66">
            <w:pPr>
              <w:keepNext/>
              <w:snapToGrid w:val="0"/>
              <w:spacing w:line="360" w:lineRule="auto"/>
              <w:rPr>
                <w:color w:val="auto"/>
                <w:kern w:val="2"/>
                <w:sz w:val="22"/>
                <w:szCs w:val="21"/>
                <w:highlight w:val="none"/>
              </w:rPr>
            </w:pPr>
          </w:p>
        </w:tc>
      </w:tr>
      <w:tr w14:paraId="74B91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bottom w:val="single" w:color="auto" w:sz="12" w:space="0"/>
            </w:tcBorders>
            <w:vAlign w:val="center"/>
          </w:tcPr>
          <w:p w14:paraId="09C157F5">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64C3B005">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71E6AC81">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7147F35D">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07F87B47">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67F88CA6">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5624897E">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08CC0DAF">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109F1876">
            <w:pPr>
              <w:keepNext/>
              <w:snapToGrid w:val="0"/>
              <w:spacing w:line="360" w:lineRule="auto"/>
              <w:rPr>
                <w:color w:val="auto"/>
                <w:kern w:val="2"/>
                <w:sz w:val="22"/>
                <w:szCs w:val="21"/>
                <w:highlight w:val="none"/>
              </w:rPr>
            </w:pPr>
          </w:p>
        </w:tc>
        <w:tc>
          <w:tcPr>
            <w:tcW w:w="298" w:type="pct"/>
            <w:tcBorders>
              <w:bottom w:val="single" w:color="auto" w:sz="12" w:space="0"/>
            </w:tcBorders>
            <w:vAlign w:val="center"/>
          </w:tcPr>
          <w:p w14:paraId="503A34FB">
            <w:pPr>
              <w:keepNext/>
              <w:snapToGrid w:val="0"/>
              <w:spacing w:line="360" w:lineRule="auto"/>
              <w:rPr>
                <w:color w:val="auto"/>
                <w:kern w:val="2"/>
                <w:sz w:val="22"/>
                <w:szCs w:val="21"/>
                <w:highlight w:val="none"/>
              </w:rPr>
            </w:pPr>
          </w:p>
        </w:tc>
      </w:tr>
    </w:tbl>
    <w:p w14:paraId="440BD514">
      <w:pPr>
        <w:spacing w:line="360" w:lineRule="auto"/>
        <w:rPr>
          <w:color w:val="auto"/>
          <w:kern w:val="2"/>
          <w:sz w:val="22"/>
          <w:szCs w:val="21"/>
          <w:highlight w:val="none"/>
        </w:rPr>
      </w:pPr>
    </w:p>
    <w:p w14:paraId="01501910">
      <w:pPr>
        <w:spacing w:line="360" w:lineRule="auto"/>
        <w:rPr>
          <w:color w:val="auto"/>
          <w:kern w:val="2"/>
          <w:sz w:val="22"/>
          <w:szCs w:val="21"/>
          <w:highlight w:val="none"/>
        </w:rPr>
      </w:pPr>
    </w:p>
    <w:p w14:paraId="7F35F7FF">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69" w:name="_Toc296347224"/>
      <w:bookmarkStart w:id="570" w:name="_Toc296891265"/>
      <w:bookmarkStart w:id="571" w:name="_Toc296346726"/>
      <w:bookmarkStart w:id="572" w:name="_Toc296944564"/>
      <w:bookmarkStart w:id="573" w:name="_Toc296503225"/>
      <w:bookmarkStart w:id="574" w:name="_Toc267261692"/>
      <w:bookmarkStart w:id="575" w:name="_Toc296891053"/>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2</w:t>
      </w:r>
      <w:r>
        <w:rPr>
          <w:rFonts w:hint="eastAsia" w:ascii="黑体" w:hAnsi="黑体" w:eastAsia="黑体"/>
          <w:bCs/>
          <w:color w:val="auto"/>
          <w:kern w:val="2"/>
          <w:sz w:val="24"/>
          <w:szCs w:val="24"/>
          <w:highlight w:val="none"/>
        </w:rPr>
        <w:t>：发包人供应材料设备一览表</w:t>
      </w:r>
    </w:p>
    <w:bookmarkEnd w:id="569"/>
    <w:bookmarkEnd w:id="570"/>
    <w:bookmarkEnd w:id="571"/>
    <w:bookmarkEnd w:id="572"/>
    <w:bookmarkEnd w:id="573"/>
    <w:bookmarkEnd w:id="574"/>
    <w:bookmarkEnd w:id="575"/>
    <w:p w14:paraId="3D87E67B">
      <w:pPr>
        <w:spacing w:line="360" w:lineRule="auto"/>
        <w:jc w:val="center"/>
        <w:rPr>
          <w:color w:val="auto"/>
          <w:kern w:val="2"/>
          <w:sz w:val="22"/>
          <w:szCs w:val="21"/>
          <w:highlight w:val="none"/>
        </w:rPr>
      </w:pPr>
      <w:r>
        <w:rPr>
          <w:rFonts w:hint="eastAsia"/>
          <w:color w:val="auto"/>
          <w:kern w:val="2"/>
          <w:sz w:val="22"/>
          <w:szCs w:val="21"/>
          <w:highlight w:val="none"/>
        </w:rPr>
        <w:t>发包人供应材料设备一览表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37"/>
        <w:gridCol w:w="1105"/>
        <w:gridCol w:w="937"/>
        <w:gridCol w:w="814"/>
        <w:gridCol w:w="738"/>
        <w:gridCol w:w="905"/>
        <w:gridCol w:w="860"/>
        <w:gridCol w:w="738"/>
        <w:gridCol w:w="836"/>
        <w:gridCol w:w="692"/>
      </w:tblGrid>
      <w:tr w14:paraId="1F14E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41" w:type="pct"/>
            <w:tcBorders>
              <w:top w:val="single" w:color="auto" w:sz="12" w:space="0"/>
              <w:bottom w:val="double" w:color="auto" w:sz="6" w:space="0"/>
            </w:tcBorders>
            <w:vAlign w:val="center"/>
          </w:tcPr>
          <w:p w14:paraId="3C9323F8">
            <w:pPr>
              <w:keepNext/>
              <w:snapToGrid w:val="0"/>
              <w:spacing w:line="360" w:lineRule="auto"/>
              <w:rPr>
                <w:color w:val="auto"/>
                <w:kern w:val="2"/>
                <w:sz w:val="22"/>
                <w:szCs w:val="21"/>
                <w:highlight w:val="none"/>
              </w:rPr>
            </w:pPr>
            <w:r>
              <w:rPr>
                <w:rFonts w:hint="eastAsia"/>
                <w:color w:val="auto"/>
                <w:kern w:val="2"/>
                <w:sz w:val="22"/>
                <w:szCs w:val="21"/>
                <w:highlight w:val="none"/>
              </w:rPr>
              <w:t>序号</w:t>
            </w:r>
          </w:p>
        </w:tc>
        <w:tc>
          <w:tcPr>
            <w:tcW w:w="661" w:type="pct"/>
            <w:tcBorders>
              <w:top w:val="single" w:color="auto" w:sz="12" w:space="0"/>
              <w:bottom w:val="double" w:color="auto" w:sz="6" w:space="0"/>
            </w:tcBorders>
            <w:vAlign w:val="center"/>
          </w:tcPr>
          <w:p w14:paraId="63EA72B3">
            <w:pPr>
              <w:keepNext/>
              <w:snapToGrid w:val="0"/>
              <w:spacing w:line="360" w:lineRule="auto"/>
              <w:rPr>
                <w:color w:val="auto"/>
                <w:kern w:val="2"/>
                <w:sz w:val="22"/>
                <w:szCs w:val="21"/>
                <w:highlight w:val="none"/>
              </w:rPr>
            </w:pPr>
            <w:r>
              <w:rPr>
                <w:rFonts w:hint="eastAsia"/>
                <w:color w:val="auto"/>
                <w:kern w:val="2"/>
                <w:sz w:val="22"/>
                <w:szCs w:val="21"/>
                <w:highlight w:val="none"/>
              </w:rPr>
              <w:t>材料、设备品种</w:t>
            </w:r>
          </w:p>
        </w:tc>
        <w:tc>
          <w:tcPr>
            <w:tcW w:w="560" w:type="pct"/>
            <w:tcBorders>
              <w:top w:val="single" w:color="auto" w:sz="12" w:space="0"/>
              <w:bottom w:val="double" w:color="auto" w:sz="6" w:space="0"/>
            </w:tcBorders>
            <w:vAlign w:val="center"/>
          </w:tcPr>
          <w:p w14:paraId="30D03B15">
            <w:pPr>
              <w:keepNext/>
              <w:snapToGrid w:val="0"/>
              <w:spacing w:line="360" w:lineRule="auto"/>
              <w:rPr>
                <w:color w:val="auto"/>
                <w:kern w:val="2"/>
                <w:sz w:val="22"/>
                <w:szCs w:val="21"/>
                <w:highlight w:val="none"/>
              </w:rPr>
            </w:pPr>
            <w:r>
              <w:rPr>
                <w:rFonts w:hint="eastAsia"/>
                <w:color w:val="auto"/>
                <w:kern w:val="2"/>
                <w:sz w:val="22"/>
                <w:szCs w:val="21"/>
                <w:highlight w:val="none"/>
              </w:rPr>
              <w:t>规格型号</w:t>
            </w:r>
          </w:p>
        </w:tc>
        <w:tc>
          <w:tcPr>
            <w:tcW w:w="487" w:type="pct"/>
            <w:tcBorders>
              <w:top w:val="single" w:color="auto" w:sz="12" w:space="0"/>
              <w:bottom w:val="double" w:color="auto" w:sz="6" w:space="0"/>
            </w:tcBorders>
            <w:vAlign w:val="center"/>
          </w:tcPr>
          <w:p w14:paraId="49852394">
            <w:pPr>
              <w:keepNext/>
              <w:snapToGrid w:val="0"/>
              <w:spacing w:line="360" w:lineRule="auto"/>
              <w:rPr>
                <w:color w:val="auto"/>
                <w:kern w:val="2"/>
                <w:sz w:val="22"/>
                <w:szCs w:val="21"/>
                <w:highlight w:val="none"/>
              </w:rPr>
            </w:pPr>
            <w:r>
              <w:rPr>
                <w:rFonts w:hint="eastAsia"/>
                <w:color w:val="auto"/>
                <w:kern w:val="2"/>
                <w:sz w:val="22"/>
                <w:szCs w:val="21"/>
                <w:highlight w:val="none"/>
              </w:rPr>
              <w:t>单位</w:t>
            </w:r>
          </w:p>
        </w:tc>
        <w:tc>
          <w:tcPr>
            <w:tcW w:w="441" w:type="pct"/>
            <w:tcBorders>
              <w:top w:val="single" w:color="auto" w:sz="12" w:space="0"/>
              <w:bottom w:val="double" w:color="auto" w:sz="6" w:space="0"/>
            </w:tcBorders>
            <w:vAlign w:val="center"/>
          </w:tcPr>
          <w:p w14:paraId="508351A2">
            <w:pPr>
              <w:keepNext/>
              <w:snapToGrid w:val="0"/>
              <w:spacing w:line="360" w:lineRule="auto"/>
              <w:rPr>
                <w:color w:val="auto"/>
                <w:kern w:val="2"/>
                <w:sz w:val="22"/>
                <w:szCs w:val="21"/>
                <w:highlight w:val="none"/>
              </w:rPr>
            </w:pPr>
            <w:r>
              <w:rPr>
                <w:rFonts w:hint="eastAsia"/>
                <w:color w:val="auto"/>
                <w:kern w:val="2"/>
                <w:sz w:val="22"/>
                <w:szCs w:val="21"/>
                <w:highlight w:val="none"/>
              </w:rPr>
              <w:t>数量</w:t>
            </w:r>
          </w:p>
        </w:tc>
        <w:tc>
          <w:tcPr>
            <w:tcW w:w="541" w:type="pct"/>
            <w:tcBorders>
              <w:top w:val="single" w:color="auto" w:sz="12" w:space="0"/>
              <w:bottom w:val="double" w:color="auto" w:sz="6" w:space="0"/>
            </w:tcBorders>
            <w:vAlign w:val="center"/>
          </w:tcPr>
          <w:p w14:paraId="11CBECA9">
            <w:pPr>
              <w:keepNext/>
              <w:snapToGrid w:val="0"/>
              <w:spacing w:line="360" w:lineRule="auto"/>
              <w:rPr>
                <w:color w:val="auto"/>
                <w:kern w:val="2"/>
                <w:sz w:val="22"/>
                <w:szCs w:val="21"/>
                <w:highlight w:val="none"/>
              </w:rPr>
            </w:pPr>
            <w:r>
              <w:rPr>
                <w:rFonts w:hint="eastAsia"/>
                <w:color w:val="auto"/>
                <w:kern w:val="2"/>
                <w:sz w:val="22"/>
                <w:szCs w:val="21"/>
                <w:highlight w:val="none"/>
              </w:rPr>
              <w:t>单价（元）</w:t>
            </w:r>
          </w:p>
        </w:tc>
        <w:tc>
          <w:tcPr>
            <w:tcW w:w="514" w:type="pct"/>
            <w:tcBorders>
              <w:top w:val="single" w:color="auto" w:sz="12" w:space="0"/>
              <w:bottom w:val="double" w:color="auto" w:sz="6" w:space="0"/>
            </w:tcBorders>
            <w:vAlign w:val="center"/>
          </w:tcPr>
          <w:p w14:paraId="2B51D31E">
            <w:pPr>
              <w:keepNext/>
              <w:snapToGrid w:val="0"/>
              <w:spacing w:line="360" w:lineRule="auto"/>
              <w:rPr>
                <w:color w:val="auto"/>
                <w:kern w:val="2"/>
                <w:sz w:val="22"/>
                <w:szCs w:val="21"/>
                <w:highlight w:val="none"/>
              </w:rPr>
            </w:pPr>
            <w:r>
              <w:rPr>
                <w:rFonts w:hint="eastAsia"/>
                <w:color w:val="auto"/>
                <w:kern w:val="2"/>
                <w:sz w:val="22"/>
                <w:szCs w:val="21"/>
                <w:highlight w:val="none"/>
              </w:rPr>
              <w:t>质量等级</w:t>
            </w:r>
          </w:p>
        </w:tc>
        <w:tc>
          <w:tcPr>
            <w:tcW w:w="441" w:type="pct"/>
            <w:tcBorders>
              <w:top w:val="single" w:color="auto" w:sz="12" w:space="0"/>
              <w:bottom w:val="double" w:color="auto" w:sz="6" w:space="0"/>
            </w:tcBorders>
            <w:vAlign w:val="center"/>
          </w:tcPr>
          <w:p w14:paraId="3816299B">
            <w:pPr>
              <w:keepNext/>
              <w:snapToGrid w:val="0"/>
              <w:spacing w:line="360" w:lineRule="auto"/>
              <w:rPr>
                <w:color w:val="auto"/>
                <w:kern w:val="2"/>
                <w:sz w:val="22"/>
                <w:szCs w:val="21"/>
                <w:highlight w:val="none"/>
              </w:rPr>
            </w:pPr>
            <w:r>
              <w:rPr>
                <w:rFonts w:hint="eastAsia"/>
                <w:color w:val="auto"/>
                <w:kern w:val="2"/>
                <w:sz w:val="22"/>
                <w:szCs w:val="21"/>
                <w:highlight w:val="none"/>
              </w:rPr>
              <w:t>供应时间</w:t>
            </w:r>
          </w:p>
        </w:tc>
        <w:tc>
          <w:tcPr>
            <w:tcW w:w="500" w:type="pct"/>
            <w:tcBorders>
              <w:top w:val="single" w:color="auto" w:sz="12" w:space="0"/>
              <w:bottom w:val="double" w:color="auto" w:sz="6" w:space="0"/>
            </w:tcBorders>
            <w:vAlign w:val="center"/>
          </w:tcPr>
          <w:p w14:paraId="5B0181D5">
            <w:pPr>
              <w:keepNext/>
              <w:snapToGrid w:val="0"/>
              <w:spacing w:line="360" w:lineRule="auto"/>
              <w:rPr>
                <w:color w:val="auto"/>
                <w:kern w:val="2"/>
                <w:sz w:val="22"/>
                <w:szCs w:val="21"/>
                <w:highlight w:val="none"/>
              </w:rPr>
            </w:pPr>
            <w:r>
              <w:rPr>
                <w:rFonts w:hint="eastAsia"/>
                <w:color w:val="auto"/>
                <w:kern w:val="2"/>
                <w:sz w:val="22"/>
                <w:szCs w:val="21"/>
                <w:highlight w:val="none"/>
              </w:rPr>
              <w:t>送达地点</w:t>
            </w:r>
          </w:p>
        </w:tc>
        <w:tc>
          <w:tcPr>
            <w:tcW w:w="416" w:type="pct"/>
            <w:tcBorders>
              <w:top w:val="single" w:color="auto" w:sz="12" w:space="0"/>
              <w:bottom w:val="double" w:color="auto" w:sz="6" w:space="0"/>
            </w:tcBorders>
            <w:vAlign w:val="center"/>
          </w:tcPr>
          <w:p w14:paraId="5C0687C9">
            <w:pPr>
              <w:keepNext/>
              <w:snapToGrid w:val="0"/>
              <w:spacing w:line="360" w:lineRule="auto"/>
              <w:rPr>
                <w:color w:val="auto"/>
                <w:kern w:val="2"/>
                <w:sz w:val="22"/>
                <w:szCs w:val="21"/>
                <w:highlight w:val="none"/>
              </w:rPr>
            </w:pPr>
            <w:r>
              <w:rPr>
                <w:rFonts w:hint="eastAsia"/>
                <w:color w:val="auto"/>
                <w:kern w:val="2"/>
                <w:sz w:val="22"/>
                <w:szCs w:val="21"/>
                <w:highlight w:val="none"/>
              </w:rPr>
              <w:t>备注</w:t>
            </w:r>
          </w:p>
        </w:tc>
      </w:tr>
      <w:tr w14:paraId="1AC2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top w:val="double" w:color="auto" w:sz="6" w:space="0"/>
            </w:tcBorders>
            <w:vAlign w:val="center"/>
          </w:tcPr>
          <w:p w14:paraId="7AD64372">
            <w:pPr>
              <w:keepNext/>
              <w:snapToGrid w:val="0"/>
              <w:spacing w:line="360" w:lineRule="auto"/>
              <w:rPr>
                <w:color w:val="auto"/>
                <w:kern w:val="2"/>
                <w:sz w:val="22"/>
                <w:szCs w:val="21"/>
                <w:highlight w:val="none"/>
              </w:rPr>
            </w:pPr>
          </w:p>
        </w:tc>
        <w:tc>
          <w:tcPr>
            <w:tcW w:w="661" w:type="pct"/>
            <w:tcBorders>
              <w:top w:val="double" w:color="auto" w:sz="6" w:space="0"/>
            </w:tcBorders>
            <w:vAlign w:val="center"/>
          </w:tcPr>
          <w:p w14:paraId="483F3EED">
            <w:pPr>
              <w:keepNext/>
              <w:snapToGrid w:val="0"/>
              <w:spacing w:line="360" w:lineRule="auto"/>
              <w:rPr>
                <w:color w:val="auto"/>
                <w:kern w:val="2"/>
                <w:sz w:val="22"/>
                <w:szCs w:val="21"/>
                <w:highlight w:val="none"/>
              </w:rPr>
            </w:pPr>
          </w:p>
        </w:tc>
        <w:tc>
          <w:tcPr>
            <w:tcW w:w="560" w:type="pct"/>
            <w:tcBorders>
              <w:top w:val="double" w:color="auto" w:sz="6" w:space="0"/>
            </w:tcBorders>
            <w:vAlign w:val="center"/>
          </w:tcPr>
          <w:p w14:paraId="46A4CE57">
            <w:pPr>
              <w:keepNext/>
              <w:snapToGrid w:val="0"/>
              <w:spacing w:line="360" w:lineRule="auto"/>
              <w:rPr>
                <w:color w:val="auto"/>
                <w:kern w:val="2"/>
                <w:sz w:val="22"/>
                <w:szCs w:val="21"/>
                <w:highlight w:val="none"/>
              </w:rPr>
            </w:pPr>
          </w:p>
        </w:tc>
        <w:tc>
          <w:tcPr>
            <w:tcW w:w="487" w:type="pct"/>
            <w:tcBorders>
              <w:top w:val="double" w:color="auto" w:sz="6" w:space="0"/>
            </w:tcBorders>
            <w:vAlign w:val="center"/>
          </w:tcPr>
          <w:p w14:paraId="20948AB2">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1E6B45E5">
            <w:pPr>
              <w:keepNext/>
              <w:snapToGrid w:val="0"/>
              <w:spacing w:line="360" w:lineRule="auto"/>
              <w:rPr>
                <w:color w:val="auto"/>
                <w:kern w:val="2"/>
                <w:sz w:val="22"/>
                <w:szCs w:val="21"/>
                <w:highlight w:val="none"/>
              </w:rPr>
            </w:pPr>
          </w:p>
        </w:tc>
        <w:tc>
          <w:tcPr>
            <w:tcW w:w="541" w:type="pct"/>
            <w:tcBorders>
              <w:top w:val="double" w:color="auto" w:sz="6" w:space="0"/>
            </w:tcBorders>
            <w:vAlign w:val="center"/>
          </w:tcPr>
          <w:p w14:paraId="77826302">
            <w:pPr>
              <w:keepNext/>
              <w:snapToGrid w:val="0"/>
              <w:spacing w:line="360" w:lineRule="auto"/>
              <w:rPr>
                <w:color w:val="auto"/>
                <w:kern w:val="2"/>
                <w:sz w:val="22"/>
                <w:szCs w:val="21"/>
                <w:highlight w:val="none"/>
              </w:rPr>
            </w:pPr>
          </w:p>
        </w:tc>
        <w:tc>
          <w:tcPr>
            <w:tcW w:w="514" w:type="pct"/>
            <w:tcBorders>
              <w:top w:val="double" w:color="auto" w:sz="6" w:space="0"/>
            </w:tcBorders>
            <w:vAlign w:val="center"/>
          </w:tcPr>
          <w:p w14:paraId="4C7FA56F">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1F7BBBAE">
            <w:pPr>
              <w:keepNext/>
              <w:snapToGrid w:val="0"/>
              <w:spacing w:line="360" w:lineRule="auto"/>
              <w:rPr>
                <w:color w:val="auto"/>
                <w:kern w:val="2"/>
                <w:sz w:val="22"/>
                <w:szCs w:val="21"/>
                <w:highlight w:val="none"/>
              </w:rPr>
            </w:pPr>
          </w:p>
        </w:tc>
        <w:tc>
          <w:tcPr>
            <w:tcW w:w="500" w:type="pct"/>
            <w:tcBorders>
              <w:top w:val="double" w:color="auto" w:sz="6" w:space="0"/>
            </w:tcBorders>
            <w:vAlign w:val="center"/>
          </w:tcPr>
          <w:p w14:paraId="64C9B0E1">
            <w:pPr>
              <w:keepNext/>
              <w:snapToGrid w:val="0"/>
              <w:spacing w:line="360" w:lineRule="auto"/>
              <w:rPr>
                <w:color w:val="auto"/>
                <w:kern w:val="2"/>
                <w:sz w:val="22"/>
                <w:szCs w:val="21"/>
                <w:highlight w:val="none"/>
              </w:rPr>
            </w:pPr>
          </w:p>
        </w:tc>
        <w:tc>
          <w:tcPr>
            <w:tcW w:w="416" w:type="pct"/>
            <w:tcBorders>
              <w:top w:val="double" w:color="auto" w:sz="6" w:space="0"/>
            </w:tcBorders>
            <w:vAlign w:val="center"/>
          </w:tcPr>
          <w:p w14:paraId="0A7F9B75">
            <w:pPr>
              <w:keepNext/>
              <w:snapToGrid w:val="0"/>
              <w:spacing w:line="360" w:lineRule="auto"/>
              <w:rPr>
                <w:color w:val="auto"/>
                <w:kern w:val="2"/>
                <w:sz w:val="22"/>
                <w:szCs w:val="21"/>
                <w:highlight w:val="none"/>
              </w:rPr>
            </w:pPr>
          </w:p>
        </w:tc>
      </w:tr>
      <w:tr w14:paraId="5EB6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vAlign w:val="center"/>
          </w:tcPr>
          <w:p w14:paraId="0CCD0F68">
            <w:pPr>
              <w:snapToGrid w:val="0"/>
              <w:spacing w:line="360" w:lineRule="auto"/>
              <w:rPr>
                <w:color w:val="auto"/>
                <w:kern w:val="2"/>
                <w:sz w:val="22"/>
                <w:szCs w:val="21"/>
                <w:highlight w:val="none"/>
              </w:rPr>
            </w:pPr>
          </w:p>
        </w:tc>
        <w:tc>
          <w:tcPr>
            <w:tcW w:w="661" w:type="pct"/>
            <w:vAlign w:val="center"/>
          </w:tcPr>
          <w:p w14:paraId="40644D79">
            <w:pPr>
              <w:snapToGrid w:val="0"/>
              <w:spacing w:line="360" w:lineRule="auto"/>
              <w:rPr>
                <w:color w:val="auto"/>
                <w:kern w:val="2"/>
                <w:sz w:val="22"/>
                <w:szCs w:val="21"/>
                <w:highlight w:val="none"/>
              </w:rPr>
            </w:pPr>
          </w:p>
        </w:tc>
        <w:tc>
          <w:tcPr>
            <w:tcW w:w="560" w:type="pct"/>
            <w:vAlign w:val="center"/>
          </w:tcPr>
          <w:p w14:paraId="49D41491">
            <w:pPr>
              <w:snapToGrid w:val="0"/>
              <w:spacing w:line="360" w:lineRule="auto"/>
              <w:rPr>
                <w:color w:val="auto"/>
                <w:kern w:val="2"/>
                <w:sz w:val="22"/>
                <w:szCs w:val="21"/>
                <w:highlight w:val="none"/>
              </w:rPr>
            </w:pPr>
          </w:p>
        </w:tc>
        <w:tc>
          <w:tcPr>
            <w:tcW w:w="487" w:type="pct"/>
            <w:vAlign w:val="center"/>
          </w:tcPr>
          <w:p w14:paraId="61D2F7E8">
            <w:pPr>
              <w:snapToGrid w:val="0"/>
              <w:spacing w:line="360" w:lineRule="auto"/>
              <w:rPr>
                <w:color w:val="auto"/>
                <w:kern w:val="2"/>
                <w:sz w:val="22"/>
                <w:szCs w:val="21"/>
                <w:highlight w:val="none"/>
              </w:rPr>
            </w:pPr>
          </w:p>
        </w:tc>
        <w:tc>
          <w:tcPr>
            <w:tcW w:w="441" w:type="pct"/>
            <w:vAlign w:val="center"/>
          </w:tcPr>
          <w:p w14:paraId="1C389020">
            <w:pPr>
              <w:snapToGrid w:val="0"/>
              <w:spacing w:line="360" w:lineRule="auto"/>
              <w:rPr>
                <w:color w:val="auto"/>
                <w:kern w:val="2"/>
                <w:sz w:val="22"/>
                <w:szCs w:val="21"/>
                <w:highlight w:val="none"/>
              </w:rPr>
            </w:pPr>
          </w:p>
        </w:tc>
        <w:tc>
          <w:tcPr>
            <w:tcW w:w="541" w:type="pct"/>
            <w:vAlign w:val="center"/>
          </w:tcPr>
          <w:p w14:paraId="707A997A">
            <w:pPr>
              <w:snapToGrid w:val="0"/>
              <w:spacing w:line="360" w:lineRule="auto"/>
              <w:rPr>
                <w:color w:val="auto"/>
                <w:kern w:val="2"/>
                <w:sz w:val="22"/>
                <w:szCs w:val="21"/>
                <w:highlight w:val="none"/>
              </w:rPr>
            </w:pPr>
          </w:p>
        </w:tc>
        <w:tc>
          <w:tcPr>
            <w:tcW w:w="514" w:type="pct"/>
            <w:vAlign w:val="center"/>
          </w:tcPr>
          <w:p w14:paraId="24E5F8C7">
            <w:pPr>
              <w:snapToGrid w:val="0"/>
              <w:spacing w:line="360" w:lineRule="auto"/>
              <w:rPr>
                <w:color w:val="auto"/>
                <w:kern w:val="2"/>
                <w:sz w:val="22"/>
                <w:szCs w:val="21"/>
                <w:highlight w:val="none"/>
              </w:rPr>
            </w:pPr>
          </w:p>
        </w:tc>
        <w:tc>
          <w:tcPr>
            <w:tcW w:w="441" w:type="pct"/>
            <w:vAlign w:val="center"/>
          </w:tcPr>
          <w:p w14:paraId="4180051C">
            <w:pPr>
              <w:snapToGrid w:val="0"/>
              <w:spacing w:line="360" w:lineRule="auto"/>
              <w:rPr>
                <w:color w:val="auto"/>
                <w:kern w:val="2"/>
                <w:sz w:val="22"/>
                <w:szCs w:val="21"/>
                <w:highlight w:val="none"/>
              </w:rPr>
            </w:pPr>
          </w:p>
        </w:tc>
        <w:tc>
          <w:tcPr>
            <w:tcW w:w="500" w:type="pct"/>
            <w:vAlign w:val="center"/>
          </w:tcPr>
          <w:p w14:paraId="62463C71">
            <w:pPr>
              <w:snapToGrid w:val="0"/>
              <w:spacing w:line="360" w:lineRule="auto"/>
              <w:rPr>
                <w:color w:val="auto"/>
                <w:kern w:val="2"/>
                <w:sz w:val="22"/>
                <w:szCs w:val="21"/>
                <w:highlight w:val="none"/>
              </w:rPr>
            </w:pPr>
          </w:p>
        </w:tc>
        <w:tc>
          <w:tcPr>
            <w:tcW w:w="416" w:type="pct"/>
            <w:vAlign w:val="center"/>
          </w:tcPr>
          <w:p w14:paraId="16283B26">
            <w:pPr>
              <w:snapToGrid w:val="0"/>
              <w:spacing w:line="360" w:lineRule="auto"/>
              <w:rPr>
                <w:color w:val="auto"/>
                <w:kern w:val="2"/>
                <w:sz w:val="22"/>
                <w:szCs w:val="21"/>
                <w:highlight w:val="none"/>
              </w:rPr>
            </w:pPr>
          </w:p>
        </w:tc>
      </w:tr>
      <w:tr w14:paraId="1F3C6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bottom w:val="single" w:color="auto" w:sz="12" w:space="0"/>
            </w:tcBorders>
            <w:vAlign w:val="center"/>
          </w:tcPr>
          <w:p w14:paraId="618CDAA8">
            <w:pPr>
              <w:snapToGrid w:val="0"/>
              <w:spacing w:line="360" w:lineRule="auto"/>
              <w:rPr>
                <w:color w:val="auto"/>
                <w:kern w:val="2"/>
                <w:sz w:val="22"/>
                <w:szCs w:val="21"/>
                <w:highlight w:val="none"/>
              </w:rPr>
            </w:pPr>
          </w:p>
        </w:tc>
        <w:tc>
          <w:tcPr>
            <w:tcW w:w="661" w:type="pct"/>
            <w:tcBorders>
              <w:bottom w:val="single" w:color="auto" w:sz="12" w:space="0"/>
            </w:tcBorders>
            <w:vAlign w:val="center"/>
          </w:tcPr>
          <w:p w14:paraId="19C80395">
            <w:pPr>
              <w:snapToGrid w:val="0"/>
              <w:spacing w:line="360" w:lineRule="auto"/>
              <w:rPr>
                <w:color w:val="auto"/>
                <w:kern w:val="2"/>
                <w:sz w:val="22"/>
                <w:szCs w:val="21"/>
                <w:highlight w:val="none"/>
              </w:rPr>
            </w:pPr>
          </w:p>
        </w:tc>
        <w:tc>
          <w:tcPr>
            <w:tcW w:w="560" w:type="pct"/>
            <w:tcBorders>
              <w:bottom w:val="single" w:color="auto" w:sz="12" w:space="0"/>
            </w:tcBorders>
            <w:vAlign w:val="center"/>
          </w:tcPr>
          <w:p w14:paraId="53E7AA39">
            <w:pPr>
              <w:snapToGrid w:val="0"/>
              <w:spacing w:line="360" w:lineRule="auto"/>
              <w:rPr>
                <w:color w:val="auto"/>
                <w:kern w:val="2"/>
                <w:sz w:val="22"/>
                <w:szCs w:val="21"/>
                <w:highlight w:val="none"/>
              </w:rPr>
            </w:pPr>
          </w:p>
        </w:tc>
        <w:tc>
          <w:tcPr>
            <w:tcW w:w="487" w:type="pct"/>
            <w:tcBorders>
              <w:bottom w:val="single" w:color="auto" w:sz="12" w:space="0"/>
            </w:tcBorders>
            <w:vAlign w:val="center"/>
          </w:tcPr>
          <w:p w14:paraId="3A9D5280">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1FDDECFF">
            <w:pPr>
              <w:snapToGrid w:val="0"/>
              <w:spacing w:line="360" w:lineRule="auto"/>
              <w:rPr>
                <w:color w:val="auto"/>
                <w:kern w:val="2"/>
                <w:sz w:val="22"/>
                <w:szCs w:val="21"/>
                <w:highlight w:val="none"/>
              </w:rPr>
            </w:pPr>
          </w:p>
        </w:tc>
        <w:tc>
          <w:tcPr>
            <w:tcW w:w="541" w:type="pct"/>
            <w:tcBorders>
              <w:bottom w:val="single" w:color="auto" w:sz="12" w:space="0"/>
            </w:tcBorders>
            <w:vAlign w:val="center"/>
          </w:tcPr>
          <w:p w14:paraId="591460EA">
            <w:pPr>
              <w:snapToGrid w:val="0"/>
              <w:spacing w:line="360" w:lineRule="auto"/>
              <w:rPr>
                <w:color w:val="auto"/>
                <w:kern w:val="2"/>
                <w:sz w:val="22"/>
                <w:szCs w:val="21"/>
                <w:highlight w:val="none"/>
              </w:rPr>
            </w:pPr>
          </w:p>
        </w:tc>
        <w:tc>
          <w:tcPr>
            <w:tcW w:w="514" w:type="pct"/>
            <w:tcBorders>
              <w:bottom w:val="single" w:color="auto" w:sz="12" w:space="0"/>
            </w:tcBorders>
            <w:vAlign w:val="center"/>
          </w:tcPr>
          <w:p w14:paraId="0839CA2C">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7F944315">
            <w:pPr>
              <w:snapToGrid w:val="0"/>
              <w:spacing w:line="360" w:lineRule="auto"/>
              <w:rPr>
                <w:color w:val="auto"/>
                <w:kern w:val="2"/>
                <w:sz w:val="22"/>
                <w:szCs w:val="21"/>
                <w:highlight w:val="none"/>
              </w:rPr>
            </w:pPr>
          </w:p>
        </w:tc>
        <w:tc>
          <w:tcPr>
            <w:tcW w:w="500" w:type="pct"/>
            <w:tcBorders>
              <w:bottom w:val="single" w:color="auto" w:sz="12" w:space="0"/>
            </w:tcBorders>
            <w:vAlign w:val="center"/>
          </w:tcPr>
          <w:p w14:paraId="500F4230">
            <w:pPr>
              <w:snapToGrid w:val="0"/>
              <w:spacing w:line="360" w:lineRule="auto"/>
              <w:rPr>
                <w:color w:val="auto"/>
                <w:kern w:val="2"/>
                <w:sz w:val="22"/>
                <w:szCs w:val="21"/>
                <w:highlight w:val="none"/>
              </w:rPr>
            </w:pPr>
          </w:p>
        </w:tc>
        <w:tc>
          <w:tcPr>
            <w:tcW w:w="416" w:type="pct"/>
            <w:tcBorders>
              <w:bottom w:val="single" w:color="auto" w:sz="12" w:space="0"/>
            </w:tcBorders>
            <w:vAlign w:val="center"/>
          </w:tcPr>
          <w:p w14:paraId="3F115A60">
            <w:pPr>
              <w:snapToGrid w:val="0"/>
              <w:spacing w:line="360" w:lineRule="auto"/>
              <w:rPr>
                <w:color w:val="auto"/>
                <w:kern w:val="2"/>
                <w:sz w:val="22"/>
                <w:szCs w:val="21"/>
                <w:highlight w:val="none"/>
              </w:rPr>
            </w:pPr>
          </w:p>
        </w:tc>
      </w:tr>
    </w:tbl>
    <w:p w14:paraId="6D554C2B">
      <w:pPr>
        <w:spacing w:line="360" w:lineRule="auto"/>
        <w:rPr>
          <w:color w:val="auto"/>
          <w:kern w:val="2"/>
          <w:sz w:val="22"/>
          <w:szCs w:val="21"/>
          <w:highlight w:val="none"/>
        </w:rPr>
      </w:pPr>
    </w:p>
    <w:p w14:paraId="33A3DC14">
      <w:pPr>
        <w:spacing w:line="360" w:lineRule="auto"/>
        <w:rPr>
          <w:color w:val="auto"/>
          <w:kern w:val="2"/>
          <w:sz w:val="22"/>
          <w:szCs w:val="21"/>
          <w:highlight w:val="none"/>
        </w:rPr>
      </w:pPr>
    </w:p>
    <w:p w14:paraId="4AB9F00F">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2"/>
          <w:szCs w:val="21"/>
          <w:highlight w:val="none"/>
        </w:rPr>
        <w:br w:type="page"/>
      </w:r>
      <w:r>
        <w:rPr>
          <w:rFonts w:hint="eastAsia" w:ascii="黑体" w:hAnsi="黑体" w:eastAsia="黑体"/>
          <w:bCs/>
          <w:color w:val="auto"/>
          <w:kern w:val="2"/>
          <w:sz w:val="24"/>
          <w:szCs w:val="24"/>
          <w:highlight w:val="none"/>
        </w:rPr>
        <w:t>附件3：工程质量保修书(房屋建筑工程)</w:t>
      </w:r>
    </w:p>
    <w:p w14:paraId="7A807F60">
      <w:pPr>
        <w:adjustRightInd w:val="0"/>
        <w:snapToGrid w:val="0"/>
        <w:spacing w:before="156" w:beforeLines="50" w:after="156" w:afterLines="50" w:line="360" w:lineRule="auto"/>
        <w:jc w:val="center"/>
        <w:rPr>
          <w:b/>
          <w:color w:val="auto"/>
          <w:kern w:val="2"/>
          <w:sz w:val="24"/>
          <w:szCs w:val="24"/>
          <w:highlight w:val="none"/>
        </w:rPr>
      </w:pPr>
      <w:r>
        <w:rPr>
          <w:rFonts w:hint="eastAsia"/>
          <w:b/>
          <w:color w:val="auto"/>
          <w:kern w:val="2"/>
          <w:sz w:val="24"/>
          <w:szCs w:val="24"/>
          <w:highlight w:val="none"/>
        </w:rPr>
        <w:t>工程质量保修书</w:t>
      </w:r>
    </w:p>
    <w:p w14:paraId="0929DBC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1A32367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2C06A6B6">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发包人和承包人根据《中华人民共和国建筑法》和《建设工程质量管理条例》，经协商一致就_______________（工程全称）签订工程质量保修书。</w:t>
      </w:r>
    </w:p>
    <w:p w14:paraId="0A16238A">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一、工程质量保修范围和内容</w:t>
      </w:r>
    </w:p>
    <w:p w14:paraId="503E858D">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承包人在质量保修期内，按照有关法律规定和合同约定，承担工程质量保修责任。</w:t>
      </w:r>
    </w:p>
    <w:p w14:paraId="3725830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kern w:val="2"/>
          <w:sz w:val="21"/>
          <w:szCs w:val="21"/>
          <w:highlight w:val="none"/>
          <w:u w:val="single"/>
        </w:rPr>
        <w:t xml:space="preserve">                </w:t>
      </w:r>
      <w:r>
        <w:rPr>
          <w:rFonts w:hint="eastAsia"/>
          <w:color w:val="auto"/>
          <w:kern w:val="2"/>
          <w:sz w:val="21"/>
          <w:szCs w:val="21"/>
          <w:highlight w:val="none"/>
        </w:rPr>
        <w:t>。</w:t>
      </w:r>
    </w:p>
    <w:p w14:paraId="2948D0D4">
      <w:pPr>
        <w:adjustRightInd w:val="0"/>
        <w:snapToGrid w:val="0"/>
        <w:spacing w:line="360" w:lineRule="auto"/>
        <w:ind w:firstLine="413" w:firstLineChars="196"/>
        <w:rPr>
          <w:b/>
          <w:color w:val="auto"/>
          <w:kern w:val="2"/>
          <w:sz w:val="21"/>
          <w:szCs w:val="21"/>
          <w:highlight w:val="none"/>
        </w:rPr>
      </w:pPr>
      <w:r>
        <w:rPr>
          <w:rFonts w:hint="eastAsia"/>
          <w:b/>
          <w:color w:val="auto"/>
          <w:kern w:val="2"/>
          <w:sz w:val="21"/>
          <w:szCs w:val="21"/>
          <w:highlight w:val="none"/>
        </w:rPr>
        <w:t>二、质量保修期</w:t>
      </w:r>
    </w:p>
    <w:p w14:paraId="3809CCD4">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根据《建设工程质量管理条例》及有关规定，工程的质量保修期如下：</w:t>
      </w:r>
    </w:p>
    <w:p w14:paraId="58F2AD1D">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1. 地基基础工程和主体结构工程为设计文件规定的工程合理使用年限；</w:t>
      </w:r>
    </w:p>
    <w:p w14:paraId="5B0019B9">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2. 屋面防水工程、有防水要求的卫生间、房间和外墙面的防渗为</w:t>
      </w:r>
      <w:r>
        <w:rPr>
          <w:rFonts w:hint="eastAsia"/>
          <w:color w:val="auto"/>
          <w:kern w:val="2"/>
          <w:sz w:val="21"/>
          <w:szCs w:val="21"/>
          <w:highlight w:val="none"/>
          <w:u w:val="single"/>
        </w:rPr>
        <w:t>5</w:t>
      </w:r>
      <w:r>
        <w:rPr>
          <w:rFonts w:hint="eastAsia"/>
          <w:color w:val="auto"/>
          <w:kern w:val="2"/>
          <w:sz w:val="21"/>
          <w:szCs w:val="21"/>
          <w:highlight w:val="none"/>
        </w:rPr>
        <w:t>年；</w:t>
      </w:r>
    </w:p>
    <w:p w14:paraId="36727BC7">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3. 装修工程为</w:t>
      </w:r>
      <w:r>
        <w:rPr>
          <w:rFonts w:hint="eastAsia"/>
          <w:color w:val="auto"/>
          <w:kern w:val="2"/>
          <w:sz w:val="21"/>
          <w:szCs w:val="21"/>
          <w:highlight w:val="none"/>
          <w:u w:val="single"/>
        </w:rPr>
        <w:t>2</w:t>
      </w:r>
      <w:r>
        <w:rPr>
          <w:rFonts w:hint="eastAsia"/>
          <w:color w:val="auto"/>
          <w:kern w:val="2"/>
          <w:sz w:val="21"/>
          <w:szCs w:val="21"/>
          <w:highlight w:val="none"/>
        </w:rPr>
        <w:t>年；</w:t>
      </w:r>
    </w:p>
    <w:p w14:paraId="6F17BB5D">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4. 电气管线、给排水管道、设备安装工程为</w:t>
      </w:r>
      <w:r>
        <w:rPr>
          <w:rFonts w:hint="eastAsia"/>
          <w:color w:val="auto"/>
          <w:kern w:val="2"/>
          <w:sz w:val="21"/>
          <w:szCs w:val="21"/>
          <w:highlight w:val="none"/>
          <w:u w:val="single"/>
        </w:rPr>
        <w:t>2</w:t>
      </w:r>
      <w:r>
        <w:rPr>
          <w:rFonts w:hint="eastAsia"/>
          <w:color w:val="auto"/>
          <w:kern w:val="2"/>
          <w:sz w:val="21"/>
          <w:szCs w:val="21"/>
          <w:highlight w:val="none"/>
        </w:rPr>
        <w:t>年；</w:t>
      </w:r>
    </w:p>
    <w:p w14:paraId="007BF032">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5. 供热与供冷系统为</w:t>
      </w:r>
      <w:r>
        <w:rPr>
          <w:rFonts w:hint="eastAsia"/>
          <w:color w:val="auto"/>
          <w:kern w:val="2"/>
          <w:sz w:val="21"/>
          <w:szCs w:val="21"/>
          <w:highlight w:val="none"/>
          <w:u w:val="single"/>
        </w:rPr>
        <w:t>2</w:t>
      </w:r>
      <w:r>
        <w:rPr>
          <w:rFonts w:hint="eastAsia"/>
          <w:color w:val="auto"/>
          <w:kern w:val="2"/>
          <w:sz w:val="21"/>
          <w:szCs w:val="21"/>
          <w:highlight w:val="none"/>
        </w:rPr>
        <w:t>个采暖期、供冷期；</w:t>
      </w:r>
    </w:p>
    <w:p w14:paraId="3F88B578">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6. 住宅小区内的给排水设施、道路等配套工程为</w:t>
      </w:r>
      <w:r>
        <w:rPr>
          <w:rFonts w:hint="eastAsia"/>
          <w:color w:val="auto"/>
          <w:kern w:val="2"/>
          <w:sz w:val="21"/>
          <w:szCs w:val="21"/>
          <w:highlight w:val="none"/>
          <w:u w:val="single"/>
        </w:rPr>
        <w:t>2</w:t>
      </w:r>
      <w:r>
        <w:rPr>
          <w:rFonts w:hint="eastAsia"/>
          <w:color w:val="auto"/>
          <w:kern w:val="2"/>
          <w:sz w:val="21"/>
          <w:szCs w:val="21"/>
          <w:highlight w:val="none"/>
        </w:rPr>
        <w:t>年；</w:t>
      </w:r>
    </w:p>
    <w:p w14:paraId="21465F51">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7. 其他项目保修期限约定如下：</w:t>
      </w:r>
      <w:r>
        <w:rPr>
          <w:rFonts w:hint="eastAsia"/>
          <w:color w:val="auto"/>
          <w:kern w:val="2"/>
          <w:sz w:val="21"/>
          <w:szCs w:val="21"/>
          <w:highlight w:val="none"/>
          <w:u w:val="single"/>
        </w:rPr>
        <w:t>保温工程5年</w:t>
      </w:r>
      <w:r>
        <w:rPr>
          <w:rFonts w:hint="eastAsia"/>
          <w:color w:val="auto"/>
          <w:kern w:val="2"/>
          <w:sz w:val="21"/>
          <w:szCs w:val="21"/>
          <w:highlight w:val="none"/>
        </w:rPr>
        <w:t>。</w:t>
      </w:r>
    </w:p>
    <w:p w14:paraId="65527560">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质量保修期自工程竣工验收合格之日起计算。</w:t>
      </w:r>
    </w:p>
    <w:p w14:paraId="7C366BFE">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43DAFE65">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2B4D05B3">
      <w:pPr>
        <w:adjustRightInd w:val="0"/>
        <w:snapToGrid w:val="0"/>
        <w:spacing w:line="360" w:lineRule="auto"/>
        <w:ind w:firstLine="420" w:firstLineChars="200"/>
        <w:rPr>
          <w:b/>
          <w:color w:val="auto"/>
          <w:kern w:val="2"/>
          <w:sz w:val="21"/>
          <w:szCs w:val="21"/>
          <w:highlight w:val="none"/>
        </w:rPr>
      </w:pPr>
      <w:r>
        <w:rPr>
          <w:rFonts w:hint="eastAsia"/>
          <w:color w:val="auto"/>
          <w:kern w:val="2"/>
          <w:sz w:val="21"/>
          <w:szCs w:val="21"/>
          <w:highlight w:val="none"/>
        </w:rPr>
        <w:t>缺陷责任期终止后，发包人应退还剩余的质量保证金。</w:t>
      </w:r>
    </w:p>
    <w:p w14:paraId="5949E173">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四、质量保修责任</w:t>
      </w:r>
    </w:p>
    <w:p w14:paraId="20280FC2">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1. 属于保修范围、内容的项目，承包人应当在接到保修通知之日起7天内派人保修。承包人不在约定期限内派人保修的，发包人可以委托他人修理。</w:t>
      </w:r>
    </w:p>
    <w:p w14:paraId="2E42F338">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2. 发生紧急事故需抢修的，承包人在接到事故通知后，应当立即到达事故现场抢修。</w:t>
      </w:r>
    </w:p>
    <w:p w14:paraId="4E84AB31">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FB1272">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4. 质量保修完成后，由发包人组织验收。</w:t>
      </w:r>
    </w:p>
    <w:p w14:paraId="08361F44">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五、保修费用</w:t>
      </w:r>
    </w:p>
    <w:p w14:paraId="7DCC7485">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保修费用由造成质量缺陷的责任方承担。</w:t>
      </w:r>
    </w:p>
    <w:p w14:paraId="1C250926">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六、双方约定的其他工程质量保修事项：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04784E80">
      <w:pPr>
        <w:adjustRightInd w:val="0"/>
        <w:snapToGrid w:val="0"/>
        <w:spacing w:line="360" w:lineRule="auto"/>
        <w:ind w:firstLine="399" w:firstLineChars="190"/>
        <w:rPr>
          <w:color w:val="auto"/>
          <w:kern w:val="2"/>
          <w:sz w:val="21"/>
          <w:szCs w:val="21"/>
          <w:highlight w:val="none"/>
        </w:rPr>
      </w:pPr>
      <w:r>
        <w:rPr>
          <w:rFonts w:hint="eastAsia"/>
          <w:color w:val="auto"/>
          <w:kern w:val="2"/>
          <w:sz w:val="21"/>
          <w:szCs w:val="21"/>
          <w:highlight w:val="none"/>
        </w:rPr>
        <w:t>工程质量保修书由发包人、承包人在工程竣工验收前共同签署，作为施工合同附件，其有效期限至保修期满。</w:t>
      </w:r>
    </w:p>
    <w:p w14:paraId="55FA4BB2">
      <w:pPr>
        <w:adjustRightInd w:val="0"/>
        <w:snapToGrid w:val="0"/>
        <w:spacing w:line="360" w:lineRule="auto"/>
        <w:ind w:firstLine="420"/>
        <w:rPr>
          <w:color w:val="auto"/>
          <w:kern w:val="2"/>
          <w:sz w:val="21"/>
          <w:szCs w:val="21"/>
          <w:highlight w:val="none"/>
        </w:rPr>
      </w:pPr>
    </w:p>
    <w:p w14:paraId="3D36AF52">
      <w:pPr>
        <w:adjustRightInd w:val="0"/>
        <w:snapToGrid w:val="0"/>
        <w:spacing w:line="360" w:lineRule="auto"/>
        <w:ind w:firstLine="420"/>
        <w:rPr>
          <w:color w:val="auto"/>
          <w:kern w:val="2"/>
          <w:sz w:val="21"/>
          <w:szCs w:val="21"/>
          <w:highlight w:val="none"/>
        </w:rPr>
      </w:pPr>
    </w:p>
    <w:p w14:paraId="00CDC6E5">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D06446B">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5957F96">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014B7A0">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56B184C8">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690F5E6">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6A037DC2">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1D1615D">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4B1AA82">
      <w:pPr>
        <w:adjustRightInd w:val="0"/>
        <w:snapToGrid w:val="0"/>
        <w:spacing w:line="360" w:lineRule="auto"/>
        <w:rPr>
          <w:color w:val="auto"/>
          <w:kern w:val="2"/>
          <w:sz w:val="24"/>
          <w:szCs w:val="24"/>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A22CEBE">
      <w:pPr>
        <w:widowControl/>
        <w:jc w:val="left"/>
        <w:rPr>
          <w:color w:val="auto"/>
          <w:kern w:val="2"/>
          <w:sz w:val="21"/>
          <w:szCs w:val="21"/>
          <w:highlight w:val="none"/>
        </w:rPr>
      </w:pPr>
      <w:r>
        <w:rPr>
          <w:b/>
          <w:color w:val="auto"/>
          <w:kern w:val="2"/>
          <w:sz w:val="24"/>
          <w:szCs w:val="24"/>
          <w:highlight w:val="none"/>
        </w:rPr>
        <w:br w:type="page"/>
      </w:r>
    </w:p>
    <w:p w14:paraId="7CD97FDF">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76" w:name="_Toc296944565"/>
      <w:bookmarkStart w:id="577" w:name="_Toc296346727"/>
      <w:bookmarkStart w:id="578" w:name="_Toc296891054"/>
      <w:bookmarkStart w:id="579" w:name="_Toc296503226"/>
      <w:bookmarkStart w:id="580" w:name="_Toc267261693"/>
      <w:bookmarkStart w:id="581" w:name="_Toc296891266"/>
      <w:bookmarkStart w:id="582" w:name="_Toc296347225"/>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3</w:t>
      </w:r>
      <w:r>
        <w:rPr>
          <w:rFonts w:hint="eastAsia" w:ascii="黑体" w:hAnsi="黑体" w:eastAsia="黑体"/>
          <w:bCs/>
          <w:color w:val="auto"/>
          <w:kern w:val="2"/>
          <w:sz w:val="24"/>
          <w:szCs w:val="24"/>
          <w:highlight w:val="none"/>
        </w:rPr>
        <w:t>：</w:t>
      </w:r>
      <w:bookmarkEnd w:id="576"/>
      <w:bookmarkEnd w:id="577"/>
      <w:bookmarkEnd w:id="578"/>
      <w:bookmarkEnd w:id="579"/>
      <w:bookmarkEnd w:id="580"/>
      <w:bookmarkEnd w:id="581"/>
      <w:bookmarkEnd w:id="582"/>
      <w:r>
        <w:rPr>
          <w:rFonts w:hint="eastAsia" w:ascii="黑体" w:hAnsi="黑体" w:eastAsia="黑体"/>
          <w:bCs/>
          <w:color w:val="auto"/>
          <w:kern w:val="2"/>
          <w:sz w:val="24"/>
          <w:szCs w:val="24"/>
          <w:highlight w:val="none"/>
        </w:rPr>
        <w:t>工程质量保修书(市政公用工程)</w:t>
      </w:r>
    </w:p>
    <w:p w14:paraId="1D3FBDC9">
      <w:pPr>
        <w:adjustRightInd w:val="0"/>
        <w:snapToGrid w:val="0"/>
        <w:spacing w:line="360" w:lineRule="auto"/>
        <w:jc w:val="center"/>
        <w:rPr>
          <w:color w:val="auto"/>
          <w:kern w:val="2"/>
          <w:sz w:val="28"/>
          <w:szCs w:val="28"/>
          <w:highlight w:val="none"/>
        </w:rPr>
      </w:pPr>
      <w:r>
        <w:rPr>
          <w:rFonts w:hint="eastAsia"/>
          <w:color w:val="auto"/>
          <w:kern w:val="2"/>
          <w:sz w:val="28"/>
          <w:szCs w:val="28"/>
          <w:highlight w:val="none"/>
        </w:rPr>
        <w:t>工程质量保修书</w:t>
      </w:r>
    </w:p>
    <w:p w14:paraId="4E16D48F">
      <w:pPr>
        <w:adjustRightInd w:val="0"/>
        <w:snapToGrid w:val="0"/>
        <w:spacing w:line="360" w:lineRule="auto"/>
        <w:ind w:firstLine="420" w:firstLineChars="200"/>
        <w:rPr>
          <w:color w:val="auto"/>
          <w:position w:val="14"/>
          <w:sz w:val="21"/>
          <w:szCs w:val="21"/>
          <w:highlight w:val="none"/>
        </w:rPr>
      </w:pPr>
      <w:r>
        <w:rPr>
          <w:rFonts w:hint="eastAsia"/>
          <w:bCs/>
          <w:color w:val="auto"/>
          <w:position w:val="14"/>
          <w:sz w:val="21"/>
          <w:szCs w:val="21"/>
          <w:highlight w:val="none"/>
        </w:rPr>
        <w:t>发包人</w:t>
      </w:r>
      <w:r>
        <w:rPr>
          <w:rFonts w:hint="eastAsia"/>
          <w:color w:val="auto"/>
          <w:position w:val="14"/>
          <w:sz w:val="21"/>
          <w:szCs w:val="21"/>
          <w:highlight w:val="none"/>
        </w:rPr>
        <w:t>：_______________________________</w:t>
      </w:r>
    </w:p>
    <w:p w14:paraId="51CCDA31">
      <w:pPr>
        <w:widowControl/>
        <w:adjustRightInd w:val="0"/>
        <w:snapToGrid w:val="0"/>
        <w:spacing w:line="360" w:lineRule="auto"/>
        <w:ind w:firstLine="420" w:firstLineChars="200"/>
        <w:jc w:val="left"/>
        <w:rPr>
          <w:color w:val="auto"/>
          <w:position w:val="14"/>
          <w:sz w:val="21"/>
          <w:szCs w:val="21"/>
          <w:highlight w:val="none"/>
        </w:rPr>
      </w:pPr>
      <w:r>
        <w:rPr>
          <w:rFonts w:hint="eastAsia"/>
          <w:bCs/>
          <w:color w:val="auto"/>
          <w:position w:val="14"/>
          <w:sz w:val="21"/>
          <w:szCs w:val="21"/>
          <w:highlight w:val="none"/>
        </w:rPr>
        <w:t>承包人</w:t>
      </w:r>
      <w:r>
        <w:rPr>
          <w:rFonts w:hint="eastAsia"/>
          <w:color w:val="auto"/>
          <w:position w:val="14"/>
          <w:sz w:val="21"/>
          <w:szCs w:val="21"/>
          <w:highlight w:val="none"/>
        </w:rPr>
        <w:t>：_______________________________</w:t>
      </w:r>
    </w:p>
    <w:p w14:paraId="096F9BE0">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703AC51D">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一、工程质量保修范围和内容</w:t>
      </w:r>
    </w:p>
    <w:p w14:paraId="405A6DEF">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按照《建设工程质量管理条例》及有关法律、法规、规章的管理规定，双方约定由施工单位在质量保修期内，承担本工程的质量保修责任。</w:t>
      </w:r>
    </w:p>
    <w:p w14:paraId="1FDD952A">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质量保修范围和内容：______________________。</w:t>
      </w:r>
      <w:r>
        <w:rPr>
          <w:rFonts w:hint="eastAsia"/>
          <w:bCs/>
          <w:color w:val="auto"/>
          <w:position w:val="6"/>
          <w:sz w:val="21"/>
          <w:szCs w:val="21"/>
          <w:highlight w:val="none"/>
        </w:rPr>
        <w:t>因不可抗力或使用不当造成的质量缺陷，不属保修范围。</w:t>
      </w:r>
    </w:p>
    <w:p w14:paraId="6529B691">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二、质量保修期</w:t>
      </w:r>
    </w:p>
    <w:p w14:paraId="139AB89F">
      <w:pPr>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双方根据</w:t>
      </w:r>
      <w:r>
        <w:rPr>
          <w:rFonts w:hint="eastAsia"/>
          <w:color w:val="auto"/>
          <w:kern w:val="2"/>
          <w:position w:val="6"/>
          <w:sz w:val="21"/>
          <w:szCs w:val="21"/>
          <w:highlight w:val="none"/>
        </w:rPr>
        <w:t>《建设工程质量管理条例》</w:t>
      </w:r>
      <w:r>
        <w:rPr>
          <w:rFonts w:hint="eastAsia"/>
          <w:color w:val="auto"/>
          <w:position w:val="6"/>
          <w:sz w:val="21"/>
          <w:szCs w:val="21"/>
          <w:highlight w:val="none"/>
        </w:rPr>
        <w:t>及有关规定，约定本工程的质量保修期如下：</w:t>
      </w:r>
    </w:p>
    <w:p w14:paraId="238882C9">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1. 主体结构和基础工程，为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45D80260">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2.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217A1E81">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3.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77CD5544">
      <w:pPr>
        <w:adjustRightInd w:val="0"/>
        <w:snapToGrid w:val="0"/>
        <w:spacing w:line="360" w:lineRule="auto"/>
        <w:ind w:left="342" w:leftChars="171" w:firstLine="105" w:firstLineChars="50"/>
        <w:rPr>
          <w:color w:val="auto"/>
          <w:position w:val="6"/>
          <w:sz w:val="21"/>
          <w:szCs w:val="21"/>
          <w:highlight w:val="none"/>
        </w:rPr>
      </w:pPr>
      <w:r>
        <w:rPr>
          <w:rFonts w:hint="eastAsia"/>
          <w:color w:val="auto"/>
          <w:position w:val="6"/>
          <w:sz w:val="21"/>
          <w:szCs w:val="21"/>
          <w:highlight w:val="none"/>
        </w:rPr>
        <w:t xml:space="preserve">4. _____________工程，为 </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r>
        <w:rPr>
          <w:rFonts w:hint="eastAsia"/>
          <w:color w:val="auto"/>
          <w:position w:val="6"/>
          <w:sz w:val="21"/>
          <w:szCs w:val="21"/>
          <w:highlight w:val="none"/>
        </w:rPr>
        <w:br w:type="textWrapping"/>
      </w:r>
      <w:r>
        <w:rPr>
          <w:rFonts w:hint="eastAsia"/>
          <w:color w:val="auto"/>
          <w:position w:val="6"/>
          <w:sz w:val="21"/>
          <w:szCs w:val="21"/>
          <w:highlight w:val="none"/>
        </w:rPr>
        <w:t>质量保修期自工程竣工验收合格之日起计算。</w:t>
      </w:r>
    </w:p>
    <w:p w14:paraId="4CE95CEE">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33245FC0">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421C548C">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缺陷责任期终止后，发包人应退还剩余的质量保证金。</w:t>
      </w:r>
    </w:p>
    <w:p w14:paraId="7BBFB301">
      <w:pPr>
        <w:widowControl/>
        <w:adjustRightInd w:val="0"/>
        <w:snapToGrid w:val="0"/>
        <w:spacing w:line="360" w:lineRule="auto"/>
        <w:ind w:firstLine="422" w:firstLineChars="200"/>
        <w:jc w:val="left"/>
        <w:rPr>
          <w:b/>
          <w:bCs/>
          <w:color w:val="auto"/>
          <w:position w:val="6"/>
          <w:sz w:val="21"/>
          <w:szCs w:val="21"/>
          <w:highlight w:val="none"/>
        </w:rPr>
      </w:pPr>
      <w:r>
        <w:rPr>
          <w:rFonts w:hint="eastAsia"/>
          <w:b/>
          <w:color w:val="auto"/>
          <w:kern w:val="2"/>
          <w:sz w:val="21"/>
          <w:szCs w:val="21"/>
          <w:highlight w:val="none"/>
        </w:rPr>
        <w:t>四、质量保修责任</w:t>
      </w:r>
    </w:p>
    <w:p w14:paraId="57562D3C">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1. 属于保修范围、内容的项目，承包人应当在接到保修通知之日起7天内派人保修。承包人不在约定期限内派人保修的，发包人可以委托他人修理。</w:t>
      </w:r>
    </w:p>
    <w:p w14:paraId="00ABE776">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2. 发生紧急抢修事故的，承包人在接到事故通知后，应当立即到达事故现场抢修。</w:t>
      </w:r>
    </w:p>
    <w:p w14:paraId="64C47F1D">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3FA7A381">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4. 质量保修完成后，由发包人组织验收。</w:t>
      </w:r>
    </w:p>
    <w:p w14:paraId="63B11F20">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五、保修费用</w:t>
      </w:r>
    </w:p>
    <w:p w14:paraId="0A11A155">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保修费用由造成质量缺陷的责任方承担。</w:t>
      </w:r>
    </w:p>
    <w:p w14:paraId="4C41EA02">
      <w:pPr>
        <w:widowControl/>
        <w:adjustRightInd w:val="0"/>
        <w:snapToGrid w:val="0"/>
        <w:spacing w:line="360" w:lineRule="auto"/>
        <w:ind w:firstLine="420" w:firstLineChars="200"/>
        <w:jc w:val="left"/>
        <w:rPr>
          <w:b/>
          <w:color w:val="auto"/>
          <w:kern w:val="2"/>
          <w:sz w:val="21"/>
          <w:szCs w:val="21"/>
          <w:highlight w:val="none"/>
        </w:rPr>
      </w:pPr>
      <w:r>
        <w:rPr>
          <w:rFonts w:hint="eastAsia"/>
          <w:bCs/>
          <w:color w:val="auto"/>
          <w:position w:val="6"/>
          <w:sz w:val="21"/>
          <w:szCs w:val="21"/>
          <w:highlight w:val="none"/>
        </w:rPr>
        <w:t>六、</w:t>
      </w:r>
      <w:r>
        <w:rPr>
          <w:rFonts w:hint="eastAsia"/>
          <w:b/>
          <w:color w:val="auto"/>
          <w:kern w:val="2"/>
          <w:sz w:val="21"/>
          <w:szCs w:val="21"/>
          <w:highlight w:val="none"/>
        </w:rPr>
        <w:t>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330471CF">
      <w:pPr>
        <w:widowControl/>
        <w:adjustRightInd w:val="0"/>
        <w:snapToGrid w:val="0"/>
        <w:spacing w:line="360" w:lineRule="auto"/>
        <w:ind w:firstLine="420" w:firstLineChars="200"/>
        <w:jc w:val="left"/>
        <w:rPr>
          <w:bCs/>
          <w:color w:val="auto"/>
          <w:sz w:val="21"/>
          <w:szCs w:val="21"/>
          <w:highlight w:val="none"/>
        </w:rPr>
      </w:pPr>
      <w:r>
        <w:rPr>
          <w:rFonts w:hint="eastAsia"/>
          <w:bCs/>
          <w:color w:val="auto"/>
          <w:position w:val="6"/>
          <w:sz w:val="21"/>
          <w:szCs w:val="21"/>
          <w:highlight w:val="none"/>
        </w:rPr>
        <w:t>本工程质量保修书，由施工合同发包人、承包人双方在竣工验收前共同签署，作为施工合同附件，其有效期限至保修期满。</w:t>
      </w:r>
    </w:p>
    <w:p w14:paraId="08673255">
      <w:pPr>
        <w:adjustRightInd w:val="0"/>
        <w:snapToGrid w:val="0"/>
        <w:spacing w:line="360" w:lineRule="auto"/>
        <w:ind w:firstLine="420"/>
        <w:rPr>
          <w:color w:val="auto"/>
          <w:kern w:val="2"/>
          <w:sz w:val="21"/>
          <w:szCs w:val="21"/>
          <w:highlight w:val="none"/>
        </w:rPr>
      </w:pPr>
    </w:p>
    <w:p w14:paraId="2A6D614B">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57B9C5C">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D202BE2">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05E8ADB">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0F9B936">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A337F74">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19FBEB8">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1629A5CB">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5CB750B1">
      <w:pPr>
        <w:adjustRightInd w:val="0"/>
        <w:snapToGrid w:val="0"/>
        <w:spacing w:line="360" w:lineRule="auto"/>
        <w:rPr>
          <w:color w:val="auto"/>
          <w:kern w:val="2"/>
          <w:sz w:val="21"/>
          <w:szCs w:val="21"/>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87DEFC7">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4</w:t>
      </w:r>
      <w:r>
        <w:rPr>
          <w:rFonts w:hint="eastAsia" w:ascii="黑体" w:hAnsi="黑体" w:eastAsia="黑体"/>
          <w:bCs/>
          <w:color w:val="auto"/>
          <w:kern w:val="2"/>
          <w:sz w:val="24"/>
          <w:szCs w:val="24"/>
          <w:highlight w:val="none"/>
        </w:rPr>
        <w:t>：主要建设工程文件目录</w:t>
      </w:r>
    </w:p>
    <w:p w14:paraId="7073F4B1">
      <w:pPr>
        <w:spacing w:before="156" w:beforeLines="50" w:after="156" w:afterLines="50"/>
        <w:jc w:val="center"/>
        <w:rPr>
          <w:color w:val="auto"/>
          <w:kern w:val="2"/>
          <w:sz w:val="21"/>
          <w:szCs w:val="21"/>
          <w:highlight w:val="none"/>
        </w:rPr>
      </w:pPr>
      <w:r>
        <w:rPr>
          <w:rFonts w:hint="eastAsia"/>
          <w:color w:val="auto"/>
          <w:kern w:val="2"/>
          <w:sz w:val="21"/>
          <w:szCs w:val="21"/>
          <w:highlight w:val="none"/>
        </w:rPr>
        <w:t>主要建设工程文件目录</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1"/>
        <w:gridCol w:w="1151"/>
        <w:gridCol w:w="1341"/>
        <w:gridCol w:w="1542"/>
      </w:tblGrid>
      <w:tr w14:paraId="051F8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vAlign w:val="center"/>
          </w:tcPr>
          <w:p w14:paraId="128A5481">
            <w:pPr>
              <w:keepNext/>
              <w:rPr>
                <w:color w:val="auto"/>
                <w:kern w:val="2"/>
                <w:sz w:val="21"/>
                <w:szCs w:val="21"/>
                <w:highlight w:val="none"/>
              </w:rPr>
            </w:pPr>
            <w:r>
              <w:rPr>
                <w:rFonts w:hint="eastAsia"/>
                <w:color w:val="auto"/>
                <w:kern w:val="2"/>
                <w:sz w:val="21"/>
                <w:szCs w:val="21"/>
                <w:highlight w:val="none"/>
              </w:rPr>
              <w:t>文件名称</w:t>
            </w:r>
          </w:p>
        </w:tc>
        <w:tc>
          <w:tcPr>
            <w:tcW w:w="706" w:type="pct"/>
            <w:tcBorders>
              <w:top w:val="single" w:color="auto" w:sz="12" w:space="0"/>
              <w:bottom w:val="double" w:color="auto" w:sz="6" w:space="0"/>
            </w:tcBorders>
            <w:vAlign w:val="center"/>
          </w:tcPr>
          <w:p w14:paraId="64736099">
            <w:pPr>
              <w:keepNext/>
              <w:rPr>
                <w:color w:val="auto"/>
                <w:kern w:val="2"/>
                <w:sz w:val="21"/>
                <w:szCs w:val="21"/>
                <w:highlight w:val="none"/>
              </w:rPr>
            </w:pPr>
            <w:r>
              <w:rPr>
                <w:rFonts w:hint="eastAsia"/>
                <w:color w:val="auto"/>
                <w:kern w:val="2"/>
                <w:sz w:val="21"/>
                <w:szCs w:val="21"/>
                <w:highlight w:val="none"/>
              </w:rPr>
              <w:t>套数</w:t>
            </w:r>
          </w:p>
        </w:tc>
        <w:tc>
          <w:tcPr>
            <w:tcW w:w="802" w:type="pct"/>
            <w:tcBorders>
              <w:top w:val="single" w:color="auto" w:sz="12" w:space="0"/>
              <w:bottom w:val="double" w:color="auto" w:sz="6" w:space="0"/>
            </w:tcBorders>
            <w:vAlign w:val="center"/>
          </w:tcPr>
          <w:p w14:paraId="7166384D">
            <w:pPr>
              <w:keepNext/>
              <w:rPr>
                <w:color w:val="auto"/>
                <w:kern w:val="2"/>
                <w:sz w:val="21"/>
                <w:szCs w:val="21"/>
                <w:highlight w:val="none"/>
              </w:rPr>
            </w:pPr>
            <w:r>
              <w:rPr>
                <w:rFonts w:hint="eastAsia"/>
                <w:color w:val="auto"/>
                <w:kern w:val="2"/>
                <w:sz w:val="21"/>
                <w:szCs w:val="21"/>
                <w:highlight w:val="none"/>
              </w:rPr>
              <w:t>费用（元）</w:t>
            </w:r>
          </w:p>
        </w:tc>
        <w:tc>
          <w:tcPr>
            <w:tcW w:w="688" w:type="pct"/>
            <w:tcBorders>
              <w:top w:val="single" w:color="auto" w:sz="12" w:space="0"/>
              <w:bottom w:val="double" w:color="auto" w:sz="6" w:space="0"/>
            </w:tcBorders>
            <w:vAlign w:val="center"/>
          </w:tcPr>
          <w:p w14:paraId="17919A99">
            <w:pPr>
              <w:keepNext/>
              <w:rPr>
                <w:color w:val="auto"/>
                <w:kern w:val="2"/>
                <w:sz w:val="21"/>
                <w:szCs w:val="21"/>
                <w:highlight w:val="none"/>
              </w:rPr>
            </w:pPr>
            <w:r>
              <w:rPr>
                <w:rFonts w:hint="eastAsia"/>
                <w:color w:val="auto"/>
                <w:kern w:val="2"/>
                <w:sz w:val="21"/>
                <w:szCs w:val="21"/>
                <w:highlight w:val="none"/>
              </w:rPr>
              <w:t>质量</w:t>
            </w:r>
          </w:p>
        </w:tc>
        <w:tc>
          <w:tcPr>
            <w:tcW w:w="802" w:type="pct"/>
            <w:tcBorders>
              <w:top w:val="single" w:color="auto" w:sz="12" w:space="0"/>
              <w:bottom w:val="double" w:color="auto" w:sz="6" w:space="0"/>
            </w:tcBorders>
          </w:tcPr>
          <w:p w14:paraId="3B5CFF3B">
            <w:pPr>
              <w:rPr>
                <w:color w:val="auto"/>
                <w:kern w:val="2"/>
                <w:sz w:val="21"/>
                <w:szCs w:val="21"/>
                <w:highlight w:val="none"/>
              </w:rPr>
            </w:pPr>
            <w:r>
              <w:rPr>
                <w:rFonts w:hint="eastAsia"/>
                <w:color w:val="auto"/>
                <w:kern w:val="2"/>
                <w:sz w:val="21"/>
                <w:szCs w:val="21"/>
                <w:highlight w:val="none"/>
              </w:rPr>
              <w:t>移交时间</w:t>
            </w:r>
          </w:p>
        </w:tc>
        <w:tc>
          <w:tcPr>
            <w:tcW w:w="922" w:type="pct"/>
            <w:tcBorders>
              <w:top w:val="single" w:color="auto" w:sz="12" w:space="0"/>
              <w:bottom w:val="double" w:color="auto" w:sz="6" w:space="0"/>
            </w:tcBorders>
          </w:tcPr>
          <w:p w14:paraId="76C793C6">
            <w:pPr>
              <w:rPr>
                <w:color w:val="auto"/>
                <w:kern w:val="2"/>
                <w:sz w:val="21"/>
                <w:szCs w:val="21"/>
                <w:highlight w:val="none"/>
              </w:rPr>
            </w:pPr>
            <w:r>
              <w:rPr>
                <w:rFonts w:hint="eastAsia"/>
                <w:color w:val="auto"/>
                <w:kern w:val="2"/>
                <w:sz w:val="21"/>
                <w:szCs w:val="21"/>
                <w:highlight w:val="none"/>
              </w:rPr>
              <w:t>责任人</w:t>
            </w:r>
          </w:p>
        </w:tc>
      </w:tr>
      <w:tr w14:paraId="567D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14:paraId="21109879">
            <w:pPr>
              <w:keepNext/>
              <w:rPr>
                <w:color w:val="auto"/>
                <w:kern w:val="2"/>
                <w:sz w:val="21"/>
                <w:szCs w:val="21"/>
                <w:highlight w:val="none"/>
              </w:rPr>
            </w:pPr>
          </w:p>
        </w:tc>
        <w:tc>
          <w:tcPr>
            <w:tcW w:w="706" w:type="pct"/>
            <w:tcBorders>
              <w:top w:val="double" w:color="auto" w:sz="6" w:space="0"/>
            </w:tcBorders>
            <w:vAlign w:val="center"/>
          </w:tcPr>
          <w:p w14:paraId="6DA9382E">
            <w:pPr>
              <w:keepNext/>
              <w:rPr>
                <w:color w:val="auto"/>
                <w:kern w:val="2"/>
                <w:sz w:val="21"/>
                <w:szCs w:val="21"/>
                <w:highlight w:val="none"/>
              </w:rPr>
            </w:pPr>
          </w:p>
        </w:tc>
        <w:tc>
          <w:tcPr>
            <w:tcW w:w="802" w:type="pct"/>
            <w:tcBorders>
              <w:top w:val="double" w:color="auto" w:sz="6" w:space="0"/>
            </w:tcBorders>
            <w:vAlign w:val="center"/>
          </w:tcPr>
          <w:p w14:paraId="04EBDCE7">
            <w:pPr>
              <w:keepNext/>
              <w:rPr>
                <w:color w:val="auto"/>
                <w:kern w:val="2"/>
                <w:sz w:val="21"/>
                <w:szCs w:val="21"/>
                <w:highlight w:val="none"/>
              </w:rPr>
            </w:pPr>
          </w:p>
        </w:tc>
        <w:tc>
          <w:tcPr>
            <w:tcW w:w="688" w:type="pct"/>
            <w:tcBorders>
              <w:top w:val="double" w:color="auto" w:sz="6" w:space="0"/>
            </w:tcBorders>
            <w:vAlign w:val="center"/>
          </w:tcPr>
          <w:p w14:paraId="41CF879F">
            <w:pPr>
              <w:keepNext/>
              <w:rPr>
                <w:color w:val="auto"/>
                <w:kern w:val="2"/>
                <w:sz w:val="21"/>
                <w:szCs w:val="21"/>
                <w:highlight w:val="none"/>
              </w:rPr>
            </w:pPr>
          </w:p>
        </w:tc>
        <w:tc>
          <w:tcPr>
            <w:tcW w:w="802" w:type="pct"/>
            <w:tcBorders>
              <w:top w:val="double" w:color="auto" w:sz="6" w:space="0"/>
            </w:tcBorders>
            <w:vAlign w:val="center"/>
          </w:tcPr>
          <w:p w14:paraId="3EFE5743">
            <w:pPr>
              <w:keepNext/>
              <w:rPr>
                <w:color w:val="auto"/>
                <w:kern w:val="2"/>
                <w:sz w:val="21"/>
                <w:szCs w:val="21"/>
                <w:highlight w:val="none"/>
              </w:rPr>
            </w:pPr>
          </w:p>
        </w:tc>
        <w:tc>
          <w:tcPr>
            <w:tcW w:w="922" w:type="pct"/>
            <w:tcBorders>
              <w:top w:val="double" w:color="auto" w:sz="6" w:space="0"/>
            </w:tcBorders>
            <w:vAlign w:val="center"/>
          </w:tcPr>
          <w:p w14:paraId="222BFE2C">
            <w:pPr>
              <w:keepNext/>
              <w:rPr>
                <w:color w:val="auto"/>
                <w:kern w:val="2"/>
                <w:sz w:val="21"/>
                <w:szCs w:val="21"/>
                <w:highlight w:val="none"/>
              </w:rPr>
            </w:pPr>
          </w:p>
        </w:tc>
      </w:tr>
      <w:tr w14:paraId="41FFB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14:paraId="7CEAAC63">
            <w:pPr>
              <w:keepNext/>
              <w:rPr>
                <w:color w:val="auto"/>
                <w:kern w:val="2"/>
                <w:sz w:val="21"/>
                <w:szCs w:val="21"/>
                <w:highlight w:val="none"/>
              </w:rPr>
            </w:pPr>
          </w:p>
        </w:tc>
        <w:tc>
          <w:tcPr>
            <w:tcW w:w="706" w:type="pct"/>
            <w:tcBorders>
              <w:top w:val="nil"/>
            </w:tcBorders>
            <w:vAlign w:val="center"/>
          </w:tcPr>
          <w:p w14:paraId="0C8A0E36">
            <w:pPr>
              <w:keepNext/>
              <w:rPr>
                <w:color w:val="auto"/>
                <w:kern w:val="2"/>
                <w:sz w:val="21"/>
                <w:szCs w:val="21"/>
                <w:highlight w:val="none"/>
              </w:rPr>
            </w:pPr>
          </w:p>
        </w:tc>
        <w:tc>
          <w:tcPr>
            <w:tcW w:w="802" w:type="pct"/>
            <w:tcBorders>
              <w:top w:val="nil"/>
            </w:tcBorders>
            <w:vAlign w:val="center"/>
          </w:tcPr>
          <w:p w14:paraId="36A9D069">
            <w:pPr>
              <w:keepNext/>
              <w:rPr>
                <w:color w:val="auto"/>
                <w:kern w:val="2"/>
                <w:sz w:val="21"/>
                <w:szCs w:val="21"/>
                <w:highlight w:val="none"/>
              </w:rPr>
            </w:pPr>
          </w:p>
        </w:tc>
        <w:tc>
          <w:tcPr>
            <w:tcW w:w="688" w:type="pct"/>
            <w:tcBorders>
              <w:top w:val="nil"/>
            </w:tcBorders>
            <w:vAlign w:val="center"/>
          </w:tcPr>
          <w:p w14:paraId="51B3564C">
            <w:pPr>
              <w:keepNext/>
              <w:rPr>
                <w:color w:val="auto"/>
                <w:kern w:val="2"/>
                <w:sz w:val="21"/>
                <w:szCs w:val="21"/>
                <w:highlight w:val="none"/>
              </w:rPr>
            </w:pPr>
          </w:p>
        </w:tc>
        <w:tc>
          <w:tcPr>
            <w:tcW w:w="802" w:type="pct"/>
            <w:tcBorders>
              <w:top w:val="nil"/>
            </w:tcBorders>
            <w:vAlign w:val="center"/>
          </w:tcPr>
          <w:p w14:paraId="70A606CD">
            <w:pPr>
              <w:keepNext/>
              <w:rPr>
                <w:color w:val="auto"/>
                <w:kern w:val="2"/>
                <w:sz w:val="21"/>
                <w:szCs w:val="21"/>
                <w:highlight w:val="none"/>
              </w:rPr>
            </w:pPr>
          </w:p>
        </w:tc>
        <w:tc>
          <w:tcPr>
            <w:tcW w:w="922" w:type="pct"/>
            <w:tcBorders>
              <w:top w:val="nil"/>
            </w:tcBorders>
            <w:vAlign w:val="center"/>
          </w:tcPr>
          <w:p w14:paraId="60FDE455">
            <w:pPr>
              <w:keepNext/>
              <w:rPr>
                <w:color w:val="auto"/>
                <w:kern w:val="2"/>
                <w:sz w:val="21"/>
                <w:szCs w:val="21"/>
                <w:highlight w:val="none"/>
              </w:rPr>
            </w:pPr>
          </w:p>
        </w:tc>
      </w:tr>
      <w:tr w14:paraId="38049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1F8910CD">
            <w:pPr>
              <w:rPr>
                <w:color w:val="auto"/>
                <w:kern w:val="2"/>
                <w:sz w:val="21"/>
                <w:szCs w:val="21"/>
                <w:highlight w:val="none"/>
              </w:rPr>
            </w:pPr>
          </w:p>
        </w:tc>
        <w:tc>
          <w:tcPr>
            <w:tcW w:w="706" w:type="pct"/>
          </w:tcPr>
          <w:p w14:paraId="2AFF3CC4">
            <w:pPr>
              <w:rPr>
                <w:color w:val="auto"/>
                <w:kern w:val="2"/>
                <w:sz w:val="21"/>
                <w:szCs w:val="21"/>
                <w:highlight w:val="none"/>
              </w:rPr>
            </w:pPr>
          </w:p>
        </w:tc>
        <w:tc>
          <w:tcPr>
            <w:tcW w:w="802" w:type="pct"/>
          </w:tcPr>
          <w:p w14:paraId="14AC51DA">
            <w:pPr>
              <w:rPr>
                <w:color w:val="auto"/>
                <w:kern w:val="2"/>
                <w:sz w:val="21"/>
                <w:szCs w:val="21"/>
                <w:highlight w:val="none"/>
              </w:rPr>
            </w:pPr>
          </w:p>
        </w:tc>
        <w:tc>
          <w:tcPr>
            <w:tcW w:w="688" w:type="pct"/>
          </w:tcPr>
          <w:p w14:paraId="4EF8D30B">
            <w:pPr>
              <w:rPr>
                <w:color w:val="auto"/>
                <w:kern w:val="2"/>
                <w:sz w:val="21"/>
                <w:szCs w:val="21"/>
                <w:highlight w:val="none"/>
              </w:rPr>
            </w:pPr>
          </w:p>
        </w:tc>
        <w:tc>
          <w:tcPr>
            <w:tcW w:w="802" w:type="pct"/>
          </w:tcPr>
          <w:p w14:paraId="2EDC65B6">
            <w:pPr>
              <w:rPr>
                <w:color w:val="auto"/>
                <w:kern w:val="2"/>
                <w:sz w:val="21"/>
                <w:szCs w:val="21"/>
                <w:highlight w:val="none"/>
              </w:rPr>
            </w:pPr>
          </w:p>
        </w:tc>
        <w:tc>
          <w:tcPr>
            <w:tcW w:w="922" w:type="pct"/>
          </w:tcPr>
          <w:p w14:paraId="3F481292">
            <w:pPr>
              <w:rPr>
                <w:color w:val="auto"/>
                <w:kern w:val="2"/>
                <w:sz w:val="21"/>
                <w:szCs w:val="21"/>
                <w:highlight w:val="none"/>
              </w:rPr>
            </w:pPr>
          </w:p>
        </w:tc>
      </w:tr>
      <w:tr w14:paraId="3DD0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03BAA059">
            <w:pPr>
              <w:rPr>
                <w:color w:val="auto"/>
                <w:kern w:val="2"/>
                <w:sz w:val="21"/>
                <w:szCs w:val="21"/>
                <w:highlight w:val="none"/>
              </w:rPr>
            </w:pPr>
          </w:p>
        </w:tc>
        <w:tc>
          <w:tcPr>
            <w:tcW w:w="706" w:type="pct"/>
          </w:tcPr>
          <w:p w14:paraId="1D2F4ACE">
            <w:pPr>
              <w:rPr>
                <w:color w:val="auto"/>
                <w:kern w:val="2"/>
                <w:sz w:val="21"/>
                <w:szCs w:val="21"/>
                <w:highlight w:val="none"/>
              </w:rPr>
            </w:pPr>
          </w:p>
        </w:tc>
        <w:tc>
          <w:tcPr>
            <w:tcW w:w="802" w:type="pct"/>
          </w:tcPr>
          <w:p w14:paraId="2F1DC4AE">
            <w:pPr>
              <w:rPr>
                <w:color w:val="auto"/>
                <w:kern w:val="2"/>
                <w:sz w:val="21"/>
                <w:szCs w:val="21"/>
                <w:highlight w:val="none"/>
              </w:rPr>
            </w:pPr>
          </w:p>
        </w:tc>
        <w:tc>
          <w:tcPr>
            <w:tcW w:w="688" w:type="pct"/>
          </w:tcPr>
          <w:p w14:paraId="28867F92">
            <w:pPr>
              <w:rPr>
                <w:color w:val="auto"/>
                <w:kern w:val="2"/>
                <w:sz w:val="21"/>
                <w:szCs w:val="21"/>
                <w:highlight w:val="none"/>
              </w:rPr>
            </w:pPr>
          </w:p>
        </w:tc>
        <w:tc>
          <w:tcPr>
            <w:tcW w:w="802" w:type="pct"/>
          </w:tcPr>
          <w:p w14:paraId="27FC6C93">
            <w:pPr>
              <w:rPr>
                <w:color w:val="auto"/>
                <w:kern w:val="2"/>
                <w:sz w:val="21"/>
                <w:szCs w:val="21"/>
                <w:highlight w:val="none"/>
              </w:rPr>
            </w:pPr>
          </w:p>
        </w:tc>
        <w:tc>
          <w:tcPr>
            <w:tcW w:w="922" w:type="pct"/>
          </w:tcPr>
          <w:p w14:paraId="1E821E8D">
            <w:pPr>
              <w:rPr>
                <w:color w:val="auto"/>
                <w:kern w:val="2"/>
                <w:sz w:val="21"/>
                <w:szCs w:val="21"/>
                <w:highlight w:val="none"/>
              </w:rPr>
            </w:pPr>
          </w:p>
        </w:tc>
      </w:tr>
      <w:tr w14:paraId="0367B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14:paraId="18E80740">
            <w:pPr>
              <w:rPr>
                <w:color w:val="auto"/>
                <w:kern w:val="2"/>
                <w:sz w:val="21"/>
                <w:szCs w:val="21"/>
                <w:highlight w:val="none"/>
              </w:rPr>
            </w:pPr>
          </w:p>
        </w:tc>
        <w:tc>
          <w:tcPr>
            <w:tcW w:w="706" w:type="pct"/>
            <w:tcBorders>
              <w:bottom w:val="single" w:color="auto" w:sz="12" w:space="0"/>
            </w:tcBorders>
          </w:tcPr>
          <w:p w14:paraId="51EA90D4">
            <w:pPr>
              <w:rPr>
                <w:color w:val="auto"/>
                <w:kern w:val="2"/>
                <w:sz w:val="21"/>
                <w:szCs w:val="21"/>
                <w:highlight w:val="none"/>
              </w:rPr>
            </w:pPr>
          </w:p>
        </w:tc>
        <w:tc>
          <w:tcPr>
            <w:tcW w:w="802" w:type="pct"/>
            <w:tcBorders>
              <w:bottom w:val="single" w:color="auto" w:sz="12" w:space="0"/>
            </w:tcBorders>
          </w:tcPr>
          <w:p w14:paraId="15891933">
            <w:pPr>
              <w:rPr>
                <w:color w:val="auto"/>
                <w:kern w:val="2"/>
                <w:sz w:val="21"/>
                <w:szCs w:val="21"/>
                <w:highlight w:val="none"/>
              </w:rPr>
            </w:pPr>
          </w:p>
        </w:tc>
        <w:tc>
          <w:tcPr>
            <w:tcW w:w="688" w:type="pct"/>
            <w:tcBorders>
              <w:bottom w:val="single" w:color="auto" w:sz="12" w:space="0"/>
            </w:tcBorders>
          </w:tcPr>
          <w:p w14:paraId="16F8AC3E">
            <w:pPr>
              <w:rPr>
                <w:color w:val="auto"/>
                <w:kern w:val="2"/>
                <w:sz w:val="21"/>
                <w:szCs w:val="21"/>
                <w:highlight w:val="none"/>
              </w:rPr>
            </w:pPr>
          </w:p>
        </w:tc>
        <w:tc>
          <w:tcPr>
            <w:tcW w:w="802" w:type="pct"/>
            <w:tcBorders>
              <w:bottom w:val="single" w:color="auto" w:sz="12" w:space="0"/>
            </w:tcBorders>
          </w:tcPr>
          <w:p w14:paraId="5F200A3B">
            <w:pPr>
              <w:rPr>
                <w:color w:val="auto"/>
                <w:kern w:val="2"/>
                <w:sz w:val="21"/>
                <w:szCs w:val="21"/>
                <w:highlight w:val="none"/>
              </w:rPr>
            </w:pPr>
          </w:p>
        </w:tc>
        <w:tc>
          <w:tcPr>
            <w:tcW w:w="922" w:type="pct"/>
            <w:tcBorders>
              <w:bottom w:val="single" w:color="auto" w:sz="12" w:space="0"/>
            </w:tcBorders>
          </w:tcPr>
          <w:p w14:paraId="041E1BBC">
            <w:pPr>
              <w:rPr>
                <w:color w:val="auto"/>
                <w:kern w:val="2"/>
                <w:sz w:val="21"/>
                <w:szCs w:val="21"/>
                <w:highlight w:val="none"/>
              </w:rPr>
            </w:pPr>
          </w:p>
        </w:tc>
      </w:tr>
    </w:tbl>
    <w:p w14:paraId="0244CAC2">
      <w:pPr>
        <w:rPr>
          <w:color w:val="auto"/>
          <w:kern w:val="2"/>
          <w:sz w:val="21"/>
          <w:szCs w:val="21"/>
          <w:highlight w:val="none"/>
        </w:rPr>
      </w:pPr>
    </w:p>
    <w:p w14:paraId="4E8AF363">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83" w:name="_Toc296944566"/>
      <w:bookmarkStart w:id="584" w:name="_Toc267261698"/>
      <w:bookmarkStart w:id="585" w:name="_Toc296503227"/>
      <w:bookmarkStart w:id="586" w:name="_Toc296346728"/>
      <w:bookmarkStart w:id="587" w:name="_Toc296891267"/>
      <w:bookmarkStart w:id="588" w:name="_Toc296347226"/>
      <w:bookmarkStart w:id="589" w:name="_Toc296891055"/>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5</w:t>
      </w:r>
      <w:r>
        <w:rPr>
          <w:rFonts w:hint="eastAsia" w:ascii="黑体" w:hAnsi="黑体" w:eastAsia="黑体"/>
          <w:bCs/>
          <w:color w:val="auto"/>
          <w:kern w:val="2"/>
          <w:sz w:val="24"/>
          <w:szCs w:val="24"/>
          <w:highlight w:val="none"/>
        </w:rPr>
        <w:t>：承包人用于本工程施工的机械设备表</w:t>
      </w:r>
    </w:p>
    <w:bookmarkEnd w:id="583"/>
    <w:bookmarkEnd w:id="584"/>
    <w:bookmarkEnd w:id="585"/>
    <w:bookmarkEnd w:id="586"/>
    <w:bookmarkEnd w:id="587"/>
    <w:bookmarkEnd w:id="588"/>
    <w:bookmarkEnd w:id="589"/>
    <w:p w14:paraId="49B41E31">
      <w:pPr>
        <w:spacing w:before="156" w:beforeLines="50" w:after="156" w:afterLines="50"/>
        <w:jc w:val="center"/>
        <w:rPr>
          <w:color w:val="auto"/>
          <w:kern w:val="2"/>
          <w:sz w:val="21"/>
          <w:szCs w:val="21"/>
          <w:highlight w:val="none"/>
        </w:rPr>
      </w:pPr>
      <w:r>
        <w:rPr>
          <w:rFonts w:hint="eastAsia"/>
          <w:color w:val="auto"/>
          <w:kern w:val="2"/>
          <w:sz w:val="21"/>
          <w:szCs w:val="21"/>
          <w:highlight w:val="none"/>
        </w:rPr>
        <w:t>承包人用于本工程施工的机械设备表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3"/>
        <w:gridCol w:w="793"/>
        <w:gridCol w:w="663"/>
        <w:gridCol w:w="793"/>
        <w:gridCol w:w="898"/>
        <w:gridCol w:w="1382"/>
        <w:gridCol w:w="952"/>
        <w:gridCol w:w="870"/>
      </w:tblGrid>
      <w:tr w14:paraId="118BB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1" w:type="pct"/>
            <w:tcBorders>
              <w:top w:val="single" w:color="auto" w:sz="12" w:space="0"/>
              <w:bottom w:val="double" w:color="auto" w:sz="6" w:space="0"/>
            </w:tcBorders>
            <w:vAlign w:val="center"/>
          </w:tcPr>
          <w:p w14:paraId="3CCBAFEC">
            <w:pPr>
              <w:keepNext/>
              <w:rPr>
                <w:color w:val="auto"/>
                <w:kern w:val="2"/>
                <w:sz w:val="21"/>
                <w:szCs w:val="21"/>
                <w:highlight w:val="none"/>
              </w:rPr>
            </w:pPr>
            <w:r>
              <w:rPr>
                <w:rFonts w:hint="eastAsia"/>
                <w:color w:val="auto"/>
                <w:kern w:val="2"/>
                <w:sz w:val="21"/>
                <w:szCs w:val="21"/>
                <w:highlight w:val="none"/>
              </w:rPr>
              <w:t>序号</w:t>
            </w:r>
          </w:p>
        </w:tc>
        <w:tc>
          <w:tcPr>
            <w:tcW w:w="791" w:type="pct"/>
            <w:tcBorders>
              <w:top w:val="single" w:color="auto" w:sz="12" w:space="0"/>
              <w:bottom w:val="double" w:color="auto" w:sz="6" w:space="0"/>
            </w:tcBorders>
            <w:vAlign w:val="center"/>
          </w:tcPr>
          <w:p w14:paraId="7229F315">
            <w:pPr>
              <w:keepNext/>
              <w:rPr>
                <w:color w:val="auto"/>
                <w:kern w:val="2"/>
                <w:sz w:val="21"/>
                <w:szCs w:val="21"/>
                <w:highlight w:val="none"/>
              </w:rPr>
            </w:pPr>
            <w:r>
              <w:rPr>
                <w:rFonts w:hint="eastAsia"/>
                <w:color w:val="auto"/>
                <w:kern w:val="2"/>
                <w:sz w:val="21"/>
                <w:szCs w:val="21"/>
                <w:highlight w:val="none"/>
              </w:rPr>
              <w:t>机械或设备名称</w:t>
            </w:r>
          </w:p>
        </w:tc>
        <w:tc>
          <w:tcPr>
            <w:tcW w:w="474" w:type="pct"/>
            <w:tcBorders>
              <w:top w:val="single" w:color="auto" w:sz="12" w:space="0"/>
              <w:bottom w:val="double" w:color="auto" w:sz="6" w:space="0"/>
            </w:tcBorders>
            <w:vAlign w:val="center"/>
          </w:tcPr>
          <w:p w14:paraId="16437615">
            <w:pPr>
              <w:keepNext/>
              <w:rPr>
                <w:color w:val="auto"/>
                <w:kern w:val="2"/>
                <w:sz w:val="21"/>
                <w:szCs w:val="21"/>
                <w:highlight w:val="none"/>
              </w:rPr>
            </w:pPr>
            <w:r>
              <w:rPr>
                <w:rFonts w:hint="eastAsia"/>
                <w:color w:val="auto"/>
                <w:kern w:val="2"/>
                <w:sz w:val="21"/>
                <w:szCs w:val="21"/>
                <w:highlight w:val="none"/>
              </w:rPr>
              <w:t>规格型号</w:t>
            </w:r>
          </w:p>
        </w:tc>
        <w:tc>
          <w:tcPr>
            <w:tcW w:w="396" w:type="pct"/>
            <w:tcBorders>
              <w:top w:val="single" w:color="auto" w:sz="12" w:space="0"/>
              <w:bottom w:val="double" w:color="auto" w:sz="6" w:space="0"/>
            </w:tcBorders>
            <w:vAlign w:val="center"/>
          </w:tcPr>
          <w:p w14:paraId="6B70E53E">
            <w:pPr>
              <w:keepNext/>
              <w:rPr>
                <w:color w:val="auto"/>
                <w:kern w:val="2"/>
                <w:sz w:val="21"/>
                <w:szCs w:val="21"/>
                <w:highlight w:val="none"/>
              </w:rPr>
            </w:pPr>
            <w:r>
              <w:rPr>
                <w:rFonts w:hint="eastAsia"/>
                <w:color w:val="auto"/>
                <w:kern w:val="2"/>
                <w:sz w:val="21"/>
                <w:szCs w:val="21"/>
                <w:highlight w:val="none"/>
              </w:rPr>
              <w:t>数量</w:t>
            </w:r>
          </w:p>
        </w:tc>
        <w:tc>
          <w:tcPr>
            <w:tcW w:w="474" w:type="pct"/>
            <w:tcBorders>
              <w:top w:val="single" w:color="auto" w:sz="12" w:space="0"/>
              <w:bottom w:val="double" w:color="auto" w:sz="6" w:space="0"/>
            </w:tcBorders>
            <w:vAlign w:val="center"/>
          </w:tcPr>
          <w:p w14:paraId="645292A7">
            <w:pPr>
              <w:keepNext/>
              <w:rPr>
                <w:color w:val="auto"/>
                <w:kern w:val="2"/>
                <w:sz w:val="21"/>
                <w:szCs w:val="21"/>
                <w:highlight w:val="none"/>
              </w:rPr>
            </w:pPr>
            <w:r>
              <w:rPr>
                <w:rFonts w:hint="eastAsia"/>
                <w:color w:val="auto"/>
                <w:kern w:val="2"/>
                <w:sz w:val="21"/>
                <w:szCs w:val="21"/>
                <w:highlight w:val="none"/>
              </w:rPr>
              <w:t>产地</w:t>
            </w:r>
          </w:p>
        </w:tc>
        <w:tc>
          <w:tcPr>
            <w:tcW w:w="537" w:type="pct"/>
            <w:tcBorders>
              <w:top w:val="single" w:color="auto" w:sz="12" w:space="0"/>
              <w:bottom w:val="double" w:color="auto" w:sz="6" w:space="0"/>
            </w:tcBorders>
            <w:vAlign w:val="center"/>
          </w:tcPr>
          <w:p w14:paraId="06FCCB65">
            <w:pPr>
              <w:keepNext/>
              <w:rPr>
                <w:color w:val="auto"/>
                <w:kern w:val="2"/>
                <w:sz w:val="21"/>
                <w:szCs w:val="21"/>
                <w:highlight w:val="none"/>
              </w:rPr>
            </w:pPr>
            <w:r>
              <w:rPr>
                <w:rFonts w:hint="eastAsia"/>
                <w:color w:val="auto"/>
                <w:kern w:val="2"/>
                <w:sz w:val="21"/>
                <w:szCs w:val="21"/>
                <w:highlight w:val="none"/>
              </w:rPr>
              <w:t>制造年份</w:t>
            </w:r>
          </w:p>
        </w:tc>
        <w:tc>
          <w:tcPr>
            <w:tcW w:w="826" w:type="pct"/>
            <w:tcBorders>
              <w:top w:val="single" w:color="auto" w:sz="12" w:space="0"/>
              <w:bottom w:val="double" w:color="auto" w:sz="6" w:space="0"/>
            </w:tcBorders>
            <w:vAlign w:val="center"/>
          </w:tcPr>
          <w:p w14:paraId="72C4323D">
            <w:pPr>
              <w:keepNext/>
              <w:rPr>
                <w:color w:val="auto"/>
                <w:kern w:val="2"/>
                <w:sz w:val="21"/>
                <w:szCs w:val="21"/>
                <w:highlight w:val="none"/>
              </w:rPr>
            </w:pPr>
            <w:r>
              <w:rPr>
                <w:rFonts w:hint="eastAsia"/>
                <w:color w:val="auto"/>
                <w:kern w:val="2"/>
                <w:sz w:val="21"/>
                <w:szCs w:val="21"/>
                <w:highlight w:val="none"/>
              </w:rPr>
              <w:t>额定功率</w:t>
            </w:r>
            <w:r>
              <w:rPr>
                <w:color w:val="auto"/>
                <w:kern w:val="2"/>
                <w:sz w:val="21"/>
                <w:szCs w:val="21"/>
                <w:highlight w:val="none"/>
              </w:rPr>
              <w:t>(kW)</w:t>
            </w:r>
          </w:p>
        </w:tc>
        <w:tc>
          <w:tcPr>
            <w:tcW w:w="569" w:type="pct"/>
            <w:tcBorders>
              <w:top w:val="single" w:color="auto" w:sz="12" w:space="0"/>
              <w:bottom w:val="double" w:color="auto" w:sz="6" w:space="0"/>
            </w:tcBorders>
            <w:vAlign w:val="center"/>
          </w:tcPr>
          <w:p w14:paraId="3422B1FB">
            <w:pPr>
              <w:keepNext/>
              <w:rPr>
                <w:color w:val="auto"/>
                <w:kern w:val="2"/>
                <w:sz w:val="21"/>
                <w:szCs w:val="21"/>
                <w:highlight w:val="none"/>
              </w:rPr>
            </w:pPr>
            <w:r>
              <w:rPr>
                <w:rFonts w:hint="eastAsia"/>
                <w:color w:val="auto"/>
                <w:kern w:val="2"/>
                <w:sz w:val="21"/>
                <w:szCs w:val="21"/>
                <w:highlight w:val="none"/>
              </w:rPr>
              <w:t>生产能力</w:t>
            </w:r>
          </w:p>
        </w:tc>
        <w:tc>
          <w:tcPr>
            <w:tcW w:w="520" w:type="pct"/>
            <w:tcBorders>
              <w:top w:val="single" w:color="auto" w:sz="12" w:space="0"/>
              <w:bottom w:val="double" w:color="auto" w:sz="6" w:space="0"/>
            </w:tcBorders>
            <w:vAlign w:val="center"/>
          </w:tcPr>
          <w:p w14:paraId="7212B7CB">
            <w:pPr>
              <w:keepNext/>
              <w:rPr>
                <w:color w:val="auto"/>
                <w:kern w:val="2"/>
                <w:sz w:val="21"/>
                <w:szCs w:val="21"/>
                <w:highlight w:val="none"/>
              </w:rPr>
            </w:pPr>
            <w:r>
              <w:rPr>
                <w:rFonts w:hint="eastAsia"/>
                <w:color w:val="auto"/>
                <w:kern w:val="2"/>
                <w:sz w:val="21"/>
                <w:szCs w:val="21"/>
                <w:highlight w:val="none"/>
              </w:rPr>
              <w:t>备注</w:t>
            </w:r>
          </w:p>
        </w:tc>
      </w:tr>
      <w:tr w14:paraId="64F8A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double" w:color="auto" w:sz="6" w:space="0"/>
            </w:tcBorders>
            <w:vAlign w:val="center"/>
          </w:tcPr>
          <w:p w14:paraId="74C9A5F8">
            <w:pPr>
              <w:keepNext/>
              <w:rPr>
                <w:color w:val="auto"/>
                <w:kern w:val="2"/>
                <w:sz w:val="21"/>
                <w:szCs w:val="21"/>
                <w:highlight w:val="none"/>
              </w:rPr>
            </w:pPr>
          </w:p>
        </w:tc>
        <w:tc>
          <w:tcPr>
            <w:tcW w:w="791" w:type="pct"/>
            <w:tcBorders>
              <w:top w:val="double" w:color="auto" w:sz="6" w:space="0"/>
            </w:tcBorders>
            <w:vAlign w:val="center"/>
          </w:tcPr>
          <w:p w14:paraId="401119BE">
            <w:pPr>
              <w:keepNext/>
              <w:rPr>
                <w:color w:val="auto"/>
                <w:kern w:val="2"/>
                <w:sz w:val="21"/>
                <w:szCs w:val="21"/>
                <w:highlight w:val="none"/>
              </w:rPr>
            </w:pPr>
          </w:p>
        </w:tc>
        <w:tc>
          <w:tcPr>
            <w:tcW w:w="474" w:type="pct"/>
            <w:tcBorders>
              <w:top w:val="double" w:color="auto" w:sz="6" w:space="0"/>
            </w:tcBorders>
            <w:vAlign w:val="center"/>
          </w:tcPr>
          <w:p w14:paraId="19EC61E6">
            <w:pPr>
              <w:keepNext/>
              <w:rPr>
                <w:color w:val="auto"/>
                <w:kern w:val="2"/>
                <w:sz w:val="21"/>
                <w:szCs w:val="21"/>
                <w:highlight w:val="none"/>
              </w:rPr>
            </w:pPr>
          </w:p>
        </w:tc>
        <w:tc>
          <w:tcPr>
            <w:tcW w:w="396" w:type="pct"/>
            <w:tcBorders>
              <w:top w:val="double" w:color="auto" w:sz="6" w:space="0"/>
            </w:tcBorders>
            <w:vAlign w:val="center"/>
          </w:tcPr>
          <w:p w14:paraId="5434B2EC">
            <w:pPr>
              <w:keepNext/>
              <w:rPr>
                <w:color w:val="auto"/>
                <w:kern w:val="2"/>
                <w:sz w:val="21"/>
                <w:szCs w:val="21"/>
                <w:highlight w:val="none"/>
              </w:rPr>
            </w:pPr>
          </w:p>
        </w:tc>
        <w:tc>
          <w:tcPr>
            <w:tcW w:w="474" w:type="pct"/>
            <w:tcBorders>
              <w:top w:val="double" w:color="auto" w:sz="6" w:space="0"/>
            </w:tcBorders>
            <w:vAlign w:val="center"/>
          </w:tcPr>
          <w:p w14:paraId="2919D665">
            <w:pPr>
              <w:keepNext/>
              <w:rPr>
                <w:color w:val="auto"/>
                <w:kern w:val="2"/>
                <w:sz w:val="21"/>
                <w:szCs w:val="21"/>
                <w:highlight w:val="none"/>
              </w:rPr>
            </w:pPr>
          </w:p>
        </w:tc>
        <w:tc>
          <w:tcPr>
            <w:tcW w:w="537" w:type="pct"/>
            <w:tcBorders>
              <w:top w:val="double" w:color="auto" w:sz="6" w:space="0"/>
            </w:tcBorders>
            <w:vAlign w:val="center"/>
          </w:tcPr>
          <w:p w14:paraId="226B00B0">
            <w:pPr>
              <w:keepNext/>
              <w:rPr>
                <w:color w:val="auto"/>
                <w:kern w:val="2"/>
                <w:sz w:val="21"/>
                <w:szCs w:val="21"/>
                <w:highlight w:val="none"/>
              </w:rPr>
            </w:pPr>
          </w:p>
        </w:tc>
        <w:tc>
          <w:tcPr>
            <w:tcW w:w="826" w:type="pct"/>
            <w:tcBorders>
              <w:top w:val="double" w:color="auto" w:sz="6" w:space="0"/>
            </w:tcBorders>
            <w:vAlign w:val="center"/>
          </w:tcPr>
          <w:p w14:paraId="39A694D6">
            <w:pPr>
              <w:keepNext/>
              <w:rPr>
                <w:color w:val="auto"/>
                <w:kern w:val="2"/>
                <w:sz w:val="21"/>
                <w:szCs w:val="21"/>
                <w:highlight w:val="none"/>
              </w:rPr>
            </w:pPr>
          </w:p>
        </w:tc>
        <w:tc>
          <w:tcPr>
            <w:tcW w:w="569" w:type="pct"/>
            <w:tcBorders>
              <w:top w:val="double" w:color="auto" w:sz="6" w:space="0"/>
            </w:tcBorders>
            <w:vAlign w:val="center"/>
          </w:tcPr>
          <w:p w14:paraId="4374FBE9">
            <w:pPr>
              <w:keepNext/>
              <w:rPr>
                <w:color w:val="auto"/>
                <w:kern w:val="2"/>
                <w:sz w:val="21"/>
                <w:szCs w:val="21"/>
                <w:highlight w:val="none"/>
              </w:rPr>
            </w:pPr>
          </w:p>
        </w:tc>
        <w:tc>
          <w:tcPr>
            <w:tcW w:w="520" w:type="pct"/>
            <w:tcBorders>
              <w:top w:val="double" w:color="auto" w:sz="6" w:space="0"/>
            </w:tcBorders>
            <w:vAlign w:val="center"/>
          </w:tcPr>
          <w:p w14:paraId="3E02784C">
            <w:pPr>
              <w:keepNext/>
              <w:rPr>
                <w:color w:val="auto"/>
                <w:kern w:val="2"/>
                <w:sz w:val="21"/>
                <w:szCs w:val="21"/>
                <w:highlight w:val="none"/>
              </w:rPr>
            </w:pPr>
          </w:p>
        </w:tc>
      </w:tr>
      <w:tr w14:paraId="32F2A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nil"/>
            </w:tcBorders>
            <w:vAlign w:val="center"/>
          </w:tcPr>
          <w:p w14:paraId="21D13921">
            <w:pPr>
              <w:keepNext/>
              <w:rPr>
                <w:color w:val="auto"/>
                <w:kern w:val="2"/>
                <w:sz w:val="21"/>
                <w:szCs w:val="21"/>
                <w:highlight w:val="none"/>
              </w:rPr>
            </w:pPr>
          </w:p>
        </w:tc>
        <w:tc>
          <w:tcPr>
            <w:tcW w:w="791" w:type="pct"/>
            <w:tcBorders>
              <w:top w:val="nil"/>
            </w:tcBorders>
            <w:vAlign w:val="center"/>
          </w:tcPr>
          <w:p w14:paraId="6A8336D4">
            <w:pPr>
              <w:keepNext/>
              <w:rPr>
                <w:color w:val="auto"/>
                <w:kern w:val="2"/>
                <w:sz w:val="21"/>
                <w:szCs w:val="21"/>
                <w:highlight w:val="none"/>
              </w:rPr>
            </w:pPr>
          </w:p>
        </w:tc>
        <w:tc>
          <w:tcPr>
            <w:tcW w:w="474" w:type="pct"/>
            <w:tcBorders>
              <w:top w:val="nil"/>
            </w:tcBorders>
            <w:vAlign w:val="center"/>
          </w:tcPr>
          <w:p w14:paraId="78482718">
            <w:pPr>
              <w:keepNext/>
              <w:rPr>
                <w:color w:val="auto"/>
                <w:kern w:val="2"/>
                <w:sz w:val="21"/>
                <w:szCs w:val="21"/>
                <w:highlight w:val="none"/>
              </w:rPr>
            </w:pPr>
          </w:p>
        </w:tc>
        <w:tc>
          <w:tcPr>
            <w:tcW w:w="396" w:type="pct"/>
            <w:tcBorders>
              <w:top w:val="nil"/>
            </w:tcBorders>
            <w:vAlign w:val="center"/>
          </w:tcPr>
          <w:p w14:paraId="39AB848E">
            <w:pPr>
              <w:keepNext/>
              <w:rPr>
                <w:color w:val="auto"/>
                <w:kern w:val="2"/>
                <w:sz w:val="21"/>
                <w:szCs w:val="21"/>
                <w:highlight w:val="none"/>
              </w:rPr>
            </w:pPr>
          </w:p>
        </w:tc>
        <w:tc>
          <w:tcPr>
            <w:tcW w:w="474" w:type="pct"/>
            <w:tcBorders>
              <w:top w:val="nil"/>
            </w:tcBorders>
            <w:vAlign w:val="center"/>
          </w:tcPr>
          <w:p w14:paraId="31EFDFAD">
            <w:pPr>
              <w:keepNext/>
              <w:rPr>
                <w:color w:val="auto"/>
                <w:kern w:val="2"/>
                <w:sz w:val="21"/>
                <w:szCs w:val="21"/>
                <w:highlight w:val="none"/>
              </w:rPr>
            </w:pPr>
          </w:p>
        </w:tc>
        <w:tc>
          <w:tcPr>
            <w:tcW w:w="537" w:type="pct"/>
            <w:tcBorders>
              <w:top w:val="nil"/>
            </w:tcBorders>
            <w:vAlign w:val="center"/>
          </w:tcPr>
          <w:p w14:paraId="6DD409ED">
            <w:pPr>
              <w:keepNext/>
              <w:rPr>
                <w:color w:val="auto"/>
                <w:kern w:val="2"/>
                <w:sz w:val="21"/>
                <w:szCs w:val="21"/>
                <w:highlight w:val="none"/>
              </w:rPr>
            </w:pPr>
          </w:p>
        </w:tc>
        <w:tc>
          <w:tcPr>
            <w:tcW w:w="826" w:type="pct"/>
            <w:tcBorders>
              <w:top w:val="nil"/>
            </w:tcBorders>
            <w:vAlign w:val="center"/>
          </w:tcPr>
          <w:p w14:paraId="649E530E">
            <w:pPr>
              <w:keepNext/>
              <w:rPr>
                <w:color w:val="auto"/>
                <w:kern w:val="2"/>
                <w:sz w:val="21"/>
                <w:szCs w:val="21"/>
                <w:highlight w:val="none"/>
              </w:rPr>
            </w:pPr>
          </w:p>
        </w:tc>
        <w:tc>
          <w:tcPr>
            <w:tcW w:w="569" w:type="pct"/>
            <w:tcBorders>
              <w:top w:val="nil"/>
            </w:tcBorders>
            <w:vAlign w:val="center"/>
          </w:tcPr>
          <w:p w14:paraId="5A5782BF">
            <w:pPr>
              <w:keepNext/>
              <w:rPr>
                <w:color w:val="auto"/>
                <w:kern w:val="2"/>
                <w:sz w:val="21"/>
                <w:szCs w:val="21"/>
                <w:highlight w:val="none"/>
              </w:rPr>
            </w:pPr>
          </w:p>
        </w:tc>
        <w:tc>
          <w:tcPr>
            <w:tcW w:w="520" w:type="pct"/>
            <w:tcBorders>
              <w:top w:val="nil"/>
            </w:tcBorders>
            <w:vAlign w:val="center"/>
          </w:tcPr>
          <w:p w14:paraId="2B45AFD3">
            <w:pPr>
              <w:keepNext/>
              <w:rPr>
                <w:color w:val="auto"/>
                <w:kern w:val="2"/>
                <w:sz w:val="21"/>
                <w:szCs w:val="21"/>
                <w:highlight w:val="none"/>
              </w:rPr>
            </w:pPr>
          </w:p>
        </w:tc>
      </w:tr>
      <w:tr w14:paraId="1C429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4DCA8392">
            <w:pPr>
              <w:rPr>
                <w:color w:val="auto"/>
                <w:kern w:val="2"/>
                <w:sz w:val="21"/>
                <w:szCs w:val="21"/>
                <w:highlight w:val="none"/>
              </w:rPr>
            </w:pPr>
          </w:p>
        </w:tc>
        <w:tc>
          <w:tcPr>
            <w:tcW w:w="791" w:type="pct"/>
          </w:tcPr>
          <w:p w14:paraId="0CAFCA58">
            <w:pPr>
              <w:rPr>
                <w:color w:val="auto"/>
                <w:kern w:val="2"/>
                <w:sz w:val="21"/>
                <w:szCs w:val="21"/>
                <w:highlight w:val="none"/>
              </w:rPr>
            </w:pPr>
          </w:p>
        </w:tc>
        <w:tc>
          <w:tcPr>
            <w:tcW w:w="474" w:type="pct"/>
          </w:tcPr>
          <w:p w14:paraId="12827475">
            <w:pPr>
              <w:rPr>
                <w:color w:val="auto"/>
                <w:kern w:val="2"/>
                <w:sz w:val="21"/>
                <w:szCs w:val="21"/>
                <w:highlight w:val="none"/>
              </w:rPr>
            </w:pPr>
          </w:p>
        </w:tc>
        <w:tc>
          <w:tcPr>
            <w:tcW w:w="396" w:type="pct"/>
          </w:tcPr>
          <w:p w14:paraId="2997F720">
            <w:pPr>
              <w:rPr>
                <w:color w:val="auto"/>
                <w:kern w:val="2"/>
                <w:sz w:val="21"/>
                <w:szCs w:val="21"/>
                <w:highlight w:val="none"/>
              </w:rPr>
            </w:pPr>
          </w:p>
        </w:tc>
        <w:tc>
          <w:tcPr>
            <w:tcW w:w="474" w:type="pct"/>
          </w:tcPr>
          <w:p w14:paraId="6EBEBF0B">
            <w:pPr>
              <w:rPr>
                <w:color w:val="auto"/>
                <w:kern w:val="2"/>
                <w:sz w:val="21"/>
                <w:szCs w:val="21"/>
                <w:highlight w:val="none"/>
              </w:rPr>
            </w:pPr>
          </w:p>
        </w:tc>
        <w:tc>
          <w:tcPr>
            <w:tcW w:w="537" w:type="pct"/>
          </w:tcPr>
          <w:p w14:paraId="29D4D029">
            <w:pPr>
              <w:rPr>
                <w:color w:val="auto"/>
                <w:kern w:val="2"/>
                <w:sz w:val="21"/>
                <w:szCs w:val="21"/>
                <w:highlight w:val="none"/>
              </w:rPr>
            </w:pPr>
          </w:p>
        </w:tc>
        <w:tc>
          <w:tcPr>
            <w:tcW w:w="826" w:type="pct"/>
          </w:tcPr>
          <w:p w14:paraId="1B2A56B9">
            <w:pPr>
              <w:rPr>
                <w:color w:val="auto"/>
                <w:kern w:val="2"/>
                <w:sz w:val="21"/>
                <w:szCs w:val="21"/>
                <w:highlight w:val="none"/>
              </w:rPr>
            </w:pPr>
          </w:p>
        </w:tc>
        <w:tc>
          <w:tcPr>
            <w:tcW w:w="569" w:type="pct"/>
          </w:tcPr>
          <w:p w14:paraId="2BC16121">
            <w:pPr>
              <w:rPr>
                <w:color w:val="auto"/>
                <w:kern w:val="2"/>
                <w:sz w:val="21"/>
                <w:szCs w:val="21"/>
                <w:highlight w:val="none"/>
              </w:rPr>
            </w:pPr>
          </w:p>
        </w:tc>
        <w:tc>
          <w:tcPr>
            <w:tcW w:w="520" w:type="pct"/>
          </w:tcPr>
          <w:p w14:paraId="02112B5B">
            <w:pPr>
              <w:rPr>
                <w:color w:val="auto"/>
                <w:kern w:val="2"/>
                <w:sz w:val="21"/>
                <w:szCs w:val="21"/>
                <w:highlight w:val="none"/>
              </w:rPr>
            </w:pPr>
          </w:p>
        </w:tc>
      </w:tr>
      <w:tr w14:paraId="3D6D5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11740267">
            <w:pPr>
              <w:rPr>
                <w:color w:val="auto"/>
                <w:kern w:val="2"/>
                <w:sz w:val="21"/>
                <w:szCs w:val="21"/>
                <w:highlight w:val="none"/>
              </w:rPr>
            </w:pPr>
          </w:p>
        </w:tc>
        <w:tc>
          <w:tcPr>
            <w:tcW w:w="791" w:type="pct"/>
          </w:tcPr>
          <w:p w14:paraId="488CC399">
            <w:pPr>
              <w:rPr>
                <w:color w:val="auto"/>
                <w:kern w:val="2"/>
                <w:sz w:val="21"/>
                <w:szCs w:val="21"/>
                <w:highlight w:val="none"/>
              </w:rPr>
            </w:pPr>
          </w:p>
        </w:tc>
        <w:tc>
          <w:tcPr>
            <w:tcW w:w="474" w:type="pct"/>
          </w:tcPr>
          <w:p w14:paraId="4A7A5F0F">
            <w:pPr>
              <w:rPr>
                <w:color w:val="auto"/>
                <w:kern w:val="2"/>
                <w:sz w:val="21"/>
                <w:szCs w:val="21"/>
                <w:highlight w:val="none"/>
              </w:rPr>
            </w:pPr>
          </w:p>
        </w:tc>
        <w:tc>
          <w:tcPr>
            <w:tcW w:w="396" w:type="pct"/>
          </w:tcPr>
          <w:p w14:paraId="742CB558">
            <w:pPr>
              <w:rPr>
                <w:color w:val="auto"/>
                <w:kern w:val="2"/>
                <w:sz w:val="21"/>
                <w:szCs w:val="21"/>
                <w:highlight w:val="none"/>
              </w:rPr>
            </w:pPr>
          </w:p>
        </w:tc>
        <w:tc>
          <w:tcPr>
            <w:tcW w:w="474" w:type="pct"/>
          </w:tcPr>
          <w:p w14:paraId="4A29A095">
            <w:pPr>
              <w:rPr>
                <w:color w:val="auto"/>
                <w:kern w:val="2"/>
                <w:sz w:val="21"/>
                <w:szCs w:val="21"/>
                <w:highlight w:val="none"/>
              </w:rPr>
            </w:pPr>
          </w:p>
        </w:tc>
        <w:tc>
          <w:tcPr>
            <w:tcW w:w="537" w:type="pct"/>
          </w:tcPr>
          <w:p w14:paraId="6EF9CDE0">
            <w:pPr>
              <w:rPr>
                <w:color w:val="auto"/>
                <w:kern w:val="2"/>
                <w:sz w:val="21"/>
                <w:szCs w:val="21"/>
                <w:highlight w:val="none"/>
              </w:rPr>
            </w:pPr>
          </w:p>
        </w:tc>
        <w:tc>
          <w:tcPr>
            <w:tcW w:w="826" w:type="pct"/>
          </w:tcPr>
          <w:p w14:paraId="338E490A">
            <w:pPr>
              <w:rPr>
                <w:color w:val="auto"/>
                <w:kern w:val="2"/>
                <w:sz w:val="21"/>
                <w:szCs w:val="21"/>
                <w:highlight w:val="none"/>
              </w:rPr>
            </w:pPr>
          </w:p>
        </w:tc>
        <w:tc>
          <w:tcPr>
            <w:tcW w:w="569" w:type="pct"/>
          </w:tcPr>
          <w:p w14:paraId="5BDFCBB6">
            <w:pPr>
              <w:rPr>
                <w:color w:val="auto"/>
                <w:kern w:val="2"/>
                <w:sz w:val="21"/>
                <w:szCs w:val="21"/>
                <w:highlight w:val="none"/>
              </w:rPr>
            </w:pPr>
          </w:p>
        </w:tc>
        <w:tc>
          <w:tcPr>
            <w:tcW w:w="520" w:type="pct"/>
          </w:tcPr>
          <w:p w14:paraId="616D2713">
            <w:pPr>
              <w:rPr>
                <w:color w:val="auto"/>
                <w:kern w:val="2"/>
                <w:sz w:val="21"/>
                <w:szCs w:val="21"/>
                <w:highlight w:val="none"/>
              </w:rPr>
            </w:pPr>
          </w:p>
        </w:tc>
      </w:tr>
      <w:tr w14:paraId="1B6E4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bottom w:val="single" w:color="auto" w:sz="12" w:space="0"/>
            </w:tcBorders>
          </w:tcPr>
          <w:p w14:paraId="75C7FD83">
            <w:pPr>
              <w:rPr>
                <w:color w:val="auto"/>
                <w:kern w:val="2"/>
                <w:sz w:val="21"/>
                <w:szCs w:val="21"/>
                <w:highlight w:val="none"/>
              </w:rPr>
            </w:pPr>
          </w:p>
        </w:tc>
        <w:tc>
          <w:tcPr>
            <w:tcW w:w="791" w:type="pct"/>
            <w:tcBorders>
              <w:bottom w:val="single" w:color="auto" w:sz="12" w:space="0"/>
            </w:tcBorders>
          </w:tcPr>
          <w:p w14:paraId="7E68DF08">
            <w:pPr>
              <w:rPr>
                <w:color w:val="auto"/>
                <w:kern w:val="2"/>
                <w:sz w:val="21"/>
                <w:szCs w:val="21"/>
                <w:highlight w:val="none"/>
              </w:rPr>
            </w:pPr>
          </w:p>
        </w:tc>
        <w:tc>
          <w:tcPr>
            <w:tcW w:w="474" w:type="pct"/>
            <w:tcBorders>
              <w:bottom w:val="single" w:color="auto" w:sz="12" w:space="0"/>
            </w:tcBorders>
          </w:tcPr>
          <w:p w14:paraId="3EB2978D">
            <w:pPr>
              <w:rPr>
                <w:color w:val="auto"/>
                <w:kern w:val="2"/>
                <w:sz w:val="21"/>
                <w:szCs w:val="21"/>
                <w:highlight w:val="none"/>
              </w:rPr>
            </w:pPr>
          </w:p>
        </w:tc>
        <w:tc>
          <w:tcPr>
            <w:tcW w:w="396" w:type="pct"/>
            <w:tcBorders>
              <w:bottom w:val="single" w:color="auto" w:sz="12" w:space="0"/>
            </w:tcBorders>
          </w:tcPr>
          <w:p w14:paraId="647AF718">
            <w:pPr>
              <w:rPr>
                <w:color w:val="auto"/>
                <w:kern w:val="2"/>
                <w:sz w:val="21"/>
                <w:szCs w:val="21"/>
                <w:highlight w:val="none"/>
              </w:rPr>
            </w:pPr>
          </w:p>
        </w:tc>
        <w:tc>
          <w:tcPr>
            <w:tcW w:w="474" w:type="pct"/>
            <w:tcBorders>
              <w:bottom w:val="single" w:color="auto" w:sz="12" w:space="0"/>
            </w:tcBorders>
          </w:tcPr>
          <w:p w14:paraId="6F039908">
            <w:pPr>
              <w:rPr>
                <w:color w:val="auto"/>
                <w:kern w:val="2"/>
                <w:sz w:val="21"/>
                <w:szCs w:val="21"/>
                <w:highlight w:val="none"/>
              </w:rPr>
            </w:pPr>
          </w:p>
        </w:tc>
        <w:tc>
          <w:tcPr>
            <w:tcW w:w="537" w:type="pct"/>
            <w:tcBorders>
              <w:bottom w:val="single" w:color="auto" w:sz="12" w:space="0"/>
            </w:tcBorders>
          </w:tcPr>
          <w:p w14:paraId="1F72D8DF">
            <w:pPr>
              <w:rPr>
                <w:color w:val="auto"/>
                <w:kern w:val="2"/>
                <w:sz w:val="21"/>
                <w:szCs w:val="21"/>
                <w:highlight w:val="none"/>
              </w:rPr>
            </w:pPr>
          </w:p>
        </w:tc>
        <w:tc>
          <w:tcPr>
            <w:tcW w:w="826" w:type="pct"/>
            <w:tcBorders>
              <w:bottom w:val="single" w:color="auto" w:sz="12" w:space="0"/>
            </w:tcBorders>
          </w:tcPr>
          <w:p w14:paraId="28E2F6D2">
            <w:pPr>
              <w:rPr>
                <w:color w:val="auto"/>
                <w:kern w:val="2"/>
                <w:sz w:val="21"/>
                <w:szCs w:val="21"/>
                <w:highlight w:val="none"/>
              </w:rPr>
            </w:pPr>
          </w:p>
        </w:tc>
        <w:tc>
          <w:tcPr>
            <w:tcW w:w="569" w:type="pct"/>
            <w:tcBorders>
              <w:bottom w:val="single" w:color="auto" w:sz="12" w:space="0"/>
            </w:tcBorders>
          </w:tcPr>
          <w:p w14:paraId="7B52AF2D">
            <w:pPr>
              <w:rPr>
                <w:color w:val="auto"/>
                <w:kern w:val="2"/>
                <w:sz w:val="21"/>
                <w:szCs w:val="21"/>
                <w:highlight w:val="none"/>
              </w:rPr>
            </w:pPr>
          </w:p>
        </w:tc>
        <w:tc>
          <w:tcPr>
            <w:tcW w:w="520" w:type="pct"/>
            <w:tcBorders>
              <w:bottom w:val="single" w:color="auto" w:sz="12" w:space="0"/>
            </w:tcBorders>
          </w:tcPr>
          <w:p w14:paraId="6E0C6B2F">
            <w:pPr>
              <w:rPr>
                <w:color w:val="auto"/>
                <w:kern w:val="2"/>
                <w:sz w:val="21"/>
                <w:szCs w:val="21"/>
                <w:highlight w:val="none"/>
              </w:rPr>
            </w:pPr>
          </w:p>
        </w:tc>
      </w:tr>
    </w:tbl>
    <w:p w14:paraId="13642338">
      <w:pPr>
        <w:rPr>
          <w:color w:val="auto"/>
          <w:kern w:val="2"/>
          <w:sz w:val="21"/>
          <w:szCs w:val="21"/>
          <w:highlight w:val="none"/>
        </w:rPr>
      </w:pPr>
    </w:p>
    <w:p w14:paraId="7E44832E">
      <w:pPr>
        <w:widowControl/>
        <w:spacing w:line="360" w:lineRule="auto"/>
        <w:jc w:val="center"/>
        <w:rPr>
          <w:color w:val="auto"/>
          <w:kern w:val="2"/>
          <w:sz w:val="24"/>
          <w:szCs w:val="24"/>
          <w:highlight w:val="none"/>
        </w:rPr>
      </w:pPr>
      <w:r>
        <w:rPr>
          <w:color w:val="auto"/>
          <w:kern w:val="2"/>
          <w:sz w:val="21"/>
          <w:szCs w:val="21"/>
          <w:highlight w:val="none"/>
        </w:rPr>
        <w:br w:type="page"/>
      </w:r>
    </w:p>
    <w:p w14:paraId="2C28AD82">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90" w:name="_Toc296944567"/>
      <w:bookmarkStart w:id="591" w:name="_Toc296503228"/>
      <w:bookmarkStart w:id="592" w:name="_Toc267261699"/>
      <w:bookmarkStart w:id="593" w:name="_Toc296346729"/>
      <w:bookmarkStart w:id="594" w:name="_Toc296347227"/>
      <w:bookmarkStart w:id="595" w:name="_Toc296891056"/>
      <w:bookmarkStart w:id="596" w:name="_Toc296891268"/>
      <w:r>
        <w:rPr>
          <w:rFonts w:hint="eastAsia" w:ascii="黑体" w:hAnsi="黑体" w:eastAsia="黑体"/>
          <w:bCs/>
          <w:color w:val="auto"/>
          <w:kern w:val="2"/>
          <w:sz w:val="24"/>
          <w:szCs w:val="24"/>
          <w:highlight w:val="none"/>
        </w:rPr>
        <w:t>件</w:t>
      </w:r>
      <w:bookmarkEnd w:id="590"/>
      <w:bookmarkEnd w:id="591"/>
      <w:bookmarkEnd w:id="592"/>
      <w:bookmarkEnd w:id="593"/>
      <w:bookmarkEnd w:id="594"/>
      <w:bookmarkEnd w:id="595"/>
      <w:bookmarkEnd w:id="596"/>
      <w:r>
        <w:rPr>
          <w:rFonts w:ascii="黑体" w:hAnsi="黑体" w:eastAsia="黑体"/>
          <w:bCs/>
          <w:color w:val="auto"/>
          <w:kern w:val="2"/>
          <w:sz w:val="24"/>
          <w:szCs w:val="24"/>
          <w:highlight w:val="none"/>
        </w:rPr>
        <w:t>6</w:t>
      </w:r>
      <w:r>
        <w:rPr>
          <w:rFonts w:hint="eastAsia" w:ascii="黑体" w:hAnsi="黑体" w:eastAsia="黑体"/>
          <w:bCs/>
          <w:color w:val="auto"/>
          <w:kern w:val="2"/>
          <w:sz w:val="24"/>
          <w:szCs w:val="24"/>
          <w:highlight w:val="none"/>
        </w:rPr>
        <w:t>：承包人主要施工管理人员表</w:t>
      </w:r>
    </w:p>
    <w:p w14:paraId="7841E9CC">
      <w:pPr>
        <w:spacing w:line="360" w:lineRule="auto"/>
        <w:jc w:val="center"/>
        <w:rPr>
          <w:color w:val="auto"/>
          <w:kern w:val="2"/>
          <w:sz w:val="24"/>
          <w:szCs w:val="24"/>
          <w:highlight w:val="none"/>
        </w:rPr>
      </w:pPr>
      <w:r>
        <w:rPr>
          <w:rFonts w:hint="eastAsia"/>
          <w:color w:val="auto"/>
          <w:kern w:val="2"/>
          <w:sz w:val="24"/>
          <w:szCs w:val="24"/>
          <w:highlight w:val="none"/>
        </w:rPr>
        <w:t>承包人主要施工管理人员表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8"/>
        <w:gridCol w:w="1048"/>
        <w:gridCol w:w="840"/>
        <w:gridCol w:w="840"/>
        <w:gridCol w:w="2139"/>
        <w:gridCol w:w="1927"/>
      </w:tblGrid>
      <w:tr w14:paraId="23849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14:paraId="1166FBA7">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27" w:type="pct"/>
            <w:tcBorders>
              <w:top w:val="single" w:color="auto" w:sz="12" w:space="0"/>
              <w:bottom w:val="double" w:color="auto" w:sz="6" w:space="0"/>
            </w:tcBorders>
            <w:vAlign w:val="center"/>
          </w:tcPr>
          <w:p w14:paraId="491E70E9">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02" w:type="pct"/>
            <w:tcBorders>
              <w:top w:val="single" w:color="auto" w:sz="12" w:space="0"/>
              <w:bottom w:val="double" w:color="auto" w:sz="6" w:space="0"/>
            </w:tcBorders>
            <w:vAlign w:val="center"/>
          </w:tcPr>
          <w:p w14:paraId="0669D18D">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502" w:type="pct"/>
            <w:tcBorders>
              <w:top w:val="single" w:color="auto" w:sz="12" w:space="0"/>
              <w:bottom w:val="double" w:color="auto" w:sz="6" w:space="0"/>
            </w:tcBorders>
            <w:vAlign w:val="center"/>
          </w:tcPr>
          <w:p w14:paraId="4E968ECE">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279" w:type="pct"/>
            <w:tcBorders>
              <w:top w:val="single" w:color="auto" w:sz="12" w:space="0"/>
              <w:bottom w:val="double" w:color="auto" w:sz="6" w:space="0"/>
            </w:tcBorders>
            <w:vAlign w:val="center"/>
          </w:tcPr>
          <w:p w14:paraId="0D44D4E7">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1152" w:type="pct"/>
            <w:tcBorders>
              <w:top w:val="single" w:color="auto" w:sz="12" w:space="0"/>
              <w:bottom w:val="double" w:color="auto" w:sz="6" w:space="0"/>
            </w:tcBorders>
          </w:tcPr>
          <w:p w14:paraId="42539BA4">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2C1E5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tcBorders>
              <w:top w:val="double" w:color="auto" w:sz="6" w:space="0"/>
            </w:tcBorders>
            <w:vAlign w:val="center"/>
          </w:tcPr>
          <w:p w14:paraId="7595A424">
            <w:pPr>
              <w:keepNext/>
              <w:spacing w:line="360" w:lineRule="auto"/>
              <w:jc w:val="center"/>
              <w:rPr>
                <w:color w:val="auto"/>
                <w:kern w:val="2"/>
                <w:sz w:val="21"/>
                <w:szCs w:val="21"/>
                <w:highlight w:val="none"/>
              </w:rPr>
            </w:pPr>
            <w:r>
              <w:rPr>
                <w:rFonts w:hint="eastAsia"/>
                <w:color w:val="auto"/>
                <w:kern w:val="2"/>
                <w:sz w:val="21"/>
                <w:szCs w:val="21"/>
                <w:highlight w:val="none"/>
              </w:rPr>
              <w:t>一、总部人员</w:t>
            </w:r>
          </w:p>
        </w:tc>
        <w:tc>
          <w:tcPr>
            <w:tcW w:w="1152" w:type="pct"/>
            <w:tcBorders>
              <w:top w:val="double" w:color="auto" w:sz="6" w:space="0"/>
            </w:tcBorders>
          </w:tcPr>
          <w:p w14:paraId="42923C04">
            <w:pPr>
              <w:keepNext/>
              <w:spacing w:line="360" w:lineRule="auto"/>
              <w:jc w:val="center"/>
              <w:rPr>
                <w:color w:val="auto"/>
                <w:kern w:val="2"/>
                <w:sz w:val="21"/>
                <w:szCs w:val="21"/>
                <w:highlight w:val="none"/>
              </w:rPr>
            </w:pPr>
          </w:p>
        </w:tc>
      </w:tr>
      <w:tr w14:paraId="2A1C8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25D6CBB0">
            <w:pPr>
              <w:spacing w:line="360" w:lineRule="auto"/>
              <w:jc w:val="center"/>
              <w:rPr>
                <w:color w:val="auto"/>
                <w:kern w:val="2"/>
                <w:sz w:val="21"/>
                <w:szCs w:val="21"/>
                <w:highlight w:val="none"/>
              </w:rPr>
            </w:pPr>
            <w:r>
              <w:rPr>
                <w:rFonts w:hint="eastAsia"/>
                <w:color w:val="auto"/>
                <w:kern w:val="2"/>
                <w:sz w:val="21"/>
                <w:szCs w:val="21"/>
                <w:highlight w:val="none"/>
              </w:rPr>
              <w:t>项目主管</w:t>
            </w:r>
          </w:p>
        </w:tc>
        <w:tc>
          <w:tcPr>
            <w:tcW w:w="627" w:type="pct"/>
            <w:tcBorders>
              <w:top w:val="nil"/>
            </w:tcBorders>
            <w:vAlign w:val="center"/>
          </w:tcPr>
          <w:p w14:paraId="08A3445B">
            <w:pPr>
              <w:keepNext/>
              <w:spacing w:line="360" w:lineRule="auto"/>
              <w:jc w:val="center"/>
              <w:rPr>
                <w:color w:val="auto"/>
                <w:kern w:val="2"/>
                <w:sz w:val="21"/>
                <w:szCs w:val="21"/>
                <w:highlight w:val="none"/>
              </w:rPr>
            </w:pPr>
          </w:p>
        </w:tc>
        <w:tc>
          <w:tcPr>
            <w:tcW w:w="502" w:type="pct"/>
            <w:tcBorders>
              <w:top w:val="nil"/>
            </w:tcBorders>
            <w:vAlign w:val="center"/>
          </w:tcPr>
          <w:p w14:paraId="32AEEA40">
            <w:pPr>
              <w:keepNext/>
              <w:spacing w:line="360" w:lineRule="auto"/>
              <w:jc w:val="center"/>
              <w:rPr>
                <w:color w:val="auto"/>
                <w:kern w:val="2"/>
                <w:sz w:val="21"/>
                <w:szCs w:val="21"/>
                <w:highlight w:val="none"/>
              </w:rPr>
            </w:pPr>
          </w:p>
        </w:tc>
        <w:tc>
          <w:tcPr>
            <w:tcW w:w="502" w:type="pct"/>
            <w:tcBorders>
              <w:top w:val="nil"/>
            </w:tcBorders>
            <w:vAlign w:val="center"/>
          </w:tcPr>
          <w:p w14:paraId="3599BB08">
            <w:pPr>
              <w:keepNext/>
              <w:spacing w:line="360" w:lineRule="auto"/>
              <w:jc w:val="center"/>
              <w:rPr>
                <w:color w:val="auto"/>
                <w:kern w:val="2"/>
                <w:sz w:val="21"/>
                <w:szCs w:val="21"/>
                <w:highlight w:val="none"/>
              </w:rPr>
            </w:pPr>
          </w:p>
        </w:tc>
        <w:tc>
          <w:tcPr>
            <w:tcW w:w="1279" w:type="pct"/>
            <w:tcBorders>
              <w:top w:val="nil"/>
            </w:tcBorders>
            <w:vAlign w:val="center"/>
          </w:tcPr>
          <w:p w14:paraId="02E03E27">
            <w:pPr>
              <w:keepNext/>
              <w:spacing w:line="360" w:lineRule="auto"/>
              <w:jc w:val="center"/>
              <w:rPr>
                <w:color w:val="auto"/>
                <w:kern w:val="2"/>
                <w:sz w:val="21"/>
                <w:szCs w:val="21"/>
                <w:highlight w:val="none"/>
              </w:rPr>
            </w:pPr>
          </w:p>
        </w:tc>
        <w:tc>
          <w:tcPr>
            <w:tcW w:w="1152" w:type="pct"/>
            <w:tcBorders>
              <w:top w:val="nil"/>
            </w:tcBorders>
          </w:tcPr>
          <w:p w14:paraId="7E2E3FC7">
            <w:pPr>
              <w:keepNext/>
              <w:spacing w:line="360" w:lineRule="auto"/>
              <w:jc w:val="center"/>
              <w:rPr>
                <w:color w:val="auto"/>
                <w:kern w:val="2"/>
                <w:sz w:val="21"/>
                <w:szCs w:val="21"/>
                <w:highlight w:val="none"/>
              </w:rPr>
            </w:pPr>
          </w:p>
        </w:tc>
      </w:tr>
      <w:tr w14:paraId="45E93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14:paraId="06E689A1">
            <w:pPr>
              <w:spacing w:line="360" w:lineRule="auto"/>
              <w:jc w:val="center"/>
              <w:rPr>
                <w:color w:val="auto"/>
                <w:kern w:val="2"/>
                <w:sz w:val="21"/>
                <w:szCs w:val="21"/>
                <w:highlight w:val="none"/>
              </w:rPr>
            </w:pPr>
          </w:p>
        </w:tc>
        <w:tc>
          <w:tcPr>
            <w:tcW w:w="627" w:type="pct"/>
            <w:vAlign w:val="center"/>
          </w:tcPr>
          <w:p w14:paraId="5EBD8502">
            <w:pPr>
              <w:keepNext/>
              <w:spacing w:line="360" w:lineRule="auto"/>
              <w:jc w:val="center"/>
              <w:rPr>
                <w:color w:val="auto"/>
                <w:kern w:val="2"/>
                <w:sz w:val="21"/>
                <w:szCs w:val="21"/>
                <w:highlight w:val="none"/>
              </w:rPr>
            </w:pPr>
          </w:p>
        </w:tc>
        <w:tc>
          <w:tcPr>
            <w:tcW w:w="502" w:type="pct"/>
            <w:vAlign w:val="center"/>
          </w:tcPr>
          <w:p w14:paraId="2E9275B9">
            <w:pPr>
              <w:keepNext/>
              <w:spacing w:line="360" w:lineRule="auto"/>
              <w:jc w:val="center"/>
              <w:rPr>
                <w:color w:val="auto"/>
                <w:kern w:val="2"/>
                <w:sz w:val="21"/>
                <w:szCs w:val="21"/>
                <w:highlight w:val="none"/>
              </w:rPr>
            </w:pPr>
          </w:p>
        </w:tc>
        <w:tc>
          <w:tcPr>
            <w:tcW w:w="502" w:type="pct"/>
            <w:vAlign w:val="center"/>
          </w:tcPr>
          <w:p w14:paraId="1C977BF2">
            <w:pPr>
              <w:keepNext/>
              <w:spacing w:line="360" w:lineRule="auto"/>
              <w:jc w:val="center"/>
              <w:rPr>
                <w:color w:val="auto"/>
                <w:kern w:val="2"/>
                <w:sz w:val="21"/>
                <w:szCs w:val="21"/>
                <w:highlight w:val="none"/>
              </w:rPr>
            </w:pPr>
          </w:p>
        </w:tc>
        <w:tc>
          <w:tcPr>
            <w:tcW w:w="1279" w:type="pct"/>
            <w:vAlign w:val="center"/>
          </w:tcPr>
          <w:p w14:paraId="25FEACBF">
            <w:pPr>
              <w:keepNext/>
              <w:spacing w:line="360" w:lineRule="auto"/>
              <w:jc w:val="center"/>
              <w:rPr>
                <w:color w:val="auto"/>
                <w:kern w:val="2"/>
                <w:sz w:val="21"/>
                <w:szCs w:val="21"/>
                <w:highlight w:val="none"/>
              </w:rPr>
            </w:pPr>
          </w:p>
        </w:tc>
        <w:tc>
          <w:tcPr>
            <w:tcW w:w="1152" w:type="pct"/>
          </w:tcPr>
          <w:p w14:paraId="208A2B6A">
            <w:pPr>
              <w:keepNext/>
              <w:spacing w:line="360" w:lineRule="auto"/>
              <w:jc w:val="center"/>
              <w:rPr>
                <w:color w:val="auto"/>
                <w:kern w:val="2"/>
                <w:sz w:val="21"/>
                <w:szCs w:val="21"/>
                <w:highlight w:val="none"/>
              </w:rPr>
            </w:pPr>
          </w:p>
        </w:tc>
      </w:tr>
      <w:tr w14:paraId="17EBE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4A427713">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7ACB1022">
            <w:pPr>
              <w:keepNext/>
              <w:spacing w:line="360" w:lineRule="auto"/>
              <w:jc w:val="center"/>
              <w:rPr>
                <w:color w:val="auto"/>
                <w:kern w:val="2"/>
                <w:sz w:val="21"/>
                <w:szCs w:val="21"/>
                <w:highlight w:val="none"/>
              </w:rPr>
            </w:pPr>
          </w:p>
        </w:tc>
        <w:tc>
          <w:tcPr>
            <w:tcW w:w="502" w:type="pct"/>
            <w:vAlign w:val="center"/>
          </w:tcPr>
          <w:p w14:paraId="6353BDC1">
            <w:pPr>
              <w:keepNext/>
              <w:spacing w:line="360" w:lineRule="auto"/>
              <w:jc w:val="center"/>
              <w:rPr>
                <w:color w:val="auto"/>
                <w:kern w:val="2"/>
                <w:sz w:val="21"/>
                <w:szCs w:val="21"/>
                <w:highlight w:val="none"/>
              </w:rPr>
            </w:pPr>
          </w:p>
        </w:tc>
        <w:tc>
          <w:tcPr>
            <w:tcW w:w="502" w:type="pct"/>
            <w:vAlign w:val="center"/>
          </w:tcPr>
          <w:p w14:paraId="088D38AA">
            <w:pPr>
              <w:keepNext/>
              <w:spacing w:line="360" w:lineRule="auto"/>
              <w:jc w:val="center"/>
              <w:rPr>
                <w:color w:val="auto"/>
                <w:kern w:val="2"/>
                <w:sz w:val="21"/>
                <w:szCs w:val="21"/>
                <w:highlight w:val="none"/>
              </w:rPr>
            </w:pPr>
          </w:p>
        </w:tc>
        <w:tc>
          <w:tcPr>
            <w:tcW w:w="1279" w:type="pct"/>
            <w:vAlign w:val="center"/>
          </w:tcPr>
          <w:p w14:paraId="2967C8CC">
            <w:pPr>
              <w:keepNext/>
              <w:spacing w:line="360" w:lineRule="auto"/>
              <w:jc w:val="center"/>
              <w:rPr>
                <w:color w:val="auto"/>
                <w:kern w:val="2"/>
                <w:sz w:val="21"/>
                <w:szCs w:val="21"/>
                <w:highlight w:val="none"/>
              </w:rPr>
            </w:pPr>
          </w:p>
        </w:tc>
        <w:tc>
          <w:tcPr>
            <w:tcW w:w="1152" w:type="pct"/>
          </w:tcPr>
          <w:p w14:paraId="2331930D">
            <w:pPr>
              <w:keepNext/>
              <w:spacing w:line="360" w:lineRule="auto"/>
              <w:jc w:val="center"/>
              <w:rPr>
                <w:color w:val="auto"/>
                <w:kern w:val="2"/>
                <w:sz w:val="21"/>
                <w:szCs w:val="21"/>
                <w:highlight w:val="none"/>
              </w:rPr>
            </w:pPr>
          </w:p>
        </w:tc>
      </w:tr>
      <w:tr w14:paraId="76E33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2B0E8E57">
            <w:pPr>
              <w:spacing w:line="360" w:lineRule="auto"/>
              <w:jc w:val="center"/>
              <w:rPr>
                <w:color w:val="auto"/>
                <w:kern w:val="2"/>
                <w:sz w:val="21"/>
                <w:szCs w:val="21"/>
                <w:highlight w:val="none"/>
              </w:rPr>
            </w:pPr>
          </w:p>
        </w:tc>
        <w:tc>
          <w:tcPr>
            <w:tcW w:w="627" w:type="pct"/>
            <w:vAlign w:val="center"/>
          </w:tcPr>
          <w:p w14:paraId="6C8B1E1B">
            <w:pPr>
              <w:keepNext/>
              <w:spacing w:line="360" w:lineRule="auto"/>
              <w:jc w:val="center"/>
              <w:rPr>
                <w:color w:val="auto"/>
                <w:kern w:val="2"/>
                <w:sz w:val="21"/>
                <w:szCs w:val="21"/>
                <w:highlight w:val="none"/>
              </w:rPr>
            </w:pPr>
          </w:p>
        </w:tc>
        <w:tc>
          <w:tcPr>
            <w:tcW w:w="502" w:type="pct"/>
            <w:vAlign w:val="center"/>
          </w:tcPr>
          <w:p w14:paraId="48F70F09">
            <w:pPr>
              <w:keepNext/>
              <w:spacing w:line="360" w:lineRule="auto"/>
              <w:jc w:val="center"/>
              <w:rPr>
                <w:color w:val="auto"/>
                <w:kern w:val="2"/>
                <w:sz w:val="21"/>
                <w:szCs w:val="21"/>
                <w:highlight w:val="none"/>
              </w:rPr>
            </w:pPr>
          </w:p>
        </w:tc>
        <w:tc>
          <w:tcPr>
            <w:tcW w:w="502" w:type="pct"/>
            <w:vAlign w:val="center"/>
          </w:tcPr>
          <w:p w14:paraId="414F309F">
            <w:pPr>
              <w:keepNext/>
              <w:spacing w:line="360" w:lineRule="auto"/>
              <w:jc w:val="center"/>
              <w:rPr>
                <w:color w:val="auto"/>
                <w:kern w:val="2"/>
                <w:sz w:val="21"/>
                <w:szCs w:val="21"/>
                <w:highlight w:val="none"/>
              </w:rPr>
            </w:pPr>
          </w:p>
        </w:tc>
        <w:tc>
          <w:tcPr>
            <w:tcW w:w="1279" w:type="pct"/>
            <w:vAlign w:val="center"/>
          </w:tcPr>
          <w:p w14:paraId="6D8C589F">
            <w:pPr>
              <w:keepNext/>
              <w:spacing w:line="360" w:lineRule="auto"/>
              <w:jc w:val="center"/>
              <w:rPr>
                <w:color w:val="auto"/>
                <w:kern w:val="2"/>
                <w:sz w:val="21"/>
                <w:szCs w:val="21"/>
                <w:highlight w:val="none"/>
              </w:rPr>
            </w:pPr>
          </w:p>
        </w:tc>
        <w:tc>
          <w:tcPr>
            <w:tcW w:w="1152" w:type="pct"/>
          </w:tcPr>
          <w:p w14:paraId="72652F93">
            <w:pPr>
              <w:keepNext/>
              <w:spacing w:line="360" w:lineRule="auto"/>
              <w:jc w:val="center"/>
              <w:rPr>
                <w:color w:val="auto"/>
                <w:kern w:val="2"/>
                <w:sz w:val="21"/>
                <w:szCs w:val="21"/>
                <w:highlight w:val="none"/>
              </w:rPr>
            </w:pPr>
          </w:p>
        </w:tc>
      </w:tr>
      <w:tr w14:paraId="6BD5F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vAlign w:val="center"/>
          </w:tcPr>
          <w:p w14:paraId="0340F04E">
            <w:pPr>
              <w:keepNext/>
              <w:spacing w:line="360" w:lineRule="auto"/>
              <w:jc w:val="center"/>
              <w:rPr>
                <w:color w:val="auto"/>
                <w:kern w:val="2"/>
                <w:sz w:val="21"/>
                <w:szCs w:val="21"/>
                <w:highlight w:val="none"/>
              </w:rPr>
            </w:pPr>
            <w:r>
              <w:rPr>
                <w:rFonts w:hint="eastAsia"/>
                <w:color w:val="auto"/>
                <w:kern w:val="2"/>
                <w:sz w:val="21"/>
                <w:szCs w:val="21"/>
                <w:highlight w:val="none"/>
              </w:rPr>
              <w:t>二、现场人员</w:t>
            </w:r>
          </w:p>
        </w:tc>
        <w:tc>
          <w:tcPr>
            <w:tcW w:w="1152" w:type="pct"/>
          </w:tcPr>
          <w:p w14:paraId="0CF09A01">
            <w:pPr>
              <w:keepNext/>
              <w:spacing w:line="360" w:lineRule="auto"/>
              <w:jc w:val="center"/>
              <w:rPr>
                <w:color w:val="auto"/>
                <w:kern w:val="2"/>
                <w:sz w:val="21"/>
                <w:szCs w:val="21"/>
                <w:highlight w:val="none"/>
              </w:rPr>
            </w:pPr>
          </w:p>
        </w:tc>
      </w:tr>
      <w:tr w14:paraId="4D052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265A2DFE">
            <w:pPr>
              <w:spacing w:line="360" w:lineRule="auto"/>
              <w:jc w:val="center"/>
              <w:rPr>
                <w:color w:val="auto"/>
                <w:kern w:val="2"/>
                <w:sz w:val="21"/>
                <w:szCs w:val="21"/>
                <w:highlight w:val="none"/>
              </w:rPr>
            </w:pPr>
            <w:r>
              <w:rPr>
                <w:rFonts w:hint="eastAsia"/>
                <w:color w:val="auto"/>
                <w:kern w:val="2"/>
                <w:sz w:val="21"/>
                <w:szCs w:val="21"/>
                <w:highlight w:val="none"/>
              </w:rPr>
              <w:t>项目经理</w:t>
            </w:r>
          </w:p>
        </w:tc>
        <w:tc>
          <w:tcPr>
            <w:tcW w:w="627" w:type="pct"/>
            <w:vAlign w:val="center"/>
          </w:tcPr>
          <w:p w14:paraId="0B287B08">
            <w:pPr>
              <w:keepNext/>
              <w:spacing w:line="360" w:lineRule="auto"/>
              <w:jc w:val="center"/>
              <w:rPr>
                <w:color w:val="auto"/>
                <w:kern w:val="2"/>
                <w:sz w:val="21"/>
                <w:szCs w:val="21"/>
                <w:highlight w:val="none"/>
              </w:rPr>
            </w:pPr>
          </w:p>
        </w:tc>
        <w:tc>
          <w:tcPr>
            <w:tcW w:w="502" w:type="pct"/>
            <w:vAlign w:val="center"/>
          </w:tcPr>
          <w:p w14:paraId="08713CAA">
            <w:pPr>
              <w:keepNext/>
              <w:spacing w:line="360" w:lineRule="auto"/>
              <w:jc w:val="center"/>
              <w:rPr>
                <w:color w:val="auto"/>
                <w:kern w:val="2"/>
                <w:sz w:val="21"/>
                <w:szCs w:val="21"/>
                <w:highlight w:val="none"/>
              </w:rPr>
            </w:pPr>
          </w:p>
        </w:tc>
        <w:tc>
          <w:tcPr>
            <w:tcW w:w="502" w:type="pct"/>
            <w:vAlign w:val="center"/>
          </w:tcPr>
          <w:p w14:paraId="32AFAB07">
            <w:pPr>
              <w:keepNext/>
              <w:spacing w:line="360" w:lineRule="auto"/>
              <w:jc w:val="center"/>
              <w:rPr>
                <w:color w:val="auto"/>
                <w:kern w:val="2"/>
                <w:sz w:val="21"/>
                <w:szCs w:val="21"/>
                <w:highlight w:val="none"/>
              </w:rPr>
            </w:pPr>
          </w:p>
        </w:tc>
        <w:tc>
          <w:tcPr>
            <w:tcW w:w="1279" w:type="pct"/>
            <w:vAlign w:val="center"/>
          </w:tcPr>
          <w:p w14:paraId="29AB006A">
            <w:pPr>
              <w:keepNext/>
              <w:spacing w:line="360" w:lineRule="auto"/>
              <w:jc w:val="center"/>
              <w:rPr>
                <w:color w:val="auto"/>
                <w:kern w:val="2"/>
                <w:sz w:val="21"/>
                <w:szCs w:val="21"/>
                <w:highlight w:val="none"/>
              </w:rPr>
            </w:pPr>
          </w:p>
        </w:tc>
        <w:tc>
          <w:tcPr>
            <w:tcW w:w="1152" w:type="pct"/>
          </w:tcPr>
          <w:p w14:paraId="00CA2503">
            <w:pPr>
              <w:keepNext/>
              <w:spacing w:line="360" w:lineRule="auto"/>
              <w:jc w:val="center"/>
              <w:rPr>
                <w:color w:val="auto"/>
                <w:kern w:val="2"/>
                <w:sz w:val="21"/>
                <w:szCs w:val="21"/>
                <w:highlight w:val="none"/>
              </w:rPr>
            </w:pPr>
          </w:p>
        </w:tc>
      </w:tr>
      <w:tr w14:paraId="7388F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0D096A25">
            <w:pPr>
              <w:spacing w:line="360" w:lineRule="auto"/>
              <w:jc w:val="center"/>
              <w:rPr>
                <w:color w:val="auto"/>
                <w:kern w:val="2"/>
                <w:sz w:val="21"/>
                <w:szCs w:val="21"/>
                <w:highlight w:val="none"/>
              </w:rPr>
            </w:pPr>
            <w:r>
              <w:rPr>
                <w:rFonts w:hint="eastAsia"/>
                <w:color w:val="auto"/>
                <w:kern w:val="2"/>
                <w:sz w:val="21"/>
                <w:szCs w:val="21"/>
                <w:highlight w:val="none"/>
              </w:rPr>
              <w:t>项目副经理</w:t>
            </w:r>
          </w:p>
        </w:tc>
        <w:tc>
          <w:tcPr>
            <w:tcW w:w="627" w:type="pct"/>
            <w:vAlign w:val="center"/>
          </w:tcPr>
          <w:p w14:paraId="07CDE889">
            <w:pPr>
              <w:keepNext/>
              <w:spacing w:line="360" w:lineRule="auto"/>
              <w:jc w:val="center"/>
              <w:rPr>
                <w:color w:val="auto"/>
                <w:kern w:val="2"/>
                <w:sz w:val="21"/>
                <w:szCs w:val="21"/>
                <w:highlight w:val="none"/>
              </w:rPr>
            </w:pPr>
          </w:p>
        </w:tc>
        <w:tc>
          <w:tcPr>
            <w:tcW w:w="502" w:type="pct"/>
            <w:vAlign w:val="center"/>
          </w:tcPr>
          <w:p w14:paraId="33518B0B">
            <w:pPr>
              <w:keepNext/>
              <w:spacing w:line="360" w:lineRule="auto"/>
              <w:jc w:val="center"/>
              <w:rPr>
                <w:color w:val="auto"/>
                <w:kern w:val="2"/>
                <w:sz w:val="21"/>
                <w:szCs w:val="21"/>
                <w:highlight w:val="none"/>
              </w:rPr>
            </w:pPr>
          </w:p>
        </w:tc>
        <w:tc>
          <w:tcPr>
            <w:tcW w:w="502" w:type="pct"/>
            <w:vAlign w:val="center"/>
          </w:tcPr>
          <w:p w14:paraId="6E1423B8">
            <w:pPr>
              <w:keepNext/>
              <w:spacing w:line="360" w:lineRule="auto"/>
              <w:jc w:val="center"/>
              <w:rPr>
                <w:color w:val="auto"/>
                <w:kern w:val="2"/>
                <w:sz w:val="21"/>
                <w:szCs w:val="21"/>
                <w:highlight w:val="none"/>
              </w:rPr>
            </w:pPr>
          </w:p>
        </w:tc>
        <w:tc>
          <w:tcPr>
            <w:tcW w:w="1279" w:type="pct"/>
            <w:vAlign w:val="center"/>
          </w:tcPr>
          <w:p w14:paraId="542C746A">
            <w:pPr>
              <w:keepNext/>
              <w:spacing w:line="360" w:lineRule="auto"/>
              <w:jc w:val="center"/>
              <w:rPr>
                <w:color w:val="auto"/>
                <w:kern w:val="2"/>
                <w:sz w:val="21"/>
                <w:szCs w:val="21"/>
                <w:highlight w:val="none"/>
              </w:rPr>
            </w:pPr>
          </w:p>
        </w:tc>
        <w:tc>
          <w:tcPr>
            <w:tcW w:w="1152" w:type="pct"/>
          </w:tcPr>
          <w:p w14:paraId="4311796C">
            <w:pPr>
              <w:keepNext/>
              <w:spacing w:line="360" w:lineRule="auto"/>
              <w:jc w:val="center"/>
              <w:rPr>
                <w:color w:val="auto"/>
                <w:kern w:val="2"/>
                <w:sz w:val="21"/>
                <w:szCs w:val="21"/>
                <w:highlight w:val="none"/>
              </w:rPr>
            </w:pPr>
          </w:p>
        </w:tc>
      </w:tr>
      <w:tr w14:paraId="03015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05A2CDE9">
            <w:pPr>
              <w:spacing w:line="360" w:lineRule="auto"/>
              <w:jc w:val="center"/>
              <w:rPr>
                <w:color w:val="auto"/>
                <w:kern w:val="2"/>
                <w:sz w:val="21"/>
                <w:szCs w:val="21"/>
                <w:highlight w:val="none"/>
              </w:rPr>
            </w:pPr>
            <w:r>
              <w:rPr>
                <w:rFonts w:hint="eastAsia"/>
                <w:color w:val="auto"/>
                <w:kern w:val="2"/>
                <w:sz w:val="21"/>
                <w:szCs w:val="21"/>
                <w:highlight w:val="none"/>
              </w:rPr>
              <w:t>项目技术负责人</w:t>
            </w:r>
          </w:p>
        </w:tc>
        <w:tc>
          <w:tcPr>
            <w:tcW w:w="627" w:type="pct"/>
            <w:vAlign w:val="center"/>
          </w:tcPr>
          <w:p w14:paraId="2F9F2271">
            <w:pPr>
              <w:keepNext/>
              <w:spacing w:line="360" w:lineRule="auto"/>
              <w:jc w:val="center"/>
              <w:rPr>
                <w:color w:val="auto"/>
                <w:kern w:val="2"/>
                <w:sz w:val="21"/>
                <w:szCs w:val="21"/>
                <w:highlight w:val="none"/>
              </w:rPr>
            </w:pPr>
          </w:p>
        </w:tc>
        <w:tc>
          <w:tcPr>
            <w:tcW w:w="502" w:type="pct"/>
            <w:vAlign w:val="center"/>
          </w:tcPr>
          <w:p w14:paraId="31DF3634">
            <w:pPr>
              <w:keepNext/>
              <w:spacing w:line="360" w:lineRule="auto"/>
              <w:jc w:val="center"/>
              <w:rPr>
                <w:color w:val="auto"/>
                <w:kern w:val="2"/>
                <w:sz w:val="21"/>
                <w:szCs w:val="21"/>
                <w:highlight w:val="none"/>
              </w:rPr>
            </w:pPr>
          </w:p>
        </w:tc>
        <w:tc>
          <w:tcPr>
            <w:tcW w:w="502" w:type="pct"/>
            <w:vAlign w:val="center"/>
          </w:tcPr>
          <w:p w14:paraId="4C4E0250">
            <w:pPr>
              <w:keepNext/>
              <w:spacing w:line="360" w:lineRule="auto"/>
              <w:jc w:val="center"/>
              <w:rPr>
                <w:color w:val="auto"/>
                <w:kern w:val="2"/>
                <w:sz w:val="21"/>
                <w:szCs w:val="21"/>
                <w:highlight w:val="none"/>
              </w:rPr>
            </w:pPr>
          </w:p>
        </w:tc>
        <w:tc>
          <w:tcPr>
            <w:tcW w:w="1279" w:type="pct"/>
            <w:vAlign w:val="center"/>
          </w:tcPr>
          <w:p w14:paraId="3526BF07">
            <w:pPr>
              <w:keepNext/>
              <w:spacing w:line="360" w:lineRule="auto"/>
              <w:jc w:val="center"/>
              <w:rPr>
                <w:color w:val="auto"/>
                <w:kern w:val="2"/>
                <w:sz w:val="21"/>
                <w:szCs w:val="21"/>
                <w:highlight w:val="none"/>
              </w:rPr>
            </w:pPr>
          </w:p>
        </w:tc>
        <w:tc>
          <w:tcPr>
            <w:tcW w:w="1152" w:type="pct"/>
          </w:tcPr>
          <w:p w14:paraId="443E57D9">
            <w:pPr>
              <w:keepNext/>
              <w:spacing w:line="360" w:lineRule="auto"/>
              <w:jc w:val="center"/>
              <w:rPr>
                <w:color w:val="auto"/>
                <w:kern w:val="2"/>
                <w:sz w:val="21"/>
                <w:szCs w:val="21"/>
                <w:highlight w:val="none"/>
              </w:rPr>
            </w:pPr>
          </w:p>
        </w:tc>
      </w:tr>
      <w:tr w14:paraId="565DD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313980B0">
            <w:pPr>
              <w:spacing w:line="360" w:lineRule="auto"/>
              <w:jc w:val="center"/>
              <w:rPr>
                <w:color w:val="auto"/>
                <w:kern w:val="2"/>
                <w:sz w:val="21"/>
                <w:szCs w:val="21"/>
                <w:highlight w:val="none"/>
              </w:rPr>
            </w:pPr>
            <w:r>
              <w:rPr>
                <w:rFonts w:hint="eastAsia"/>
                <w:color w:val="auto"/>
                <w:kern w:val="2"/>
                <w:sz w:val="21"/>
                <w:szCs w:val="21"/>
                <w:highlight w:val="none"/>
              </w:rPr>
              <w:t>施工员</w:t>
            </w:r>
          </w:p>
        </w:tc>
        <w:tc>
          <w:tcPr>
            <w:tcW w:w="627" w:type="pct"/>
            <w:vAlign w:val="center"/>
          </w:tcPr>
          <w:p w14:paraId="0300557E">
            <w:pPr>
              <w:keepNext/>
              <w:spacing w:line="360" w:lineRule="auto"/>
              <w:jc w:val="center"/>
              <w:rPr>
                <w:color w:val="auto"/>
                <w:kern w:val="2"/>
                <w:sz w:val="21"/>
                <w:szCs w:val="21"/>
                <w:highlight w:val="none"/>
              </w:rPr>
            </w:pPr>
          </w:p>
        </w:tc>
        <w:tc>
          <w:tcPr>
            <w:tcW w:w="502" w:type="pct"/>
            <w:vAlign w:val="center"/>
          </w:tcPr>
          <w:p w14:paraId="67826CB0">
            <w:pPr>
              <w:keepNext/>
              <w:spacing w:line="360" w:lineRule="auto"/>
              <w:jc w:val="center"/>
              <w:rPr>
                <w:color w:val="auto"/>
                <w:kern w:val="2"/>
                <w:sz w:val="21"/>
                <w:szCs w:val="21"/>
                <w:highlight w:val="none"/>
              </w:rPr>
            </w:pPr>
          </w:p>
        </w:tc>
        <w:tc>
          <w:tcPr>
            <w:tcW w:w="502" w:type="pct"/>
            <w:vAlign w:val="center"/>
          </w:tcPr>
          <w:p w14:paraId="6B1103FC">
            <w:pPr>
              <w:keepNext/>
              <w:spacing w:line="360" w:lineRule="auto"/>
              <w:jc w:val="center"/>
              <w:rPr>
                <w:color w:val="auto"/>
                <w:kern w:val="2"/>
                <w:sz w:val="21"/>
                <w:szCs w:val="21"/>
                <w:highlight w:val="none"/>
              </w:rPr>
            </w:pPr>
          </w:p>
        </w:tc>
        <w:tc>
          <w:tcPr>
            <w:tcW w:w="1279" w:type="pct"/>
            <w:vAlign w:val="center"/>
          </w:tcPr>
          <w:p w14:paraId="24134E4C">
            <w:pPr>
              <w:keepNext/>
              <w:spacing w:line="360" w:lineRule="auto"/>
              <w:jc w:val="center"/>
              <w:rPr>
                <w:color w:val="auto"/>
                <w:kern w:val="2"/>
                <w:sz w:val="21"/>
                <w:szCs w:val="21"/>
                <w:highlight w:val="none"/>
              </w:rPr>
            </w:pPr>
          </w:p>
        </w:tc>
        <w:tc>
          <w:tcPr>
            <w:tcW w:w="1152" w:type="pct"/>
          </w:tcPr>
          <w:p w14:paraId="1B7390A9">
            <w:pPr>
              <w:keepNext/>
              <w:spacing w:line="360" w:lineRule="auto"/>
              <w:jc w:val="center"/>
              <w:rPr>
                <w:color w:val="auto"/>
                <w:kern w:val="2"/>
                <w:sz w:val="21"/>
                <w:szCs w:val="21"/>
                <w:highlight w:val="none"/>
              </w:rPr>
            </w:pPr>
          </w:p>
        </w:tc>
      </w:tr>
      <w:tr w14:paraId="00C7F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3C5554F7">
            <w:pPr>
              <w:spacing w:line="360" w:lineRule="auto"/>
              <w:jc w:val="center"/>
              <w:rPr>
                <w:color w:val="auto"/>
                <w:kern w:val="2"/>
                <w:sz w:val="21"/>
                <w:szCs w:val="21"/>
                <w:highlight w:val="none"/>
              </w:rPr>
            </w:pPr>
            <w:r>
              <w:rPr>
                <w:rFonts w:hint="eastAsia"/>
                <w:color w:val="auto"/>
                <w:kern w:val="2"/>
                <w:sz w:val="21"/>
                <w:szCs w:val="21"/>
                <w:highlight w:val="none"/>
              </w:rPr>
              <w:t>质检员（质量员）</w:t>
            </w:r>
          </w:p>
        </w:tc>
        <w:tc>
          <w:tcPr>
            <w:tcW w:w="627" w:type="pct"/>
            <w:vAlign w:val="center"/>
          </w:tcPr>
          <w:p w14:paraId="6B03B3F5">
            <w:pPr>
              <w:keepNext/>
              <w:spacing w:line="360" w:lineRule="auto"/>
              <w:jc w:val="center"/>
              <w:rPr>
                <w:color w:val="auto"/>
                <w:kern w:val="2"/>
                <w:sz w:val="21"/>
                <w:szCs w:val="21"/>
                <w:highlight w:val="none"/>
              </w:rPr>
            </w:pPr>
          </w:p>
        </w:tc>
        <w:tc>
          <w:tcPr>
            <w:tcW w:w="502" w:type="pct"/>
            <w:vAlign w:val="center"/>
          </w:tcPr>
          <w:p w14:paraId="55491E32">
            <w:pPr>
              <w:keepNext/>
              <w:spacing w:line="360" w:lineRule="auto"/>
              <w:jc w:val="center"/>
              <w:rPr>
                <w:color w:val="auto"/>
                <w:kern w:val="2"/>
                <w:sz w:val="21"/>
                <w:szCs w:val="21"/>
                <w:highlight w:val="none"/>
              </w:rPr>
            </w:pPr>
          </w:p>
        </w:tc>
        <w:tc>
          <w:tcPr>
            <w:tcW w:w="502" w:type="pct"/>
            <w:vAlign w:val="center"/>
          </w:tcPr>
          <w:p w14:paraId="72BD0BCF">
            <w:pPr>
              <w:keepNext/>
              <w:spacing w:line="360" w:lineRule="auto"/>
              <w:jc w:val="center"/>
              <w:rPr>
                <w:color w:val="auto"/>
                <w:kern w:val="2"/>
                <w:sz w:val="21"/>
                <w:szCs w:val="21"/>
                <w:highlight w:val="none"/>
              </w:rPr>
            </w:pPr>
          </w:p>
        </w:tc>
        <w:tc>
          <w:tcPr>
            <w:tcW w:w="1279" w:type="pct"/>
            <w:vAlign w:val="center"/>
          </w:tcPr>
          <w:p w14:paraId="21CA7F2B">
            <w:pPr>
              <w:keepNext/>
              <w:spacing w:line="360" w:lineRule="auto"/>
              <w:jc w:val="center"/>
              <w:rPr>
                <w:color w:val="auto"/>
                <w:kern w:val="2"/>
                <w:sz w:val="21"/>
                <w:szCs w:val="21"/>
                <w:highlight w:val="none"/>
              </w:rPr>
            </w:pPr>
          </w:p>
        </w:tc>
        <w:tc>
          <w:tcPr>
            <w:tcW w:w="1152" w:type="pct"/>
          </w:tcPr>
          <w:p w14:paraId="45FFABAF">
            <w:pPr>
              <w:keepNext/>
              <w:spacing w:line="360" w:lineRule="auto"/>
              <w:jc w:val="center"/>
              <w:rPr>
                <w:color w:val="auto"/>
                <w:kern w:val="2"/>
                <w:sz w:val="21"/>
                <w:szCs w:val="21"/>
                <w:highlight w:val="none"/>
              </w:rPr>
            </w:pPr>
          </w:p>
        </w:tc>
      </w:tr>
      <w:tr w14:paraId="4EF50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6B317D74">
            <w:pPr>
              <w:spacing w:line="360" w:lineRule="auto"/>
              <w:jc w:val="center"/>
              <w:rPr>
                <w:color w:val="auto"/>
                <w:kern w:val="2"/>
                <w:sz w:val="21"/>
                <w:szCs w:val="21"/>
                <w:highlight w:val="none"/>
              </w:rPr>
            </w:pPr>
            <w:r>
              <w:rPr>
                <w:rFonts w:hint="eastAsia"/>
                <w:color w:val="auto"/>
                <w:kern w:val="2"/>
                <w:sz w:val="21"/>
                <w:szCs w:val="21"/>
                <w:highlight w:val="none"/>
              </w:rPr>
              <w:t>安全员</w:t>
            </w:r>
          </w:p>
        </w:tc>
        <w:tc>
          <w:tcPr>
            <w:tcW w:w="627" w:type="pct"/>
            <w:vAlign w:val="center"/>
          </w:tcPr>
          <w:p w14:paraId="3D36569E">
            <w:pPr>
              <w:keepNext/>
              <w:spacing w:line="360" w:lineRule="auto"/>
              <w:jc w:val="center"/>
              <w:rPr>
                <w:color w:val="auto"/>
                <w:kern w:val="2"/>
                <w:sz w:val="21"/>
                <w:szCs w:val="21"/>
                <w:highlight w:val="none"/>
              </w:rPr>
            </w:pPr>
          </w:p>
        </w:tc>
        <w:tc>
          <w:tcPr>
            <w:tcW w:w="502" w:type="pct"/>
            <w:vAlign w:val="center"/>
          </w:tcPr>
          <w:p w14:paraId="37297659">
            <w:pPr>
              <w:keepNext/>
              <w:spacing w:line="360" w:lineRule="auto"/>
              <w:jc w:val="center"/>
              <w:rPr>
                <w:color w:val="auto"/>
                <w:kern w:val="2"/>
                <w:sz w:val="21"/>
                <w:szCs w:val="21"/>
                <w:highlight w:val="none"/>
              </w:rPr>
            </w:pPr>
          </w:p>
        </w:tc>
        <w:tc>
          <w:tcPr>
            <w:tcW w:w="502" w:type="pct"/>
            <w:vAlign w:val="center"/>
          </w:tcPr>
          <w:p w14:paraId="7B291A78">
            <w:pPr>
              <w:keepNext/>
              <w:spacing w:line="360" w:lineRule="auto"/>
              <w:jc w:val="center"/>
              <w:rPr>
                <w:color w:val="auto"/>
                <w:kern w:val="2"/>
                <w:sz w:val="21"/>
                <w:szCs w:val="21"/>
                <w:highlight w:val="none"/>
              </w:rPr>
            </w:pPr>
          </w:p>
        </w:tc>
        <w:tc>
          <w:tcPr>
            <w:tcW w:w="1279" w:type="pct"/>
            <w:vAlign w:val="center"/>
          </w:tcPr>
          <w:p w14:paraId="5DCC344C">
            <w:pPr>
              <w:keepNext/>
              <w:spacing w:line="360" w:lineRule="auto"/>
              <w:jc w:val="center"/>
              <w:rPr>
                <w:color w:val="auto"/>
                <w:kern w:val="2"/>
                <w:sz w:val="21"/>
                <w:szCs w:val="21"/>
                <w:highlight w:val="none"/>
              </w:rPr>
            </w:pPr>
          </w:p>
        </w:tc>
        <w:tc>
          <w:tcPr>
            <w:tcW w:w="1152" w:type="pct"/>
          </w:tcPr>
          <w:p w14:paraId="17B6110D">
            <w:pPr>
              <w:keepNext/>
              <w:spacing w:line="360" w:lineRule="auto"/>
              <w:jc w:val="center"/>
              <w:rPr>
                <w:color w:val="auto"/>
                <w:kern w:val="2"/>
                <w:sz w:val="21"/>
                <w:szCs w:val="21"/>
                <w:highlight w:val="none"/>
              </w:rPr>
            </w:pPr>
          </w:p>
        </w:tc>
      </w:tr>
      <w:tr w14:paraId="3B52F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260C241E">
            <w:pPr>
              <w:spacing w:line="360" w:lineRule="auto"/>
              <w:jc w:val="center"/>
              <w:rPr>
                <w:color w:val="auto"/>
                <w:kern w:val="2"/>
                <w:sz w:val="21"/>
                <w:szCs w:val="21"/>
                <w:highlight w:val="none"/>
              </w:rPr>
            </w:pPr>
            <w:r>
              <w:rPr>
                <w:rFonts w:hint="eastAsia"/>
                <w:color w:val="auto"/>
                <w:kern w:val="2"/>
                <w:sz w:val="21"/>
                <w:szCs w:val="21"/>
                <w:highlight w:val="none"/>
              </w:rPr>
              <w:t>资料员</w:t>
            </w:r>
          </w:p>
        </w:tc>
        <w:tc>
          <w:tcPr>
            <w:tcW w:w="627" w:type="pct"/>
            <w:vAlign w:val="center"/>
          </w:tcPr>
          <w:p w14:paraId="1E2567E1">
            <w:pPr>
              <w:keepNext/>
              <w:spacing w:line="360" w:lineRule="auto"/>
              <w:jc w:val="center"/>
              <w:rPr>
                <w:color w:val="auto"/>
                <w:kern w:val="2"/>
                <w:sz w:val="21"/>
                <w:szCs w:val="21"/>
                <w:highlight w:val="none"/>
              </w:rPr>
            </w:pPr>
          </w:p>
        </w:tc>
        <w:tc>
          <w:tcPr>
            <w:tcW w:w="502" w:type="pct"/>
            <w:vAlign w:val="center"/>
          </w:tcPr>
          <w:p w14:paraId="15B3C0CC">
            <w:pPr>
              <w:keepNext/>
              <w:spacing w:line="360" w:lineRule="auto"/>
              <w:jc w:val="center"/>
              <w:rPr>
                <w:color w:val="auto"/>
                <w:kern w:val="2"/>
                <w:sz w:val="21"/>
                <w:szCs w:val="21"/>
                <w:highlight w:val="none"/>
              </w:rPr>
            </w:pPr>
          </w:p>
        </w:tc>
        <w:tc>
          <w:tcPr>
            <w:tcW w:w="502" w:type="pct"/>
            <w:vAlign w:val="center"/>
          </w:tcPr>
          <w:p w14:paraId="2495E02A">
            <w:pPr>
              <w:keepNext/>
              <w:spacing w:line="360" w:lineRule="auto"/>
              <w:jc w:val="center"/>
              <w:rPr>
                <w:color w:val="auto"/>
                <w:kern w:val="2"/>
                <w:sz w:val="21"/>
                <w:szCs w:val="21"/>
                <w:highlight w:val="none"/>
              </w:rPr>
            </w:pPr>
          </w:p>
        </w:tc>
        <w:tc>
          <w:tcPr>
            <w:tcW w:w="1279" w:type="pct"/>
            <w:vAlign w:val="center"/>
          </w:tcPr>
          <w:p w14:paraId="6113EC1C">
            <w:pPr>
              <w:keepNext/>
              <w:spacing w:line="360" w:lineRule="auto"/>
              <w:jc w:val="center"/>
              <w:rPr>
                <w:color w:val="auto"/>
                <w:kern w:val="2"/>
                <w:sz w:val="21"/>
                <w:szCs w:val="21"/>
                <w:highlight w:val="none"/>
              </w:rPr>
            </w:pPr>
          </w:p>
        </w:tc>
        <w:tc>
          <w:tcPr>
            <w:tcW w:w="1152" w:type="pct"/>
          </w:tcPr>
          <w:p w14:paraId="0D6D3E00">
            <w:pPr>
              <w:keepNext/>
              <w:spacing w:line="360" w:lineRule="auto"/>
              <w:jc w:val="center"/>
              <w:rPr>
                <w:color w:val="auto"/>
                <w:kern w:val="2"/>
                <w:sz w:val="21"/>
                <w:szCs w:val="21"/>
                <w:highlight w:val="none"/>
              </w:rPr>
            </w:pPr>
          </w:p>
        </w:tc>
      </w:tr>
      <w:tr w14:paraId="7800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14:paraId="3D0ECF42">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7A2A193A">
            <w:pPr>
              <w:keepNext/>
              <w:spacing w:line="360" w:lineRule="auto"/>
              <w:jc w:val="center"/>
              <w:rPr>
                <w:color w:val="auto"/>
                <w:kern w:val="2"/>
                <w:sz w:val="21"/>
                <w:szCs w:val="21"/>
                <w:highlight w:val="none"/>
              </w:rPr>
            </w:pPr>
          </w:p>
        </w:tc>
        <w:tc>
          <w:tcPr>
            <w:tcW w:w="502" w:type="pct"/>
            <w:vAlign w:val="center"/>
          </w:tcPr>
          <w:p w14:paraId="77518108">
            <w:pPr>
              <w:keepNext/>
              <w:spacing w:line="360" w:lineRule="auto"/>
              <w:jc w:val="center"/>
              <w:rPr>
                <w:color w:val="auto"/>
                <w:kern w:val="2"/>
                <w:sz w:val="21"/>
                <w:szCs w:val="21"/>
                <w:highlight w:val="none"/>
              </w:rPr>
            </w:pPr>
          </w:p>
        </w:tc>
        <w:tc>
          <w:tcPr>
            <w:tcW w:w="502" w:type="pct"/>
            <w:vAlign w:val="center"/>
          </w:tcPr>
          <w:p w14:paraId="1621F6F7">
            <w:pPr>
              <w:keepNext/>
              <w:spacing w:line="360" w:lineRule="auto"/>
              <w:jc w:val="center"/>
              <w:rPr>
                <w:color w:val="auto"/>
                <w:kern w:val="2"/>
                <w:sz w:val="21"/>
                <w:szCs w:val="21"/>
                <w:highlight w:val="none"/>
              </w:rPr>
            </w:pPr>
          </w:p>
        </w:tc>
        <w:tc>
          <w:tcPr>
            <w:tcW w:w="1279" w:type="pct"/>
            <w:vAlign w:val="center"/>
          </w:tcPr>
          <w:p w14:paraId="63DC8863">
            <w:pPr>
              <w:keepNext/>
              <w:spacing w:line="360" w:lineRule="auto"/>
              <w:jc w:val="center"/>
              <w:rPr>
                <w:color w:val="auto"/>
                <w:kern w:val="2"/>
                <w:sz w:val="21"/>
                <w:szCs w:val="21"/>
                <w:highlight w:val="none"/>
              </w:rPr>
            </w:pPr>
          </w:p>
        </w:tc>
        <w:tc>
          <w:tcPr>
            <w:tcW w:w="1152" w:type="pct"/>
          </w:tcPr>
          <w:p w14:paraId="71EA1BA1">
            <w:pPr>
              <w:keepNext/>
              <w:spacing w:line="360" w:lineRule="auto"/>
              <w:jc w:val="center"/>
              <w:rPr>
                <w:color w:val="auto"/>
                <w:kern w:val="2"/>
                <w:sz w:val="21"/>
                <w:szCs w:val="21"/>
                <w:highlight w:val="none"/>
              </w:rPr>
            </w:pPr>
          </w:p>
        </w:tc>
      </w:tr>
      <w:tr w14:paraId="248E4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74F4B73B">
            <w:pPr>
              <w:keepNext/>
              <w:spacing w:line="360" w:lineRule="auto"/>
              <w:jc w:val="center"/>
              <w:rPr>
                <w:color w:val="auto"/>
                <w:kern w:val="2"/>
                <w:sz w:val="21"/>
                <w:szCs w:val="21"/>
                <w:highlight w:val="none"/>
              </w:rPr>
            </w:pPr>
          </w:p>
        </w:tc>
        <w:tc>
          <w:tcPr>
            <w:tcW w:w="627" w:type="pct"/>
            <w:tcBorders>
              <w:bottom w:val="nil"/>
            </w:tcBorders>
            <w:vAlign w:val="center"/>
          </w:tcPr>
          <w:p w14:paraId="7B87C2ED">
            <w:pPr>
              <w:keepNext/>
              <w:spacing w:line="360" w:lineRule="auto"/>
              <w:jc w:val="center"/>
              <w:rPr>
                <w:color w:val="auto"/>
                <w:kern w:val="2"/>
                <w:sz w:val="21"/>
                <w:szCs w:val="21"/>
                <w:highlight w:val="none"/>
              </w:rPr>
            </w:pPr>
          </w:p>
        </w:tc>
        <w:tc>
          <w:tcPr>
            <w:tcW w:w="502" w:type="pct"/>
            <w:tcBorders>
              <w:bottom w:val="nil"/>
            </w:tcBorders>
            <w:vAlign w:val="center"/>
          </w:tcPr>
          <w:p w14:paraId="1C21C963">
            <w:pPr>
              <w:keepNext/>
              <w:spacing w:line="360" w:lineRule="auto"/>
              <w:jc w:val="center"/>
              <w:rPr>
                <w:color w:val="auto"/>
                <w:kern w:val="2"/>
                <w:sz w:val="21"/>
                <w:szCs w:val="21"/>
                <w:highlight w:val="none"/>
              </w:rPr>
            </w:pPr>
          </w:p>
        </w:tc>
        <w:tc>
          <w:tcPr>
            <w:tcW w:w="502" w:type="pct"/>
            <w:tcBorders>
              <w:bottom w:val="nil"/>
            </w:tcBorders>
            <w:vAlign w:val="center"/>
          </w:tcPr>
          <w:p w14:paraId="788619D7">
            <w:pPr>
              <w:keepNext/>
              <w:spacing w:line="360" w:lineRule="auto"/>
              <w:jc w:val="center"/>
              <w:rPr>
                <w:color w:val="auto"/>
                <w:kern w:val="2"/>
                <w:sz w:val="21"/>
                <w:szCs w:val="21"/>
                <w:highlight w:val="none"/>
              </w:rPr>
            </w:pPr>
          </w:p>
        </w:tc>
        <w:tc>
          <w:tcPr>
            <w:tcW w:w="1279" w:type="pct"/>
            <w:tcBorders>
              <w:bottom w:val="nil"/>
            </w:tcBorders>
            <w:vAlign w:val="center"/>
          </w:tcPr>
          <w:p w14:paraId="53CCD41D">
            <w:pPr>
              <w:keepNext/>
              <w:spacing w:line="360" w:lineRule="auto"/>
              <w:jc w:val="center"/>
              <w:rPr>
                <w:color w:val="auto"/>
                <w:kern w:val="2"/>
                <w:sz w:val="21"/>
                <w:szCs w:val="21"/>
                <w:highlight w:val="none"/>
              </w:rPr>
            </w:pPr>
          </w:p>
        </w:tc>
        <w:tc>
          <w:tcPr>
            <w:tcW w:w="1152" w:type="pct"/>
            <w:tcBorders>
              <w:bottom w:val="nil"/>
            </w:tcBorders>
          </w:tcPr>
          <w:p w14:paraId="1508F91A">
            <w:pPr>
              <w:keepNext/>
              <w:spacing w:line="360" w:lineRule="auto"/>
              <w:jc w:val="center"/>
              <w:rPr>
                <w:color w:val="auto"/>
                <w:kern w:val="2"/>
                <w:sz w:val="21"/>
                <w:szCs w:val="21"/>
                <w:highlight w:val="none"/>
              </w:rPr>
            </w:pPr>
          </w:p>
        </w:tc>
      </w:tr>
      <w:tr w14:paraId="047B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53E67529">
            <w:pPr>
              <w:keepNext/>
              <w:spacing w:line="360" w:lineRule="auto"/>
              <w:jc w:val="center"/>
              <w:rPr>
                <w:color w:val="auto"/>
                <w:kern w:val="2"/>
                <w:sz w:val="21"/>
                <w:szCs w:val="21"/>
                <w:highlight w:val="none"/>
              </w:rPr>
            </w:pPr>
          </w:p>
        </w:tc>
        <w:tc>
          <w:tcPr>
            <w:tcW w:w="627" w:type="pct"/>
            <w:vAlign w:val="center"/>
          </w:tcPr>
          <w:p w14:paraId="7F85E446">
            <w:pPr>
              <w:keepNext/>
              <w:spacing w:line="360" w:lineRule="auto"/>
              <w:jc w:val="center"/>
              <w:rPr>
                <w:color w:val="auto"/>
                <w:kern w:val="2"/>
                <w:sz w:val="21"/>
                <w:szCs w:val="21"/>
                <w:highlight w:val="none"/>
              </w:rPr>
            </w:pPr>
          </w:p>
        </w:tc>
        <w:tc>
          <w:tcPr>
            <w:tcW w:w="502" w:type="pct"/>
            <w:vAlign w:val="center"/>
          </w:tcPr>
          <w:p w14:paraId="53CA6A88">
            <w:pPr>
              <w:keepNext/>
              <w:spacing w:line="360" w:lineRule="auto"/>
              <w:jc w:val="center"/>
              <w:rPr>
                <w:color w:val="auto"/>
                <w:kern w:val="2"/>
                <w:sz w:val="21"/>
                <w:szCs w:val="21"/>
                <w:highlight w:val="none"/>
              </w:rPr>
            </w:pPr>
          </w:p>
        </w:tc>
        <w:tc>
          <w:tcPr>
            <w:tcW w:w="502" w:type="pct"/>
            <w:vAlign w:val="center"/>
          </w:tcPr>
          <w:p w14:paraId="36100100">
            <w:pPr>
              <w:keepNext/>
              <w:spacing w:line="360" w:lineRule="auto"/>
              <w:jc w:val="center"/>
              <w:rPr>
                <w:color w:val="auto"/>
                <w:kern w:val="2"/>
                <w:sz w:val="21"/>
                <w:szCs w:val="21"/>
                <w:highlight w:val="none"/>
              </w:rPr>
            </w:pPr>
          </w:p>
        </w:tc>
        <w:tc>
          <w:tcPr>
            <w:tcW w:w="1279" w:type="pct"/>
            <w:vAlign w:val="center"/>
          </w:tcPr>
          <w:p w14:paraId="2DEAB081">
            <w:pPr>
              <w:keepNext/>
              <w:spacing w:line="360" w:lineRule="auto"/>
              <w:jc w:val="center"/>
              <w:rPr>
                <w:color w:val="auto"/>
                <w:kern w:val="2"/>
                <w:sz w:val="21"/>
                <w:szCs w:val="21"/>
                <w:highlight w:val="none"/>
              </w:rPr>
            </w:pPr>
          </w:p>
        </w:tc>
        <w:tc>
          <w:tcPr>
            <w:tcW w:w="1152" w:type="pct"/>
          </w:tcPr>
          <w:p w14:paraId="76D5D38A">
            <w:pPr>
              <w:keepNext/>
              <w:spacing w:line="360" w:lineRule="auto"/>
              <w:jc w:val="center"/>
              <w:rPr>
                <w:color w:val="auto"/>
                <w:kern w:val="2"/>
                <w:sz w:val="21"/>
                <w:szCs w:val="21"/>
                <w:highlight w:val="none"/>
              </w:rPr>
            </w:pPr>
          </w:p>
        </w:tc>
      </w:tr>
      <w:tr w14:paraId="7FF02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107BD3AE">
            <w:pPr>
              <w:keepNext/>
              <w:spacing w:line="360" w:lineRule="auto"/>
              <w:jc w:val="center"/>
              <w:rPr>
                <w:color w:val="auto"/>
                <w:kern w:val="2"/>
                <w:sz w:val="21"/>
                <w:szCs w:val="21"/>
                <w:highlight w:val="none"/>
              </w:rPr>
            </w:pPr>
          </w:p>
        </w:tc>
        <w:tc>
          <w:tcPr>
            <w:tcW w:w="627" w:type="pct"/>
            <w:vAlign w:val="center"/>
          </w:tcPr>
          <w:p w14:paraId="6098C798">
            <w:pPr>
              <w:keepNext/>
              <w:spacing w:line="360" w:lineRule="auto"/>
              <w:jc w:val="center"/>
              <w:rPr>
                <w:color w:val="auto"/>
                <w:kern w:val="2"/>
                <w:sz w:val="21"/>
                <w:szCs w:val="21"/>
                <w:highlight w:val="none"/>
              </w:rPr>
            </w:pPr>
          </w:p>
        </w:tc>
        <w:tc>
          <w:tcPr>
            <w:tcW w:w="502" w:type="pct"/>
            <w:vAlign w:val="center"/>
          </w:tcPr>
          <w:p w14:paraId="6663E6A1">
            <w:pPr>
              <w:keepNext/>
              <w:spacing w:line="360" w:lineRule="auto"/>
              <w:jc w:val="center"/>
              <w:rPr>
                <w:color w:val="auto"/>
                <w:kern w:val="2"/>
                <w:sz w:val="21"/>
                <w:szCs w:val="21"/>
                <w:highlight w:val="none"/>
              </w:rPr>
            </w:pPr>
          </w:p>
        </w:tc>
        <w:tc>
          <w:tcPr>
            <w:tcW w:w="502" w:type="pct"/>
            <w:vAlign w:val="center"/>
          </w:tcPr>
          <w:p w14:paraId="66772999">
            <w:pPr>
              <w:keepNext/>
              <w:spacing w:line="360" w:lineRule="auto"/>
              <w:jc w:val="center"/>
              <w:rPr>
                <w:color w:val="auto"/>
                <w:kern w:val="2"/>
                <w:sz w:val="21"/>
                <w:szCs w:val="21"/>
                <w:highlight w:val="none"/>
              </w:rPr>
            </w:pPr>
          </w:p>
        </w:tc>
        <w:tc>
          <w:tcPr>
            <w:tcW w:w="1279" w:type="pct"/>
            <w:vAlign w:val="center"/>
          </w:tcPr>
          <w:p w14:paraId="08AD0611">
            <w:pPr>
              <w:keepNext/>
              <w:spacing w:line="360" w:lineRule="auto"/>
              <w:jc w:val="center"/>
              <w:rPr>
                <w:color w:val="auto"/>
                <w:kern w:val="2"/>
                <w:sz w:val="21"/>
                <w:szCs w:val="21"/>
                <w:highlight w:val="none"/>
              </w:rPr>
            </w:pPr>
          </w:p>
        </w:tc>
        <w:tc>
          <w:tcPr>
            <w:tcW w:w="1152" w:type="pct"/>
          </w:tcPr>
          <w:p w14:paraId="23B1F499">
            <w:pPr>
              <w:keepNext/>
              <w:spacing w:line="360" w:lineRule="auto"/>
              <w:jc w:val="center"/>
              <w:rPr>
                <w:color w:val="auto"/>
                <w:kern w:val="2"/>
                <w:sz w:val="21"/>
                <w:szCs w:val="21"/>
                <w:highlight w:val="none"/>
              </w:rPr>
            </w:pPr>
          </w:p>
        </w:tc>
      </w:tr>
      <w:tr w14:paraId="40DBC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3B6DD3BA">
            <w:pPr>
              <w:keepNext/>
              <w:spacing w:line="360" w:lineRule="auto"/>
              <w:jc w:val="center"/>
              <w:rPr>
                <w:color w:val="auto"/>
                <w:kern w:val="2"/>
                <w:sz w:val="21"/>
                <w:szCs w:val="21"/>
                <w:highlight w:val="none"/>
              </w:rPr>
            </w:pPr>
          </w:p>
        </w:tc>
        <w:tc>
          <w:tcPr>
            <w:tcW w:w="627" w:type="pct"/>
            <w:vAlign w:val="center"/>
          </w:tcPr>
          <w:p w14:paraId="1B6EAB66">
            <w:pPr>
              <w:keepNext/>
              <w:spacing w:line="360" w:lineRule="auto"/>
              <w:jc w:val="center"/>
              <w:rPr>
                <w:color w:val="auto"/>
                <w:kern w:val="2"/>
                <w:sz w:val="21"/>
                <w:szCs w:val="21"/>
                <w:highlight w:val="none"/>
              </w:rPr>
            </w:pPr>
          </w:p>
        </w:tc>
        <w:tc>
          <w:tcPr>
            <w:tcW w:w="502" w:type="pct"/>
            <w:vAlign w:val="center"/>
          </w:tcPr>
          <w:p w14:paraId="1C1A4B4C">
            <w:pPr>
              <w:keepNext/>
              <w:spacing w:line="360" w:lineRule="auto"/>
              <w:jc w:val="center"/>
              <w:rPr>
                <w:color w:val="auto"/>
                <w:kern w:val="2"/>
                <w:sz w:val="21"/>
                <w:szCs w:val="21"/>
                <w:highlight w:val="none"/>
              </w:rPr>
            </w:pPr>
          </w:p>
        </w:tc>
        <w:tc>
          <w:tcPr>
            <w:tcW w:w="502" w:type="pct"/>
            <w:vAlign w:val="center"/>
          </w:tcPr>
          <w:p w14:paraId="705415E7">
            <w:pPr>
              <w:keepNext/>
              <w:spacing w:line="360" w:lineRule="auto"/>
              <w:jc w:val="center"/>
              <w:rPr>
                <w:color w:val="auto"/>
                <w:kern w:val="2"/>
                <w:sz w:val="21"/>
                <w:szCs w:val="21"/>
                <w:highlight w:val="none"/>
              </w:rPr>
            </w:pPr>
          </w:p>
        </w:tc>
        <w:tc>
          <w:tcPr>
            <w:tcW w:w="1279" w:type="pct"/>
            <w:vAlign w:val="center"/>
          </w:tcPr>
          <w:p w14:paraId="47D38E99">
            <w:pPr>
              <w:keepNext/>
              <w:spacing w:line="360" w:lineRule="auto"/>
              <w:jc w:val="center"/>
              <w:rPr>
                <w:color w:val="auto"/>
                <w:kern w:val="2"/>
                <w:sz w:val="21"/>
                <w:szCs w:val="21"/>
                <w:highlight w:val="none"/>
              </w:rPr>
            </w:pPr>
          </w:p>
        </w:tc>
        <w:tc>
          <w:tcPr>
            <w:tcW w:w="1152" w:type="pct"/>
          </w:tcPr>
          <w:p w14:paraId="716271EA">
            <w:pPr>
              <w:keepNext/>
              <w:spacing w:line="360" w:lineRule="auto"/>
              <w:jc w:val="center"/>
              <w:rPr>
                <w:color w:val="auto"/>
                <w:kern w:val="2"/>
                <w:sz w:val="21"/>
                <w:szCs w:val="21"/>
                <w:highlight w:val="none"/>
              </w:rPr>
            </w:pPr>
          </w:p>
        </w:tc>
      </w:tr>
      <w:tr w14:paraId="2188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14:paraId="635521AC">
            <w:pPr>
              <w:keepNext/>
              <w:spacing w:line="360" w:lineRule="auto"/>
              <w:jc w:val="center"/>
              <w:rPr>
                <w:color w:val="auto"/>
                <w:kern w:val="2"/>
                <w:sz w:val="21"/>
                <w:szCs w:val="21"/>
                <w:highlight w:val="none"/>
              </w:rPr>
            </w:pPr>
          </w:p>
        </w:tc>
        <w:tc>
          <w:tcPr>
            <w:tcW w:w="627" w:type="pct"/>
            <w:tcBorders>
              <w:bottom w:val="single" w:color="auto" w:sz="12" w:space="0"/>
            </w:tcBorders>
            <w:vAlign w:val="center"/>
          </w:tcPr>
          <w:p w14:paraId="006E0B5D">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2DA1EFC6">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00BD3A9B">
            <w:pPr>
              <w:keepNext/>
              <w:spacing w:line="360" w:lineRule="auto"/>
              <w:jc w:val="center"/>
              <w:rPr>
                <w:color w:val="auto"/>
                <w:kern w:val="2"/>
                <w:sz w:val="21"/>
                <w:szCs w:val="21"/>
                <w:highlight w:val="none"/>
              </w:rPr>
            </w:pPr>
          </w:p>
        </w:tc>
        <w:tc>
          <w:tcPr>
            <w:tcW w:w="1279" w:type="pct"/>
            <w:tcBorders>
              <w:bottom w:val="single" w:color="auto" w:sz="12" w:space="0"/>
            </w:tcBorders>
            <w:vAlign w:val="center"/>
          </w:tcPr>
          <w:p w14:paraId="65839BD0">
            <w:pPr>
              <w:keepNext/>
              <w:spacing w:line="360" w:lineRule="auto"/>
              <w:jc w:val="center"/>
              <w:rPr>
                <w:color w:val="auto"/>
                <w:kern w:val="2"/>
                <w:sz w:val="21"/>
                <w:szCs w:val="21"/>
                <w:highlight w:val="none"/>
              </w:rPr>
            </w:pPr>
          </w:p>
        </w:tc>
        <w:tc>
          <w:tcPr>
            <w:tcW w:w="1152" w:type="pct"/>
            <w:tcBorders>
              <w:bottom w:val="single" w:color="auto" w:sz="12" w:space="0"/>
            </w:tcBorders>
          </w:tcPr>
          <w:p w14:paraId="3102941F">
            <w:pPr>
              <w:keepNext/>
              <w:spacing w:line="360" w:lineRule="auto"/>
              <w:jc w:val="center"/>
              <w:rPr>
                <w:color w:val="auto"/>
                <w:kern w:val="2"/>
                <w:sz w:val="21"/>
                <w:szCs w:val="21"/>
                <w:highlight w:val="none"/>
              </w:rPr>
            </w:pPr>
          </w:p>
        </w:tc>
      </w:tr>
    </w:tbl>
    <w:p w14:paraId="3A4435AF">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597" w:name="_Toc296503229"/>
      <w:bookmarkStart w:id="598" w:name="_Toc296944568"/>
      <w:bookmarkStart w:id="599" w:name="_Toc296346730"/>
      <w:bookmarkStart w:id="600" w:name="_Toc296347228"/>
      <w:bookmarkStart w:id="601" w:name="_Toc296891057"/>
      <w:bookmarkStart w:id="602" w:name="_Toc296891269"/>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7</w:t>
      </w:r>
      <w:r>
        <w:rPr>
          <w:rFonts w:hint="eastAsia" w:ascii="黑体" w:hAnsi="黑体" w:eastAsia="黑体"/>
          <w:bCs/>
          <w:color w:val="auto"/>
          <w:kern w:val="2"/>
          <w:sz w:val="24"/>
          <w:szCs w:val="24"/>
          <w:highlight w:val="none"/>
        </w:rPr>
        <w:t>：分包人主要施工管理人员表</w:t>
      </w:r>
    </w:p>
    <w:bookmarkEnd w:id="597"/>
    <w:bookmarkEnd w:id="598"/>
    <w:bookmarkEnd w:id="599"/>
    <w:bookmarkEnd w:id="600"/>
    <w:bookmarkEnd w:id="601"/>
    <w:bookmarkEnd w:id="602"/>
    <w:p w14:paraId="38E46366">
      <w:pPr>
        <w:spacing w:before="156" w:beforeLines="50" w:after="156" w:afterLines="50" w:line="360" w:lineRule="auto"/>
        <w:jc w:val="center"/>
        <w:rPr>
          <w:b/>
          <w:color w:val="auto"/>
          <w:kern w:val="2"/>
          <w:sz w:val="21"/>
          <w:szCs w:val="21"/>
          <w:highlight w:val="none"/>
        </w:rPr>
      </w:pPr>
      <w:r>
        <w:rPr>
          <w:rFonts w:hint="eastAsia"/>
          <w:b/>
          <w:color w:val="auto"/>
          <w:kern w:val="2"/>
          <w:sz w:val="21"/>
          <w:szCs w:val="21"/>
          <w:highlight w:val="none"/>
        </w:rPr>
        <w:t>分包人主要施工管理人员表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7"/>
        <w:gridCol w:w="1072"/>
        <w:gridCol w:w="858"/>
        <w:gridCol w:w="625"/>
        <w:gridCol w:w="2893"/>
        <w:gridCol w:w="1497"/>
      </w:tblGrid>
      <w:tr w14:paraId="72AB4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single" w:color="auto" w:sz="12" w:space="0"/>
              <w:bottom w:val="double" w:color="auto" w:sz="6" w:space="0"/>
            </w:tcBorders>
            <w:vAlign w:val="center"/>
          </w:tcPr>
          <w:p w14:paraId="64514328">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41" w:type="pct"/>
            <w:tcBorders>
              <w:top w:val="single" w:color="auto" w:sz="12" w:space="0"/>
              <w:bottom w:val="double" w:color="auto" w:sz="6" w:space="0"/>
            </w:tcBorders>
            <w:vAlign w:val="center"/>
          </w:tcPr>
          <w:p w14:paraId="25C52D2F">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13" w:type="pct"/>
            <w:tcBorders>
              <w:top w:val="single" w:color="auto" w:sz="12" w:space="0"/>
              <w:bottom w:val="double" w:color="auto" w:sz="6" w:space="0"/>
            </w:tcBorders>
            <w:vAlign w:val="center"/>
          </w:tcPr>
          <w:p w14:paraId="6FF10020">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374" w:type="pct"/>
            <w:tcBorders>
              <w:top w:val="single" w:color="auto" w:sz="12" w:space="0"/>
              <w:bottom w:val="double" w:color="auto" w:sz="6" w:space="0"/>
            </w:tcBorders>
            <w:vAlign w:val="center"/>
          </w:tcPr>
          <w:p w14:paraId="78BB7348">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730" w:type="pct"/>
            <w:tcBorders>
              <w:top w:val="single" w:color="auto" w:sz="12" w:space="0"/>
              <w:bottom w:val="double" w:color="auto" w:sz="6" w:space="0"/>
            </w:tcBorders>
            <w:vAlign w:val="center"/>
          </w:tcPr>
          <w:p w14:paraId="682E4944">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896" w:type="pct"/>
            <w:tcBorders>
              <w:top w:val="single" w:color="auto" w:sz="12" w:space="0"/>
              <w:bottom w:val="double" w:color="auto" w:sz="6" w:space="0"/>
            </w:tcBorders>
            <w:vAlign w:val="center"/>
          </w:tcPr>
          <w:p w14:paraId="5D0B7C57">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5C309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14:paraId="26C4368C">
            <w:pPr>
              <w:keepNext/>
              <w:spacing w:line="360" w:lineRule="auto"/>
              <w:rPr>
                <w:color w:val="auto"/>
                <w:kern w:val="2"/>
                <w:sz w:val="21"/>
                <w:szCs w:val="21"/>
                <w:highlight w:val="none"/>
              </w:rPr>
            </w:pPr>
            <w:r>
              <w:rPr>
                <w:rFonts w:hint="eastAsia"/>
                <w:color w:val="auto"/>
                <w:kern w:val="2"/>
                <w:sz w:val="21"/>
                <w:szCs w:val="21"/>
                <w:highlight w:val="none"/>
              </w:rPr>
              <w:t>一、总部人员</w:t>
            </w:r>
          </w:p>
        </w:tc>
        <w:tc>
          <w:tcPr>
            <w:tcW w:w="896" w:type="pct"/>
            <w:tcBorders>
              <w:top w:val="double" w:color="auto" w:sz="6" w:space="0"/>
            </w:tcBorders>
          </w:tcPr>
          <w:p w14:paraId="422186B3">
            <w:pPr>
              <w:keepNext/>
              <w:spacing w:line="360" w:lineRule="auto"/>
              <w:rPr>
                <w:color w:val="auto"/>
                <w:kern w:val="2"/>
                <w:sz w:val="21"/>
                <w:szCs w:val="21"/>
                <w:highlight w:val="none"/>
              </w:rPr>
            </w:pPr>
          </w:p>
        </w:tc>
      </w:tr>
      <w:tr w14:paraId="10F1C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449F5F2A">
            <w:pPr>
              <w:keepNext/>
              <w:spacing w:line="360" w:lineRule="auto"/>
              <w:rPr>
                <w:color w:val="auto"/>
                <w:kern w:val="2"/>
                <w:sz w:val="21"/>
                <w:szCs w:val="21"/>
                <w:highlight w:val="none"/>
              </w:rPr>
            </w:pPr>
            <w:r>
              <w:rPr>
                <w:rFonts w:hint="eastAsia"/>
                <w:color w:val="auto"/>
                <w:kern w:val="2"/>
                <w:sz w:val="21"/>
                <w:szCs w:val="21"/>
                <w:highlight w:val="none"/>
              </w:rPr>
              <w:t>项目主管</w:t>
            </w:r>
          </w:p>
        </w:tc>
        <w:tc>
          <w:tcPr>
            <w:tcW w:w="641" w:type="pct"/>
            <w:tcBorders>
              <w:top w:val="nil"/>
            </w:tcBorders>
            <w:vAlign w:val="center"/>
          </w:tcPr>
          <w:p w14:paraId="286C4E61">
            <w:pPr>
              <w:keepNext/>
              <w:spacing w:line="360" w:lineRule="auto"/>
              <w:rPr>
                <w:color w:val="auto"/>
                <w:kern w:val="2"/>
                <w:sz w:val="21"/>
                <w:szCs w:val="21"/>
                <w:highlight w:val="none"/>
              </w:rPr>
            </w:pPr>
          </w:p>
        </w:tc>
        <w:tc>
          <w:tcPr>
            <w:tcW w:w="513" w:type="pct"/>
            <w:tcBorders>
              <w:top w:val="nil"/>
            </w:tcBorders>
            <w:vAlign w:val="center"/>
          </w:tcPr>
          <w:p w14:paraId="2F97F5D1">
            <w:pPr>
              <w:keepNext/>
              <w:spacing w:line="360" w:lineRule="auto"/>
              <w:rPr>
                <w:color w:val="auto"/>
                <w:kern w:val="2"/>
                <w:sz w:val="21"/>
                <w:szCs w:val="21"/>
                <w:highlight w:val="none"/>
              </w:rPr>
            </w:pPr>
          </w:p>
        </w:tc>
        <w:tc>
          <w:tcPr>
            <w:tcW w:w="374" w:type="pct"/>
            <w:tcBorders>
              <w:top w:val="nil"/>
            </w:tcBorders>
            <w:vAlign w:val="center"/>
          </w:tcPr>
          <w:p w14:paraId="5E08C6D1">
            <w:pPr>
              <w:keepNext/>
              <w:spacing w:line="360" w:lineRule="auto"/>
              <w:rPr>
                <w:color w:val="auto"/>
                <w:kern w:val="2"/>
                <w:sz w:val="21"/>
                <w:szCs w:val="21"/>
                <w:highlight w:val="none"/>
              </w:rPr>
            </w:pPr>
          </w:p>
        </w:tc>
        <w:tc>
          <w:tcPr>
            <w:tcW w:w="1730" w:type="pct"/>
            <w:tcBorders>
              <w:top w:val="nil"/>
            </w:tcBorders>
            <w:vAlign w:val="center"/>
          </w:tcPr>
          <w:p w14:paraId="6BFF0EF9">
            <w:pPr>
              <w:keepNext/>
              <w:spacing w:line="360" w:lineRule="auto"/>
              <w:rPr>
                <w:color w:val="auto"/>
                <w:kern w:val="2"/>
                <w:sz w:val="21"/>
                <w:szCs w:val="21"/>
                <w:highlight w:val="none"/>
              </w:rPr>
            </w:pPr>
          </w:p>
        </w:tc>
        <w:tc>
          <w:tcPr>
            <w:tcW w:w="896" w:type="pct"/>
            <w:tcBorders>
              <w:top w:val="nil"/>
            </w:tcBorders>
          </w:tcPr>
          <w:p w14:paraId="7BD6DAB5">
            <w:pPr>
              <w:keepNext/>
              <w:spacing w:line="360" w:lineRule="auto"/>
              <w:rPr>
                <w:color w:val="auto"/>
                <w:kern w:val="2"/>
                <w:sz w:val="21"/>
                <w:szCs w:val="21"/>
                <w:highlight w:val="none"/>
              </w:rPr>
            </w:pPr>
          </w:p>
        </w:tc>
      </w:tr>
      <w:tr w14:paraId="7F8E0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bottom w:val="nil"/>
            </w:tcBorders>
            <w:vAlign w:val="center"/>
          </w:tcPr>
          <w:p w14:paraId="533C9FE9">
            <w:pPr>
              <w:keepNext/>
              <w:spacing w:line="360" w:lineRule="auto"/>
              <w:rPr>
                <w:color w:val="auto"/>
                <w:kern w:val="2"/>
                <w:sz w:val="21"/>
                <w:szCs w:val="21"/>
                <w:highlight w:val="none"/>
              </w:rPr>
            </w:pPr>
          </w:p>
        </w:tc>
        <w:tc>
          <w:tcPr>
            <w:tcW w:w="641" w:type="pct"/>
            <w:vAlign w:val="center"/>
          </w:tcPr>
          <w:p w14:paraId="46BA53A6">
            <w:pPr>
              <w:keepNext/>
              <w:spacing w:line="360" w:lineRule="auto"/>
              <w:rPr>
                <w:color w:val="auto"/>
                <w:kern w:val="2"/>
                <w:sz w:val="21"/>
                <w:szCs w:val="21"/>
                <w:highlight w:val="none"/>
              </w:rPr>
            </w:pPr>
          </w:p>
        </w:tc>
        <w:tc>
          <w:tcPr>
            <w:tcW w:w="513" w:type="pct"/>
            <w:vAlign w:val="center"/>
          </w:tcPr>
          <w:p w14:paraId="109289BF">
            <w:pPr>
              <w:keepNext/>
              <w:spacing w:line="360" w:lineRule="auto"/>
              <w:rPr>
                <w:color w:val="auto"/>
                <w:kern w:val="2"/>
                <w:sz w:val="21"/>
                <w:szCs w:val="21"/>
                <w:highlight w:val="none"/>
              </w:rPr>
            </w:pPr>
          </w:p>
        </w:tc>
        <w:tc>
          <w:tcPr>
            <w:tcW w:w="374" w:type="pct"/>
            <w:vAlign w:val="center"/>
          </w:tcPr>
          <w:p w14:paraId="257C843B">
            <w:pPr>
              <w:keepNext/>
              <w:spacing w:line="360" w:lineRule="auto"/>
              <w:rPr>
                <w:color w:val="auto"/>
                <w:kern w:val="2"/>
                <w:sz w:val="21"/>
                <w:szCs w:val="21"/>
                <w:highlight w:val="none"/>
              </w:rPr>
            </w:pPr>
          </w:p>
        </w:tc>
        <w:tc>
          <w:tcPr>
            <w:tcW w:w="1730" w:type="pct"/>
            <w:vAlign w:val="center"/>
          </w:tcPr>
          <w:p w14:paraId="7B2FEB7E">
            <w:pPr>
              <w:keepNext/>
              <w:spacing w:line="360" w:lineRule="auto"/>
              <w:rPr>
                <w:color w:val="auto"/>
                <w:kern w:val="2"/>
                <w:sz w:val="21"/>
                <w:szCs w:val="21"/>
                <w:highlight w:val="none"/>
              </w:rPr>
            </w:pPr>
          </w:p>
        </w:tc>
        <w:tc>
          <w:tcPr>
            <w:tcW w:w="896" w:type="pct"/>
          </w:tcPr>
          <w:p w14:paraId="4D3805EC">
            <w:pPr>
              <w:keepNext/>
              <w:spacing w:line="360" w:lineRule="auto"/>
              <w:rPr>
                <w:color w:val="auto"/>
                <w:kern w:val="2"/>
                <w:sz w:val="21"/>
                <w:szCs w:val="21"/>
                <w:highlight w:val="none"/>
              </w:rPr>
            </w:pPr>
          </w:p>
        </w:tc>
      </w:tr>
      <w:tr w14:paraId="0A158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6F37C76E">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5AA97B1C">
            <w:pPr>
              <w:keepNext/>
              <w:spacing w:line="360" w:lineRule="auto"/>
              <w:rPr>
                <w:color w:val="auto"/>
                <w:kern w:val="2"/>
                <w:sz w:val="21"/>
                <w:szCs w:val="21"/>
                <w:highlight w:val="none"/>
              </w:rPr>
            </w:pPr>
          </w:p>
        </w:tc>
        <w:tc>
          <w:tcPr>
            <w:tcW w:w="513" w:type="pct"/>
            <w:vAlign w:val="center"/>
          </w:tcPr>
          <w:p w14:paraId="0C947F61">
            <w:pPr>
              <w:keepNext/>
              <w:spacing w:line="360" w:lineRule="auto"/>
              <w:rPr>
                <w:color w:val="auto"/>
                <w:kern w:val="2"/>
                <w:sz w:val="21"/>
                <w:szCs w:val="21"/>
                <w:highlight w:val="none"/>
              </w:rPr>
            </w:pPr>
          </w:p>
        </w:tc>
        <w:tc>
          <w:tcPr>
            <w:tcW w:w="374" w:type="pct"/>
            <w:vAlign w:val="center"/>
          </w:tcPr>
          <w:p w14:paraId="280ED604">
            <w:pPr>
              <w:keepNext/>
              <w:spacing w:line="360" w:lineRule="auto"/>
              <w:rPr>
                <w:color w:val="auto"/>
                <w:kern w:val="2"/>
                <w:sz w:val="21"/>
                <w:szCs w:val="21"/>
                <w:highlight w:val="none"/>
              </w:rPr>
            </w:pPr>
          </w:p>
        </w:tc>
        <w:tc>
          <w:tcPr>
            <w:tcW w:w="1730" w:type="pct"/>
            <w:vAlign w:val="center"/>
          </w:tcPr>
          <w:p w14:paraId="3A5E759F">
            <w:pPr>
              <w:keepNext/>
              <w:spacing w:line="360" w:lineRule="auto"/>
              <w:rPr>
                <w:color w:val="auto"/>
                <w:kern w:val="2"/>
                <w:sz w:val="21"/>
                <w:szCs w:val="21"/>
                <w:highlight w:val="none"/>
              </w:rPr>
            </w:pPr>
          </w:p>
        </w:tc>
        <w:tc>
          <w:tcPr>
            <w:tcW w:w="896" w:type="pct"/>
          </w:tcPr>
          <w:p w14:paraId="06143D54">
            <w:pPr>
              <w:keepNext/>
              <w:spacing w:line="360" w:lineRule="auto"/>
              <w:rPr>
                <w:color w:val="auto"/>
                <w:kern w:val="2"/>
                <w:sz w:val="21"/>
                <w:szCs w:val="21"/>
                <w:highlight w:val="none"/>
              </w:rPr>
            </w:pPr>
          </w:p>
        </w:tc>
      </w:tr>
      <w:tr w14:paraId="20CB2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230700A8">
            <w:pPr>
              <w:keepNext/>
              <w:spacing w:line="360" w:lineRule="auto"/>
              <w:rPr>
                <w:color w:val="auto"/>
                <w:kern w:val="2"/>
                <w:sz w:val="21"/>
                <w:szCs w:val="21"/>
                <w:highlight w:val="none"/>
              </w:rPr>
            </w:pPr>
          </w:p>
        </w:tc>
        <w:tc>
          <w:tcPr>
            <w:tcW w:w="641" w:type="pct"/>
            <w:vAlign w:val="center"/>
          </w:tcPr>
          <w:p w14:paraId="7D6054F5">
            <w:pPr>
              <w:keepNext/>
              <w:spacing w:line="360" w:lineRule="auto"/>
              <w:rPr>
                <w:color w:val="auto"/>
                <w:kern w:val="2"/>
                <w:sz w:val="21"/>
                <w:szCs w:val="21"/>
                <w:highlight w:val="none"/>
              </w:rPr>
            </w:pPr>
          </w:p>
        </w:tc>
        <w:tc>
          <w:tcPr>
            <w:tcW w:w="513" w:type="pct"/>
            <w:vAlign w:val="center"/>
          </w:tcPr>
          <w:p w14:paraId="17CFCA79">
            <w:pPr>
              <w:keepNext/>
              <w:spacing w:line="360" w:lineRule="auto"/>
              <w:rPr>
                <w:color w:val="auto"/>
                <w:kern w:val="2"/>
                <w:sz w:val="21"/>
                <w:szCs w:val="21"/>
                <w:highlight w:val="none"/>
              </w:rPr>
            </w:pPr>
          </w:p>
        </w:tc>
        <w:tc>
          <w:tcPr>
            <w:tcW w:w="374" w:type="pct"/>
            <w:vAlign w:val="center"/>
          </w:tcPr>
          <w:p w14:paraId="17CD6F51">
            <w:pPr>
              <w:keepNext/>
              <w:spacing w:line="360" w:lineRule="auto"/>
              <w:rPr>
                <w:color w:val="auto"/>
                <w:kern w:val="2"/>
                <w:sz w:val="21"/>
                <w:szCs w:val="21"/>
                <w:highlight w:val="none"/>
              </w:rPr>
            </w:pPr>
          </w:p>
        </w:tc>
        <w:tc>
          <w:tcPr>
            <w:tcW w:w="1730" w:type="pct"/>
            <w:vAlign w:val="center"/>
          </w:tcPr>
          <w:p w14:paraId="45D5771B">
            <w:pPr>
              <w:keepNext/>
              <w:spacing w:line="360" w:lineRule="auto"/>
              <w:rPr>
                <w:color w:val="auto"/>
                <w:kern w:val="2"/>
                <w:sz w:val="21"/>
                <w:szCs w:val="21"/>
                <w:highlight w:val="none"/>
              </w:rPr>
            </w:pPr>
          </w:p>
        </w:tc>
        <w:tc>
          <w:tcPr>
            <w:tcW w:w="896" w:type="pct"/>
          </w:tcPr>
          <w:p w14:paraId="5D94D5B9">
            <w:pPr>
              <w:keepNext/>
              <w:spacing w:line="360" w:lineRule="auto"/>
              <w:rPr>
                <w:color w:val="auto"/>
                <w:kern w:val="2"/>
                <w:sz w:val="21"/>
                <w:szCs w:val="21"/>
                <w:highlight w:val="none"/>
              </w:rPr>
            </w:pPr>
          </w:p>
        </w:tc>
      </w:tr>
      <w:tr w14:paraId="386F7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14:paraId="46A0D051">
            <w:pPr>
              <w:keepNext/>
              <w:spacing w:line="360" w:lineRule="auto"/>
              <w:rPr>
                <w:color w:val="auto"/>
                <w:kern w:val="2"/>
                <w:sz w:val="21"/>
                <w:szCs w:val="21"/>
                <w:highlight w:val="none"/>
              </w:rPr>
            </w:pPr>
            <w:r>
              <w:rPr>
                <w:rFonts w:hint="eastAsia"/>
                <w:color w:val="auto"/>
                <w:kern w:val="2"/>
                <w:sz w:val="21"/>
                <w:szCs w:val="21"/>
                <w:highlight w:val="none"/>
              </w:rPr>
              <w:t>二、现场人员</w:t>
            </w:r>
          </w:p>
        </w:tc>
        <w:tc>
          <w:tcPr>
            <w:tcW w:w="896" w:type="pct"/>
          </w:tcPr>
          <w:p w14:paraId="267644DC">
            <w:pPr>
              <w:keepNext/>
              <w:spacing w:line="360" w:lineRule="auto"/>
              <w:rPr>
                <w:color w:val="auto"/>
                <w:kern w:val="2"/>
                <w:sz w:val="21"/>
                <w:szCs w:val="21"/>
                <w:highlight w:val="none"/>
              </w:rPr>
            </w:pPr>
          </w:p>
        </w:tc>
      </w:tr>
      <w:tr w14:paraId="49997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5D1DA7CF">
            <w:pPr>
              <w:spacing w:line="360" w:lineRule="auto"/>
              <w:rPr>
                <w:color w:val="auto"/>
                <w:kern w:val="2"/>
                <w:sz w:val="21"/>
                <w:szCs w:val="22"/>
                <w:highlight w:val="none"/>
              </w:rPr>
            </w:pPr>
            <w:r>
              <w:rPr>
                <w:rFonts w:hint="eastAsia"/>
                <w:color w:val="auto"/>
                <w:kern w:val="2"/>
                <w:sz w:val="21"/>
                <w:szCs w:val="22"/>
                <w:highlight w:val="none"/>
              </w:rPr>
              <w:t>项目经理</w:t>
            </w:r>
          </w:p>
        </w:tc>
        <w:tc>
          <w:tcPr>
            <w:tcW w:w="641" w:type="pct"/>
            <w:vAlign w:val="center"/>
          </w:tcPr>
          <w:p w14:paraId="678CA99C">
            <w:pPr>
              <w:keepNext/>
              <w:spacing w:line="360" w:lineRule="auto"/>
              <w:rPr>
                <w:color w:val="auto"/>
                <w:kern w:val="2"/>
                <w:sz w:val="21"/>
                <w:szCs w:val="21"/>
                <w:highlight w:val="none"/>
              </w:rPr>
            </w:pPr>
          </w:p>
        </w:tc>
        <w:tc>
          <w:tcPr>
            <w:tcW w:w="513" w:type="pct"/>
            <w:vAlign w:val="center"/>
          </w:tcPr>
          <w:p w14:paraId="2DC83CE3">
            <w:pPr>
              <w:keepNext/>
              <w:spacing w:line="360" w:lineRule="auto"/>
              <w:rPr>
                <w:color w:val="auto"/>
                <w:kern w:val="2"/>
                <w:sz w:val="21"/>
                <w:szCs w:val="21"/>
                <w:highlight w:val="none"/>
              </w:rPr>
            </w:pPr>
          </w:p>
        </w:tc>
        <w:tc>
          <w:tcPr>
            <w:tcW w:w="374" w:type="pct"/>
            <w:vAlign w:val="center"/>
          </w:tcPr>
          <w:p w14:paraId="60EF6B8B">
            <w:pPr>
              <w:keepNext/>
              <w:spacing w:line="360" w:lineRule="auto"/>
              <w:rPr>
                <w:color w:val="auto"/>
                <w:kern w:val="2"/>
                <w:sz w:val="21"/>
                <w:szCs w:val="21"/>
                <w:highlight w:val="none"/>
              </w:rPr>
            </w:pPr>
          </w:p>
        </w:tc>
        <w:tc>
          <w:tcPr>
            <w:tcW w:w="1730" w:type="pct"/>
            <w:vAlign w:val="center"/>
          </w:tcPr>
          <w:p w14:paraId="3F9F8EFE">
            <w:pPr>
              <w:keepNext/>
              <w:spacing w:line="360" w:lineRule="auto"/>
              <w:rPr>
                <w:color w:val="auto"/>
                <w:kern w:val="2"/>
                <w:sz w:val="21"/>
                <w:szCs w:val="21"/>
                <w:highlight w:val="none"/>
              </w:rPr>
            </w:pPr>
          </w:p>
        </w:tc>
        <w:tc>
          <w:tcPr>
            <w:tcW w:w="896" w:type="pct"/>
          </w:tcPr>
          <w:p w14:paraId="0221A00B">
            <w:pPr>
              <w:keepNext/>
              <w:spacing w:line="360" w:lineRule="auto"/>
              <w:rPr>
                <w:color w:val="auto"/>
                <w:kern w:val="2"/>
                <w:sz w:val="21"/>
                <w:szCs w:val="21"/>
                <w:highlight w:val="none"/>
              </w:rPr>
            </w:pPr>
          </w:p>
        </w:tc>
      </w:tr>
      <w:tr w14:paraId="5381C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25FF0C8B">
            <w:pPr>
              <w:spacing w:line="360" w:lineRule="auto"/>
              <w:rPr>
                <w:color w:val="auto"/>
                <w:kern w:val="2"/>
                <w:sz w:val="21"/>
                <w:szCs w:val="22"/>
                <w:highlight w:val="none"/>
              </w:rPr>
            </w:pPr>
            <w:r>
              <w:rPr>
                <w:rFonts w:hint="eastAsia"/>
                <w:color w:val="auto"/>
                <w:kern w:val="2"/>
                <w:sz w:val="21"/>
                <w:szCs w:val="22"/>
                <w:highlight w:val="none"/>
              </w:rPr>
              <w:t>项目副经理</w:t>
            </w:r>
          </w:p>
        </w:tc>
        <w:tc>
          <w:tcPr>
            <w:tcW w:w="641" w:type="pct"/>
            <w:vAlign w:val="center"/>
          </w:tcPr>
          <w:p w14:paraId="0379D829">
            <w:pPr>
              <w:keepNext/>
              <w:spacing w:line="360" w:lineRule="auto"/>
              <w:rPr>
                <w:color w:val="auto"/>
                <w:kern w:val="2"/>
                <w:sz w:val="21"/>
                <w:szCs w:val="21"/>
                <w:highlight w:val="none"/>
              </w:rPr>
            </w:pPr>
          </w:p>
        </w:tc>
        <w:tc>
          <w:tcPr>
            <w:tcW w:w="513" w:type="pct"/>
            <w:vAlign w:val="center"/>
          </w:tcPr>
          <w:p w14:paraId="20DF6E8D">
            <w:pPr>
              <w:keepNext/>
              <w:spacing w:line="360" w:lineRule="auto"/>
              <w:rPr>
                <w:color w:val="auto"/>
                <w:kern w:val="2"/>
                <w:sz w:val="21"/>
                <w:szCs w:val="21"/>
                <w:highlight w:val="none"/>
              </w:rPr>
            </w:pPr>
          </w:p>
        </w:tc>
        <w:tc>
          <w:tcPr>
            <w:tcW w:w="374" w:type="pct"/>
            <w:vAlign w:val="center"/>
          </w:tcPr>
          <w:p w14:paraId="6C7C75B1">
            <w:pPr>
              <w:keepNext/>
              <w:spacing w:line="360" w:lineRule="auto"/>
              <w:rPr>
                <w:color w:val="auto"/>
                <w:kern w:val="2"/>
                <w:sz w:val="21"/>
                <w:szCs w:val="21"/>
                <w:highlight w:val="none"/>
              </w:rPr>
            </w:pPr>
          </w:p>
        </w:tc>
        <w:tc>
          <w:tcPr>
            <w:tcW w:w="1730" w:type="pct"/>
            <w:vAlign w:val="center"/>
          </w:tcPr>
          <w:p w14:paraId="14F08E60">
            <w:pPr>
              <w:keepNext/>
              <w:spacing w:line="360" w:lineRule="auto"/>
              <w:rPr>
                <w:color w:val="auto"/>
                <w:kern w:val="2"/>
                <w:sz w:val="21"/>
                <w:szCs w:val="21"/>
                <w:highlight w:val="none"/>
              </w:rPr>
            </w:pPr>
          </w:p>
        </w:tc>
        <w:tc>
          <w:tcPr>
            <w:tcW w:w="896" w:type="pct"/>
          </w:tcPr>
          <w:p w14:paraId="2C04C5E2">
            <w:pPr>
              <w:keepNext/>
              <w:spacing w:line="360" w:lineRule="auto"/>
              <w:rPr>
                <w:color w:val="auto"/>
                <w:kern w:val="2"/>
                <w:sz w:val="21"/>
                <w:szCs w:val="21"/>
                <w:highlight w:val="none"/>
              </w:rPr>
            </w:pPr>
          </w:p>
        </w:tc>
      </w:tr>
      <w:tr w14:paraId="4FF14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40BC1852">
            <w:pPr>
              <w:spacing w:line="360" w:lineRule="auto"/>
              <w:rPr>
                <w:color w:val="auto"/>
                <w:kern w:val="2"/>
                <w:sz w:val="21"/>
                <w:szCs w:val="22"/>
                <w:highlight w:val="none"/>
              </w:rPr>
            </w:pPr>
            <w:r>
              <w:rPr>
                <w:rFonts w:hint="eastAsia"/>
                <w:color w:val="auto"/>
                <w:kern w:val="2"/>
                <w:sz w:val="21"/>
                <w:szCs w:val="22"/>
                <w:highlight w:val="none"/>
              </w:rPr>
              <w:t>项目技术负责人</w:t>
            </w:r>
          </w:p>
        </w:tc>
        <w:tc>
          <w:tcPr>
            <w:tcW w:w="641" w:type="pct"/>
            <w:vAlign w:val="center"/>
          </w:tcPr>
          <w:p w14:paraId="14CC6D91">
            <w:pPr>
              <w:keepNext/>
              <w:spacing w:line="360" w:lineRule="auto"/>
              <w:rPr>
                <w:color w:val="auto"/>
                <w:kern w:val="2"/>
                <w:sz w:val="21"/>
                <w:szCs w:val="21"/>
                <w:highlight w:val="none"/>
              </w:rPr>
            </w:pPr>
          </w:p>
        </w:tc>
        <w:tc>
          <w:tcPr>
            <w:tcW w:w="513" w:type="pct"/>
            <w:vAlign w:val="center"/>
          </w:tcPr>
          <w:p w14:paraId="2EA041D0">
            <w:pPr>
              <w:keepNext/>
              <w:spacing w:line="360" w:lineRule="auto"/>
              <w:rPr>
                <w:color w:val="auto"/>
                <w:kern w:val="2"/>
                <w:sz w:val="21"/>
                <w:szCs w:val="21"/>
                <w:highlight w:val="none"/>
              </w:rPr>
            </w:pPr>
          </w:p>
        </w:tc>
        <w:tc>
          <w:tcPr>
            <w:tcW w:w="374" w:type="pct"/>
            <w:vAlign w:val="center"/>
          </w:tcPr>
          <w:p w14:paraId="5AC89C4E">
            <w:pPr>
              <w:keepNext/>
              <w:spacing w:line="360" w:lineRule="auto"/>
              <w:rPr>
                <w:color w:val="auto"/>
                <w:kern w:val="2"/>
                <w:sz w:val="21"/>
                <w:szCs w:val="21"/>
                <w:highlight w:val="none"/>
              </w:rPr>
            </w:pPr>
          </w:p>
        </w:tc>
        <w:tc>
          <w:tcPr>
            <w:tcW w:w="1730" w:type="pct"/>
            <w:vAlign w:val="center"/>
          </w:tcPr>
          <w:p w14:paraId="1E938767">
            <w:pPr>
              <w:keepNext/>
              <w:spacing w:line="360" w:lineRule="auto"/>
              <w:rPr>
                <w:color w:val="auto"/>
                <w:kern w:val="2"/>
                <w:sz w:val="21"/>
                <w:szCs w:val="21"/>
                <w:highlight w:val="none"/>
              </w:rPr>
            </w:pPr>
          </w:p>
        </w:tc>
        <w:tc>
          <w:tcPr>
            <w:tcW w:w="896" w:type="pct"/>
          </w:tcPr>
          <w:p w14:paraId="629DF771">
            <w:pPr>
              <w:keepNext/>
              <w:spacing w:line="360" w:lineRule="auto"/>
              <w:rPr>
                <w:color w:val="auto"/>
                <w:kern w:val="2"/>
                <w:sz w:val="21"/>
                <w:szCs w:val="21"/>
                <w:highlight w:val="none"/>
              </w:rPr>
            </w:pPr>
          </w:p>
        </w:tc>
      </w:tr>
      <w:tr w14:paraId="616EE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0B37B439">
            <w:pPr>
              <w:spacing w:line="360" w:lineRule="auto"/>
              <w:rPr>
                <w:color w:val="auto"/>
                <w:kern w:val="2"/>
                <w:sz w:val="21"/>
                <w:szCs w:val="22"/>
                <w:highlight w:val="none"/>
              </w:rPr>
            </w:pPr>
            <w:r>
              <w:rPr>
                <w:rFonts w:hint="eastAsia"/>
                <w:color w:val="auto"/>
                <w:kern w:val="2"/>
                <w:sz w:val="21"/>
                <w:szCs w:val="22"/>
                <w:highlight w:val="none"/>
              </w:rPr>
              <w:t>施工员</w:t>
            </w:r>
          </w:p>
        </w:tc>
        <w:tc>
          <w:tcPr>
            <w:tcW w:w="641" w:type="pct"/>
            <w:vAlign w:val="center"/>
          </w:tcPr>
          <w:p w14:paraId="2EFA9760">
            <w:pPr>
              <w:keepNext/>
              <w:spacing w:line="360" w:lineRule="auto"/>
              <w:rPr>
                <w:color w:val="auto"/>
                <w:kern w:val="2"/>
                <w:sz w:val="21"/>
                <w:szCs w:val="21"/>
                <w:highlight w:val="none"/>
              </w:rPr>
            </w:pPr>
          </w:p>
        </w:tc>
        <w:tc>
          <w:tcPr>
            <w:tcW w:w="513" w:type="pct"/>
            <w:vAlign w:val="center"/>
          </w:tcPr>
          <w:p w14:paraId="034C526C">
            <w:pPr>
              <w:keepNext/>
              <w:spacing w:line="360" w:lineRule="auto"/>
              <w:rPr>
                <w:color w:val="auto"/>
                <w:kern w:val="2"/>
                <w:sz w:val="21"/>
                <w:szCs w:val="21"/>
                <w:highlight w:val="none"/>
              </w:rPr>
            </w:pPr>
          </w:p>
        </w:tc>
        <w:tc>
          <w:tcPr>
            <w:tcW w:w="374" w:type="pct"/>
            <w:vAlign w:val="center"/>
          </w:tcPr>
          <w:p w14:paraId="6B955F22">
            <w:pPr>
              <w:keepNext/>
              <w:spacing w:line="360" w:lineRule="auto"/>
              <w:rPr>
                <w:color w:val="auto"/>
                <w:kern w:val="2"/>
                <w:sz w:val="21"/>
                <w:szCs w:val="21"/>
                <w:highlight w:val="none"/>
              </w:rPr>
            </w:pPr>
          </w:p>
        </w:tc>
        <w:tc>
          <w:tcPr>
            <w:tcW w:w="1730" w:type="pct"/>
            <w:vAlign w:val="center"/>
          </w:tcPr>
          <w:p w14:paraId="3A253F6B">
            <w:pPr>
              <w:keepNext/>
              <w:spacing w:line="360" w:lineRule="auto"/>
              <w:rPr>
                <w:color w:val="auto"/>
                <w:kern w:val="2"/>
                <w:sz w:val="21"/>
                <w:szCs w:val="21"/>
                <w:highlight w:val="none"/>
              </w:rPr>
            </w:pPr>
          </w:p>
        </w:tc>
        <w:tc>
          <w:tcPr>
            <w:tcW w:w="896" w:type="pct"/>
          </w:tcPr>
          <w:p w14:paraId="769C59CA">
            <w:pPr>
              <w:keepNext/>
              <w:spacing w:line="360" w:lineRule="auto"/>
              <w:rPr>
                <w:color w:val="auto"/>
                <w:kern w:val="2"/>
                <w:sz w:val="21"/>
                <w:szCs w:val="21"/>
                <w:highlight w:val="none"/>
              </w:rPr>
            </w:pPr>
          </w:p>
        </w:tc>
      </w:tr>
      <w:tr w14:paraId="25ABE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2ADCC06A">
            <w:pPr>
              <w:spacing w:line="360" w:lineRule="auto"/>
              <w:rPr>
                <w:color w:val="auto"/>
                <w:kern w:val="2"/>
                <w:sz w:val="21"/>
                <w:szCs w:val="22"/>
                <w:highlight w:val="none"/>
              </w:rPr>
            </w:pPr>
            <w:r>
              <w:rPr>
                <w:rFonts w:hint="eastAsia"/>
                <w:color w:val="auto"/>
                <w:kern w:val="2"/>
                <w:sz w:val="21"/>
                <w:szCs w:val="22"/>
                <w:highlight w:val="none"/>
              </w:rPr>
              <w:t>质检员（质量员）</w:t>
            </w:r>
          </w:p>
        </w:tc>
        <w:tc>
          <w:tcPr>
            <w:tcW w:w="641" w:type="pct"/>
            <w:vAlign w:val="center"/>
          </w:tcPr>
          <w:p w14:paraId="5EC5A3B1">
            <w:pPr>
              <w:keepNext/>
              <w:spacing w:line="360" w:lineRule="auto"/>
              <w:rPr>
                <w:color w:val="auto"/>
                <w:kern w:val="2"/>
                <w:sz w:val="21"/>
                <w:szCs w:val="21"/>
                <w:highlight w:val="none"/>
              </w:rPr>
            </w:pPr>
          </w:p>
        </w:tc>
        <w:tc>
          <w:tcPr>
            <w:tcW w:w="513" w:type="pct"/>
            <w:vAlign w:val="center"/>
          </w:tcPr>
          <w:p w14:paraId="340C3661">
            <w:pPr>
              <w:keepNext/>
              <w:spacing w:line="360" w:lineRule="auto"/>
              <w:rPr>
                <w:color w:val="auto"/>
                <w:kern w:val="2"/>
                <w:sz w:val="21"/>
                <w:szCs w:val="21"/>
                <w:highlight w:val="none"/>
              </w:rPr>
            </w:pPr>
          </w:p>
        </w:tc>
        <w:tc>
          <w:tcPr>
            <w:tcW w:w="374" w:type="pct"/>
            <w:vAlign w:val="center"/>
          </w:tcPr>
          <w:p w14:paraId="45EC9A13">
            <w:pPr>
              <w:keepNext/>
              <w:spacing w:line="360" w:lineRule="auto"/>
              <w:rPr>
                <w:color w:val="auto"/>
                <w:kern w:val="2"/>
                <w:sz w:val="21"/>
                <w:szCs w:val="21"/>
                <w:highlight w:val="none"/>
              </w:rPr>
            </w:pPr>
          </w:p>
        </w:tc>
        <w:tc>
          <w:tcPr>
            <w:tcW w:w="1730" w:type="pct"/>
            <w:vAlign w:val="center"/>
          </w:tcPr>
          <w:p w14:paraId="7384F2AC">
            <w:pPr>
              <w:keepNext/>
              <w:spacing w:line="360" w:lineRule="auto"/>
              <w:rPr>
                <w:color w:val="auto"/>
                <w:kern w:val="2"/>
                <w:sz w:val="21"/>
                <w:szCs w:val="21"/>
                <w:highlight w:val="none"/>
              </w:rPr>
            </w:pPr>
          </w:p>
        </w:tc>
        <w:tc>
          <w:tcPr>
            <w:tcW w:w="896" w:type="pct"/>
          </w:tcPr>
          <w:p w14:paraId="6552E75D">
            <w:pPr>
              <w:keepNext/>
              <w:spacing w:line="360" w:lineRule="auto"/>
              <w:rPr>
                <w:color w:val="auto"/>
                <w:kern w:val="2"/>
                <w:sz w:val="21"/>
                <w:szCs w:val="21"/>
                <w:highlight w:val="none"/>
              </w:rPr>
            </w:pPr>
          </w:p>
        </w:tc>
      </w:tr>
      <w:tr w14:paraId="55FEC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1A34A7DD">
            <w:pPr>
              <w:spacing w:line="360" w:lineRule="auto"/>
              <w:rPr>
                <w:color w:val="auto"/>
                <w:kern w:val="2"/>
                <w:sz w:val="21"/>
                <w:szCs w:val="22"/>
                <w:highlight w:val="none"/>
              </w:rPr>
            </w:pPr>
            <w:r>
              <w:rPr>
                <w:rFonts w:hint="eastAsia"/>
                <w:color w:val="auto"/>
                <w:kern w:val="2"/>
                <w:sz w:val="21"/>
                <w:szCs w:val="22"/>
                <w:highlight w:val="none"/>
              </w:rPr>
              <w:t>安全员</w:t>
            </w:r>
          </w:p>
        </w:tc>
        <w:tc>
          <w:tcPr>
            <w:tcW w:w="641" w:type="pct"/>
            <w:vAlign w:val="center"/>
          </w:tcPr>
          <w:p w14:paraId="37105638">
            <w:pPr>
              <w:keepNext/>
              <w:spacing w:line="360" w:lineRule="auto"/>
              <w:rPr>
                <w:color w:val="auto"/>
                <w:kern w:val="2"/>
                <w:sz w:val="21"/>
                <w:szCs w:val="21"/>
                <w:highlight w:val="none"/>
              </w:rPr>
            </w:pPr>
          </w:p>
        </w:tc>
        <w:tc>
          <w:tcPr>
            <w:tcW w:w="513" w:type="pct"/>
            <w:vAlign w:val="center"/>
          </w:tcPr>
          <w:p w14:paraId="1072A02D">
            <w:pPr>
              <w:keepNext/>
              <w:spacing w:line="360" w:lineRule="auto"/>
              <w:rPr>
                <w:color w:val="auto"/>
                <w:kern w:val="2"/>
                <w:sz w:val="21"/>
                <w:szCs w:val="21"/>
                <w:highlight w:val="none"/>
              </w:rPr>
            </w:pPr>
          </w:p>
        </w:tc>
        <w:tc>
          <w:tcPr>
            <w:tcW w:w="374" w:type="pct"/>
            <w:vAlign w:val="center"/>
          </w:tcPr>
          <w:p w14:paraId="595504C0">
            <w:pPr>
              <w:keepNext/>
              <w:spacing w:line="360" w:lineRule="auto"/>
              <w:rPr>
                <w:color w:val="auto"/>
                <w:kern w:val="2"/>
                <w:sz w:val="21"/>
                <w:szCs w:val="21"/>
                <w:highlight w:val="none"/>
              </w:rPr>
            </w:pPr>
          </w:p>
        </w:tc>
        <w:tc>
          <w:tcPr>
            <w:tcW w:w="1730" w:type="pct"/>
            <w:vAlign w:val="center"/>
          </w:tcPr>
          <w:p w14:paraId="5F813BC6">
            <w:pPr>
              <w:keepNext/>
              <w:spacing w:line="360" w:lineRule="auto"/>
              <w:rPr>
                <w:color w:val="auto"/>
                <w:kern w:val="2"/>
                <w:sz w:val="21"/>
                <w:szCs w:val="21"/>
                <w:highlight w:val="none"/>
              </w:rPr>
            </w:pPr>
          </w:p>
        </w:tc>
        <w:tc>
          <w:tcPr>
            <w:tcW w:w="896" w:type="pct"/>
          </w:tcPr>
          <w:p w14:paraId="5747E65F">
            <w:pPr>
              <w:keepNext/>
              <w:spacing w:line="360" w:lineRule="auto"/>
              <w:rPr>
                <w:color w:val="auto"/>
                <w:kern w:val="2"/>
                <w:sz w:val="21"/>
                <w:szCs w:val="21"/>
                <w:highlight w:val="none"/>
              </w:rPr>
            </w:pPr>
          </w:p>
        </w:tc>
      </w:tr>
      <w:tr w14:paraId="7839D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0576288B">
            <w:pPr>
              <w:spacing w:line="360" w:lineRule="auto"/>
              <w:rPr>
                <w:color w:val="auto"/>
                <w:kern w:val="2"/>
                <w:sz w:val="21"/>
                <w:szCs w:val="22"/>
                <w:highlight w:val="none"/>
              </w:rPr>
            </w:pPr>
            <w:r>
              <w:rPr>
                <w:rFonts w:hint="eastAsia"/>
                <w:color w:val="auto"/>
                <w:kern w:val="2"/>
                <w:sz w:val="21"/>
                <w:szCs w:val="22"/>
                <w:highlight w:val="none"/>
              </w:rPr>
              <w:t>资料员</w:t>
            </w:r>
          </w:p>
        </w:tc>
        <w:tc>
          <w:tcPr>
            <w:tcW w:w="641" w:type="pct"/>
            <w:vAlign w:val="center"/>
          </w:tcPr>
          <w:p w14:paraId="2E232DD5">
            <w:pPr>
              <w:keepNext/>
              <w:spacing w:line="360" w:lineRule="auto"/>
              <w:rPr>
                <w:color w:val="auto"/>
                <w:kern w:val="2"/>
                <w:sz w:val="21"/>
                <w:szCs w:val="21"/>
                <w:highlight w:val="none"/>
              </w:rPr>
            </w:pPr>
          </w:p>
        </w:tc>
        <w:tc>
          <w:tcPr>
            <w:tcW w:w="513" w:type="pct"/>
            <w:vAlign w:val="center"/>
          </w:tcPr>
          <w:p w14:paraId="1DED43D2">
            <w:pPr>
              <w:keepNext/>
              <w:spacing w:line="360" w:lineRule="auto"/>
              <w:rPr>
                <w:color w:val="auto"/>
                <w:kern w:val="2"/>
                <w:sz w:val="21"/>
                <w:szCs w:val="21"/>
                <w:highlight w:val="none"/>
              </w:rPr>
            </w:pPr>
          </w:p>
        </w:tc>
        <w:tc>
          <w:tcPr>
            <w:tcW w:w="374" w:type="pct"/>
            <w:vAlign w:val="center"/>
          </w:tcPr>
          <w:p w14:paraId="7FACB36B">
            <w:pPr>
              <w:keepNext/>
              <w:spacing w:line="360" w:lineRule="auto"/>
              <w:rPr>
                <w:color w:val="auto"/>
                <w:kern w:val="2"/>
                <w:sz w:val="21"/>
                <w:szCs w:val="21"/>
                <w:highlight w:val="none"/>
              </w:rPr>
            </w:pPr>
          </w:p>
        </w:tc>
        <w:tc>
          <w:tcPr>
            <w:tcW w:w="1730" w:type="pct"/>
            <w:vAlign w:val="center"/>
          </w:tcPr>
          <w:p w14:paraId="2048163D">
            <w:pPr>
              <w:keepNext/>
              <w:spacing w:line="360" w:lineRule="auto"/>
              <w:rPr>
                <w:color w:val="auto"/>
                <w:kern w:val="2"/>
                <w:sz w:val="21"/>
                <w:szCs w:val="21"/>
                <w:highlight w:val="none"/>
              </w:rPr>
            </w:pPr>
          </w:p>
        </w:tc>
        <w:tc>
          <w:tcPr>
            <w:tcW w:w="896" w:type="pct"/>
          </w:tcPr>
          <w:p w14:paraId="6BA9A435">
            <w:pPr>
              <w:keepNext/>
              <w:spacing w:line="360" w:lineRule="auto"/>
              <w:rPr>
                <w:color w:val="auto"/>
                <w:kern w:val="2"/>
                <w:sz w:val="21"/>
                <w:szCs w:val="21"/>
                <w:highlight w:val="none"/>
              </w:rPr>
            </w:pPr>
          </w:p>
        </w:tc>
      </w:tr>
      <w:tr w14:paraId="37AD0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restart"/>
            <w:vAlign w:val="center"/>
          </w:tcPr>
          <w:p w14:paraId="30C642A4">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0815447C">
            <w:pPr>
              <w:keepNext/>
              <w:spacing w:line="360" w:lineRule="auto"/>
              <w:rPr>
                <w:color w:val="auto"/>
                <w:kern w:val="2"/>
                <w:sz w:val="21"/>
                <w:szCs w:val="21"/>
                <w:highlight w:val="none"/>
              </w:rPr>
            </w:pPr>
          </w:p>
        </w:tc>
        <w:tc>
          <w:tcPr>
            <w:tcW w:w="513" w:type="pct"/>
            <w:vAlign w:val="center"/>
          </w:tcPr>
          <w:p w14:paraId="551C8E50">
            <w:pPr>
              <w:keepNext/>
              <w:spacing w:line="360" w:lineRule="auto"/>
              <w:rPr>
                <w:color w:val="auto"/>
                <w:kern w:val="2"/>
                <w:sz w:val="21"/>
                <w:szCs w:val="21"/>
                <w:highlight w:val="none"/>
              </w:rPr>
            </w:pPr>
          </w:p>
        </w:tc>
        <w:tc>
          <w:tcPr>
            <w:tcW w:w="374" w:type="pct"/>
            <w:vAlign w:val="center"/>
          </w:tcPr>
          <w:p w14:paraId="04797C37">
            <w:pPr>
              <w:keepNext/>
              <w:spacing w:line="360" w:lineRule="auto"/>
              <w:rPr>
                <w:color w:val="auto"/>
                <w:kern w:val="2"/>
                <w:sz w:val="21"/>
                <w:szCs w:val="21"/>
                <w:highlight w:val="none"/>
              </w:rPr>
            </w:pPr>
          </w:p>
        </w:tc>
        <w:tc>
          <w:tcPr>
            <w:tcW w:w="1730" w:type="pct"/>
            <w:vAlign w:val="center"/>
          </w:tcPr>
          <w:p w14:paraId="687C61B4">
            <w:pPr>
              <w:keepNext/>
              <w:spacing w:line="360" w:lineRule="auto"/>
              <w:rPr>
                <w:color w:val="auto"/>
                <w:kern w:val="2"/>
                <w:sz w:val="21"/>
                <w:szCs w:val="21"/>
                <w:highlight w:val="none"/>
              </w:rPr>
            </w:pPr>
          </w:p>
        </w:tc>
        <w:tc>
          <w:tcPr>
            <w:tcW w:w="896" w:type="pct"/>
          </w:tcPr>
          <w:p w14:paraId="28A6683B">
            <w:pPr>
              <w:keepNext/>
              <w:spacing w:line="360" w:lineRule="auto"/>
              <w:rPr>
                <w:color w:val="auto"/>
                <w:kern w:val="2"/>
                <w:sz w:val="21"/>
                <w:szCs w:val="21"/>
                <w:highlight w:val="none"/>
              </w:rPr>
            </w:pPr>
          </w:p>
        </w:tc>
      </w:tr>
      <w:tr w14:paraId="4F174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07E76885">
            <w:pPr>
              <w:keepNext/>
              <w:spacing w:line="360" w:lineRule="auto"/>
              <w:rPr>
                <w:color w:val="auto"/>
                <w:kern w:val="2"/>
                <w:sz w:val="21"/>
                <w:szCs w:val="21"/>
                <w:highlight w:val="none"/>
              </w:rPr>
            </w:pPr>
          </w:p>
        </w:tc>
        <w:tc>
          <w:tcPr>
            <w:tcW w:w="641" w:type="pct"/>
            <w:tcBorders>
              <w:bottom w:val="nil"/>
            </w:tcBorders>
            <w:vAlign w:val="center"/>
          </w:tcPr>
          <w:p w14:paraId="13CA5B9B">
            <w:pPr>
              <w:keepNext/>
              <w:spacing w:line="360" w:lineRule="auto"/>
              <w:rPr>
                <w:color w:val="auto"/>
                <w:kern w:val="2"/>
                <w:sz w:val="21"/>
                <w:szCs w:val="21"/>
                <w:highlight w:val="none"/>
              </w:rPr>
            </w:pPr>
          </w:p>
        </w:tc>
        <w:tc>
          <w:tcPr>
            <w:tcW w:w="513" w:type="pct"/>
            <w:tcBorders>
              <w:bottom w:val="nil"/>
            </w:tcBorders>
            <w:vAlign w:val="center"/>
          </w:tcPr>
          <w:p w14:paraId="7BCFFE75">
            <w:pPr>
              <w:keepNext/>
              <w:spacing w:line="360" w:lineRule="auto"/>
              <w:rPr>
                <w:color w:val="auto"/>
                <w:kern w:val="2"/>
                <w:sz w:val="21"/>
                <w:szCs w:val="21"/>
                <w:highlight w:val="none"/>
              </w:rPr>
            </w:pPr>
          </w:p>
        </w:tc>
        <w:tc>
          <w:tcPr>
            <w:tcW w:w="374" w:type="pct"/>
            <w:tcBorders>
              <w:bottom w:val="nil"/>
            </w:tcBorders>
            <w:vAlign w:val="center"/>
          </w:tcPr>
          <w:p w14:paraId="12118654">
            <w:pPr>
              <w:keepNext/>
              <w:spacing w:line="360" w:lineRule="auto"/>
              <w:rPr>
                <w:color w:val="auto"/>
                <w:kern w:val="2"/>
                <w:sz w:val="21"/>
                <w:szCs w:val="21"/>
                <w:highlight w:val="none"/>
              </w:rPr>
            </w:pPr>
          </w:p>
        </w:tc>
        <w:tc>
          <w:tcPr>
            <w:tcW w:w="1730" w:type="pct"/>
            <w:tcBorders>
              <w:bottom w:val="nil"/>
            </w:tcBorders>
            <w:vAlign w:val="center"/>
          </w:tcPr>
          <w:p w14:paraId="193A9122">
            <w:pPr>
              <w:keepNext/>
              <w:spacing w:line="360" w:lineRule="auto"/>
              <w:rPr>
                <w:color w:val="auto"/>
                <w:kern w:val="2"/>
                <w:sz w:val="21"/>
                <w:szCs w:val="21"/>
                <w:highlight w:val="none"/>
              </w:rPr>
            </w:pPr>
          </w:p>
        </w:tc>
        <w:tc>
          <w:tcPr>
            <w:tcW w:w="896" w:type="pct"/>
            <w:tcBorders>
              <w:bottom w:val="nil"/>
            </w:tcBorders>
          </w:tcPr>
          <w:p w14:paraId="5F21E6EE">
            <w:pPr>
              <w:keepNext/>
              <w:spacing w:line="360" w:lineRule="auto"/>
              <w:rPr>
                <w:color w:val="auto"/>
                <w:kern w:val="2"/>
                <w:sz w:val="21"/>
                <w:szCs w:val="21"/>
                <w:highlight w:val="none"/>
              </w:rPr>
            </w:pPr>
          </w:p>
        </w:tc>
      </w:tr>
      <w:tr w14:paraId="05FA6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55AF1871">
            <w:pPr>
              <w:keepNext/>
              <w:spacing w:line="360" w:lineRule="auto"/>
              <w:rPr>
                <w:color w:val="auto"/>
                <w:kern w:val="2"/>
                <w:sz w:val="21"/>
                <w:szCs w:val="21"/>
                <w:highlight w:val="none"/>
              </w:rPr>
            </w:pPr>
          </w:p>
        </w:tc>
        <w:tc>
          <w:tcPr>
            <w:tcW w:w="641" w:type="pct"/>
            <w:vAlign w:val="center"/>
          </w:tcPr>
          <w:p w14:paraId="279D83D4">
            <w:pPr>
              <w:keepNext/>
              <w:spacing w:line="360" w:lineRule="auto"/>
              <w:rPr>
                <w:color w:val="auto"/>
                <w:kern w:val="2"/>
                <w:sz w:val="21"/>
                <w:szCs w:val="21"/>
                <w:highlight w:val="none"/>
              </w:rPr>
            </w:pPr>
          </w:p>
        </w:tc>
        <w:tc>
          <w:tcPr>
            <w:tcW w:w="513" w:type="pct"/>
            <w:vAlign w:val="center"/>
          </w:tcPr>
          <w:p w14:paraId="24AEE607">
            <w:pPr>
              <w:keepNext/>
              <w:spacing w:line="360" w:lineRule="auto"/>
              <w:rPr>
                <w:color w:val="auto"/>
                <w:kern w:val="2"/>
                <w:sz w:val="21"/>
                <w:szCs w:val="21"/>
                <w:highlight w:val="none"/>
              </w:rPr>
            </w:pPr>
          </w:p>
        </w:tc>
        <w:tc>
          <w:tcPr>
            <w:tcW w:w="374" w:type="pct"/>
            <w:vAlign w:val="center"/>
          </w:tcPr>
          <w:p w14:paraId="2C564EF6">
            <w:pPr>
              <w:keepNext/>
              <w:spacing w:line="360" w:lineRule="auto"/>
              <w:rPr>
                <w:color w:val="auto"/>
                <w:kern w:val="2"/>
                <w:sz w:val="21"/>
                <w:szCs w:val="21"/>
                <w:highlight w:val="none"/>
              </w:rPr>
            </w:pPr>
          </w:p>
        </w:tc>
        <w:tc>
          <w:tcPr>
            <w:tcW w:w="1730" w:type="pct"/>
            <w:vAlign w:val="center"/>
          </w:tcPr>
          <w:p w14:paraId="1FF74B37">
            <w:pPr>
              <w:keepNext/>
              <w:spacing w:line="360" w:lineRule="auto"/>
              <w:rPr>
                <w:color w:val="auto"/>
                <w:kern w:val="2"/>
                <w:sz w:val="21"/>
                <w:szCs w:val="21"/>
                <w:highlight w:val="none"/>
              </w:rPr>
            </w:pPr>
          </w:p>
        </w:tc>
        <w:tc>
          <w:tcPr>
            <w:tcW w:w="896" w:type="pct"/>
          </w:tcPr>
          <w:p w14:paraId="5AB6A449">
            <w:pPr>
              <w:keepNext/>
              <w:spacing w:line="360" w:lineRule="auto"/>
              <w:rPr>
                <w:color w:val="auto"/>
                <w:kern w:val="2"/>
                <w:sz w:val="21"/>
                <w:szCs w:val="21"/>
                <w:highlight w:val="none"/>
              </w:rPr>
            </w:pPr>
          </w:p>
        </w:tc>
      </w:tr>
      <w:tr w14:paraId="3C417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33B64EA4">
            <w:pPr>
              <w:keepNext/>
              <w:spacing w:line="360" w:lineRule="auto"/>
              <w:rPr>
                <w:color w:val="auto"/>
                <w:kern w:val="2"/>
                <w:sz w:val="21"/>
                <w:szCs w:val="21"/>
                <w:highlight w:val="none"/>
              </w:rPr>
            </w:pPr>
          </w:p>
        </w:tc>
        <w:tc>
          <w:tcPr>
            <w:tcW w:w="641" w:type="pct"/>
            <w:vAlign w:val="center"/>
          </w:tcPr>
          <w:p w14:paraId="2439CF2F">
            <w:pPr>
              <w:keepNext/>
              <w:spacing w:line="360" w:lineRule="auto"/>
              <w:rPr>
                <w:color w:val="auto"/>
                <w:kern w:val="2"/>
                <w:sz w:val="21"/>
                <w:szCs w:val="21"/>
                <w:highlight w:val="none"/>
              </w:rPr>
            </w:pPr>
          </w:p>
        </w:tc>
        <w:tc>
          <w:tcPr>
            <w:tcW w:w="513" w:type="pct"/>
            <w:vAlign w:val="center"/>
          </w:tcPr>
          <w:p w14:paraId="1785C32D">
            <w:pPr>
              <w:keepNext/>
              <w:spacing w:line="360" w:lineRule="auto"/>
              <w:rPr>
                <w:color w:val="auto"/>
                <w:kern w:val="2"/>
                <w:sz w:val="21"/>
                <w:szCs w:val="21"/>
                <w:highlight w:val="none"/>
              </w:rPr>
            </w:pPr>
          </w:p>
        </w:tc>
        <w:tc>
          <w:tcPr>
            <w:tcW w:w="374" w:type="pct"/>
            <w:vAlign w:val="center"/>
          </w:tcPr>
          <w:p w14:paraId="06219BD9">
            <w:pPr>
              <w:keepNext/>
              <w:spacing w:line="360" w:lineRule="auto"/>
              <w:rPr>
                <w:color w:val="auto"/>
                <w:kern w:val="2"/>
                <w:sz w:val="21"/>
                <w:szCs w:val="21"/>
                <w:highlight w:val="none"/>
              </w:rPr>
            </w:pPr>
          </w:p>
        </w:tc>
        <w:tc>
          <w:tcPr>
            <w:tcW w:w="1730" w:type="pct"/>
            <w:vAlign w:val="center"/>
          </w:tcPr>
          <w:p w14:paraId="2A758ED9">
            <w:pPr>
              <w:keepNext/>
              <w:spacing w:line="360" w:lineRule="auto"/>
              <w:rPr>
                <w:color w:val="auto"/>
                <w:kern w:val="2"/>
                <w:sz w:val="21"/>
                <w:szCs w:val="21"/>
                <w:highlight w:val="none"/>
              </w:rPr>
            </w:pPr>
          </w:p>
        </w:tc>
        <w:tc>
          <w:tcPr>
            <w:tcW w:w="896" w:type="pct"/>
          </w:tcPr>
          <w:p w14:paraId="4F43F273">
            <w:pPr>
              <w:keepNext/>
              <w:spacing w:line="360" w:lineRule="auto"/>
              <w:rPr>
                <w:color w:val="auto"/>
                <w:kern w:val="2"/>
                <w:sz w:val="21"/>
                <w:szCs w:val="21"/>
                <w:highlight w:val="none"/>
              </w:rPr>
            </w:pPr>
          </w:p>
        </w:tc>
      </w:tr>
      <w:tr w14:paraId="3A8BD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21C4A92C">
            <w:pPr>
              <w:keepNext/>
              <w:spacing w:line="360" w:lineRule="auto"/>
              <w:rPr>
                <w:color w:val="auto"/>
                <w:kern w:val="2"/>
                <w:sz w:val="21"/>
                <w:szCs w:val="21"/>
                <w:highlight w:val="none"/>
              </w:rPr>
            </w:pPr>
          </w:p>
        </w:tc>
        <w:tc>
          <w:tcPr>
            <w:tcW w:w="641" w:type="pct"/>
            <w:vAlign w:val="center"/>
          </w:tcPr>
          <w:p w14:paraId="03D4B610">
            <w:pPr>
              <w:keepNext/>
              <w:spacing w:line="360" w:lineRule="auto"/>
              <w:rPr>
                <w:color w:val="auto"/>
                <w:kern w:val="2"/>
                <w:sz w:val="21"/>
                <w:szCs w:val="21"/>
                <w:highlight w:val="none"/>
              </w:rPr>
            </w:pPr>
          </w:p>
        </w:tc>
        <w:tc>
          <w:tcPr>
            <w:tcW w:w="513" w:type="pct"/>
            <w:vAlign w:val="center"/>
          </w:tcPr>
          <w:p w14:paraId="7BA42E05">
            <w:pPr>
              <w:keepNext/>
              <w:spacing w:line="360" w:lineRule="auto"/>
              <w:rPr>
                <w:color w:val="auto"/>
                <w:kern w:val="2"/>
                <w:sz w:val="21"/>
                <w:szCs w:val="21"/>
                <w:highlight w:val="none"/>
              </w:rPr>
            </w:pPr>
          </w:p>
        </w:tc>
        <w:tc>
          <w:tcPr>
            <w:tcW w:w="374" w:type="pct"/>
            <w:vAlign w:val="center"/>
          </w:tcPr>
          <w:p w14:paraId="6208C64A">
            <w:pPr>
              <w:keepNext/>
              <w:spacing w:line="360" w:lineRule="auto"/>
              <w:rPr>
                <w:color w:val="auto"/>
                <w:kern w:val="2"/>
                <w:sz w:val="21"/>
                <w:szCs w:val="21"/>
                <w:highlight w:val="none"/>
              </w:rPr>
            </w:pPr>
          </w:p>
        </w:tc>
        <w:tc>
          <w:tcPr>
            <w:tcW w:w="1730" w:type="pct"/>
            <w:vAlign w:val="center"/>
          </w:tcPr>
          <w:p w14:paraId="0305A6A6">
            <w:pPr>
              <w:keepNext/>
              <w:spacing w:line="360" w:lineRule="auto"/>
              <w:rPr>
                <w:color w:val="auto"/>
                <w:kern w:val="2"/>
                <w:sz w:val="21"/>
                <w:szCs w:val="21"/>
                <w:highlight w:val="none"/>
              </w:rPr>
            </w:pPr>
          </w:p>
        </w:tc>
        <w:tc>
          <w:tcPr>
            <w:tcW w:w="896" w:type="pct"/>
          </w:tcPr>
          <w:p w14:paraId="6D479574">
            <w:pPr>
              <w:keepNext/>
              <w:spacing w:line="360" w:lineRule="auto"/>
              <w:rPr>
                <w:color w:val="auto"/>
                <w:kern w:val="2"/>
                <w:sz w:val="21"/>
                <w:szCs w:val="21"/>
                <w:highlight w:val="none"/>
              </w:rPr>
            </w:pPr>
          </w:p>
        </w:tc>
      </w:tr>
      <w:tr w14:paraId="3841F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tcBorders>
              <w:bottom w:val="single" w:color="auto" w:sz="12" w:space="0"/>
            </w:tcBorders>
            <w:vAlign w:val="center"/>
          </w:tcPr>
          <w:p w14:paraId="3BABE34A">
            <w:pPr>
              <w:keepNext/>
              <w:spacing w:line="360" w:lineRule="auto"/>
              <w:rPr>
                <w:color w:val="auto"/>
                <w:kern w:val="2"/>
                <w:sz w:val="21"/>
                <w:szCs w:val="21"/>
                <w:highlight w:val="none"/>
              </w:rPr>
            </w:pPr>
          </w:p>
        </w:tc>
        <w:tc>
          <w:tcPr>
            <w:tcW w:w="641" w:type="pct"/>
            <w:tcBorders>
              <w:bottom w:val="single" w:color="auto" w:sz="12" w:space="0"/>
            </w:tcBorders>
            <w:vAlign w:val="center"/>
          </w:tcPr>
          <w:p w14:paraId="75955164">
            <w:pPr>
              <w:keepNext/>
              <w:spacing w:line="360" w:lineRule="auto"/>
              <w:rPr>
                <w:color w:val="auto"/>
                <w:kern w:val="2"/>
                <w:sz w:val="21"/>
                <w:szCs w:val="21"/>
                <w:highlight w:val="none"/>
              </w:rPr>
            </w:pPr>
          </w:p>
        </w:tc>
        <w:tc>
          <w:tcPr>
            <w:tcW w:w="513" w:type="pct"/>
            <w:tcBorders>
              <w:bottom w:val="single" w:color="auto" w:sz="12" w:space="0"/>
            </w:tcBorders>
            <w:vAlign w:val="center"/>
          </w:tcPr>
          <w:p w14:paraId="51C98F9D">
            <w:pPr>
              <w:keepNext/>
              <w:spacing w:line="360" w:lineRule="auto"/>
              <w:rPr>
                <w:color w:val="auto"/>
                <w:kern w:val="2"/>
                <w:sz w:val="21"/>
                <w:szCs w:val="21"/>
                <w:highlight w:val="none"/>
              </w:rPr>
            </w:pPr>
          </w:p>
        </w:tc>
        <w:tc>
          <w:tcPr>
            <w:tcW w:w="374" w:type="pct"/>
            <w:tcBorders>
              <w:bottom w:val="single" w:color="auto" w:sz="12" w:space="0"/>
            </w:tcBorders>
            <w:vAlign w:val="center"/>
          </w:tcPr>
          <w:p w14:paraId="0B95E64E">
            <w:pPr>
              <w:keepNext/>
              <w:spacing w:line="360" w:lineRule="auto"/>
              <w:rPr>
                <w:color w:val="auto"/>
                <w:kern w:val="2"/>
                <w:sz w:val="21"/>
                <w:szCs w:val="21"/>
                <w:highlight w:val="none"/>
              </w:rPr>
            </w:pPr>
          </w:p>
        </w:tc>
        <w:tc>
          <w:tcPr>
            <w:tcW w:w="1730" w:type="pct"/>
            <w:tcBorders>
              <w:bottom w:val="single" w:color="auto" w:sz="12" w:space="0"/>
            </w:tcBorders>
            <w:vAlign w:val="center"/>
          </w:tcPr>
          <w:p w14:paraId="2C504282">
            <w:pPr>
              <w:keepNext/>
              <w:spacing w:line="360" w:lineRule="auto"/>
              <w:rPr>
                <w:color w:val="auto"/>
                <w:kern w:val="2"/>
                <w:sz w:val="21"/>
                <w:szCs w:val="21"/>
                <w:highlight w:val="none"/>
              </w:rPr>
            </w:pPr>
          </w:p>
        </w:tc>
        <w:tc>
          <w:tcPr>
            <w:tcW w:w="896" w:type="pct"/>
            <w:tcBorders>
              <w:bottom w:val="single" w:color="auto" w:sz="12" w:space="0"/>
            </w:tcBorders>
          </w:tcPr>
          <w:p w14:paraId="234B3C7E">
            <w:pPr>
              <w:keepNext/>
              <w:spacing w:line="360" w:lineRule="auto"/>
              <w:rPr>
                <w:color w:val="auto"/>
                <w:kern w:val="2"/>
                <w:sz w:val="21"/>
                <w:szCs w:val="21"/>
                <w:highlight w:val="none"/>
              </w:rPr>
            </w:pPr>
          </w:p>
        </w:tc>
      </w:tr>
    </w:tbl>
    <w:p w14:paraId="6F27C316">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603" w:name="_Toc296944570"/>
      <w:bookmarkStart w:id="604" w:name="_Toc296347230"/>
      <w:bookmarkStart w:id="605" w:name="_Toc296891059"/>
      <w:bookmarkStart w:id="606" w:name="_Toc296891271"/>
      <w:bookmarkStart w:id="607" w:name="_Toc296503231"/>
      <w:bookmarkStart w:id="608" w:name="_Toc296346732"/>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8</w:t>
      </w:r>
      <w:r>
        <w:rPr>
          <w:rFonts w:hint="eastAsia" w:ascii="黑体" w:hAnsi="黑体" w:eastAsia="黑体"/>
          <w:bCs/>
          <w:color w:val="auto"/>
          <w:kern w:val="2"/>
          <w:sz w:val="24"/>
          <w:szCs w:val="24"/>
          <w:highlight w:val="none"/>
        </w:rPr>
        <w:t>：廉政协议</w:t>
      </w:r>
    </w:p>
    <w:bookmarkEnd w:id="603"/>
    <w:bookmarkEnd w:id="604"/>
    <w:bookmarkEnd w:id="605"/>
    <w:bookmarkEnd w:id="606"/>
    <w:bookmarkEnd w:id="607"/>
    <w:bookmarkEnd w:id="608"/>
    <w:p w14:paraId="6FD8ED14">
      <w:pPr>
        <w:widowControl/>
        <w:spacing w:line="360" w:lineRule="auto"/>
        <w:ind w:firstLine="643"/>
        <w:jc w:val="center"/>
        <w:rPr>
          <w:b/>
          <w:bCs/>
          <w:color w:val="auto"/>
          <w:sz w:val="32"/>
          <w:szCs w:val="32"/>
          <w:highlight w:val="none"/>
        </w:rPr>
      </w:pPr>
      <w:r>
        <w:rPr>
          <w:rFonts w:hint="eastAsia"/>
          <w:b/>
          <w:bCs/>
          <w:color w:val="auto"/>
          <w:sz w:val="32"/>
          <w:szCs w:val="32"/>
          <w:highlight w:val="none"/>
        </w:rPr>
        <w:t>廉 政 协 议</w:t>
      </w:r>
    </w:p>
    <w:p w14:paraId="0E16FACD">
      <w:pPr>
        <w:widowControl/>
        <w:spacing w:line="360" w:lineRule="auto"/>
        <w:ind w:firstLine="420" w:firstLineChars="200"/>
        <w:jc w:val="left"/>
        <w:rPr>
          <w:color w:val="auto"/>
          <w:sz w:val="21"/>
          <w:szCs w:val="21"/>
          <w:highlight w:val="none"/>
        </w:rPr>
      </w:pPr>
      <w:r>
        <w:rPr>
          <w:rFonts w:hint="eastAsia"/>
          <w:color w:val="auto"/>
          <w:sz w:val="21"/>
          <w:szCs w:val="21"/>
          <w:highlight w:val="none"/>
        </w:rPr>
        <w:t>为促进双方诚信经营、廉洁从业，防范商业贿赂，保护国家、集体和当事人的合法权益，根据国家有关法律法规和安徽省、合肥市廉政建设的规定，</w:t>
      </w:r>
      <w:r>
        <w:rPr>
          <w:rFonts w:hint="eastAsia"/>
          <w:color w:val="auto"/>
          <w:sz w:val="21"/>
          <w:szCs w:val="21"/>
          <w:highlight w:val="none"/>
          <w:u w:val="single"/>
        </w:rPr>
        <w:t xml:space="preserve">                 </w:t>
      </w:r>
      <w:r>
        <w:rPr>
          <w:rFonts w:hint="eastAsia"/>
          <w:color w:val="auto"/>
          <w:sz w:val="21"/>
          <w:szCs w:val="21"/>
          <w:highlight w:val="none"/>
        </w:rPr>
        <w:t>(以下称甲方)与</w:t>
      </w:r>
      <w:r>
        <w:rPr>
          <w:rFonts w:hint="eastAsia"/>
          <w:color w:val="auto"/>
          <w:sz w:val="21"/>
          <w:szCs w:val="21"/>
          <w:highlight w:val="none"/>
          <w:u w:val="single"/>
        </w:rPr>
        <w:t xml:space="preserve">                     </w:t>
      </w:r>
      <w:r>
        <w:rPr>
          <w:rFonts w:hint="eastAsia"/>
          <w:color w:val="auto"/>
          <w:sz w:val="21"/>
          <w:szCs w:val="21"/>
          <w:highlight w:val="none"/>
        </w:rPr>
        <w:t>(以下称乙方)，特此订立本协议共同遵照执行。</w:t>
      </w:r>
    </w:p>
    <w:p w14:paraId="7937146C">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第一条 甲乙双方的权利和义务</w:t>
      </w:r>
    </w:p>
    <w:p w14:paraId="78893D01">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E557A48">
      <w:pPr>
        <w:widowControl/>
        <w:spacing w:line="360" w:lineRule="auto"/>
        <w:ind w:firstLine="420" w:firstLineChars="200"/>
        <w:jc w:val="left"/>
        <w:rPr>
          <w:color w:val="auto"/>
          <w:sz w:val="21"/>
          <w:szCs w:val="21"/>
          <w:highlight w:val="none"/>
        </w:rPr>
      </w:pPr>
      <w:r>
        <w:rPr>
          <w:rFonts w:hint="eastAsia"/>
          <w:color w:val="auto"/>
          <w:sz w:val="21"/>
          <w:szCs w:val="21"/>
          <w:highlight w:val="none"/>
        </w:rPr>
        <w:t>（二）严格执行</w:t>
      </w:r>
      <w:r>
        <w:rPr>
          <w:rFonts w:hint="eastAsia"/>
          <w:color w:val="auto"/>
          <w:sz w:val="21"/>
          <w:szCs w:val="21"/>
          <w:highlight w:val="none"/>
          <w:u w:val="single"/>
        </w:rPr>
        <w:t xml:space="preserve">                                </w:t>
      </w:r>
      <w:r>
        <w:rPr>
          <w:rFonts w:hint="eastAsia"/>
          <w:color w:val="auto"/>
          <w:sz w:val="21"/>
          <w:szCs w:val="21"/>
          <w:highlight w:val="none"/>
        </w:rPr>
        <w:t>的合同要求，自觉履行合同约定的相关义务。</w:t>
      </w:r>
    </w:p>
    <w:p w14:paraId="7B9CFF70">
      <w:pPr>
        <w:widowControl/>
        <w:spacing w:line="360" w:lineRule="auto"/>
        <w:ind w:firstLine="420" w:firstLineChars="200"/>
        <w:jc w:val="left"/>
        <w:rPr>
          <w:color w:val="auto"/>
          <w:sz w:val="21"/>
          <w:szCs w:val="21"/>
          <w:highlight w:val="none"/>
        </w:rPr>
      </w:pPr>
      <w:r>
        <w:rPr>
          <w:rFonts w:hint="eastAsia"/>
          <w:color w:val="auto"/>
          <w:sz w:val="21"/>
          <w:szCs w:val="21"/>
          <w:highlight w:val="none"/>
        </w:rPr>
        <w:t>（三）在业务活动中坚持公开、公正、诚信、透明的原则，不得损害国家、集体利益。</w:t>
      </w:r>
    </w:p>
    <w:p w14:paraId="38C9D67D">
      <w:pPr>
        <w:widowControl/>
        <w:spacing w:line="360" w:lineRule="auto"/>
        <w:ind w:firstLine="420" w:firstLineChars="200"/>
        <w:jc w:val="left"/>
        <w:rPr>
          <w:color w:val="auto"/>
          <w:sz w:val="21"/>
          <w:szCs w:val="21"/>
          <w:highlight w:val="none"/>
        </w:rPr>
      </w:pPr>
      <w:r>
        <w:rPr>
          <w:rFonts w:hint="eastAsia"/>
          <w:color w:val="auto"/>
          <w:sz w:val="21"/>
          <w:szCs w:val="21"/>
          <w:highlight w:val="none"/>
        </w:rPr>
        <w:t>（四）建立健全廉政制度，开展廉政教育，公布举报电话，监督并认真查处违法违纪行为。</w:t>
      </w:r>
    </w:p>
    <w:p w14:paraId="7095FF8D">
      <w:pPr>
        <w:widowControl/>
        <w:spacing w:line="360" w:lineRule="auto"/>
        <w:ind w:firstLine="420" w:firstLineChars="200"/>
        <w:jc w:val="left"/>
        <w:rPr>
          <w:color w:val="auto"/>
          <w:sz w:val="21"/>
          <w:szCs w:val="21"/>
          <w:highlight w:val="none"/>
        </w:rPr>
      </w:pPr>
      <w:r>
        <w:rPr>
          <w:rFonts w:hint="eastAsia"/>
          <w:color w:val="auto"/>
          <w:sz w:val="21"/>
          <w:szCs w:val="21"/>
          <w:highlight w:val="none"/>
        </w:rPr>
        <w:t>（五）发现对方在业务活动中有违反廉政规定的行为，应及时提醒对方纠正。情节严重的，应向其上级有关部门举报、建议给予处理，并有权要求告知处理结果。</w:t>
      </w:r>
    </w:p>
    <w:p w14:paraId="561ED801">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第二条 甲方的义务</w:t>
      </w:r>
    </w:p>
    <w:p w14:paraId="5540D7A9">
      <w:pPr>
        <w:widowControl/>
        <w:spacing w:line="360" w:lineRule="auto"/>
        <w:ind w:firstLine="525" w:firstLineChars="250"/>
        <w:jc w:val="left"/>
        <w:rPr>
          <w:color w:val="auto"/>
          <w:sz w:val="21"/>
          <w:szCs w:val="21"/>
          <w:highlight w:val="none"/>
        </w:rPr>
      </w:pPr>
      <w:r>
        <w:rPr>
          <w:rFonts w:hint="eastAsia"/>
          <w:color w:val="auto"/>
          <w:sz w:val="21"/>
          <w:szCs w:val="21"/>
          <w:highlight w:val="none"/>
        </w:rPr>
        <w:t>(一)甲方及其工作人员不得索要或接受乙方的礼金、有价证券和贵重物品，不得在乙方报销任何应由甲方单位或个人支付的费用等。</w:t>
      </w:r>
    </w:p>
    <w:p w14:paraId="3E47E9FD">
      <w:pPr>
        <w:widowControl/>
        <w:spacing w:line="360" w:lineRule="auto"/>
        <w:ind w:firstLine="420" w:firstLineChars="200"/>
        <w:jc w:val="left"/>
        <w:rPr>
          <w:color w:val="auto"/>
          <w:sz w:val="21"/>
          <w:szCs w:val="21"/>
          <w:highlight w:val="none"/>
        </w:rPr>
      </w:pPr>
      <w:r>
        <w:rPr>
          <w:rFonts w:hint="eastAsia"/>
          <w:color w:val="auto"/>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4424490">
      <w:pPr>
        <w:widowControl/>
        <w:spacing w:line="360" w:lineRule="auto"/>
        <w:ind w:firstLine="420" w:firstLineChars="200"/>
        <w:jc w:val="left"/>
        <w:rPr>
          <w:color w:val="auto"/>
          <w:sz w:val="21"/>
          <w:szCs w:val="21"/>
          <w:highlight w:val="none"/>
        </w:rPr>
      </w:pPr>
      <w:r>
        <w:rPr>
          <w:rFonts w:hint="eastAsia"/>
          <w:color w:val="auto"/>
          <w:sz w:val="21"/>
          <w:szCs w:val="21"/>
          <w:highlight w:val="none"/>
        </w:rPr>
        <w:t>（三） 甲方及其工作人员不得要求或者接受乙方为其住房装修、婚丧嫁娶活动、配偶子女工作安排以及出国出境、旅游等提供方便等。</w:t>
      </w:r>
    </w:p>
    <w:p w14:paraId="2572D9A1">
      <w:pPr>
        <w:widowControl/>
        <w:spacing w:line="360" w:lineRule="auto"/>
        <w:ind w:firstLine="420" w:firstLineChars="200"/>
        <w:jc w:val="left"/>
        <w:rPr>
          <w:color w:val="auto"/>
          <w:sz w:val="21"/>
          <w:szCs w:val="21"/>
          <w:highlight w:val="none"/>
        </w:rPr>
      </w:pPr>
      <w:r>
        <w:rPr>
          <w:rFonts w:hint="eastAsia"/>
          <w:color w:val="auto"/>
          <w:sz w:val="21"/>
          <w:szCs w:val="21"/>
          <w:highlight w:val="none"/>
        </w:rPr>
        <w:t>（四） 甲方工作人员不得在乙方有股权关联的企业兼职，不得向乙方介绍家属或者亲友从事与甲方业务有关的经济活动。</w:t>
      </w:r>
    </w:p>
    <w:p w14:paraId="70377E00">
      <w:pPr>
        <w:widowControl/>
        <w:spacing w:line="360" w:lineRule="auto"/>
        <w:ind w:firstLine="420" w:firstLineChars="200"/>
        <w:jc w:val="left"/>
        <w:rPr>
          <w:color w:val="auto"/>
          <w:sz w:val="21"/>
          <w:szCs w:val="21"/>
          <w:highlight w:val="none"/>
        </w:rPr>
      </w:pPr>
      <w:r>
        <w:rPr>
          <w:rFonts w:hint="eastAsia"/>
          <w:color w:val="auto"/>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04F41ECB">
      <w:pPr>
        <w:widowControl/>
        <w:spacing w:line="360" w:lineRule="auto"/>
        <w:ind w:firstLine="420" w:firstLineChars="200"/>
        <w:jc w:val="left"/>
        <w:rPr>
          <w:color w:val="auto"/>
          <w:sz w:val="21"/>
          <w:szCs w:val="21"/>
          <w:highlight w:val="none"/>
        </w:rPr>
      </w:pPr>
      <w:r>
        <w:rPr>
          <w:rFonts w:hint="eastAsia"/>
          <w:color w:val="auto"/>
          <w:sz w:val="21"/>
          <w:szCs w:val="21"/>
          <w:highlight w:val="none"/>
        </w:rPr>
        <w:t>（六）甲方工作人员不得利用职务之便收受乙方以回扣、手续费、加班费、咨询费、劳务费、协调费、辛苦费等各种名义给予或赠送的钱物。</w:t>
      </w:r>
    </w:p>
    <w:p w14:paraId="4423E969">
      <w:pPr>
        <w:widowControl/>
        <w:spacing w:line="360" w:lineRule="auto"/>
        <w:ind w:firstLine="420" w:firstLineChars="200"/>
        <w:jc w:val="left"/>
        <w:rPr>
          <w:color w:val="auto"/>
          <w:sz w:val="21"/>
          <w:szCs w:val="21"/>
          <w:highlight w:val="none"/>
        </w:rPr>
      </w:pPr>
      <w:r>
        <w:rPr>
          <w:rFonts w:hint="eastAsia"/>
          <w:color w:val="auto"/>
          <w:sz w:val="21"/>
          <w:szCs w:val="21"/>
          <w:highlight w:val="none"/>
        </w:rPr>
        <w:t>（七）甲方工作人员不得接受乙方给予或赠送的干股或红利。</w:t>
      </w:r>
    </w:p>
    <w:p w14:paraId="67DB7FB9">
      <w:pPr>
        <w:widowControl/>
        <w:spacing w:line="360" w:lineRule="auto"/>
        <w:ind w:firstLine="420" w:firstLineChars="200"/>
        <w:jc w:val="left"/>
        <w:rPr>
          <w:color w:val="auto"/>
          <w:sz w:val="21"/>
          <w:szCs w:val="21"/>
          <w:highlight w:val="none"/>
        </w:rPr>
      </w:pPr>
      <w:r>
        <w:rPr>
          <w:rFonts w:hint="eastAsia"/>
          <w:color w:val="auto"/>
          <w:sz w:val="21"/>
          <w:szCs w:val="21"/>
          <w:highlight w:val="none"/>
        </w:rPr>
        <w:t>（八）甲方任何人不得以个人的名义向乙方推荐设备、部件等供货商以及其它合作单位。</w:t>
      </w:r>
    </w:p>
    <w:p w14:paraId="0250F9F9">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第三条 乙方的义务</w:t>
      </w:r>
    </w:p>
    <w:p w14:paraId="5338FF2F">
      <w:pPr>
        <w:widowControl/>
        <w:spacing w:line="360" w:lineRule="auto"/>
        <w:ind w:firstLine="525" w:firstLineChars="250"/>
        <w:jc w:val="left"/>
        <w:rPr>
          <w:color w:val="auto"/>
          <w:sz w:val="21"/>
          <w:szCs w:val="21"/>
          <w:highlight w:val="none"/>
        </w:rPr>
      </w:pPr>
      <w:r>
        <w:rPr>
          <w:rFonts w:hint="eastAsia"/>
          <w:color w:val="auto"/>
          <w:sz w:val="21"/>
          <w:szCs w:val="21"/>
          <w:highlight w:val="none"/>
        </w:rPr>
        <w:t>(一)乙方不得以任何理由向甲方及其工作人员行贿或馈赠礼金、有价证券、贵重礼品。</w:t>
      </w:r>
    </w:p>
    <w:p w14:paraId="4EF2606E">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（二)乙方不得以任何名义为甲方及其工作人员报销应由甲方单位或个人支付的任何费用。</w:t>
      </w:r>
    </w:p>
    <w:p w14:paraId="202EE9C7">
      <w:pPr>
        <w:widowControl/>
        <w:spacing w:line="360" w:lineRule="auto"/>
        <w:ind w:firstLine="420" w:firstLineChars="200"/>
        <w:jc w:val="left"/>
        <w:rPr>
          <w:color w:val="auto"/>
          <w:sz w:val="21"/>
          <w:szCs w:val="21"/>
          <w:highlight w:val="none"/>
        </w:rPr>
      </w:pPr>
      <w:r>
        <w:rPr>
          <w:rFonts w:hint="eastAsia"/>
          <w:color w:val="auto"/>
          <w:sz w:val="21"/>
          <w:szCs w:val="21"/>
          <w:highlight w:val="none"/>
        </w:rPr>
        <w:t>(三)乙方不得以任何理由安排甲方工作人员参加可能影响相关业务公开、公正、公平性的宴请及娱乐活动。</w:t>
      </w:r>
    </w:p>
    <w:p w14:paraId="70AD127D">
      <w:pPr>
        <w:widowControl/>
        <w:spacing w:line="360" w:lineRule="auto"/>
        <w:ind w:firstLine="420" w:firstLineChars="200"/>
        <w:jc w:val="left"/>
        <w:rPr>
          <w:color w:val="auto"/>
          <w:sz w:val="21"/>
          <w:szCs w:val="21"/>
          <w:highlight w:val="none"/>
        </w:rPr>
      </w:pPr>
      <w:r>
        <w:rPr>
          <w:rFonts w:hint="eastAsia"/>
          <w:color w:val="auto"/>
          <w:sz w:val="21"/>
          <w:szCs w:val="21"/>
          <w:highlight w:val="none"/>
        </w:rPr>
        <w:t>（四）乙方不得为甲方单位和个人购置或提供通讯工具和高档办公用品等物品，也不得为甲方提供与工作无关的房屋、汽车等。</w:t>
      </w:r>
    </w:p>
    <w:p w14:paraId="128879E1">
      <w:pPr>
        <w:widowControl/>
        <w:spacing w:line="360" w:lineRule="auto"/>
        <w:ind w:firstLine="420" w:firstLineChars="200"/>
        <w:jc w:val="left"/>
        <w:rPr>
          <w:color w:val="auto"/>
          <w:sz w:val="21"/>
          <w:szCs w:val="21"/>
          <w:highlight w:val="none"/>
        </w:rPr>
      </w:pPr>
      <w:r>
        <w:rPr>
          <w:rFonts w:hint="eastAsia"/>
          <w:color w:val="auto"/>
          <w:sz w:val="21"/>
          <w:szCs w:val="21"/>
          <w:highlight w:val="none"/>
        </w:rPr>
        <w:t>（五）乙方不得与甲方工作人员就合同中的质量、数量、价格、工程量、验收等条款进行私下商谈或者达成默契。</w:t>
      </w:r>
    </w:p>
    <w:p w14:paraId="3D2E8424">
      <w:pPr>
        <w:widowControl/>
        <w:spacing w:line="360" w:lineRule="auto"/>
        <w:ind w:firstLine="420" w:firstLineChars="200"/>
        <w:jc w:val="left"/>
        <w:rPr>
          <w:color w:val="auto"/>
          <w:sz w:val="21"/>
          <w:szCs w:val="21"/>
          <w:highlight w:val="none"/>
        </w:rPr>
      </w:pPr>
      <w:r>
        <w:rPr>
          <w:rFonts w:hint="eastAsia"/>
          <w:color w:val="auto"/>
          <w:sz w:val="21"/>
          <w:szCs w:val="21"/>
          <w:highlight w:val="none"/>
        </w:rPr>
        <w:t>（六）乙方不得以回扣、手续费、加班费、咨询费、劳务费、协调费、辛苦费等各种名义向甲方工作人员给予或赠送钱物。</w:t>
      </w:r>
    </w:p>
    <w:p w14:paraId="659D0D12">
      <w:pPr>
        <w:widowControl/>
        <w:spacing w:line="360" w:lineRule="auto"/>
        <w:ind w:firstLine="420" w:firstLineChars="200"/>
        <w:jc w:val="left"/>
        <w:rPr>
          <w:color w:val="auto"/>
          <w:sz w:val="21"/>
          <w:szCs w:val="21"/>
          <w:highlight w:val="none"/>
        </w:rPr>
      </w:pPr>
      <w:r>
        <w:rPr>
          <w:rFonts w:hint="eastAsia"/>
          <w:color w:val="auto"/>
          <w:sz w:val="21"/>
          <w:szCs w:val="21"/>
          <w:highlight w:val="none"/>
        </w:rPr>
        <w:t>（七）乙方不得向甲方工作人员提供干股或红利。</w:t>
      </w:r>
    </w:p>
    <w:p w14:paraId="6C5041B0">
      <w:pPr>
        <w:widowControl/>
        <w:spacing w:line="360" w:lineRule="auto"/>
        <w:ind w:firstLine="420" w:firstLineChars="200"/>
        <w:jc w:val="left"/>
        <w:rPr>
          <w:color w:val="auto"/>
          <w:sz w:val="21"/>
          <w:szCs w:val="21"/>
          <w:highlight w:val="none"/>
        </w:rPr>
      </w:pPr>
      <w:r>
        <w:rPr>
          <w:rFonts w:hint="eastAsia"/>
          <w:color w:val="auto"/>
          <w:sz w:val="21"/>
          <w:szCs w:val="21"/>
          <w:highlight w:val="none"/>
        </w:rPr>
        <w:t>（八）乙方须按</w:t>
      </w:r>
      <w:r>
        <w:rPr>
          <w:rFonts w:hint="eastAsia"/>
          <w:color w:val="auto"/>
          <w:sz w:val="21"/>
          <w:szCs w:val="21"/>
          <w:highlight w:val="none"/>
          <w:u w:val="single"/>
        </w:rPr>
        <w:t xml:space="preserve">         </w:t>
      </w:r>
      <w:r>
        <w:rPr>
          <w:rFonts w:hint="eastAsia"/>
          <w:color w:val="auto"/>
          <w:sz w:val="21"/>
          <w:szCs w:val="21"/>
          <w:highlight w:val="none"/>
        </w:rPr>
        <w:t>专项纪检监察工作组(如有)要求开展相关工作。</w:t>
      </w:r>
    </w:p>
    <w:p w14:paraId="3ADD01D1">
      <w:pPr>
        <w:widowControl/>
        <w:spacing w:line="360" w:lineRule="auto"/>
        <w:ind w:firstLine="420" w:firstLineChars="200"/>
        <w:jc w:val="left"/>
        <w:rPr>
          <w:color w:val="auto"/>
          <w:sz w:val="21"/>
          <w:szCs w:val="21"/>
          <w:highlight w:val="none"/>
        </w:rPr>
      </w:pPr>
      <w:r>
        <w:rPr>
          <w:rFonts w:hint="eastAsia"/>
          <w:color w:val="auto"/>
          <w:sz w:val="21"/>
          <w:szCs w:val="21"/>
          <w:highlight w:val="none"/>
        </w:rPr>
        <w:t>第四条 违约责任</w:t>
      </w:r>
    </w:p>
    <w:p w14:paraId="366F7F30">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07ADD586">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甲方投诉联系部门：</w:t>
      </w:r>
      <w:r>
        <w:rPr>
          <w:rFonts w:hint="eastAsia"/>
          <w:color w:val="auto"/>
          <w:sz w:val="21"/>
          <w:szCs w:val="21"/>
          <w:highlight w:val="none"/>
          <w:u w:val="single"/>
        </w:rPr>
        <w:t xml:space="preserve">           </w:t>
      </w:r>
      <w:r>
        <w:rPr>
          <w:rFonts w:hint="eastAsia"/>
          <w:color w:val="auto"/>
          <w:sz w:val="21"/>
          <w:szCs w:val="21"/>
          <w:highlight w:val="none"/>
        </w:rPr>
        <w:t>，联系电话：</w:t>
      </w:r>
      <w:r>
        <w:rPr>
          <w:rFonts w:hint="eastAsia"/>
          <w:color w:val="auto"/>
          <w:sz w:val="21"/>
          <w:szCs w:val="21"/>
          <w:highlight w:val="none"/>
          <w:u w:val="single"/>
        </w:rPr>
        <w:t xml:space="preserve">           </w:t>
      </w:r>
      <w:r>
        <w:rPr>
          <w:rFonts w:hint="eastAsia"/>
          <w:color w:val="auto"/>
          <w:sz w:val="21"/>
          <w:szCs w:val="21"/>
          <w:highlight w:val="none"/>
        </w:rPr>
        <w:t>。</w:t>
      </w:r>
    </w:p>
    <w:p w14:paraId="4BCCAA44">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（二）乙方及其工作人员违反本协议第一、三条规定。根据具体情节和造成的后果，甲方有权对乙方采取以下一种或多种处理办法：</w:t>
      </w:r>
    </w:p>
    <w:p w14:paraId="26657894">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1. 全额收取乙方合同履约保证金不予退还； </w:t>
      </w:r>
    </w:p>
    <w:p w14:paraId="2D55E825">
      <w:pPr>
        <w:widowControl/>
        <w:spacing w:line="360" w:lineRule="auto"/>
        <w:ind w:firstLine="420" w:firstLineChars="200"/>
        <w:jc w:val="left"/>
        <w:rPr>
          <w:color w:val="auto"/>
          <w:sz w:val="21"/>
          <w:szCs w:val="21"/>
          <w:highlight w:val="none"/>
        </w:rPr>
      </w:pPr>
      <w:r>
        <w:rPr>
          <w:rFonts w:hint="eastAsia"/>
          <w:color w:val="auto"/>
          <w:sz w:val="21"/>
          <w:szCs w:val="21"/>
          <w:highlight w:val="none"/>
        </w:rPr>
        <w:t>2. 追究乙方其他违约责任；</w:t>
      </w:r>
    </w:p>
    <w:p w14:paraId="6F195E51">
      <w:pPr>
        <w:widowControl/>
        <w:spacing w:line="360" w:lineRule="auto"/>
        <w:ind w:firstLine="420" w:firstLineChars="200"/>
        <w:jc w:val="left"/>
        <w:rPr>
          <w:color w:val="auto"/>
          <w:sz w:val="21"/>
          <w:szCs w:val="21"/>
          <w:highlight w:val="none"/>
        </w:rPr>
      </w:pPr>
      <w:r>
        <w:rPr>
          <w:rFonts w:hint="eastAsia"/>
          <w:color w:val="auto"/>
          <w:sz w:val="21"/>
          <w:szCs w:val="21"/>
          <w:highlight w:val="none"/>
        </w:rPr>
        <w:t>3. 终止或解除双方已签订的包括本合同在内的所有合同；</w:t>
      </w:r>
    </w:p>
    <w:p w14:paraId="244BB8DC">
      <w:pPr>
        <w:widowControl/>
        <w:spacing w:line="360" w:lineRule="auto"/>
        <w:ind w:firstLine="420" w:firstLineChars="200"/>
        <w:jc w:val="left"/>
        <w:rPr>
          <w:color w:val="auto"/>
          <w:sz w:val="21"/>
          <w:szCs w:val="21"/>
          <w:highlight w:val="none"/>
        </w:rPr>
      </w:pPr>
      <w:r>
        <w:rPr>
          <w:rFonts w:hint="eastAsia"/>
          <w:color w:val="auto"/>
          <w:sz w:val="21"/>
          <w:szCs w:val="21"/>
          <w:highlight w:val="none"/>
        </w:rPr>
        <w:t>4. 乙方一定期限内（6个月至3年，具体由甲方根据情况而定）不得参与甲方作为发包人（业主）的工程项目投标。</w:t>
      </w:r>
    </w:p>
    <w:p w14:paraId="246D7CC0">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甲方作出的处理意见，乙方应无条件接受并承担给甲方造成的损失，全额返还通过不正当手段从甲方获取的非法所得，并承担相应的法律责任。</w:t>
      </w:r>
    </w:p>
    <w:p w14:paraId="262DC157">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第五条 双方约定</w:t>
      </w:r>
    </w:p>
    <w:p w14:paraId="0850E043">
      <w:pPr>
        <w:widowControl/>
        <w:spacing w:line="360" w:lineRule="auto"/>
        <w:ind w:firstLine="420" w:firstLineChars="200"/>
        <w:jc w:val="left"/>
        <w:rPr>
          <w:color w:val="auto"/>
          <w:sz w:val="21"/>
          <w:szCs w:val="21"/>
          <w:highlight w:val="none"/>
        </w:rPr>
      </w:pPr>
      <w:r>
        <w:rPr>
          <w:rFonts w:hint="eastAsia"/>
          <w:color w:val="auto"/>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0023E7C">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第六条  本协议有效期为甲乙双方签署之日起至合同终止。  </w:t>
      </w:r>
    </w:p>
    <w:p w14:paraId="2BAD25DD">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第七条  本协议作为合同的附件，与本合同具有同等法律效力。</w:t>
      </w:r>
    </w:p>
    <w:p w14:paraId="0CB2C9AE">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 </w:t>
      </w:r>
    </w:p>
    <w:p w14:paraId="499D8736">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甲方（盖章）： </w:t>
      </w:r>
      <w:r>
        <w:rPr>
          <w:rFonts w:hint="eastAsia"/>
          <w:color w:val="auto"/>
          <w:sz w:val="21"/>
          <w:szCs w:val="21"/>
          <w:highlight w:val="none"/>
          <w:u w:val="single"/>
        </w:rPr>
        <w:t xml:space="preserve">                      </w:t>
      </w:r>
      <w:r>
        <w:rPr>
          <w:rFonts w:hint="eastAsia"/>
          <w:color w:val="auto"/>
          <w:sz w:val="21"/>
          <w:szCs w:val="21"/>
          <w:highlight w:val="none"/>
        </w:rPr>
        <w:t xml:space="preserve">       乙方（盖章）：</w:t>
      </w:r>
      <w:r>
        <w:rPr>
          <w:rFonts w:hint="eastAsia"/>
          <w:color w:val="auto"/>
          <w:sz w:val="21"/>
          <w:szCs w:val="21"/>
          <w:highlight w:val="none"/>
          <w:u w:val="single"/>
        </w:rPr>
        <w:t xml:space="preserve">                      </w:t>
      </w:r>
    </w:p>
    <w:p w14:paraId="0CFE5E7C">
      <w:pPr>
        <w:widowControl/>
        <w:spacing w:line="360" w:lineRule="auto"/>
        <w:ind w:firstLine="420" w:firstLineChars="200"/>
        <w:jc w:val="left"/>
        <w:rPr>
          <w:color w:val="auto"/>
          <w:sz w:val="21"/>
          <w:szCs w:val="21"/>
          <w:highlight w:val="none"/>
        </w:rPr>
      </w:pPr>
    </w:p>
    <w:p w14:paraId="6CEB0558">
      <w:pPr>
        <w:widowControl/>
        <w:spacing w:line="360" w:lineRule="auto"/>
        <w:ind w:firstLine="420" w:firstLineChars="200"/>
        <w:jc w:val="left"/>
        <w:rPr>
          <w:color w:val="auto"/>
          <w:sz w:val="21"/>
          <w:szCs w:val="21"/>
          <w:highlight w:val="none"/>
        </w:rPr>
      </w:pPr>
      <w:r>
        <w:rPr>
          <w:rFonts w:hint="eastAsia"/>
          <w:color w:val="auto"/>
          <w:sz w:val="21"/>
          <w:szCs w:val="21"/>
          <w:highlight w:val="none"/>
        </w:rPr>
        <w:t>法定代表人或                                法定代表人或</w:t>
      </w:r>
    </w:p>
    <w:p w14:paraId="719FD2CE">
      <w:pPr>
        <w:widowControl/>
        <w:spacing w:line="360" w:lineRule="auto"/>
        <w:ind w:firstLine="420" w:firstLineChars="200"/>
        <w:jc w:val="left"/>
        <w:rPr>
          <w:color w:val="auto"/>
          <w:sz w:val="21"/>
          <w:szCs w:val="21"/>
          <w:highlight w:val="none"/>
        </w:rPr>
      </w:pPr>
      <w:r>
        <w:rPr>
          <w:rFonts w:hint="eastAsia"/>
          <w:color w:val="auto"/>
          <w:sz w:val="21"/>
          <w:szCs w:val="21"/>
          <w:highlight w:val="none"/>
        </w:rPr>
        <w:t>授权代表：</w:t>
      </w:r>
      <w:r>
        <w:rPr>
          <w:rFonts w:hint="eastAsia"/>
          <w:color w:val="auto"/>
          <w:sz w:val="21"/>
          <w:szCs w:val="21"/>
          <w:highlight w:val="none"/>
          <w:u w:val="single"/>
        </w:rPr>
        <w:t xml:space="preserve">              </w:t>
      </w:r>
      <w:r>
        <w:rPr>
          <w:rFonts w:hint="eastAsia"/>
          <w:color w:val="auto"/>
          <w:sz w:val="21"/>
          <w:szCs w:val="21"/>
          <w:highlight w:val="none"/>
        </w:rPr>
        <w:t>(职务)              授权代表：</w:t>
      </w:r>
      <w:r>
        <w:rPr>
          <w:rFonts w:hint="eastAsia"/>
          <w:color w:val="auto"/>
          <w:sz w:val="21"/>
          <w:szCs w:val="21"/>
          <w:highlight w:val="none"/>
          <w:u w:val="single"/>
        </w:rPr>
        <w:t xml:space="preserve">             </w:t>
      </w:r>
      <w:r>
        <w:rPr>
          <w:rFonts w:hint="eastAsia"/>
          <w:color w:val="auto"/>
          <w:sz w:val="21"/>
          <w:szCs w:val="21"/>
          <w:highlight w:val="none"/>
        </w:rPr>
        <w:t>(职务)</w:t>
      </w:r>
    </w:p>
    <w:p w14:paraId="5752E938">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5238111D">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19801156">
      <w:pPr>
        <w:widowControl/>
        <w:spacing w:line="360" w:lineRule="auto"/>
        <w:ind w:firstLine="420" w:firstLineChars="200"/>
        <w:jc w:val="left"/>
        <w:rPr>
          <w:color w:val="auto"/>
          <w:sz w:val="21"/>
          <w:szCs w:val="21"/>
          <w:highlight w:val="none"/>
        </w:rPr>
      </w:pPr>
    </w:p>
    <w:p w14:paraId="541DE8C5">
      <w:pPr>
        <w:widowControl/>
        <w:spacing w:line="360" w:lineRule="auto"/>
        <w:ind w:firstLine="420" w:firstLineChars="200"/>
        <w:jc w:val="left"/>
        <w:rPr>
          <w:color w:val="auto"/>
          <w:sz w:val="21"/>
          <w:szCs w:val="21"/>
          <w:highlight w:val="none"/>
        </w:rPr>
      </w:pPr>
      <w:r>
        <w:rPr>
          <w:rFonts w:hint="eastAsia"/>
          <w:color w:val="auto"/>
          <w:sz w:val="21"/>
          <w:szCs w:val="21"/>
          <w:highlight w:val="none"/>
        </w:rPr>
        <w:t>廉政监督联系人                              廉政监督联系人</w:t>
      </w:r>
    </w:p>
    <w:p w14:paraId="6DD0B4CA">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5C80697B">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1ADCFC41">
      <w:pPr>
        <w:widowControl/>
        <w:spacing w:line="360" w:lineRule="auto"/>
        <w:ind w:firstLine="420" w:firstLineChars="200"/>
        <w:jc w:val="left"/>
        <w:rPr>
          <w:color w:val="auto"/>
          <w:sz w:val="21"/>
          <w:szCs w:val="21"/>
          <w:highlight w:val="none"/>
        </w:rPr>
      </w:pPr>
      <w:r>
        <w:rPr>
          <w:rFonts w:hint="eastAsia"/>
          <w:color w:val="auto"/>
          <w:sz w:val="21"/>
          <w:szCs w:val="21"/>
          <w:highlight w:val="none"/>
        </w:rPr>
        <w:t>电话：</w:t>
      </w:r>
      <w:r>
        <w:rPr>
          <w:rFonts w:hint="eastAsia"/>
          <w:color w:val="auto"/>
          <w:sz w:val="21"/>
          <w:szCs w:val="21"/>
          <w:highlight w:val="none"/>
          <w:u w:val="single"/>
        </w:rPr>
        <w:t xml:space="preserve">                       </w:t>
      </w:r>
      <w:r>
        <w:rPr>
          <w:rFonts w:hint="eastAsia"/>
          <w:color w:val="auto"/>
          <w:sz w:val="21"/>
          <w:szCs w:val="21"/>
          <w:highlight w:val="none"/>
        </w:rPr>
        <w:t xml:space="preserve">               电话：</w:t>
      </w:r>
      <w:r>
        <w:rPr>
          <w:rFonts w:hint="eastAsia"/>
          <w:color w:val="auto"/>
          <w:sz w:val="21"/>
          <w:szCs w:val="21"/>
          <w:highlight w:val="none"/>
          <w:u w:val="single"/>
        </w:rPr>
        <w:t xml:space="preserve">                       </w:t>
      </w:r>
    </w:p>
    <w:p w14:paraId="4640CB4D">
      <w:pPr>
        <w:widowControl/>
        <w:spacing w:line="360" w:lineRule="auto"/>
        <w:ind w:firstLine="420" w:firstLineChars="200"/>
        <w:jc w:val="left"/>
        <w:rPr>
          <w:color w:val="auto"/>
          <w:sz w:val="21"/>
          <w:szCs w:val="21"/>
          <w:highlight w:val="none"/>
        </w:rPr>
      </w:pPr>
      <w:r>
        <w:rPr>
          <w:rFonts w:hint="eastAsia"/>
          <w:color w:val="auto"/>
          <w:sz w:val="21"/>
          <w:szCs w:val="21"/>
          <w:highlight w:val="none"/>
        </w:rPr>
        <w:t>地址：</w:t>
      </w:r>
      <w:r>
        <w:rPr>
          <w:rFonts w:hint="eastAsia"/>
          <w:color w:val="auto"/>
          <w:sz w:val="21"/>
          <w:szCs w:val="21"/>
          <w:highlight w:val="none"/>
          <w:u w:val="single"/>
        </w:rPr>
        <w:t xml:space="preserve">                       </w:t>
      </w:r>
      <w:r>
        <w:rPr>
          <w:rFonts w:hint="eastAsia"/>
          <w:color w:val="auto"/>
          <w:sz w:val="21"/>
          <w:szCs w:val="21"/>
          <w:highlight w:val="none"/>
        </w:rPr>
        <w:t xml:space="preserve">               地址：</w:t>
      </w:r>
      <w:r>
        <w:rPr>
          <w:rFonts w:hint="eastAsia"/>
          <w:color w:val="auto"/>
          <w:sz w:val="21"/>
          <w:szCs w:val="21"/>
          <w:highlight w:val="none"/>
          <w:u w:val="single"/>
        </w:rPr>
        <w:t xml:space="preserve">                       </w:t>
      </w:r>
    </w:p>
    <w:p w14:paraId="48E07AEE">
      <w:pPr>
        <w:widowControl/>
        <w:spacing w:line="360" w:lineRule="auto"/>
        <w:ind w:firstLine="420" w:firstLineChars="200"/>
        <w:jc w:val="left"/>
        <w:rPr>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 xml:space="preserve">               日期：</w:t>
      </w:r>
      <w:r>
        <w:rPr>
          <w:rFonts w:hint="eastAsia"/>
          <w:color w:val="auto"/>
          <w:sz w:val="21"/>
          <w:szCs w:val="21"/>
          <w:highlight w:val="none"/>
          <w:u w:val="single"/>
        </w:rPr>
        <w:t xml:space="preserve">                       </w:t>
      </w:r>
    </w:p>
    <w:p w14:paraId="190EC640">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szCs w:val="21"/>
          <w:highlight w:val="none"/>
        </w:rPr>
        <w:br w:type="page"/>
      </w:r>
    </w:p>
    <w:p w14:paraId="49461E36">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附件9：履约保证金</w:t>
      </w:r>
    </w:p>
    <w:p w14:paraId="14192FEF">
      <w:pPr>
        <w:spacing w:line="360"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履约保函示范文本</w:t>
      </w:r>
    </w:p>
    <w:p w14:paraId="329B7643">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7D9832EE">
      <w:pPr>
        <w:spacing w:line="360" w:lineRule="auto"/>
        <w:rPr>
          <w:color w:val="auto"/>
          <w:szCs w:val="21"/>
          <w:highlight w:val="none"/>
        </w:rPr>
      </w:pPr>
    </w:p>
    <w:p w14:paraId="4C0B3B01">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5F308AAD">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（以下简称“基础合同”），开立人根据基础合同了解到申请人为基础合同项下之承包人，受益人为基础合同项下之发包人，基于申请人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项下的义务</w:t>
      </w:r>
      <w:r>
        <w:rPr>
          <w:rFonts w:hint="eastAsia"/>
          <w:color w:val="auto"/>
          <w:szCs w:val="21"/>
          <w:highlight w:val="none"/>
        </w:rPr>
        <w:t>，</w:t>
      </w:r>
      <w:r>
        <w:rPr>
          <w:color w:val="auto"/>
          <w:szCs w:val="21"/>
          <w:highlight w:val="none"/>
        </w:rPr>
        <w:t>向</w:t>
      </w:r>
      <w:r>
        <w:rPr>
          <w:rFonts w:hint="eastAsia"/>
          <w:color w:val="auto"/>
          <w:szCs w:val="21"/>
          <w:highlight w:val="none"/>
        </w:rPr>
        <w:t>受益人</w:t>
      </w:r>
      <w:r>
        <w:rPr>
          <w:color w:val="auto"/>
          <w:szCs w:val="21"/>
          <w:highlight w:val="none"/>
        </w:rPr>
        <w:t>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12038EF9">
      <w:pPr>
        <w:spacing w:line="360" w:lineRule="auto"/>
        <w:ind w:firstLine="400" w:firstLineChars="200"/>
        <w:rPr>
          <w:color w:val="auto"/>
          <w:szCs w:val="21"/>
          <w:highlight w:val="none"/>
        </w:rPr>
      </w:pPr>
      <w:r>
        <w:rPr>
          <w:rFonts w:hint="eastAsia"/>
          <w:color w:val="auto"/>
          <w:szCs w:val="21"/>
          <w:highlight w:val="none"/>
        </w:rPr>
        <w:t>一、本保函担保范围：承包人未按照基础合同的约定履行义务，应当向受益人承担的违约责任和赔偿因此造成的损失、利息、律师费、诉讼费用等实现债权的费用。</w:t>
      </w:r>
    </w:p>
    <w:p w14:paraId="41079933">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rFonts w:hint="eastAsia" w:cs="宋体"/>
          <w:color w:val="auto"/>
          <w:szCs w:val="21"/>
          <w:highlight w:val="none"/>
        </w:rPr>
        <w:t>¥</w:t>
      </w:r>
      <w:r>
        <w:rPr>
          <w:color w:val="auto"/>
          <w:szCs w:val="21"/>
          <w:highlight w:val="none"/>
          <w:u w:val="single"/>
        </w:rPr>
        <w:t xml:space="preserve">       </w:t>
      </w:r>
      <w:r>
        <w:rPr>
          <w:color w:val="auto"/>
          <w:szCs w:val="21"/>
          <w:highlight w:val="none"/>
        </w:rPr>
        <w:t xml:space="preserve">）。 </w:t>
      </w:r>
    </w:p>
    <w:p w14:paraId="2AAFFCD1">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基础合同约定的缺陷责任期满之日止</w:t>
      </w:r>
      <w:r>
        <w:rPr>
          <w:color w:val="auto"/>
          <w:szCs w:val="21"/>
          <w:highlight w:val="none"/>
        </w:rPr>
        <w:t xml:space="preserve">。 </w:t>
      </w:r>
    </w:p>
    <w:p w14:paraId="44FF5293">
      <w:pPr>
        <w:spacing w:line="400" w:lineRule="exact"/>
        <w:ind w:firstLine="480"/>
        <w:rPr>
          <w:color w:val="auto"/>
          <w:szCs w:val="21"/>
          <w:highlight w:val="none"/>
        </w:rPr>
      </w:pPr>
      <w:bookmarkStart w:id="609" w:name="_Hlk40302764"/>
      <w:r>
        <w:rPr>
          <w:rFonts w:hint="eastAsia"/>
          <w:color w:val="auto"/>
          <w:szCs w:val="21"/>
          <w:highlight w:val="none"/>
        </w:rPr>
        <w:t>四、开立人承诺，在收到受益人发来的书面付款通知后的七日内无条件支付，前述书面付款通知即为付款要求之单据，且应满足以下要求：</w:t>
      </w:r>
    </w:p>
    <w:bookmarkEnd w:id="609"/>
    <w:p w14:paraId="70F37579">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5C95D371">
      <w:pPr>
        <w:spacing w:line="360" w:lineRule="auto"/>
        <w:ind w:firstLine="400" w:firstLineChars="200"/>
        <w:rPr>
          <w:color w:val="auto"/>
          <w:szCs w:val="21"/>
          <w:highlight w:val="none"/>
        </w:rPr>
      </w:pPr>
      <w:r>
        <w:rPr>
          <w:rFonts w:hint="eastAsia"/>
          <w:color w:val="auto"/>
          <w:szCs w:val="21"/>
          <w:highlight w:val="none"/>
        </w:rPr>
        <w:t>（2）载明要求支付的金额；</w:t>
      </w:r>
    </w:p>
    <w:p w14:paraId="18A1DA34">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693A2E90">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73E7E6DC">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3B32A2FB">
      <w:pPr>
        <w:spacing w:line="400" w:lineRule="exact"/>
        <w:rPr>
          <w:color w:val="auto"/>
          <w:szCs w:val="21"/>
          <w:highlight w:val="none"/>
        </w:rPr>
      </w:pPr>
      <w:r>
        <w:rPr>
          <w:rFonts w:hint="eastAsia"/>
          <w:color w:val="auto"/>
          <w:szCs w:val="21"/>
          <w:highlight w:val="none"/>
        </w:rPr>
        <w:t xml:space="preserve">    </w:t>
      </w:r>
      <w:bookmarkStart w:id="610" w:name="_Hlk40303486"/>
      <w:r>
        <w:rPr>
          <w:rFonts w:hint="eastAsia"/>
          <w:color w:val="auto"/>
          <w:szCs w:val="21"/>
          <w:highlight w:val="none"/>
        </w:rPr>
        <w:t>受益人发出的书面付款通知应由其法定代表人（负责人）或授权代理人签字并加盖公章。</w:t>
      </w:r>
      <w:bookmarkEnd w:id="610"/>
    </w:p>
    <w:p w14:paraId="5497DC88">
      <w:pPr>
        <w:spacing w:line="360" w:lineRule="auto"/>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未经我方书面同意转 让本保函或其项下任何权利，</w:t>
      </w:r>
      <w:r>
        <w:rPr>
          <w:rFonts w:hint="eastAsia"/>
          <w:color w:val="auto"/>
          <w:szCs w:val="21"/>
          <w:highlight w:val="none"/>
        </w:rPr>
        <w:t>对我方不发生法律效力</w:t>
      </w:r>
      <w:r>
        <w:rPr>
          <w:color w:val="auto"/>
          <w:szCs w:val="21"/>
          <w:highlight w:val="none"/>
        </w:rPr>
        <w:t xml:space="preserve">。 </w:t>
      </w:r>
    </w:p>
    <w:p w14:paraId="635DF21D">
      <w:pPr>
        <w:spacing w:line="360" w:lineRule="auto"/>
        <w:ind w:firstLine="400" w:firstLineChars="200"/>
        <w:rPr>
          <w:color w:val="auto"/>
          <w:szCs w:val="21"/>
          <w:highlight w:val="none"/>
        </w:rPr>
      </w:pPr>
      <w:r>
        <w:rPr>
          <w:rFonts w:hint="eastAsia"/>
          <w:color w:val="auto"/>
          <w:szCs w:val="21"/>
          <w:highlight w:val="none"/>
        </w:rPr>
        <w:t>六、与</w:t>
      </w:r>
      <w:r>
        <w:rPr>
          <w:color w:val="auto"/>
          <w:szCs w:val="21"/>
          <w:highlight w:val="none"/>
        </w:rPr>
        <w:t>本保函</w:t>
      </w:r>
      <w:r>
        <w:rPr>
          <w:rFonts w:hint="eastAsia"/>
          <w:color w:val="auto"/>
          <w:szCs w:val="21"/>
          <w:highlight w:val="none"/>
        </w:rPr>
        <w:t>有关</w:t>
      </w:r>
      <w:r>
        <w:rPr>
          <w:color w:val="auto"/>
          <w:szCs w:val="21"/>
          <w:highlight w:val="none"/>
        </w:rPr>
        <w:t>的</w:t>
      </w:r>
      <w:r>
        <w:rPr>
          <w:rFonts w:hint="eastAsia"/>
          <w:color w:val="auto"/>
          <w:szCs w:val="21"/>
          <w:highlight w:val="none"/>
        </w:rPr>
        <w:t>基础</w:t>
      </w:r>
      <w:r>
        <w:rPr>
          <w:color w:val="auto"/>
          <w:szCs w:val="21"/>
          <w:highlight w:val="none"/>
        </w:rPr>
        <w:t xml:space="preserve">合同不成立、不生效、无效、被撤销、被解除，不影响本保函的独立有效。 </w:t>
      </w:r>
    </w:p>
    <w:p w14:paraId="4E2067D7">
      <w:pPr>
        <w:spacing w:line="400" w:lineRule="exact"/>
        <w:ind w:firstLine="400" w:firstLineChars="200"/>
        <w:rPr>
          <w:color w:val="auto"/>
          <w:szCs w:val="21"/>
          <w:highlight w:val="none"/>
        </w:rPr>
      </w:pPr>
      <w:bookmarkStart w:id="611" w:name="_Hlk40303383"/>
      <w:bookmarkStart w:id="612" w:name="_Hlk40354981"/>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4F43CE7F">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w:t>
      </w:r>
      <w:bookmarkEnd w:id="611"/>
      <w:r>
        <w:rPr>
          <w:rFonts w:hint="eastAsia"/>
          <w:color w:val="auto"/>
          <w:szCs w:val="21"/>
          <w:highlight w:val="none"/>
        </w:rPr>
        <w:t>由受益人所在地人民法院管辖。</w:t>
      </w:r>
      <w:r>
        <w:rPr>
          <w:color w:val="auto"/>
          <w:szCs w:val="21"/>
          <w:highlight w:val="none"/>
        </w:rPr>
        <w:t xml:space="preserve"> </w:t>
      </w:r>
    </w:p>
    <w:bookmarkEnd w:id="612"/>
    <w:p w14:paraId="62A71D3F">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2E7F7B29">
      <w:pPr>
        <w:spacing w:line="360" w:lineRule="auto"/>
        <w:ind w:firstLine="400" w:firstLineChars="200"/>
        <w:rPr>
          <w:color w:val="auto"/>
          <w:szCs w:val="21"/>
          <w:highlight w:val="none"/>
        </w:rPr>
      </w:pPr>
    </w:p>
    <w:p w14:paraId="40F10059">
      <w:pPr>
        <w:spacing w:line="360" w:lineRule="auto"/>
        <w:ind w:firstLine="400" w:firstLineChars="200"/>
        <w:rPr>
          <w:color w:val="auto"/>
          <w:szCs w:val="21"/>
          <w:highlight w:val="none"/>
        </w:rPr>
      </w:pPr>
    </w:p>
    <w:p w14:paraId="5A2965F1">
      <w:pPr>
        <w:spacing w:line="360" w:lineRule="auto"/>
        <w:ind w:firstLine="400" w:firstLineChars="200"/>
        <w:rPr>
          <w:color w:val="auto"/>
          <w:szCs w:val="21"/>
          <w:highlight w:val="none"/>
        </w:rPr>
      </w:pPr>
    </w:p>
    <w:p w14:paraId="14CB2FFC">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364996B1">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6D9979C3">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14D60929">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56667C0F">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62C30C40">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393EFBB0">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3C2678F7">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Cs/>
          <w:color w:val="auto"/>
          <w:kern w:val="2"/>
          <w:sz w:val="24"/>
          <w:szCs w:val="24"/>
          <w:highlight w:val="none"/>
        </w:rPr>
        <w:br w:type="page"/>
      </w:r>
    </w:p>
    <w:p w14:paraId="313F5681">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附件10：预付款担保</w:t>
      </w:r>
    </w:p>
    <w:p w14:paraId="5AFE904D">
      <w:pPr>
        <w:spacing w:line="360" w:lineRule="auto"/>
        <w:jc w:val="center"/>
        <w:rPr>
          <w:b/>
          <w:bCs/>
          <w:color w:val="auto"/>
          <w:sz w:val="32"/>
          <w:szCs w:val="32"/>
          <w:highlight w:val="none"/>
        </w:rPr>
      </w:pPr>
      <w:r>
        <w:rPr>
          <w:rFonts w:hint="eastAsia"/>
          <w:b/>
          <w:bCs/>
          <w:color w:val="auto"/>
          <w:sz w:val="32"/>
          <w:szCs w:val="32"/>
          <w:highlight w:val="none"/>
        </w:rPr>
        <w:t>预付款保函示范文本</w:t>
      </w:r>
    </w:p>
    <w:p w14:paraId="73860A73">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0BA769BC">
      <w:pPr>
        <w:spacing w:line="360" w:lineRule="auto"/>
        <w:rPr>
          <w:color w:val="auto"/>
          <w:szCs w:val="21"/>
          <w:highlight w:val="none"/>
        </w:rPr>
      </w:pPr>
    </w:p>
    <w:p w14:paraId="7AA36F32">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7E7262F0">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（以下简称“基础合同”），开立人根据主合同了解到申请人为主合同项下之承包人，受益人为主合同项下之发包人，基于申请人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申请人按照合同约定正确和合理地为合同目的使用预付款，</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66A9C11C">
      <w:pPr>
        <w:spacing w:line="360" w:lineRule="auto"/>
        <w:ind w:firstLine="400" w:firstLineChars="200"/>
        <w:rPr>
          <w:color w:val="auto"/>
          <w:szCs w:val="21"/>
          <w:highlight w:val="none"/>
        </w:rPr>
      </w:pPr>
      <w:r>
        <w:rPr>
          <w:rFonts w:hint="eastAsia"/>
          <w:color w:val="auto"/>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35DBD609">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6C964141">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发包人全额扣回预付款之日止。</w:t>
      </w:r>
    </w:p>
    <w:p w14:paraId="40F1569C">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607479B8">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663806C0">
      <w:pPr>
        <w:spacing w:line="360" w:lineRule="auto"/>
        <w:ind w:firstLine="400" w:firstLineChars="200"/>
        <w:rPr>
          <w:color w:val="auto"/>
          <w:szCs w:val="21"/>
          <w:highlight w:val="none"/>
        </w:rPr>
      </w:pPr>
      <w:r>
        <w:rPr>
          <w:rFonts w:hint="eastAsia"/>
          <w:color w:val="auto"/>
          <w:szCs w:val="21"/>
          <w:highlight w:val="none"/>
        </w:rPr>
        <w:t>（2）载明要求支付的金额；</w:t>
      </w:r>
    </w:p>
    <w:p w14:paraId="674164E1">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5B310F1F">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65E2435E">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16436EDD">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4D441138">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0E99CDBB">
      <w:pPr>
        <w:spacing w:line="400" w:lineRule="exact"/>
        <w:ind w:firstLine="400" w:firstLineChars="200"/>
        <w:rPr>
          <w:rStyle w:val="33"/>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4CC3217D">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740C7069">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适用的法律为中华人民共和国法律，因本保函产生的纠纷案件，由受益人所在地人民法院管辖。</w:t>
      </w:r>
      <w:r>
        <w:rPr>
          <w:color w:val="auto"/>
          <w:szCs w:val="21"/>
          <w:highlight w:val="none"/>
        </w:rPr>
        <w:t xml:space="preserve"> </w:t>
      </w:r>
    </w:p>
    <w:p w14:paraId="281BD2B6">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3E12D375">
      <w:pPr>
        <w:spacing w:line="360" w:lineRule="auto"/>
        <w:ind w:firstLine="400" w:firstLineChars="200"/>
        <w:rPr>
          <w:color w:val="auto"/>
          <w:szCs w:val="21"/>
          <w:highlight w:val="none"/>
        </w:rPr>
      </w:pPr>
    </w:p>
    <w:p w14:paraId="74B35FF4">
      <w:pPr>
        <w:spacing w:line="360" w:lineRule="auto"/>
        <w:ind w:firstLine="400" w:firstLineChars="200"/>
        <w:rPr>
          <w:color w:val="auto"/>
          <w:szCs w:val="21"/>
          <w:highlight w:val="none"/>
        </w:rPr>
      </w:pPr>
    </w:p>
    <w:p w14:paraId="6618C251">
      <w:pPr>
        <w:spacing w:line="360" w:lineRule="auto"/>
        <w:ind w:firstLine="400" w:firstLineChars="200"/>
        <w:rPr>
          <w:color w:val="auto"/>
          <w:szCs w:val="21"/>
          <w:highlight w:val="none"/>
        </w:rPr>
      </w:pPr>
    </w:p>
    <w:p w14:paraId="4A46A4A9">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3EE1625F">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3FF6205D">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35EA7A7C">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47306E2B">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7B0A6CD9">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41DE87F3">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79799D37">
      <w:pPr>
        <w:pStyle w:val="19"/>
        <w:ind w:firstLine="200"/>
        <w:rPr>
          <w:color w:val="auto"/>
          <w:highlight w:val="none"/>
          <w:lang w:val="en-US"/>
        </w:rPr>
      </w:pPr>
    </w:p>
    <w:p w14:paraId="61606C16">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
          <w:bCs/>
          <w:color w:val="auto"/>
          <w:kern w:val="2"/>
          <w:sz w:val="24"/>
          <w:szCs w:val="24"/>
          <w:highlight w:val="none"/>
        </w:rPr>
        <w:br w:type="page"/>
      </w:r>
    </w:p>
    <w:p w14:paraId="21C9BD9B">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w:t>
      </w:r>
      <w:r>
        <w:rPr>
          <w:rFonts w:ascii="黑体" w:hAnsi="黑体" w:eastAsia="黑体"/>
          <w:bCs/>
          <w:color w:val="auto"/>
          <w:sz w:val="24"/>
          <w:highlight w:val="none"/>
        </w:rPr>
        <w:t>1</w:t>
      </w:r>
      <w:r>
        <w:rPr>
          <w:rFonts w:hint="eastAsia" w:ascii="黑体" w:hAnsi="黑体" w:eastAsia="黑体"/>
          <w:bCs/>
          <w:color w:val="auto"/>
          <w:sz w:val="24"/>
          <w:highlight w:val="none"/>
        </w:rPr>
        <w:t>1：支付担保</w:t>
      </w:r>
    </w:p>
    <w:p w14:paraId="004FF5E4">
      <w:pPr>
        <w:spacing w:line="360" w:lineRule="auto"/>
        <w:jc w:val="center"/>
        <w:rPr>
          <w:b/>
          <w:bCs/>
          <w:color w:val="auto"/>
          <w:sz w:val="32"/>
          <w:szCs w:val="32"/>
          <w:highlight w:val="none"/>
        </w:rPr>
      </w:pPr>
      <w:r>
        <w:rPr>
          <w:rFonts w:hint="eastAsia"/>
          <w:b/>
          <w:bCs/>
          <w:color w:val="auto"/>
          <w:sz w:val="32"/>
          <w:szCs w:val="32"/>
          <w:highlight w:val="none"/>
        </w:rPr>
        <w:t>支付保函示范文本</w:t>
      </w:r>
    </w:p>
    <w:p w14:paraId="035B4CCF">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262B9CF5">
      <w:pPr>
        <w:spacing w:line="360" w:lineRule="auto"/>
        <w:rPr>
          <w:color w:val="auto"/>
          <w:szCs w:val="21"/>
          <w:highlight w:val="none"/>
        </w:rPr>
      </w:pPr>
    </w:p>
    <w:p w14:paraId="4470D084">
      <w:pPr>
        <w:spacing w:line="360" w:lineRule="auto"/>
        <w:rPr>
          <w:color w:val="auto"/>
          <w:szCs w:val="21"/>
          <w:highlight w:val="none"/>
        </w:rPr>
      </w:pPr>
      <w:bookmarkStart w:id="613" w:name="_Hlk40355074"/>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bookmarkEnd w:id="613"/>
    <w:p w14:paraId="1EC70F72">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（以下简称基础合同”），开立人根据基础合同了解到申请人为基础合同项下之发包人，受益人为基础合同项下之承包人，基于申请人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w:t>
      </w:r>
      <w:r>
        <w:rPr>
          <w:rFonts w:hint="eastAsia"/>
          <w:color w:val="auto"/>
          <w:szCs w:val="21"/>
          <w:highlight w:val="none"/>
        </w:rPr>
        <w:t>工程款（指基础合同约定的除工程质量保修金以外的工程款）付款</w:t>
      </w:r>
      <w:r>
        <w:rPr>
          <w:color w:val="auto"/>
          <w:szCs w:val="21"/>
          <w:highlight w:val="none"/>
        </w:rPr>
        <w:t>义务</w:t>
      </w:r>
      <w:r>
        <w:rPr>
          <w:rFonts w:hint="eastAsia"/>
          <w:color w:val="auto"/>
          <w:szCs w:val="21"/>
          <w:highlight w:val="none"/>
        </w:rPr>
        <w:t>，</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2E2E0B7F">
      <w:pPr>
        <w:spacing w:line="360" w:lineRule="auto"/>
        <w:ind w:firstLine="400" w:firstLineChars="200"/>
        <w:rPr>
          <w:color w:val="auto"/>
          <w:szCs w:val="21"/>
          <w:highlight w:val="none"/>
        </w:rPr>
      </w:pPr>
      <w:r>
        <w:rPr>
          <w:rFonts w:hint="eastAsia"/>
          <w:color w:val="auto"/>
          <w:szCs w:val="21"/>
          <w:highlight w:val="none"/>
        </w:rPr>
        <w:t>一、本保函担保范围：申请人未履行基础合同约定的工程款支付义务，应当向受益人承担的违约责任和赔偿因此造成的损失、利息、律师费、诉讼费用等实现债权的费用。</w:t>
      </w:r>
    </w:p>
    <w:p w14:paraId="4ECA11CD">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33DE531A">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基础合同约定的除工程质量保修金以外的全部工程结算款项支付之日后</w:t>
      </w:r>
      <w:r>
        <w:rPr>
          <w:rFonts w:hint="eastAsia"/>
          <w:color w:val="auto"/>
          <w:szCs w:val="21"/>
          <w:highlight w:val="none"/>
          <w:u w:val="single"/>
        </w:rPr>
        <w:t xml:space="preserve">    </w:t>
      </w:r>
      <w:r>
        <w:rPr>
          <w:rFonts w:hint="eastAsia"/>
          <w:color w:val="auto"/>
          <w:szCs w:val="21"/>
          <w:highlight w:val="none"/>
        </w:rPr>
        <w:t>日止</w:t>
      </w:r>
      <w:r>
        <w:rPr>
          <w:color w:val="auto"/>
          <w:szCs w:val="21"/>
          <w:highlight w:val="none"/>
        </w:rPr>
        <w:t xml:space="preserve">。 </w:t>
      </w:r>
    </w:p>
    <w:p w14:paraId="7A18B9B8">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744460C4">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429A3904">
      <w:pPr>
        <w:spacing w:line="360" w:lineRule="auto"/>
        <w:ind w:firstLine="400" w:firstLineChars="200"/>
        <w:rPr>
          <w:color w:val="auto"/>
          <w:szCs w:val="21"/>
          <w:highlight w:val="none"/>
        </w:rPr>
      </w:pPr>
      <w:r>
        <w:rPr>
          <w:rFonts w:hint="eastAsia"/>
          <w:color w:val="auto"/>
          <w:szCs w:val="21"/>
          <w:highlight w:val="none"/>
        </w:rPr>
        <w:t>（2）载明要求支付的金额；</w:t>
      </w:r>
    </w:p>
    <w:p w14:paraId="0A09CC74">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26D95B0D">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57A02D47">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6222CCEB">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0FA406B0">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51F75EC3">
      <w:pPr>
        <w:spacing w:line="400" w:lineRule="exact"/>
        <w:ind w:firstLine="400" w:firstLineChars="200"/>
        <w:rPr>
          <w:rStyle w:val="33"/>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06C06BC1">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705962D0">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适用的法律为中华人民共和国法律，因本保函产生的纠纷案件，由申请人所在地人民法院管辖。</w:t>
      </w:r>
      <w:r>
        <w:rPr>
          <w:color w:val="auto"/>
          <w:szCs w:val="21"/>
          <w:highlight w:val="none"/>
        </w:rPr>
        <w:t xml:space="preserve"> </w:t>
      </w:r>
    </w:p>
    <w:p w14:paraId="62D64FC6">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4CF97848">
      <w:pPr>
        <w:spacing w:line="360" w:lineRule="auto"/>
        <w:ind w:firstLine="400" w:firstLineChars="200"/>
        <w:rPr>
          <w:color w:val="auto"/>
          <w:szCs w:val="21"/>
          <w:highlight w:val="none"/>
        </w:rPr>
      </w:pPr>
    </w:p>
    <w:p w14:paraId="5CD1D8CF">
      <w:pPr>
        <w:spacing w:line="360" w:lineRule="auto"/>
        <w:ind w:firstLine="400" w:firstLineChars="200"/>
        <w:rPr>
          <w:color w:val="auto"/>
          <w:szCs w:val="21"/>
          <w:highlight w:val="none"/>
        </w:rPr>
      </w:pPr>
    </w:p>
    <w:p w14:paraId="4112CA14">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176198B8">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2BAEF8F0">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66E0D6A5">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68339F8A">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546DFDFB">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740107C6">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2FBD352D">
      <w:pPr>
        <w:pStyle w:val="19"/>
        <w:ind w:firstLine="200"/>
        <w:rPr>
          <w:color w:val="auto"/>
          <w:highlight w:val="none"/>
          <w:lang w:val="en-US"/>
        </w:rPr>
      </w:pPr>
    </w:p>
    <w:p w14:paraId="4766C508">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2：暂估价一览表</w:t>
      </w:r>
    </w:p>
    <w:p w14:paraId="6A0B512E">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-1</w:t>
      </w:r>
      <w:r>
        <w:rPr>
          <w:rFonts w:hint="eastAsia"/>
          <w:color w:val="auto"/>
          <w:kern w:val="2"/>
          <w:sz w:val="21"/>
          <w:szCs w:val="21"/>
          <w:highlight w:val="none"/>
        </w:rPr>
        <w:t>：材料暂估价表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0C57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400B905C">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070A19E2">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24F7E3AD">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5CAA04C1">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5F0B2E3E">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2822DD56">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7B977864">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0C16D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05225572">
            <w:pPr>
              <w:keepNext/>
              <w:spacing w:line="440" w:lineRule="exact"/>
              <w:rPr>
                <w:color w:val="auto"/>
                <w:kern w:val="2"/>
                <w:sz w:val="21"/>
                <w:szCs w:val="21"/>
                <w:highlight w:val="none"/>
              </w:rPr>
            </w:pPr>
          </w:p>
        </w:tc>
        <w:tc>
          <w:tcPr>
            <w:tcW w:w="1093" w:type="pct"/>
            <w:tcBorders>
              <w:top w:val="double" w:color="auto" w:sz="6" w:space="0"/>
            </w:tcBorders>
          </w:tcPr>
          <w:p w14:paraId="403508F8">
            <w:pPr>
              <w:keepNext/>
              <w:spacing w:line="440" w:lineRule="exact"/>
              <w:rPr>
                <w:color w:val="auto"/>
                <w:kern w:val="2"/>
                <w:sz w:val="21"/>
                <w:szCs w:val="21"/>
                <w:highlight w:val="none"/>
              </w:rPr>
            </w:pPr>
          </w:p>
        </w:tc>
        <w:tc>
          <w:tcPr>
            <w:tcW w:w="469" w:type="pct"/>
            <w:tcBorders>
              <w:top w:val="double" w:color="auto" w:sz="6" w:space="0"/>
            </w:tcBorders>
          </w:tcPr>
          <w:p w14:paraId="422C9BF6">
            <w:pPr>
              <w:keepNext/>
              <w:spacing w:line="440" w:lineRule="exact"/>
              <w:rPr>
                <w:color w:val="auto"/>
                <w:kern w:val="2"/>
                <w:sz w:val="21"/>
                <w:szCs w:val="21"/>
                <w:highlight w:val="none"/>
              </w:rPr>
            </w:pPr>
          </w:p>
        </w:tc>
        <w:tc>
          <w:tcPr>
            <w:tcW w:w="427" w:type="pct"/>
            <w:tcBorders>
              <w:top w:val="double" w:color="auto" w:sz="6" w:space="0"/>
            </w:tcBorders>
          </w:tcPr>
          <w:p w14:paraId="5F68B8C0">
            <w:pPr>
              <w:keepNext/>
              <w:spacing w:line="440" w:lineRule="exact"/>
              <w:rPr>
                <w:color w:val="auto"/>
                <w:kern w:val="2"/>
                <w:sz w:val="21"/>
                <w:szCs w:val="21"/>
                <w:highlight w:val="none"/>
              </w:rPr>
            </w:pPr>
          </w:p>
        </w:tc>
        <w:tc>
          <w:tcPr>
            <w:tcW w:w="745" w:type="pct"/>
            <w:tcBorders>
              <w:top w:val="double" w:color="auto" w:sz="6" w:space="0"/>
            </w:tcBorders>
          </w:tcPr>
          <w:p w14:paraId="01CF405F">
            <w:pPr>
              <w:keepNext/>
              <w:spacing w:line="440" w:lineRule="exact"/>
              <w:rPr>
                <w:color w:val="auto"/>
                <w:kern w:val="2"/>
                <w:sz w:val="21"/>
                <w:szCs w:val="21"/>
                <w:highlight w:val="none"/>
              </w:rPr>
            </w:pPr>
          </w:p>
        </w:tc>
        <w:tc>
          <w:tcPr>
            <w:tcW w:w="781" w:type="pct"/>
            <w:tcBorders>
              <w:top w:val="double" w:color="auto" w:sz="6" w:space="0"/>
            </w:tcBorders>
          </w:tcPr>
          <w:p w14:paraId="5E1CF444">
            <w:pPr>
              <w:keepNext/>
              <w:spacing w:line="440" w:lineRule="exact"/>
              <w:rPr>
                <w:color w:val="auto"/>
                <w:kern w:val="2"/>
                <w:sz w:val="21"/>
                <w:szCs w:val="21"/>
                <w:highlight w:val="none"/>
              </w:rPr>
            </w:pPr>
          </w:p>
        </w:tc>
        <w:tc>
          <w:tcPr>
            <w:tcW w:w="937" w:type="pct"/>
            <w:tcBorders>
              <w:top w:val="double" w:color="auto" w:sz="6" w:space="0"/>
            </w:tcBorders>
          </w:tcPr>
          <w:p w14:paraId="321EF5C4">
            <w:pPr>
              <w:keepNext/>
              <w:spacing w:line="440" w:lineRule="exact"/>
              <w:rPr>
                <w:color w:val="auto"/>
                <w:kern w:val="2"/>
                <w:sz w:val="21"/>
                <w:szCs w:val="21"/>
                <w:highlight w:val="none"/>
              </w:rPr>
            </w:pPr>
          </w:p>
        </w:tc>
      </w:tr>
      <w:tr w14:paraId="544AA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47" w:type="pct"/>
            <w:tcBorders>
              <w:top w:val="nil"/>
            </w:tcBorders>
          </w:tcPr>
          <w:p w14:paraId="1085D84D">
            <w:pPr>
              <w:keepNext/>
              <w:spacing w:line="440" w:lineRule="exact"/>
              <w:rPr>
                <w:color w:val="auto"/>
                <w:kern w:val="2"/>
                <w:sz w:val="21"/>
                <w:szCs w:val="21"/>
                <w:highlight w:val="none"/>
              </w:rPr>
            </w:pPr>
          </w:p>
        </w:tc>
        <w:tc>
          <w:tcPr>
            <w:tcW w:w="1093" w:type="pct"/>
            <w:tcBorders>
              <w:top w:val="nil"/>
            </w:tcBorders>
          </w:tcPr>
          <w:p w14:paraId="553F980C">
            <w:pPr>
              <w:keepNext/>
              <w:spacing w:line="440" w:lineRule="exact"/>
              <w:rPr>
                <w:color w:val="auto"/>
                <w:kern w:val="2"/>
                <w:sz w:val="21"/>
                <w:szCs w:val="21"/>
                <w:highlight w:val="none"/>
              </w:rPr>
            </w:pPr>
          </w:p>
        </w:tc>
        <w:tc>
          <w:tcPr>
            <w:tcW w:w="469" w:type="pct"/>
            <w:tcBorders>
              <w:top w:val="nil"/>
            </w:tcBorders>
          </w:tcPr>
          <w:p w14:paraId="1066EA5A">
            <w:pPr>
              <w:keepNext/>
              <w:spacing w:line="440" w:lineRule="exact"/>
              <w:rPr>
                <w:color w:val="auto"/>
                <w:kern w:val="2"/>
                <w:sz w:val="21"/>
                <w:szCs w:val="21"/>
                <w:highlight w:val="none"/>
              </w:rPr>
            </w:pPr>
          </w:p>
        </w:tc>
        <w:tc>
          <w:tcPr>
            <w:tcW w:w="427" w:type="pct"/>
            <w:tcBorders>
              <w:top w:val="nil"/>
            </w:tcBorders>
          </w:tcPr>
          <w:p w14:paraId="6E8AA0F2">
            <w:pPr>
              <w:keepNext/>
              <w:spacing w:line="440" w:lineRule="exact"/>
              <w:rPr>
                <w:color w:val="auto"/>
                <w:kern w:val="2"/>
                <w:sz w:val="21"/>
                <w:szCs w:val="21"/>
                <w:highlight w:val="none"/>
              </w:rPr>
            </w:pPr>
          </w:p>
        </w:tc>
        <w:tc>
          <w:tcPr>
            <w:tcW w:w="745" w:type="pct"/>
            <w:tcBorders>
              <w:top w:val="nil"/>
            </w:tcBorders>
          </w:tcPr>
          <w:p w14:paraId="0C0CD011">
            <w:pPr>
              <w:keepNext/>
              <w:spacing w:line="440" w:lineRule="exact"/>
              <w:rPr>
                <w:color w:val="auto"/>
                <w:kern w:val="2"/>
                <w:sz w:val="21"/>
                <w:szCs w:val="21"/>
                <w:highlight w:val="none"/>
              </w:rPr>
            </w:pPr>
          </w:p>
        </w:tc>
        <w:tc>
          <w:tcPr>
            <w:tcW w:w="781" w:type="pct"/>
            <w:tcBorders>
              <w:top w:val="nil"/>
            </w:tcBorders>
          </w:tcPr>
          <w:p w14:paraId="1D9D6BA0">
            <w:pPr>
              <w:keepNext/>
              <w:spacing w:line="440" w:lineRule="exact"/>
              <w:rPr>
                <w:color w:val="auto"/>
                <w:kern w:val="2"/>
                <w:sz w:val="21"/>
                <w:szCs w:val="21"/>
                <w:highlight w:val="none"/>
              </w:rPr>
            </w:pPr>
          </w:p>
        </w:tc>
        <w:tc>
          <w:tcPr>
            <w:tcW w:w="937" w:type="pct"/>
            <w:tcBorders>
              <w:top w:val="nil"/>
            </w:tcBorders>
          </w:tcPr>
          <w:p w14:paraId="19A77510">
            <w:pPr>
              <w:keepNext/>
              <w:spacing w:line="440" w:lineRule="exact"/>
              <w:rPr>
                <w:color w:val="auto"/>
                <w:kern w:val="2"/>
                <w:sz w:val="21"/>
                <w:szCs w:val="21"/>
                <w:highlight w:val="none"/>
              </w:rPr>
            </w:pPr>
          </w:p>
        </w:tc>
      </w:tr>
      <w:tr w14:paraId="64422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77562FE0">
            <w:pPr>
              <w:keepNext/>
              <w:spacing w:line="440" w:lineRule="exact"/>
              <w:rPr>
                <w:color w:val="auto"/>
                <w:kern w:val="2"/>
                <w:sz w:val="21"/>
                <w:szCs w:val="21"/>
                <w:highlight w:val="none"/>
              </w:rPr>
            </w:pPr>
          </w:p>
        </w:tc>
        <w:tc>
          <w:tcPr>
            <w:tcW w:w="1093" w:type="pct"/>
          </w:tcPr>
          <w:p w14:paraId="7F744FB2">
            <w:pPr>
              <w:keepNext/>
              <w:spacing w:line="440" w:lineRule="exact"/>
              <w:rPr>
                <w:color w:val="auto"/>
                <w:kern w:val="2"/>
                <w:sz w:val="21"/>
                <w:szCs w:val="21"/>
                <w:highlight w:val="none"/>
              </w:rPr>
            </w:pPr>
          </w:p>
        </w:tc>
        <w:tc>
          <w:tcPr>
            <w:tcW w:w="469" w:type="pct"/>
          </w:tcPr>
          <w:p w14:paraId="60F444D7">
            <w:pPr>
              <w:keepNext/>
              <w:spacing w:line="440" w:lineRule="exact"/>
              <w:rPr>
                <w:color w:val="auto"/>
                <w:kern w:val="2"/>
                <w:sz w:val="21"/>
                <w:szCs w:val="21"/>
                <w:highlight w:val="none"/>
              </w:rPr>
            </w:pPr>
          </w:p>
        </w:tc>
        <w:tc>
          <w:tcPr>
            <w:tcW w:w="427" w:type="pct"/>
          </w:tcPr>
          <w:p w14:paraId="0CEE9EC1">
            <w:pPr>
              <w:keepNext/>
              <w:spacing w:line="440" w:lineRule="exact"/>
              <w:rPr>
                <w:color w:val="auto"/>
                <w:kern w:val="2"/>
                <w:sz w:val="21"/>
                <w:szCs w:val="21"/>
                <w:highlight w:val="none"/>
              </w:rPr>
            </w:pPr>
          </w:p>
        </w:tc>
        <w:tc>
          <w:tcPr>
            <w:tcW w:w="745" w:type="pct"/>
          </w:tcPr>
          <w:p w14:paraId="6097F44E">
            <w:pPr>
              <w:keepNext/>
              <w:spacing w:line="440" w:lineRule="exact"/>
              <w:rPr>
                <w:color w:val="auto"/>
                <w:kern w:val="2"/>
                <w:sz w:val="21"/>
                <w:szCs w:val="21"/>
                <w:highlight w:val="none"/>
              </w:rPr>
            </w:pPr>
          </w:p>
        </w:tc>
        <w:tc>
          <w:tcPr>
            <w:tcW w:w="781" w:type="pct"/>
          </w:tcPr>
          <w:p w14:paraId="23BF2DA8">
            <w:pPr>
              <w:keepNext/>
              <w:spacing w:line="440" w:lineRule="exact"/>
              <w:rPr>
                <w:color w:val="auto"/>
                <w:kern w:val="2"/>
                <w:sz w:val="21"/>
                <w:szCs w:val="21"/>
                <w:highlight w:val="none"/>
              </w:rPr>
            </w:pPr>
          </w:p>
        </w:tc>
        <w:tc>
          <w:tcPr>
            <w:tcW w:w="937" w:type="pct"/>
          </w:tcPr>
          <w:p w14:paraId="01A69E52">
            <w:pPr>
              <w:keepNext/>
              <w:spacing w:line="440" w:lineRule="exact"/>
              <w:rPr>
                <w:color w:val="auto"/>
                <w:kern w:val="2"/>
                <w:sz w:val="21"/>
                <w:szCs w:val="21"/>
                <w:highlight w:val="none"/>
              </w:rPr>
            </w:pPr>
          </w:p>
        </w:tc>
      </w:tr>
      <w:tr w14:paraId="28733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4C1CC455">
            <w:pPr>
              <w:keepNext/>
              <w:spacing w:line="440" w:lineRule="exact"/>
              <w:rPr>
                <w:color w:val="auto"/>
                <w:kern w:val="2"/>
                <w:sz w:val="21"/>
                <w:szCs w:val="21"/>
                <w:highlight w:val="none"/>
              </w:rPr>
            </w:pPr>
          </w:p>
        </w:tc>
        <w:tc>
          <w:tcPr>
            <w:tcW w:w="1093" w:type="pct"/>
          </w:tcPr>
          <w:p w14:paraId="5323CAB2">
            <w:pPr>
              <w:keepNext/>
              <w:spacing w:line="440" w:lineRule="exact"/>
              <w:rPr>
                <w:color w:val="auto"/>
                <w:kern w:val="2"/>
                <w:sz w:val="21"/>
                <w:szCs w:val="21"/>
                <w:highlight w:val="none"/>
              </w:rPr>
            </w:pPr>
          </w:p>
        </w:tc>
        <w:tc>
          <w:tcPr>
            <w:tcW w:w="469" w:type="pct"/>
          </w:tcPr>
          <w:p w14:paraId="1227BC8C">
            <w:pPr>
              <w:keepNext/>
              <w:spacing w:line="440" w:lineRule="exact"/>
              <w:rPr>
                <w:color w:val="auto"/>
                <w:kern w:val="2"/>
                <w:sz w:val="21"/>
                <w:szCs w:val="21"/>
                <w:highlight w:val="none"/>
              </w:rPr>
            </w:pPr>
          </w:p>
        </w:tc>
        <w:tc>
          <w:tcPr>
            <w:tcW w:w="427" w:type="pct"/>
          </w:tcPr>
          <w:p w14:paraId="3DF547BC">
            <w:pPr>
              <w:keepNext/>
              <w:spacing w:line="440" w:lineRule="exact"/>
              <w:rPr>
                <w:color w:val="auto"/>
                <w:kern w:val="2"/>
                <w:sz w:val="21"/>
                <w:szCs w:val="21"/>
                <w:highlight w:val="none"/>
              </w:rPr>
            </w:pPr>
          </w:p>
        </w:tc>
        <w:tc>
          <w:tcPr>
            <w:tcW w:w="745" w:type="pct"/>
          </w:tcPr>
          <w:p w14:paraId="3E7A7780">
            <w:pPr>
              <w:keepNext/>
              <w:spacing w:line="440" w:lineRule="exact"/>
              <w:rPr>
                <w:color w:val="auto"/>
                <w:kern w:val="2"/>
                <w:sz w:val="21"/>
                <w:szCs w:val="21"/>
                <w:highlight w:val="none"/>
              </w:rPr>
            </w:pPr>
          </w:p>
        </w:tc>
        <w:tc>
          <w:tcPr>
            <w:tcW w:w="781" w:type="pct"/>
          </w:tcPr>
          <w:p w14:paraId="20F97A15">
            <w:pPr>
              <w:keepNext/>
              <w:spacing w:line="440" w:lineRule="exact"/>
              <w:rPr>
                <w:color w:val="auto"/>
                <w:kern w:val="2"/>
                <w:sz w:val="21"/>
                <w:szCs w:val="21"/>
                <w:highlight w:val="none"/>
              </w:rPr>
            </w:pPr>
          </w:p>
        </w:tc>
        <w:tc>
          <w:tcPr>
            <w:tcW w:w="937" w:type="pct"/>
          </w:tcPr>
          <w:p w14:paraId="6E302FC5">
            <w:pPr>
              <w:keepNext/>
              <w:spacing w:line="440" w:lineRule="exact"/>
              <w:rPr>
                <w:color w:val="auto"/>
                <w:kern w:val="2"/>
                <w:sz w:val="21"/>
                <w:szCs w:val="21"/>
                <w:highlight w:val="none"/>
              </w:rPr>
            </w:pPr>
          </w:p>
        </w:tc>
      </w:tr>
      <w:tr w14:paraId="61979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4014CD15">
            <w:pPr>
              <w:keepNext/>
              <w:spacing w:line="440" w:lineRule="exact"/>
              <w:rPr>
                <w:color w:val="auto"/>
                <w:kern w:val="2"/>
                <w:sz w:val="21"/>
                <w:szCs w:val="21"/>
                <w:highlight w:val="none"/>
              </w:rPr>
            </w:pPr>
          </w:p>
        </w:tc>
        <w:tc>
          <w:tcPr>
            <w:tcW w:w="1093" w:type="pct"/>
            <w:tcBorders>
              <w:bottom w:val="single" w:color="auto" w:sz="12" w:space="0"/>
            </w:tcBorders>
          </w:tcPr>
          <w:p w14:paraId="4A4BD0FD">
            <w:pPr>
              <w:keepNext/>
              <w:spacing w:line="440" w:lineRule="exact"/>
              <w:rPr>
                <w:color w:val="auto"/>
                <w:kern w:val="2"/>
                <w:sz w:val="21"/>
                <w:szCs w:val="21"/>
                <w:highlight w:val="none"/>
              </w:rPr>
            </w:pPr>
          </w:p>
        </w:tc>
        <w:tc>
          <w:tcPr>
            <w:tcW w:w="469" w:type="pct"/>
            <w:tcBorders>
              <w:bottom w:val="single" w:color="auto" w:sz="12" w:space="0"/>
            </w:tcBorders>
          </w:tcPr>
          <w:p w14:paraId="68C38B3B">
            <w:pPr>
              <w:keepNext/>
              <w:spacing w:line="440" w:lineRule="exact"/>
              <w:rPr>
                <w:color w:val="auto"/>
                <w:kern w:val="2"/>
                <w:sz w:val="21"/>
                <w:szCs w:val="21"/>
                <w:highlight w:val="none"/>
              </w:rPr>
            </w:pPr>
          </w:p>
        </w:tc>
        <w:tc>
          <w:tcPr>
            <w:tcW w:w="427" w:type="pct"/>
            <w:tcBorders>
              <w:bottom w:val="single" w:color="auto" w:sz="12" w:space="0"/>
            </w:tcBorders>
          </w:tcPr>
          <w:p w14:paraId="53844703">
            <w:pPr>
              <w:keepNext/>
              <w:spacing w:line="440" w:lineRule="exact"/>
              <w:rPr>
                <w:color w:val="auto"/>
                <w:kern w:val="2"/>
                <w:sz w:val="21"/>
                <w:szCs w:val="21"/>
                <w:highlight w:val="none"/>
              </w:rPr>
            </w:pPr>
          </w:p>
        </w:tc>
        <w:tc>
          <w:tcPr>
            <w:tcW w:w="745" w:type="pct"/>
            <w:tcBorders>
              <w:bottom w:val="single" w:color="auto" w:sz="12" w:space="0"/>
            </w:tcBorders>
          </w:tcPr>
          <w:p w14:paraId="51FEF5BA">
            <w:pPr>
              <w:keepNext/>
              <w:spacing w:line="440" w:lineRule="exact"/>
              <w:rPr>
                <w:color w:val="auto"/>
                <w:kern w:val="2"/>
                <w:sz w:val="21"/>
                <w:szCs w:val="21"/>
                <w:highlight w:val="none"/>
              </w:rPr>
            </w:pPr>
          </w:p>
        </w:tc>
        <w:tc>
          <w:tcPr>
            <w:tcW w:w="781" w:type="pct"/>
            <w:tcBorders>
              <w:bottom w:val="single" w:color="auto" w:sz="12" w:space="0"/>
            </w:tcBorders>
          </w:tcPr>
          <w:p w14:paraId="6DDED95E">
            <w:pPr>
              <w:keepNext/>
              <w:spacing w:line="440" w:lineRule="exact"/>
              <w:rPr>
                <w:color w:val="auto"/>
                <w:kern w:val="2"/>
                <w:sz w:val="21"/>
                <w:szCs w:val="21"/>
                <w:highlight w:val="none"/>
              </w:rPr>
            </w:pPr>
          </w:p>
        </w:tc>
        <w:tc>
          <w:tcPr>
            <w:tcW w:w="937" w:type="pct"/>
            <w:tcBorders>
              <w:bottom w:val="single" w:color="auto" w:sz="12" w:space="0"/>
            </w:tcBorders>
          </w:tcPr>
          <w:p w14:paraId="4E73B5FE">
            <w:pPr>
              <w:keepNext/>
              <w:spacing w:line="440" w:lineRule="exact"/>
              <w:rPr>
                <w:color w:val="auto"/>
                <w:kern w:val="2"/>
                <w:sz w:val="21"/>
                <w:szCs w:val="21"/>
                <w:highlight w:val="none"/>
              </w:rPr>
            </w:pPr>
          </w:p>
        </w:tc>
      </w:tr>
    </w:tbl>
    <w:p w14:paraId="4A78479C">
      <w:pPr>
        <w:spacing w:before="156" w:beforeLines="50" w:after="156" w:afterLines="50" w:line="440" w:lineRule="exact"/>
        <w:rPr>
          <w:color w:val="auto"/>
          <w:kern w:val="2"/>
          <w:sz w:val="21"/>
          <w:szCs w:val="21"/>
          <w:highlight w:val="none"/>
        </w:rPr>
      </w:pPr>
    </w:p>
    <w:p w14:paraId="086C9551">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-2</w:t>
      </w:r>
      <w:r>
        <w:rPr>
          <w:rFonts w:hint="eastAsia"/>
          <w:color w:val="auto"/>
          <w:kern w:val="2"/>
          <w:sz w:val="21"/>
          <w:szCs w:val="21"/>
          <w:highlight w:val="none"/>
        </w:rPr>
        <w:t>：工程设备暂估价表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391B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2038AF39">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0363902C">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3C986C60">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407FDCEF">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4D24E3A5">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16AE3DB3">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3532AC5B">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6610D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0491AA99">
            <w:pPr>
              <w:keepNext/>
              <w:spacing w:line="440" w:lineRule="exact"/>
              <w:rPr>
                <w:color w:val="auto"/>
                <w:kern w:val="2"/>
                <w:sz w:val="21"/>
                <w:szCs w:val="21"/>
                <w:highlight w:val="none"/>
              </w:rPr>
            </w:pPr>
          </w:p>
        </w:tc>
        <w:tc>
          <w:tcPr>
            <w:tcW w:w="1093" w:type="pct"/>
            <w:tcBorders>
              <w:top w:val="double" w:color="auto" w:sz="6" w:space="0"/>
            </w:tcBorders>
          </w:tcPr>
          <w:p w14:paraId="428CCA77">
            <w:pPr>
              <w:keepNext/>
              <w:spacing w:line="440" w:lineRule="exact"/>
              <w:rPr>
                <w:color w:val="auto"/>
                <w:kern w:val="2"/>
                <w:sz w:val="21"/>
                <w:szCs w:val="21"/>
                <w:highlight w:val="none"/>
              </w:rPr>
            </w:pPr>
          </w:p>
        </w:tc>
        <w:tc>
          <w:tcPr>
            <w:tcW w:w="469" w:type="pct"/>
            <w:tcBorders>
              <w:top w:val="double" w:color="auto" w:sz="6" w:space="0"/>
            </w:tcBorders>
          </w:tcPr>
          <w:p w14:paraId="3518780A">
            <w:pPr>
              <w:keepNext/>
              <w:spacing w:line="440" w:lineRule="exact"/>
              <w:rPr>
                <w:color w:val="auto"/>
                <w:kern w:val="2"/>
                <w:sz w:val="21"/>
                <w:szCs w:val="21"/>
                <w:highlight w:val="none"/>
              </w:rPr>
            </w:pPr>
          </w:p>
        </w:tc>
        <w:tc>
          <w:tcPr>
            <w:tcW w:w="427" w:type="pct"/>
            <w:tcBorders>
              <w:top w:val="double" w:color="auto" w:sz="6" w:space="0"/>
            </w:tcBorders>
          </w:tcPr>
          <w:p w14:paraId="56C3A0DC">
            <w:pPr>
              <w:keepNext/>
              <w:spacing w:line="440" w:lineRule="exact"/>
              <w:rPr>
                <w:color w:val="auto"/>
                <w:kern w:val="2"/>
                <w:sz w:val="21"/>
                <w:szCs w:val="21"/>
                <w:highlight w:val="none"/>
              </w:rPr>
            </w:pPr>
          </w:p>
        </w:tc>
        <w:tc>
          <w:tcPr>
            <w:tcW w:w="745" w:type="pct"/>
            <w:tcBorders>
              <w:top w:val="double" w:color="auto" w:sz="6" w:space="0"/>
            </w:tcBorders>
          </w:tcPr>
          <w:p w14:paraId="60D471F3">
            <w:pPr>
              <w:keepNext/>
              <w:spacing w:line="440" w:lineRule="exact"/>
              <w:rPr>
                <w:color w:val="auto"/>
                <w:kern w:val="2"/>
                <w:sz w:val="21"/>
                <w:szCs w:val="21"/>
                <w:highlight w:val="none"/>
              </w:rPr>
            </w:pPr>
          </w:p>
        </w:tc>
        <w:tc>
          <w:tcPr>
            <w:tcW w:w="781" w:type="pct"/>
            <w:tcBorders>
              <w:top w:val="double" w:color="auto" w:sz="6" w:space="0"/>
            </w:tcBorders>
          </w:tcPr>
          <w:p w14:paraId="69CCF4CE">
            <w:pPr>
              <w:keepNext/>
              <w:spacing w:line="440" w:lineRule="exact"/>
              <w:rPr>
                <w:color w:val="auto"/>
                <w:kern w:val="2"/>
                <w:sz w:val="21"/>
                <w:szCs w:val="21"/>
                <w:highlight w:val="none"/>
              </w:rPr>
            </w:pPr>
          </w:p>
        </w:tc>
        <w:tc>
          <w:tcPr>
            <w:tcW w:w="937" w:type="pct"/>
            <w:tcBorders>
              <w:top w:val="double" w:color="auto" w:sz="6" w:space="0"/>
            </w:tcBorders>
          </w:tcPr>
          <w:p w14:paraId="05D61327">
            <w:pPr>
              <w:keepNext/>
              <w:spacing w:line="440" w:lineRule="exact"/>
              <w:rPr>
                <w:color w:val="auto"/>
                <w:kern w:val="2"/>
                <w:sz w:val="21"/>
                <w:szCs w:val="21"/>
                <w:highlight w:val="none"/>
              </w:rPr>
            </w:pPr>
          </w:p>
        </w:tc>
      </w:tr>
      <w:tr w14:paraId="7C413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4EAFDBFA">
            <w:pPr>
              <w:keepNext/>
              <w:spacing w:line="440" w:lineRule="exact"/>
              <w:rPr>
                <w:color w:val="auto"/>
                <w:kern w:val="2"/>
                <w:sz w:val="21"/>
                <w:szCs w:val="21"/>
                <w:highlight w:val="none"/>
              </w:rPr>
            </w:pPr>
          </w:p>
        </w:tc>
        <w:tc>
          <w:tcPr>
            <w:tcW w:w="1093" w:type="pct"/>
            <w:tcBorders>
              <w:top w:val="nil"/>
            </w:tcBorders>
          </w:tcPr>
          <w:p w14:paraId="2381A6EC">
            <w:pPr>
              <w:keepNext/>
              <w:spacing w:line="440" w:lineRule="exact"/>
              <w:rPr>
                <w:color w:val="auto"/>
                <w:kern w:val="2"/>
                <w:sz w:val="21"/>
                <w:szCs w:val="21"/>
                <w:highlight w:val="none"/>
              </w:rPr>
            </w:pPr>
          </w:p>
        </w:tc>
        <w:tc>
          <w:tcPr>
            <w:tcW w:w="469" w:type="pct"/>
            <w:tcBorders>
              <w:top w:val="nil"/>
            </w:tcBorders>
          </w:tcPr>
          <w:p w14:paraId="6EDE0A09">
            <w:pPr>
              <w:keepNext/>
              <w:spacing w:line="440" w:lineRule="exact"/>
              <w:rPr>
                <w:color w:val="auto"/>
                <w:kern w:val="2"/>
                <w:sz w:val="21"/>
                <w:szCs w:val="21"/>
                <w:highlight w:val="none"/>
              </w:rPr>
            </w:pPr>
          </w:p>
        </w:tc>
        <w:tc>
          <w:tcPr>
            <w:tcW w:w="427" w:type="pct"/>
            <w:tcBorders>
              <w:top w:val="nil"/>
            </w:tcBorders>
          </w:tcPr>
          <w:p w14:paraId="7744C391">
            <w:pPr>
              <w:keepNext/>
              <w:spacing w:line="440" w:lineRule="exact"/>
              <w:rPr>
                <w:color w:val="auto"/>
                <w:kern w:val="2"/>
                <w:sz w:val="21"/>
                <w:szCs w:val="21"/>
                <w:highlight w:val="none"/>
              </w:rPr>
            </w:pPr>
          </w:p>
        </w:tc>
        <w:tc>
          <w:tcPr>
            <w:tcW w:w="745" w:type="pct"/>
            <w:tcBorders>
              <w:top w:val="nil"/>
            </w:tcBorders>
          </w:tcPr>
          <w:p w14:paraId="568C0A32">
            <w:pPr>
              <w:keepNext/>
              <w:spacing w:line="440" w:lineRule="exact"/>
              <w:rPr>
                <w:color w:val="auto"/>
                <w:kern w:val="2"/>
                <w:sz w:val="21"/>
                <w:szCs w:val="21"/>
                <w:highlight w:val="none"/>
              </w:rPr>
            </w:pPr>
          </w:p>
        </w:tc>
        <w:tc>
          <w:tcPr>
            <w:tcW w:w="781" w:type="pct"/>
            <w:tcBorders>
              <w:top w:val="nil"/>
            </w:tcBorders>
          </w:tcPr>
          <w:p w14:paraId="2F1D4983">
            <w:pPr>
              <w:keepNext/>
              <w:spacing w:line="440" w:lineRule="exact"/>
              <w:rPr>
                <w:color w:val="auto"/>
                <w:kern w:val="2"/>
                <w:sz w:val="21"/>
                <w:szCs w:val="21"/>
                <w:highlight w:val="none"/>
              </w:rPr>
            </w:pPr>
          </w:p>
        </w:tc>
        <w:tc>
          <w:tcPr>
            <w:tcW w:w="937" w:type="pct"/>
            <w:tcBorders>
              <w:top w:val="nil"/>
            </w:tcBorders>
          </w:tcPr>
          <w:p w14:paraId="1EACEE0D">
            <w:pPr>
              <w:keepNext/>
              <w:spacing w:line="440" w:lineRule="exact"/>
              <w:rPr>
                <w:color w:val="auto"/>
                <w:kern w:val="2"/>
                <w:sz w:val="21"/>
                <w:szCs w:val="21"/>
                <w:highlight w:val="none"/>
              </w:rPr>
            </w:pPr>
          </w:p>
        </w:tc>
      </w:tr>
      <w:tr w14:paraId="43611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18AD3783">
            <w:pPr>
              <w:keepNext/>
              <w:spacing w:line="440" w:lineRule="exact"/>
              <w:rPr>
                <w:color w:val="auto"/>
                <w:kern w:val="2"/>
                <w:sz w:val="21"/>
                <w:szCs w:val="21"/>
                <w:highlight w:val="none"/>
              </w:rPr>
            </w:pPr>
          </w:p>
        </w:tc>
        <w:tc>
          <w:tcPr>
            <w:tcW w:w="1093" w:type="pct"/>
          </w:tcPr>
          <w:p w14:paraId="27767A5A">
            <w:pPr>
              <w:keepNext/>
              <w:spacing w:line="440" w:lineRule="exact"/>
              <w:rPr>
                <w:color w:val="auto"/>
                <w:kern w:val="2"/>
                <w:sz w:val="21"/>
                <w:szCs w:val="21"/>
                <w:highlight w:val="none"/>
              </w:rPr>
            </w:pPr>
          </w:p>
        </w:tc>
        <w:tc>
          <w:tcPr>
            <w:tcW w:w="469" w:type="pct"/>
          </w:tcPr>
          <w:p w14:paraId="059B295F">
            <w:pPr>
              <w:keepNext/>
              <w:spacing w:line="440" w:lineRule="exact"/>
              <w:rPr>
                <w:color w:val="auto"/>
                <w:kern w:val="2"/>
                <w:sz w:val="21"/>
                <w:szCs w:val="21"/>
                <w:highlight w:val="none"/>
              </w:rPr>
            </w:pPr>
          </w:p>
        </w:tc>
        <w:tc>
          <w:tcPr>
            <w:tcW w:w="427" w:type="pct"/>
          </w:tcPr>
          <w:p w14:paraId="16F2BEF7">
            <w:pPr>
              <w:keepNext/>
              <w:spacing w:line="440" w:lineRule="exact"/>
              <w:rPr>
                <w:color w:val="auto"/>
                <w:kern w:val="2"/>
                <w:sz w:val="21"/>
                <w:szCs w:val="21"/>
                <w:highlight w:val="none"/>
              </w:rPr>
            </w:pPr>
          </w:p>
        </w:tc>
        <w:tc>
          <w:tcPr>
            <w:tcW w:w="745" w:type="pct"/>
          </w:tcPr>
          <w:p w14:paraId="703A81FB">
            <w:pPr>
              <w:keepNext/>
              <w:spacing w:line="440" w:lineRule="exact"/>
              <w:rPr>
                <w:color w:val="auto"/>
                <w:kern w:val="2"/>
                <w:sz w:val="21"/>
                <w:szCs w:val="21"/>
                <w:highlight w:val="none"/>
              </w:rPr>
            </w:pPr>
          </w:p>
        </w:tc>
        <w:tc>
          <w:tcPr>
            <w:tcW w:w="781" w:type="pct"/>
          </w:tcPr>
          <w:p w14:paraId="1EF4F0A1">
            <w:pPr>
              <w:keepNext/>
              <w:spacing w:line="440" w:lineRule="exact"/>
              <w:rPr>
                <w:color w:val="auto"/>
                <w:kern w:val="2"/>
                <w:sz w:val="21"/>
                <w:szCs w:val="21"/>
                <w:highlight w:val="none"/>
              </w:rPr>
            </w:pPr>
          </w:p>
        </w:tc>
        <w:tc>
          <w:tcPr>
            <w:tcW w:w="937" w:type="pct"/>
          </w:tcPr>
          <w:p w14:paraId="3F6C8EB5">
            <w:pPr>
              <w:keepNext/>
              <w:spacing w:line="440" w:lineRule="exact"/>
              <w:rPr>
                <w:color w:val="auto"/>
                <w:kern w:val="2"/>
                <w:sz w:val="21"/>
                <w:szCs w:val="21"/>
                <w:highlight w:val="none"/>
              </w:rPr>
            </w:pPr>
          </w:p>
        </w:tc>
      </w:tr>
      <w:tr w14:paraId="024E9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3E37B376">
            <w:pPr>
              <w:keepNext/>
              <w:spacing w:line="440" w:lineRule="exact"/>
              <w:rPr>
                <w:color w:val="auto"/>
                <w:kern w:val="2"/>
                <w:sz w:val="21"/>
                <w:szCs w:val="21"/>
                <w:highlight w:val="none"/>
              </w:rPr>
            </w:pPr>
          </w:p>
        </w:tc>
        <w:tc>
          <w:tcPr>
            <w:tcW w:w="1093" w:type="pct"/>
            <w:tcBorders>
              <w:bottom w:val="single" w:color="auto" w:sz="12" w:space="0"/>
            </w:tcBorders>
          </w:tcPr>
          <w:p w14:paraId="45FF2B8C">
            <w:pPr>
              <w:keepNext/>
              <w:spacing w:line="440" w:lineRule="exact"/>
              <w:rPr>
                <w:color w:val="auto"/>
                <w:kern w:val="2"/>
                <w:sz w:val="21"/>
                <w:szCs w:val="21"/>
                <w:highlight w:val="none"/>
              </w:rPr>
            </w:pPr>
          </w:p>
        </w:tc>
        <w:tc>
          <w:tcPr>
            <w:tcW w:w="469" w:type="pct"/>
            <w:tcBorders>
              <w:bottom w:val="single" w:color="auto" w:sz="12" w:space="0"/>
            </w:tcBorders>
          </w:tcPr>
          <w:p w14:paraId="198B9FE1">
            <w:pPr>
              <w:keepNext/>
              <w:spacing w:line="440" w:lineRule="exact"/>
              <w:rPr>
                <w:color w:val="auto"/>
                <w:kern w:val="2"/>
                <w:sz w:val="21"/>
                <w:szCs w:val="21"/>
                <w:highlight w:val="none"/>
              </w:rPr>
            </w:pPr>
          </w:p>
        </w:tc>
        <w:tc>
          <w:tcPr>
            <w:tcW w:w="427" w:type="pct"/>
            <w:tcBorders>
              <w:bottom w:val="single" w:color="auto" w:sz="12" w:space="0"/>
            </w:tcBorders>
          </w:tcPr>
          <w:p w14:paraId="1377682F">
            <w:pPr>
              <w:keepNext/>
              <w:spacing w:line="440" w:lineRule="exact"/>
              <w:rPr>
                <w:color w:val="auto"/>
                <w:kern w:val="2"/>
                <w:sz w:val="21"/>
                <w:szCs w:val="21"/>
                <w:highlight w:val="none"/>
              </w:rPr>
            </w:pPr>
          </w:p>
        </w:tc>
        <w:tc>
          <w:tcPr>
            <w:tcW w:w="745" w:type="pct"/>
            <w:tcBorders>
              <w:bottom w:val="single" w:color="auto" w:sz="12" w:space="0"/>
            </w:tcBorders>
          </w:tcPr>
          <w:p w14:paraId="3992F474">
            <w:pPr>
              <w:keepNext/>
              <w:spacing w:line="440" w:lineRule="exact"/>
              <w:rPr>
                <w:color w:val="auto"/>
                <w:kern w:val="2"/>
                <w:sz w:val="21"/>
                <w:szCs w:val="21"/>
                <w:highlight w:val="none"/>
              </w:rPr>
            </w:pPr>
          </w:p>
        </w:tc>
        <w:tc>
          <w:tcPr>
            <w:tcW w:w="781" w:type="pct"/>
            <w:tcBorders>
              <w:bottom w:val="single" w:color="auto" w:sz="12" w:space="0"/>
            </w:tcBorders>
          </w:tcPr>
          <w:p w14:paraId="13CF2A43">
            <w:pPr>
              <w:keepNext/>
              <w:spacing w:line="440" w:lineRule="exact"/>
              <w:rPr>
                <w:color w:val="auto"/>
                <w:kern w:val="2"/>
                <w:sz w:val="21"/>
                <w:szCs w:val="21"/>
                <w:highlight w:val="none"/>
              </w:rPr>
            </w:pPr>
          </w:p>
        </w:tc>
        <w:tc>
          <w:tcPr>
            <w:tcW w:w="937" w:type="pct"/>
            <w:tcBorders>
              <w:bottom w:val="single" w:color="auto" w:sz="12" w:space="0"/>
            </w:tcBorders>
          </w:tcPr>
          <w:p w14:paraId="4E96CF4E">
            <w:pPr>
              <w:keepNext/>
              <w:spacing w:line="440" w:lineRule="exact"/>
              <w:rPr>
                <w:color w:val="auto"/>
                <w:kern w:val="2"/>
                <w:sz w:val="21"/>
                <w:szCs w:val="21"/>
                <w:highlight w:val="none"/>
              </w:rPr>
            </w:pPr>
          </w:p>
        </w:tc>
      </w:tr>
    </w:tbl>
    <w:p w14:paraId="5ED17C4A">
      <w:pPr>
        <w:spacing w:line="440" w:lineRule="exact"/>
        <w:rPr>
          <w:color w:val="auto"/>
          <w:kern w:val="2"/>
          <w:sz w:val="21"/>
          <w:szCs w:val="21"/>
          <w:highlight w:val="none"/>
        </w:rPr>
      </w:pPr>
    </w:p>
    <w:p w14:paraId="13B65620">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-3</w:t>
      </w:r>
      <w:r>
        <w:rPr>
          <w:rFonts w:hint="eastAsia"/>
          <w:color w:val="auto"/>
          <w:kern w:val="2"/>
          <w:sz w:val="21"/>
          <w:szCs w:val="21"/>
          <w:highlight w:val="none"/>
        </w:rPr>
        <w:t>：专业工程暂估价表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45F2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12E2FC9C">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6A3AFC6E">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009C6BAD">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671B7656">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02785326">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2D24F642">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7D36C8E2">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05BB2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1B72AD51">
            <w:pPr>
              <w:keepNext/>
              <w:spacing w:line="440" w:lineRule="exact"/>
              <w:rPr>
                <w:color w:val="auto"/>
                <w:kern w:val="2"/>
                <w:sz w:val="21"/>
                <w:szCs w:val="21"/>
                <w:highlight w:val="none"/>
              </w:rPr>
            </w:pPr>
          </w:p>
        </w:tc>
        <w:tc>
          <w:tcPr>
            <w:tcW w:w="1093" w:type="pct"/>
            <w:tcBorders>
              <w:top w:val="double" w:color="auto" w:sz="6" w:space="0"/>
            </w:tcBorders>
          </w:tcPr>
          <w:p w14:paraId="0E81DF42">
            <w:pPr>
              <w:keepNext/>
              <w:spacing w:line="440" w:lineRule="exact"/>
              <w:rPr>
                <w:color w:val="auto"/>
                <w:kern w:val="2"/>
                <w:sz w:val="21"/>
                <w:szCs w:val="21"/>
                <w:highlight w:val="none"/>
              </w:rPr>
            </w:pPr>
          </w:p>
        </w:tc>
        <w:tc>
          <w:tcPr>
            <w:tcW w:w="469" w:type="pct"/>
            <w:tcBorders>
              <w:top w:val="double" w:color="auto" w:sz="6" w:space="0"/>
            </w:tcBorders>
          </w:tcPr>
          <w:p w14:paraId="0D2F6B7B">
            <w:pPr>
              <w:keepNext/>
              <w:spacing w:line="440" w:lineRule="exact"/>
              <w:rPr>
                <w:color w:val="auto"/>
                <w:kern w:val="2"/>
                <w:sz w:val="21"/>
                <w:szCs w:val="21"/>
                <w:highlight w:val="none"/>
              </w:rPr>
            </w:pPr>
          </w:p>
        </w:tc>
        <w:tc>
          <w:tcPr>
            <w:tcW w:w="427" w:type="pct"/>
            <w:tcBorders>
              <w:top w:val="double" w:color="auto" w:sz="6" w:space="0"/>
            </w:tcBorders>
          </w:tcPr>
          <w:p w14:paraId="51582F71">
            <w:pPr>
              <w:keepNext/>
              <w:spacing w:line="440" w:lineRule="exact"/>
              <w:rPr>
                <w:color w:val="auto"/>
                <w:kern w:val="2"/>
                <w:sz w:val="21"/>
                <w:szCs w:val="21"/>
                <w:highlight w:val="none"/>
              </w:rPr>
            </w:pPr>
          </w:p>
        </w:tc>
        <w:tc>
          <w:tcPr>
            <w:tcW w:w="745" w:type="pct"/>
            <w:tcBorders>
              <w:top w:val="double" w:color="auto" w:sz="6" w:space="0"/>
            </w:tcBorders>
          </w:tcPr>
          <w:p w14:paraId="462C2E4B">
            <w:pPr>
              <w:keepNext/>
              <w:spacing w:line="440" w:lineRule="exact"/>
              <w:rPr>
                <w:color w:val="auto"/>
                <w:kern w:val="2"/>
                <w:sz w:val="21"/>
                <w:szCs w:val="21"/>
                <w:highlight w:val="none"/>
              </w:rPr>
            </w:pPr>
          </w:p>
        </w:tc>
        <w:tc>
          <w:tcPr>
            <w:tcW w:w="781" w:type="pct"/>
            <w:tcBorders>
              <w:top w:val="double" w:color="auto" w:sz="6" w:space="0"/>
            </w:tcBorders>
          </w:tcPr>
          <w:p w14:paraId="321663AE">
            <w:pPr>
              <w:keepNext/>
              <w:spacing w:line="440" w:lineRule="exact"/>
              <w:rPr>
                <w:color w:val="auto"/>
                <w:kern w:val="2"/>
                <w:sz w:val="21"/>
                <w:szCs w:val="21"/>
                <w:highlight w:val="none"/>
              </w:rPr>
            </w:pPr>
          </w:p>
        </w:tc>
        <w:tc>
          <w:tcPr>
            <w:tcW w:w="937" w:type="pct"/>
            <w:tcBorders>
              <w:top w:val="double" w:color="auto" w:sz="6" w:space="0"/>
            </w:tcBorders>
          </w:tcPr>
          <w:p w14:paraId="38F81579">
            <w:pPr>
              <w:keepNext/>
              <w:spacing w:line="440" w:lineRule="exact"/>
              <w:rPr>
                <w:color w:val="auto"/>
                <w:kern w:val="2"/>
                <w:sz w:val="21"/>
                <w:szCs w:val="21"/>
                <w:highlight w:val="none"/>
              </w:rPr>
            </w:pPr>
          </w:p>
        </w:tc>
      </w:tr>
      <w:tr w14:paraId="5405F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46404D6D">
            <w:pPr>
              <w:keepNext/>
              <w:spacing w:line="440" w:lineRule="exact"/>
              <w:rPr>
                <w:color w:val="auto"/>
                <w:kern w:val="2"/>
                <w:sz w:val="21"/>
                <w:szCs w:val="21"/>
                <w:highlight w:val="none"/>
              </w:rPr>
            </w:pPr>
          </w:p>
        </w:tc>
        <w:tc>
          <w:tcPr>
            <w:tcW w:w="1093" w:type="pct"/>
            <w:tcBorders>
              <w:top w:val="nil"/>
            </w:tcBorders>
          </w:tcPr>
          <w:p w14:paraId="466B5F78">
            <w:pPr>
              <w:keepNext/>
              <w:spacing w:line="440" w:lineRule="exact"/>
              <w:rPr>
                <w:color w:val="auto"/>
                <w:kern w:val="2"/>
                <w:sz w:val="21"/>
                <w:szCs w:val="21"/>
                <w:highlight w:val="none"/>
              </w:rPr>
            </w:pPr>
          </w:p>
        </w:tc>
        <w:tc>
          <w:tcPr>
            <w:tcW w:w="469" w:type="pct"/>
            <w:tcBorders>
              <w:top w:val="nil"/>
            </w:tcBorders>
          </w:tcPr>
          <w:p w14:paraId="4869F6C5">
            <w:pPr>
              <w:keepNext/>
              <w:spacing w:line="440" w:lineRule="exact"/>
              <w:rPr>
                <w:color w:val="auto"/>
                <w:kern w:val="2"/>
                <w:sz w:val="21"/>
                <w:szCs w:val="21"/>
                <w:highlight w:val="none"/>
              </w:rPr>
            </w:pPr>
          </w:p>
        </w:tc>
        <w:tc>
          <w:tcPr>
            <w:tcW w:w="427" w:type="pct"/>
            <w:tcBorders>
              <w:top w:val="nil"/>
            </w:tcBorders>
          </w:tcPr>
          <w:p w14:paraId="30CE92C3">
            <w:pPr>
              <w:keepNext/>
              <w:spacing w:line="440" w:lineRule="exact"/>
              <w:rPr>
                <w:color w:val="auto"/>
                <w:kern w:val="2"/>
                <w:sz w:val="21"/>
                <w:szCs w:val="21"/>
                <w:highlight w:val="none"/>
              </w:rPr>
            </w:pPr>
          </w:p>
        </w:tc>
        <w:tc>
          <w:tcPr>
            <w:tcW w:w="745" w:type="pct"/>
            <w:tcBorders>
              <w:top w:val="nil"/>
            </w:tcBorders>
          </w:tcPr>
          <w:p w14:paraId="5AFA8044">
            <w:pPr>
              <w:keepNext/>
              <w:spacing w:line="440" w:lineRule="exact"/>
              <w:rPr>
                <w:color w:val="auto"/>
                <w:kern w:val="2"/>
                <w:sz w:val="21"/>
                <w:szCs w:val="21"/>
                <w:highlight w:val="none"/>
              </w:rPr>
            </w:pPr>
          </w:p>
        </w:tc>
        <w:tc>
          <w:tcPr>
            <w:tcW w:w="781" w:type="pct"/>
            <w:tcBorders>
              <w:top w:val="nil"/>
            </w:tcBorders>
          </w:tcPr>
          <w:p w14:paraId="17B17109">
            <w:pPr>
              <w:keepNext/>
              <w:spacing w:line="440" w:lineRule="exact"/>
              <w:rPr>
                <w:color w:val="auto"/>
                <w:kern w:val="2"/>
                <w:sz w:val="21"/>
                <w:szCs w:val="21"/>
                <w:highlight w:val="none"/>
              </w:rPr>
            </w:pPr>
          </w:p>
        </w:tc>
        <w:tc>
          <w:tcPr>
            <w:tcW w:w="937" w:type="pct"/>
            <w:tcBorders>
              <w:top w:val="nil"/>
            </w:tcBorders>
          </w:tcPr>
          <w:p w14:paraId="589DE483">
            <w:pPr>
              <w:keepNext/>
              <w:spacing w:line="440" w:lineRule="exact"/>
              <w:rPr>
                <w:color w:val="auto"/>
                <w:kern w:val="2"/>
                <w:sz w:val="21"/>
                <w:szCs w:val="21"/>
                <w:highlight w:val="none"/>
              </w:rPr>
            </w:pPr>
          </w:p>
        </w:tc>
      </w:tr>
      <w:tr w14:paraId="68B44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68EBAA32">
            <w:pPr>
              <w:keepNext/>
              <w:spacing w:line="440" w:lineRule="exact"/>
              <w:rPr>
                <w:color w:val="auto"/>
                <w:kern w:val="2"/>
                <w:sz w:val="21"/>
                <w:szCs w:val="21"/>
                <w:highlight w:val="none"/>
              </w:rPr>
            </w:pPr>
          </w:p>
        </w:tc>
        <w:tc>
          <w:tcPr>
            <w:tcW w:w="1093" w:type="pct"/>
          </w:tcPr>
          <w:p w14:paraId="2E4F2B40">
            <w:pPr>
              <w:keepNext/>
              <w:spacing w:line="440" w:lineRule="exact"/>
              <w:rPr>
                <w:color w:val="auto"/>
                <w:kern w:val="2"/>
                <w:sz w:val="21"/>
                <w:szCs w:val="21"/>
                <w:highlight w:val="none"/>
              </w:rPr>
            </w:pPr>
          </w:p>
        </w:tc>
        <w:tc>
          <w:tcPr>
            <w:tcW w:w="469" w:type="pct"/>
          </w:tcPr>
          <w:p w14:paraId="4CD24F5A">
            <w:pPr>
              <w:keepNext/>
              <w:spacing w:line="440" w:lineRule="exact"/>
              <w:rPr>
                <w:color w:val="auto"/>
                <w:kern w:val="2"/>
                <w:sz w:val="21"/>
                <w:szCs w:val="21"/>
                <w:highlight w:val="none"/>
              </w:rPr>
            </w:pPr>
          </w:p>
        </w:tc>
        <w:tc>
          <w:tcPr>
            <w:tcW w:w="427" w:type="pct"/>
          </w:tcPr>
          <w:p w14:paraId="5DA5C5A1">
            <w:pPr>
              <w:keepNext/>
              <w:spacing w:line="440" w:lineRule="exact"/>
              <w:rPr>
                <w:color w:val="auto"/>
                <w:kern w:val="2"/>
                <w:sz w:val="21"/>
                <w:szCs w:val="21"/>
                <w:highlight w:val="none"/>
              </w:rPr>
            </w:pPr>
          </w:p>
        </w:tc>
        <w:tc>
          <w:tcPr>
            <w:tcW w:w="745" w:type="pct"/>
          </w:tcPr>
          <w:p w14:paraId="5DE9EEBA">
            <w:pPr>
              <w:keepNext/>
              <w:spacing w:line="440" w:lineRule="exact"/>
              <w:rPr>
                <w:color w:val="auto"/>
                <w:kern w:val="2"/>
                <w:sz w:val="21"/>
                <w:szCs w:val="21"/>
                <w:highlight w:val="none"/>
              </w:rPr>
            </w:pPr>
          </w:p>
        </w:tc>
        <w:tc>
          <w:tcPr>
            <w:tcW w:w="781" w:type="pct"/>
          </w:tcPr>
          <w:p w14:paraId="2BF898F7">
            <w:pPr>
              <w:keepNext/>
              <w:spacing w:line="440" w:lineRule="exact"/>
              <w:rPr>
                <w:color w:val="auto"/>
                <w:kern w:val="2"/>
                <w:sz w:val="21"/>
                <w:szCs w:val="21"/>
                <w:highlight w:val="none"/>
              </w:rPr>
            </w:pPr>
          </w:p>
        </w:tc>
        <w:tc>
          <w:tcPr>
            <w:tcW w:w="937" w:type="pct"/>
          </w:tcPr>
          <w:p w14:paraId="3104DA22">
            <w:pPr>
              <w:keepNext/>
              <w:spacing w:line="440" w:lineRule="exact"/>
              <w:rPr>
                <w:color w:val="auto"/>
                <w:kern w:val="2"/>
                <w:sz w:val="21"/>
                <w:szCs w:val="21"/>
                <w:highlight w:val="none"/>
              </w:rPr>
            </w:pPr>
          </w:p>
        </w:tc>
      </w:tr>
      <w:tr w14:paraId="4AB2B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6B60033C">
            <w:pPr>
              <w:keepNext/>
              <w:spacing w:line="440" w:lineRule="exact"/>
              <w:rPr>
                <w:color w:val="auto"/>
                <w:kern w:val="2"/>
                <w:sz w:val="21"/>
                <w:szCs w:val="21"/>
                <w:highlight w:val="none"/>
              </w:rPr>
            </w:pPr>
          </w:p>
        </w:tc>
        <w:tc>
          <w:tcPr>
            <w:tcW w:w="1093" w:type="pct"/>
            <w:tcBorders>
              <w:bottom w:val="single" w:color="auto" w:sz="12" w:space="0"/>
            </w:tcBorders>
          </w:tcPr>
          <w:p w14:paraId="7F4763C8">
            <w:pPr>
              <w:keepNext/>
              <w:spacing w:line="440" w:lineRule="exact"/>
              <w:rPr>
                <w:color w:val="auto"/>
                <w:kern w:val="2"/>
                <w:sz w:val="21"/>
                <w:szCs w:val="21"/>
                <w:highlight w:val="none"/>
              </w:rPr>
            </w:pPr>
          </w:p>
        </w:tc>
        <w:tc>
          <w:tcPr>
            <w:tcW w:w="469" w:type="pct"/>
            <w:tcBorders>
              <w:bottom w:val="single" w:color="auto" w:sz="12" w:space="0"/>
            </w:tcBorders>
          </w:tcPr>
          <w:p w14:paraId="7E345869">
            <w:pPr>
              <w:keepNext/>
              <w:spacing w:line="440" w:lineRule="exact"/>
              <w:rPr>
                <w:color w:val="auto"/>
                <w:kern w:val="2"/>
                <w:sz w:val="21"/>
                <w:szCs w:val="21"/>
                <w:highlight w:val="none"/>
              </w:rPr>
            </w:pPr>
          </w:p>
        </w:tc>
        <w:tc>
          <w:tcPr>
            <w:tcW w:w="427" w:type="pct"/>
            <w:tcBorders>
              <w:bottom w:val="single" w:color="auto" w:sz="12" w:space="0"/>
            </w:tcBorders>
          </w:tcPr>
          <w:p w14:paraId="0DE4300A">
            <w:pPr>
              <w:keepNext/>
              <w:spacing w:line="440" w:lineRule="exact"/>
              <w:rPr>
                <w:color w:val="auto"/>
                <w:kern w:val="2"/>
                <w:sz w:val="21"/>
                <w:szCs w:val="21"/>
                <w:highlight w:val="none"/>
              </w:rPr>
            </w:pPr>
          </w:p>
        </w:tc>
        <w:tc>
          <w:tcPr>
            <w:tcW w:w="745" w:type="pct"/>
            <w:tcBorders>
              <w:bottom w:val="single" w:color="auto" w:sz="12" w:space="0"/>
            </w:tcBorders>
          </w:tcPr>
          <w:p w14:paraId="6A65D0F0">
            <w:pPr>
              <w:keepNext/>
              <w:spacing w:line="440" w:lineRule="exact"/>
              <w:rPr>
                <w:color w:val="auto"/>
                <w:kern w:val="2"/>
                <w:sz w:val="21"/>
                <w:szCs w:val="21"/>
                <w:highlight w:val="none"/>
              </w:rPr>
            </w:pPr>
          </w:p>
        </w:tc>
        <w:tc>
          <w:tcPr>
            <w:tcW w:w="781" w:type="pct"/>
            <w:tcBorders>
              <w:bottom w:val="single" w:color="auto" w:sz="12" w:space="0"/>
            </w:tcBorders>
          </w:tcPr>
          <w:p w14:paraId="21249C04">
            <w:pPr>
              <w:keepNext/>
              <w:spacing w:line="440" w:lineRule="exact"/>
              <w:rPr>
                <w:color w:val="auto"/>
                <w:kern w:val="2"/>
                <w:sz w:val="21"/>
                <w:szCs w:val="21"/>
                <w:highlight w:val="none"/>
              </w:rPr>
            </w:pPr>
          </w:p>
        </w:tc>
        <w:tc>
          <w:tcPr>
            <w:tcW w:w="937" w:type="pct"/>
            <w:tcBorders>
              <w:bottom w:val="single" w:color="auto" w:sz="12" w:space="0"/>
            </w:tcBorders>
          </w:tcPr>
          <w:p w14:paraId="4CF2EF80">
            <w:pPr>
              <w:keepNext/>
              <w:spacing w:line="440" w:lineRule="exact"/>
              <w:rPr>
                <w:color w:val="auto"/>
                <w:kern w:val="2"/>
                <w:sz w:val="21"/>
                <w:szCs w:val="21"/>
                <w:highlight w:val="none"/>
              </w:rPr>
            </w:pPr>
          </w:p>
        </w:tc>
      </w:tr>
    </w:tbl>
    <w:p w14:paraId="780987A2">
      <w:pPr>
        <w:widowControl/>
        <w:jc w:val="center"/>
        <w:rPr>
          <w:b/>
          <w:color w:val="auto"/>
          <w:sz w:val="28"/>
          <w:highlight w:val="none"/>
        </w:rPr>
      </w:pPr>
      <w:r>
        <w:rPr>
          <w:b/>
          <w:color w:val="auto"/>
          <w:sz w:val="24"/>
          <w:highlight w:val="none"/>
        </w:rPr>
        <w:br w:type="page"/>
      </w:r>
      <w:bookmarkStart w:id="614" w:name="_Toc20939"/>
      <w:r>
        <w:rPr>
          <w:rFonts w:hint="eastAsia"/>
          <w:b/>
          <w:color w:val="auto"/>
          <w:sz w:val="28"/>
          <w:highlight w:val="none"/>
        </w:rPr>
        <w:t>第六章  响应文件格式</w:t>
      </w:r>
      <w:bookmarkEnd w:id="614"/>
    </w:p>
    <w:p w14:paraId="6155BB1E">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肥西县花木城特色花卉农产品交易市场建设工程项目一期——室内标准化农产品交易大厅地面改造工程</w:t>
      </w:r>
    </w:p>
    <w:p w14:paraId="71D52F4C">
      <w:pPr>
        <w:spacing w:line="900" w:lineRule="exact"/>
        <w:jc w:val="center"/>
        <w:outlineLvl w:val="2"/>
        <w:rPr>
          <w:b/>
          <w:color w:val="auto"/>
          <w:sz w:val="72"/>
          <w:highlight w:val="none"/>
        </w:rPr>
      </w:pPr>
      <w:r>
        <w:rPr>
          <w:rFonts w:hint="eastAsia"/>
          <w:b/>
          <w:color w:val="auto"/>
          <w:sz w:val="72"/>
          <w:highlight w:val="none"/>
        </w:rPr>
        <w:t>响</w:t>
      </w:r>
    </w:p>
    <w:p w14:paraId="0AFAEF6B">
      <w:pPr>
        <w:spacing w:line="900" w:lineRule="exact"/>
        <w:jc w:val="center"/>
        <w:rPr>
          <w:b/>
          <w:color w:val="auto"/>
          <w:sz w:val="72"/>
          <w:highlight w:val="none"/>
        </w:rPr>
      </w:pPr>
    </w:p>
    <w:p w14:paraId="2CD96275">
      <w:pPr>
        <w:spacing w:line="900" w:lineRule="exact"/>
        <w:jc w:val="center"/>
        <w:outlineLvl w:val="2"/>
        <w:rPr>
          <w:b/>
          <w:color w:val="auto"/>
          <w:sz w:val="72"/>
          <w:highlight w:val="none"/>
        </w:rPr>
      </w:pPr>
      <w:r>
        <w:rPr>
          <w:rFonts w:hint="eastAsia"/>
          <w:b/>
          <w:color w:val="auto"/>
          <w:sz w:val="72"/>
          <w:highlight w:val="none"/>
        </w:rPr>
        <w:t>应</w:t>
      </w:r>
    </w:p>
    <w:p w14:paraId="01D1A539">
      <w:pPr>
        <w:spacing w:line="900" w:lineRule="exact"/>
        <w:jc w:val="center"/>
        <w:rPr>
          <w:b/>
          <w:color w:val="auto"/>
          <w:sz w:val="72"/>
          <w:highlight w:val="none"/>
        </w:rPr>
      </w:pPr>
    </w:p>
    <w:p w14:paraId="67384525">
      <w:pPr>
        <w:spacing w:line="900" w:lineRule="exact"/>
        <w:jc w:val="center"/>
        <w:outlineLvl w:val="2"/>
        <w:rPr>
          <w:b/>
          <w:color w:val="auto"/>
          <w:sz w:val="72"/>
          <w:highlight w:val="none"/>
        </w:rPr>
      </w:pPr>
      <w:r>
        <w:rPr>
          <w:rFonts w:hint="eastAsia"/>
          <w:b/>
          <w:color w:val="auto"/>
          <w:sz w:val="72"/>
          <w:highlight w:val="none"/>
        </w:rPr>
        <w:t>文</w:t>
      </w:r>
    </w:p>
    <w:p w14:paraId="3604793A">
      <w:pPr>
        <w:spacing w:line="900" w:lineRule="exact"/>
        <w:jc w:val="center"/>
        <w:rPr>
          <w:b/>
          <w:color w:val="auto"/>
          <w:sz w:val="72"/>
          <w:highlight w:val="none"/>
        </w:rPr>
      </w:pPr>
    </w:p>
    <w:p w14:paraId="756D95B3">
      <w:pPr>
        <w:jc w:val="center"/>
        <w:outlineLvl w:val="2"/>
        <w:rPr>
          <w:b/>
          <w:color w:val="auto"/>
          <w:sz w:val="72"/>
          <w:highlight w:val="none"/>
        </w:rPr>
      </w:pPr>
      <w:r>
        <w:rPr>
          <w:rFonts w:hint="eastAsia"/>
          <w:b/>
          <w:color w:val="auto"/>
          <w:sz w:val="72"/>
          <w:highlight w:val="none"/>
        </w:rPr>
        <w:t>件</w:t>
      </w:r>
    </w:p>
    <w:p w14:paraId="1B23D62D">
      <w:pPr>
        <w:spacing w:after="156" w:afterLines="50"/>
        <w:jc w:val="center"/>
        <w:rPr>
          <w:b/>
          <w:color w:val="auto"/>
          <w:sz w:val="72"/>
          <w:highlight w:val="none"/>
        </w:rPr>
      </w:pPr>
    </w:p>
    <w:p w14:paraId="5E24B3B4">
      <w:pPr>
        <w:spacing w:after="156" w:afterLines="50" w:line="500" w:lineRule="exact"/>
        <w:jc w:val="center"/>
        <w:rPr>
          <w:b/>
          <w:color w:val="auto"/>
          <w:sz w:val="28"/>
          <w:szCs w:val="28"/>
          <w:highlight w:val="none"/>
        </w:rPr>
      </w:pPr>
    </w:p>
    <w:p w14:paraId="50BC9922">
      <w:pPr>
        <w:spacing w:after="156" w:afterLines="50" w:line="500" w:lineRule="exact"/>
        <w:jc w:val="center"/>
        <w:rPr>
          <w:b/>
          <w:color w:val="auto"/>
          <w:sz w:val="72"/>
          <w:highlight w:val="none"/>
        </w:rPr>
      </w:pPr>
    </w:p>
    <w:p w14:paraId="34B6E459">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供应商</w:t>
      </w:r>
      <w:r>
        <w:rPr>
          <w:rFonts w:hint="eastAsia"/>
          <w:b/>
          <w:color w:val="auto"/>
          <w:sz w:val="32"/>
          <w:highlight w:val="none"/>
        </w:rPr>
        <w:t>：</w:t>
      </w:r>
      <w:r>
        <w:rPr>
          <w:rFonts w:hint="eastAsia"/>
          <w:b/>
          <w:color w:val="auto"/>
          <w:sz w:val="32"/>
          <w:highlight w:val="none"/>
          <w:u w:val="single"/>
        </w:rPr>
        <w:t xml:space="preserve">               </w:t>
      </w:r>
    </w:p>
    <w:p w14:paraId="358F67D6">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615"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615"/>
    </w:p>
    <w:p w14:paraId="7E1EB0F3">
      <w:pPr>
        <w:widowControl/>
        <w:jc w:val="center"/>
        <w:rPr>
          <w:b/>
          <w:color w:val="auto"/>
          <w:sz w:val="24"/>
          <w:highlight w:val="none"/>
        </w:rPr>
      </w:pPr>
      <w:r>
        <w:rPr>
          <w:b/>
          <w:color w:val="auto"/>
          <w:sz w:val="28"/>
          <w:highlight w:val="none"/>
        </w:rPr>
        <w:br w:type="page"/>
      </w:r>
      <w:bookmarkStart w:id="616" w:name="_Toc461056631"/>
      <w:bookmarkStart w:id="617" w:name="_Toc461053086"/>
      <w:bookmarkStart w:id="618" w:name="_Toc520983587"/>
      <w:r>
        <w:rPr>
          <w:rFonts w:hint="eastAsia"/>
          <w:b/>
          <w:color w:val="auto"/>
          <w:sz w:val="24"/>
          <w:highlight w:val="none"/>
        </w:rPr>
        <w:t>一</w:t>
      </w:r>
      <w:bookmarkEnd w:id="616"/>
      <w:bookmarkEnd w:id="617"/>
      <w:r>
        <w:rPr>
          <w:rFonts w:hint="eastAsia"/>
          <w:b/>
          <w:color w:val="auto"/>
          <w:sz w:val="24"/>
          <w:highlight w:val="none"/>
        </w:rPr>
        <w:t>、报价表格式</w:t>
      </w:r>
      <w:bookmarkEnd w:id="618"/>
    </w:p>
    <w:p w14:paraId="48C6F829">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14:paraId="7FFD5529">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肥西县花木城特色花卉农产品交易市场建设工程项目一期——室内标准化农产品交易大厅地面改造工程</w:t>
      </w:r>
    </w:p>
    <w:p w14:paraId="519D1367">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2025PHGQ426</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424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8DAA1E2">
            <w:pPr>
              <w:jc w:val="center"/>
              <w:rPr>
                <w:rFonts w:cs="宋体"/>
                <w:b/>
                <w:color w:val="auto"/>
                <w:kern w:val="2"/>
                <w:sz w:val="24"/>
                <w:szCs w:val="24"/>
                <w:highlight w:val="none"/>
              </w:rPr>
            </w:pPr>
            <w:r>
              <w:rPr>
                <w:rFonts w:hint="eastAsia"/>
                <w:b/>
                <w:color w:val="auto"/>
                <w:sz w:val="24"/>
                <w:szCs w:val="18"/>
                <w:highlight w:val="none"/>
                <w:lang w:eastAsia="zh-CN"/>
              </w:rPr>
              <w:t>供应商</w:t>
            </w:r>
            <w:r>
              <w:rPr>
                <w:rFonts w:hint="eastAsia" w:cs="宋体"/>
                <w:b/>
                <w:color w:val="auto"/>
                <w:kern w:val="2"/>
                <w:sz w:val="24"/>
                <w:szCs w:val="24"/>
                <w:highlight w:val="none"/>
              </w:rPr>
              <w:t>名称</w:t>
            </w:r>
          </w:p>
        </w:tc>
        <w:tc>
          <w:tcPr>
            <w:tcW w:w="6063" w:type="dxa"/>
            <w:tcBorders>
              <w:left w:val="single" w:color="auto" w:sz="4" w:space="0"/>
            </w:tcBorders>
          </w:tcPr>
          <w:p w14:paraId="36695DDF">
            <w:pPr>
              <w:rPr>
                <w:rFonts w:cs="宋体"/>
                <w:b/>
                <w:color w:val="auto"/>
                <w:kern w:val="2"/>
                <w:sz w:val="24"/>
                <w:szCs w:val="24"/>
                <w:highlight w:val="none"/>
              </w:rPr>
            </w:pPr>
          </w:p>
        </w:tc>
      </w:tr>
      <w:tr w14:paraId="620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224E560">
            <w:pPr>
              <w:jc w:val="center"/>
              <w:rPr>
                <w:rFonts w:cs="宋体"/>
                <w:b/>
                <w:color w:val="auto"/>
                <w:kern w:val="2"/>
                <w:sz w:val="24"/>
                <w:szCs w:val="24"/>
                <w:highlight w:val="none"/>
              </w:rPr>
            </w:pPr>
            <w:r>
              <w:rPr>
                <w:rFonts w:hint="eastAsia" w:cs="宋体"/>
                <w:b/>
                <w:bCs/>
                <w:color w:val="auto"/>
                <w:kern w:val="2"/>
                <w:sz w:val="24"/>
                <w:szCs w:val="24"/>
                <w:highlight w:val="none"/>
                <w:lang w:eastAsia="zh-CN"/>
              </w:rPr>
              <w:t>比选</w:t>
            </w:r>
            <w:r>
              <w:rPr>
                <w:rFonts w:hint="eastAsia" w:cs="宋体"/>
                <w:b/>
                <w:color w:val="auto"/>
                <w:kern w:val="2"/>
                <w:sz w:val="24"/>
                <w:szCs w:val="24"/>
                <w:highlight w:val="none"/>
              </w:rPr>
              <w:t>范围</w:t>
            </w:r>
          </w:p>
        </w:tc>
        <w:tc>
          <w:tcPr>
            <w:tcW w:w="6063" w:type="dxa"/>
            <w:tcBorders>
              <w:left w:val="single" w:color="auto" w:sz="4" w:space="0"/>
            </w:tcBorders>
            <w:vAlign w:val="center"/>
          </w:tcPr>
          <w:p w14:paraId="7360FD17">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14:paraId="3B2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71F2FC26">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09849CFF">
            <w:pPr>
              <w:jc w:val="center"/>
              <w:rPr>
                <w:rFonts w:cs="宋体"/>
                <w:b/>
                <w:color w:val="auto"/>
                <w:kern w:val="2"/>
                <w:sz w:val="24"/>
                <w:szCs w:val="24"/>
                <w:highlight w:val="none"/>
              </w:rPr>
            </w:pPr>
            <w:r>
              <w:rPr>
                <w:rFonts w:hint="eastAsia" w:cs="宋体"/>
                <w:b/>
                <w:color w:val="auto"/>
                <w:kern w:val="2"/>
                <w:sz w:val="24"/>
                <w:szCs w:val="24"/>
                <w:highlight w:val="none"/>
              </w:rPr>
              <w:t>（详见备注说明）</w:t>
            </w:r>
          </w:p>
        </w:tc>
        <w:tc>
          <w:tcPr>
            <w:tcW w:w="6063" w:type="dxa"/>
            <w:vAlign w:val="center"/>
          </w:tcPr>
          <w:p w14:paraId="5AAED03D">
            <w:pPr>
              <w:snapToGrid w:val="0"/>
              <w:rPr>
                <w:rFonts w:cs="宋体"/>
                <w:color w:val="auto"/>
                <w:kern w:val="2"/>
                <w:sz w:val="24"/>
                <w:szCs w:val="24"/>
                <w:highlight w:val="none"/>
              </w:rPr>
            </w:pPr>
          </w:p>
          <w:p w14:paraId="15312F27">
            <w:pPr>
              <w:snapToGrid w:val="0"/>
              <w:rPr>
                <w:rFonts w:hint="eastAsia" w:cs="宋体"/>
                <w:bCs/>
                <w:color w:val="auto"/>
                <w:kern w:val="2"/>
                <w:sz w:val="24"/>
                <w:szCs w:val="24"/>
                <w:highlight w:val="none"/>
                <w:u w:val="single"/>
              </w:rPr>
            </w:pPr>
            <w:r>
              <w:rPr>
                <w:rFonts w:hint="eastAsia" w:cs="宋体"/>
                <w:bCs/>
                <w:color w:val="auto"/>
                <w:kern w:val="2"/>
                <w:sz w:val="24"/>
                <w:szCs w:val="24"/>
                <w:highlight w:val="none"/>
              </w:rPr>
              <w:t>人民币大写：</w:t>
            </w:r>
            <w:r>
              <w:rPr>
                <w:rFonts w:hint="eastAsia" w:cs="宋体"/>
                <w:bCs/>
                <w:color w:val="auto"/>
                <w:kern w:val="2"/>
                <w:sz w:val="24"/>
                <w:szCs w:val="24"/>
                <w:highlight w:val="none"/>
                <w:u w:val="single"/>
              </w:rPr>
              <w:t xml:space="preserve">                        </w:t>
            </w:r>
          </w:p>
          <w:p w14:paraId="3A775DBB">
            <w:pPr>
              <w:snapToGrid w:val="0"/>
              <w:ind w:firstLine="720" w:firstLineChars="30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w:t>
            </w:r>
          </w:p>
          <w:p w14:paraId="7DFDA0C4">
            <w:pPr>
              <w:snapToGrid w:val="0"/>
              <w:rPr>
                <w:rFonts w:cs="宋体"/>
                <w:b/>
                <w:color w:val="auto"/>
                <w:kern w:val="2"/>
                <w:sz w:val="24"/>
                <w:szCs w:val="24"/>
                <w:highlight w:val="none"/>
              </w:rPr>
            </w:pPr>
          </w:p>
        </w:tc>
      </w:tr>
      <w:tr w14:paraId="417E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26A58EFC">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14:paraId="37415DCE">
            <w:pPr>
              <w:snapToGrid w:val="0"/>
              <w:rPr>
                <w:rFonts w:cs="宋体"/>
                <w:b/>
                <w:color w:val="auto"/>
                <w:kern w:val="2"/>
                <w:sz w:val="24"/>
                <w:szCs w:val="24"/>
                <w:highlight w:val="none"/>
              </w:rPr>
            </w:pPr>
          </w:p>
        </w:tc>
      </w:tr>
      <w:tr w14:paraId="3930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BD946AC">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14:paraId="3EBD01BC">
            <w:pPr>
              <w:snapToGrid w:val="0"/>
              <w:rPr>
                <w:rFonts w:cs="宋体"/>
                <w:b/>
                <w:color w:val="auto"/>
                <w:kern w:val="2"/>
                <w:sz w:val="24"/>
                <w:szCs w:val="24"/>
                <w:highlight w:val="none"/>
              </w:rPr>
            </w:pPr>
            <w:r>
              <w:rPr>
                <w:rFonts w:hint="eastAsia" w:cs="宋体"/>
                <w:bCs/>
                <w:color w:val="auto"/>
                <w:kern w:val="2"/>
                <w:sz w:val="24"/>
                <w:szCs w:val="24"/>
                <w:highlight w:val="none"/>
              </w:rPr>
              <w:t>接开工令后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60</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日历天完工</w:t>
            </w:r>
          </w:p>
        </w:tc>
      </w:tr>
      <w:tr w14:paraId="0479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5DFD2DFF">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14:paraId="76A9E25F">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14:paraId="1410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7F5090FB">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14:paraId="7235D7F2">
            <w:pPr>
              <w:rPr>
                <w:rFonts w:cs="宋体"/>
                <w:b/>
                <w:color w:val="auto"/>
                <w:kern w:val="2"/>
                <w:sz w:val="24"/>
                <w:szCs w:val="24"/>
                <w:highlight w:val="none"/>
              </w:rPr>
            </w:pPr>
          </w:p>
        </w:tc>
      </w:tr>
    </w:tbl>
    <w:p w14:paraId="2D50F698">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供应商</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7B86E5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6CE88132">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14:paraId="4CC350D4">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w:t>
      </w:r>
      <w:r>
        <w:rPr>
          <w:rFonts w:hint="eastAsia" w:cs="宋体"/>
          <w:b/>
          <w:bCs/>
          <w:color w:val="auto"/>
          <w:kern w:val="2"/>
          <w:sz w:val="24"/>
          <w:szCs w:val="24"/>
          <w:highlight w:val="none"/>
          <w:lang w:eastAsia="zh-CN"/>
        </w:rPr>
        <w:t>比选</w:t>
      </w:r>
      <w:r>
        <w:rPr>
          <w:rFonts w:hint="eastAsia" w:cs="宋体"/>
          <w:b/>
          <w:bCs/>
          <w:color w:val="auto"/>
          <w:kern w:val="2"/>
          <w:sz w:val="24"/>
          <w:szCs w:val="24"/>
          <w:highlight w:val="none"/>
        </w:rPr>
        <w:t>文件要求包括了</w:t>
      </w:r>
      <w:r>
        <w:rPr>
          <w:rFonts w:hint="eastAsia" w:cs="宋体"/>
          <w:b/>
          <w:bCs/>
          <w:color w:val="auto"/>
          <w:kern w:val="2"/>
          <w:sz w:val="24"/>
          <w:szCs w:val="24"/>
          <w:highlight w:val="none"/>
          <w:lang w:eastAsia="zh-CN"/>
        </w:rPr>
        <w:t>比选</w:t>
      </w:r>
      <w:r>
        <w:rPr>
          <w:rFonts w:hint="eastAsia" w:cs="宋体"/>
          <w:b/>
          <w:bCs/>
          <w:color w:val="auto"/>
          <w:kern w:val="2"/>
          <w:sz w:val="24"/>
          <w:szCs w:val="24"/>
          <w:highlight w:val="none"/>
        </w:rPr>
        <w:t>文件要求提供的全部内容的所有费用。</w:t>
      </w:r>
    </w:p>
    <w:p w14:paraId="3393E69A">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14:paraId="6068B198">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供应商</w:t>
      </w:r>
      <w:r>
        <w:rPr>
          <w:rFonts w:hint="eastAsia"/>
          <w:b/>
          <w:bCs/>
          <w:color w:val="auto"/>
          <w:sz w:val="24"/>
          <w:szCs w:val="24"/>
          <w:highlight w:val="none"/>
        </w:rPr>
        <w:t>填写的唱标信息不作为评审依据。</w:t>
      </w:r>
    </w:p>
    <w:p w14:paraId="401225A6">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14:paraId="24B4E9E4">
      <w:pPr>
        <w:autoSpaceDE w:val="0"/>
        <w:autoSpaceDN w:val="0"/>
        <w:adjustRightInd w:val="0"/>
        <w:spacing w:before="20" w:after="20" w:line="360" w:lineRule="auto"/>
        <w:jc w:val="center"/>
        <w:rPr>
          <w:rFonts w:cs="宋体"/>
          <w:b/>
          <w:color w:val="auto"/>
          <w:sz w:val="24"/>
          <w:szCs w:val="24"/>
          <w:highlight w:val="none"/>
        </w:rPr>
      </w:pPr>
    </w:p>
    <w:p w14:paraId="2E435DC4">
      <w:pPr>
        <w:autoSpaceDE w:val="0"/>
        <w:autoSpaceDN w:val="0"/>
        <w:adjustRightInd w:val="0"/>
        <w:spacing w:before="20" w:after="20" w:line="360" w:lineRule="auto"/>
        <w:jc w:val="center"/>
        <w:outlineLvl w:val="1"/>
        <w:rPr>
          <w:rFonts w:cs="宋体"/>
          <w:b/>
          <w:color w:val="auto"/>
          <w:sz w:val="24"/>
          <w:szCs w:val="24"/>
          <w:highlight w:val="none"/>
        </w:rPr>
      </w:pPr>
      <w:bookmarkStart w:id="619" w:name="_Toc22545"/>
      <w:r>
        <w:rPr>
          <w:rFonts w:hint="eastAsia" w:cs="宋体"/>
          <w:b/>
          <w:color w:val="auto"/>
          <w:sz w:val="24"/>
          <w:szCs w:val="24"/>
          <w:highlight w:val="none"/>
        </w:rPr>
        <w:t>工程量清单报价书</w:t>
      </w:r>
      <w:bookmarkEnd w:id="619"/>
    </w:p>
    <w:p w14:paraId="4D77072D">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14:paraId="22E2B07E">
      <w:pPr>
        <w:widowControl/>
        <w:spacing w:line="360" w:lineRule="auto"/>
        <w:ind w:firstLine="482" w:firstLineChars="200"/>
        <w:jc w:val="center"/>
        <w:rPr>
          <w:bCs/>
          <w:color w:val="auto"/>
          <w:sz w:val="24"/>
          <w:highlight w:val="none"/>
        </w:rPr>
      </w:pPr>
      <w:r>
        <w:rPr>
          <w:b/>
          <w:bCs/>
          <w:color w:val="auto"/>
          <w:sz w:val="24"/>
          <w:szCs w:val="28"/>
          <w:highlight w:val="none"/>
        </w:rPr>
        <w:br w:type="page"/>
      </w:r>
    </w:p>
    <w:p w14:paraId="59D7A624">
      <w:pPr>
        <w:widowControl/>
        <w:jc w:val="center"/>
        <w:rPr>
          <w:rFonts w:cs="@仿宋_GB2312"/>
          <w:b/>
          <w:bCs/>
          <w:color w:val="auto"/>
          <w:kern w:val="2"/>
          <w:sz w:val="24"/>
          <w:szCs w:val="24"/>
          <w:highlight w:val="none"/>
        </w:rPr>
      </w:pPr>
      <w:bookmarkStart w:id="620"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供应商</w:t>
      </w:r>
      <w:r>
        <w:rPr>
          <w:rFonts w:hint="eastAsia"/>
          <w:b/>
          <w:color w:val="auto"/>
          <w:sz w:val="24"/>
          <w:highlight w:val="none"/>
        </w:rPr>
        <w:t>综合情况简介</w:t>
      </w:r>
    </w:p>
    <w:p w14:paraId="159FC6AF">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供应商</w:t>
      </w:r>
      <w:r>
        <w:rPr>
          <w:rFonts w:hint="eastAsia"/>
          <w:color w:val="auto"/>
          <w:sz w:val="24"/>
          <w:szCs w:val="28"/>
          <w:highlight w:val="none"/>
        </w:rPr>
        <w:t>可自行制作格式）</w:t>
      </w:r>
    </w:p>
    <w:p w14:paraId="0401CDD6">
      <w:pPr>
        <w:widowControl/>
        <w:jc w:val="center"/>
        <w:rPr>
          <w:b/>
          <w:color w:val="auto"/>
          <w:sz w:val="24"/>
          <w:highlight w:val="none"/>
        </w:rPr>
      </w:pPr>
      <w:r>
        <w:rPr>
          <w:b/>
          <w:color w:val="auto"/>
          <w:sz w:val="24"/>
          <w:highlight w:val="none"/>
        </w:rPr>
        <w:br w:type="page"/>
      </w:r>
      <w:r>
        <w:rPr>
          <w:rFonts w:hint="eastAsia"/>
          <w:b/>
          <w:color w:val="auto"/>
          <w:sz w:val="24"/>
          <w:highlight w:val="none"/>
        </w:rPr>
        <w:t>四、</w:t>
      </w:r>
      <w:r>
        <w:rPr>
          <w:rFonts w:hint="eastAsia"/>
          <w:b/>
          <w:color w:val="auto"/>
          <w:sz w:val="24"/>
          <w:highlight w:val="none"/>
          <w:lang w:eastAsia="zh-CN"/>
        </w:rPr>
        <w:t>比选</w:t>
      </w:r>
      <w:r>
        <w:rPr>
          <w:rFonts w:hint="eastAsia"/>
          <w:b/>
          <w:color w:val="auto"/>
          <w:sz w:val="24"/>
          <w:highlight w:val="none"/>
        </w:rPr>
        <w:t>响应函</w:t>
      </w:r>
      <w:bookmarkEnd w:id="620"/>
    </w:p>
    <w:p w14:paraId="1E1481F1">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肥西乡侬商业管理有限公司</w:t>
      </w:r>
    </w:p>
    <w:p w14:paraId="78E8FC9B">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14:paraId="62A0707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w:t>
      </w:r>
      <w:r>
        <w:rPr>
          <w:rFonts w:hint="eastAsia" w:cs="宋体"/>
          <w:color w:val="auto"/>
          <w:kern w:val="2"/>
          <w:sz w:val="24"/>
          <w:szCs w:val="24"/>
          <w:highlight w:val="none"/>
          <w:lang w:eastAsia="zh-CN"/>
        </w:rPr>
        <w:t>比选</w:t>
      </w:r>
      <w:r>
        <w:rPr>
          <w:rFonts w:hint="eastAsia" w:cs="宋体"/>
          <w:color w:val="auto"/>
          <w:kern w:val="2"/>
          <w:sz w:val="24"/>
          <w:szCs w:val="24"/>
          <w:highlight w:val="none"/>
        </w:rPr>
        <w:t>公告和</w:t>
      </w:r>
      <w:r>
        <w:rPr>
          <w:rFonts w:hint="eastAsia" w:cs="宋体"/>
          <w:color w:val="auto"/>
          <w:kern w:val="2"/>
          <w:sz w:val="24"/>
          <w:szCs w:val="24"/>
          <w:highlight w:val="none"/>
          <w:lang w:eastAsia="zh-CN"/>
        </w:rPr>
        <w:t>比选</w:t>
      </w:r>
      <w:r>
        <w:rPr>
          <w:rFonts w:hint="eastAsia" w:cs="宋体"/>
          <w:color w:val="auto"/>
          <w:kern w:val="2"/>
          <w:sz w:val="24"/>
          <w:szCs w:val="24"/>
          <w:highlight w:val="none"/>
        </w:rPr>
        <w:t>邀请，我方兹宣布同意如下：</w:t>
      </w:r>
    </w:p>
    <w:p w14:paraId="0376ADC2">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文件的</w:t>
      </w:r>
      <w:r>
        <w:rPr>
          <w:rFonts w:hint="eastAsia" w:cs="宋体"/>
          <w:color w:val="auto"/>
          <w:kern w:val="2"/>
          <w:sz w:val="24"/>
          <w:szCs w:val="24"/>
          <w:highlight w:val="none"/>
          <w:lang w:eastAsia="zh-CN"/>
        </w:rPr>
        <w:t>比选</w:t>
      </w:r>
      <w:r>
        <w:rPr>
          <w:rFonts w:hint="eastAsia" w:cs="宋体"/>
          <w:color w:val="auto"/>
          <w:kern w:val="2"/>
          <w:sz w:val="24"/>
          <w:szCs w:val="24"/>
          <w:highlight w:val="none"/>
        </w:rPr>
        <w:t>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w:t>
      </w:r>
      <w:r>
        <w:rPr>
          <w:rFonts w:hint="eastAsia" w:cs="宋体"/>
          <w:bCs/>
          <w:color w:val="auto"/>
          <w:kern w:val="2"/>
          <w:sz w:val="24"/>
          <w:szCs w:val="24"/>
          <w:highlight w:val="none"/>
          <w:lang w:eastAsia="zh-CN"/>
        </w:rPr>
        <w:t>比选</w:t>
      </w:r>
      <w:r>
        <w:rPr>
          <w:rFonts w:hint="eastAsia" w:cs="宋体"/>
          <w:bCs/>
          <w:color w:val="auto"/>
          <w:kern w:val="2"/>
          <w:sz w:val="24"/>
          <w:szCs w:val="24"/>
          <w:highlight w:val="none"/>
        </w:rPr>
        <w:t>文件、施工图纸、合同条款和工程建设技术标准的条件、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上述工程的施工、竣工，并承担任何质量缺陷保修责任。</w:t>
      </w:r>
      <w:r>
        <w:rPr>
          <w:rFonts w:hint="eastAsia" w:cs="宋体"/>
          <w:color w:val="auto"/>
          <w:sz w:val="24"/>
          <w:highlight w:val="none"/>
        </w:rPr>
        <w:t>如我方成交，我方承诺愿意按</w:t>
      </w:r>
      <w:r>
        <w:rPr>
          <w:rFonts w:hint="eastAsia" w:cs="宋体"/>
          <w:color w:val="auto"/>
          <w:sz w:val="24"/>
          <w:highlight w:val="none"/>
          <w:lang w:eastAsia="zh-CN"/>
        </w:rPr>
        <w:t>比选</w:t>
      </w:r>
      <w:r>
        <w:rPr>
          <w:rFonts w:hint="eastAsia" w:cs="宋体"/>
          <w:color w:val="auto"/>
          <w:sz w:val="24"/>
          <w:highlight w:val="none"/>
        </w:rPr>
        <w:t>文件规定缴纳履约保证金和代理费。【成交时间，以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发出网上成交通知书之时为准，如不交纳代理费，我公司愿意承担违约责任。】</w:t>
      </w:r>
    </w:p>
    <w:p w14:paraId="27FDD24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文件及有关附件，充分理解</w:t>
      </w:r>
      <w:r>
        <w:rPr>
          <w:rFonts w:hint="eastAsia" w:cs="宋体"/>
          <w:color w:val="auto"/>
          <w:kern w:val="2"/>
          <w:sz w:val="24"/>
          <w:szCs w:val="24"/>
          <w:highlight w:val="none"/>
          <w:lang w:eastAsia="zh-CN"/>
        </w:rPr>
        <w:t>比选</w:t>
      </w:r>
      <w:r>
        <w:rPr>
          <w:rFonts w:hint="eastAsia" w:cs="宋体"/>
          <w:color w:val="auto"/>
          <w:kern w:val="2"/>
          <w:sz w:val="24"/>
          <w:szCs w:val="24"/>
          <w:highlight w:val="none"/>
        </w:rPr>
        <w:t>价格不得低于企业个别成本有关规定。我方经成本核算，所填报的</w:t>
      </w:r>
      <w:r>
        <w:rPr>
          <w:rFonts w:hint="eastAsia" w:cs="宋体"/>
          <w:color w:val="auto"/>
          <w:kern w:val="2"/>
          <w:sz w:val="24"/>
          <w:szCs w:val="24"/>
          <w:highlight w:val="none"/>
          <w:lang w:eastAsia="zh-CN"/>
        </w:rPr>
        <w:t>比选</w:t>
      </w:r>
      <w:r>
        <w:rPr>
          <w:rFonts w:hint="eastAsia" w:cs="宋体"/>
          <w:color w:val="auto"/>
          <w:kern w:val="2"/>
          <w:sz w:val="24"/>
          <w:szCs w:val="24"/>
          <w:highlight w:val="none"/>
        </w:rPr>
        <w:t>报价不低于企业个别成本。</w:t>
      </w:r>
    </w:p>
    <w:p w14:paraId="4DC234D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3．一旦我方成交，我方保证按</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文件约定的工期和</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文件或业主开工令的要求如期开工、竣工并移交整个工程。</w:t>
      </w:r>
    </w:p>
    <w:p w14:paraId="148B304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4．一旦我方成交，我方保证工程质量达到合格标准。</w:t>
      </w:r>
    </w:p>
    <w:p w14:paraId="0E203EF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5．一旦我方成交，我方保证响应文件中承诺的项目管理班子及施工机械设备到位，并按响应文件中的施工组织设计组织施工。</w:t>
      </w:r>
    </w:p>
    <w:p w14:paraId="35D51E4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6．一旦我方成交，我方保证用于本工程的主要材料、设备，符合</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文件规定和响应文件承诺，并在使用之前经建设、监理、设计单位确认后使用。</w:t>
      </w:r>
    </w:p>
    <w:p w14:paraId="6B0B6F9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7．一旦我方成交，我方保证在规定的时间内由我方法定代表人亲自签订合同以及及时进场施工，并认真履行合同和其它各项承诺。</w:t>
      </w:r>
    </w:p>
    <w:p w14:paraId="2EE9BDB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8．一旦我方成交，我方保证在规定的时间内按</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文件规定的方式、金额向</w:t>
      </w:r>
      <w:r>
        <w:rPr>
          <w:rFonts w:hint="eastAsia"/>
          <w:color w:val="auto"/>
          <w:sz w:val="24"/>
          <w:szCs w:val="18"/>
          <w:highlight w:val="none"/>
        </w:rPr>
        <w:t>业主单位</w:t>
      </w:r>
      <w:r>
        <w:rPr>
          <w:rFonts w:hint="eastAsia" w:cs="宋体"/>
          <w:color w:val="auto"/>
          <w:kern w:val="2"/>
          <w:sz w:val="24"/>
          <w:szCs w:val="24"/>
          <w:highlight w:val="none"/>
        </w:rPr>
        <w:t>提交履约担保。</w:t>
      </w:r>
    </w:p>
    <w:p w14:paraId="2132894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9．我方同意所提交的响应文件在</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文件规定的</w:t>
      </w:r>
      <w:r>
        <w:rPr>
          <w:rFonts w:hint="eastAsia" w:cs="宋体"/>
          <w:color w:val="auto"/>
          <w:kern w:val="2"/>
          <w:sz w:val="24"/>
          <w:szCs w:val="24"/>
          <w:highlight w:val="none"/>
          <w:lang w:eastAsia="zh-CN"/>
        </w:rPr>
        <w:t>比选</w:t>
      </w:r>
      <w:r>
        <w:rPr>
          <w:rFonts w:hint="eastAsia" w:cs="宋体"/>
          <w:color w:val="auto"/>
          <w:kern w:val="2"/>
          <w:sz w:val="24"/>
          <w:szCs w:val="24"/>
          <w:highlight w:val="none"/>
        </w:rPr>
        <w:t>有效期内有效，在此期间内如果成交，我方将受此约束。</w:t>
      </w:r>
    </w:p>
    <w:p w14:paraId="0E5AA98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10．除非另外达成协议并生效，你方的成交通知书和本响应文件以及</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文件澄清、修改、补充将成为约束双方的合同文件的组成部分。</w:t>
      </w:r>
    </w:p>
    <w:p w14:paraId="6B32FC2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14:paraId="7532185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rPr>
        <w:t>业主单位</w:t>
      </w:r>
      <w:r>
        <w:rPr>
          <w:rFonts w:hint="eastAsia" w:cs="宋体"/>
          <w:color w:val="auto"/>
          <w:kern w:val="2"/>
          <w:sz w:val="24"/>
          <w:szCs w:val="24"/>
          <w:highlight w:val="none"/>
        </w:rPr>
        <w:t>提供的工程量清单和最高限价（控制价）进行认真复核，确认无误，成交后不再另行调整。</w:t>
      </w:r>
    </w:p>
    <w:p w14:paraId="741ED02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w:t>
      </w:r>
      <w:r>
        <w:rPr>
          <w:rFonts w:hint="eastAsia" w:cs="宋体"/>
          <w:color w:val="auto"/>
          <w:kern w:val="2"/>
          <w:sz w:val="24"/>
          <w:szCs w:val="24"/>
          <w:highlight w:val="none"/>
          <w:lang w:eastAsia="zh-CN"/>
        </w:rPr>
        <w:t>比选</w:t>
      </w:r>
      <w:r>
        <w:rPr>
          <w:rFonts w:hint="eastAsia" w:cs="宋体"/>
          <w:color w:val="auto"/>
          <w:kern w:val="2"/>
          <w:sz w:val="24"/>
          <w:szCs w:val="24"/>
          <w:highlight w:val="none"/>
        </w:rPr>
        <w:t>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color w:val="auto"/>
          <w:sz w:val="24"/>
          <w:szCs w:val="18"/>
          <w:highlight w:val="none"/>
        </w:rPr>
        <w:t>业主单位</w:t>
      </w:r>
      <w:r>
        <w:rPr>
          <w:rFonts w:hint="eastAsia" w:cs="宋体"/>
          <w:color w:val="auto"/>
          <w:kern w:val="2"/>
          <w:sz w:val="24"/>
          <w:szCs w:val="24"/>
          <w:highlight w:val="none"/>
        </w:rPr>
        <w:t>可取消我单位成交资格。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w:t>
      </w:r>
      <w:r>
        <w:rPr>
          <w:rFonts w:hint="eastAsia" w:cs="宋体"/>
          <w:color w:val="auto"/>
          <w:kern w:val="2"/>
          <w:sz w:val="24"/>
          <w:szCs w:val="24"/>
          <w:highlight w:val="none"/>
          <w:lang w:eastAsia="zh-CN"/>
        </w:rPr>
        <w:t>比选</w:t>
      </w:r>
      <w:r>
        <w:rPr>
          <w:rFonts w:hint="eastAsia" w:cs="宋体"/>
          <w:color w:val="auto"/>
          <w:kern w:val="2"/>
          <w:sz w:val="24"/>
          <w:szCs w:val="24"/>
          <w:highlight w:val="none"/>
        </w:rPr>
        <w:t>保证金不予退还，同时贵单位可向我单位进一步追偿工期延误造成的一切损失。</w:t>
      </w:r>
    </w:p>
    <w:p w14:paraId="0FA00A0D">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w:t>
      </w:r>
      <w:r>
        <w:rPr>
          <w:rFonts w:hint="eastAsia" w:cs="@仿宋_GB2312"/>
          <w:color w:val="auto"/>
          <w:kern w:val="2"/>
          <w:sz w:val="24"/>
          <w:szCs w:val="24"/>
          <w:highlight w:val="none"/>
          <w:lang w:eastAsia="zh-CN"/>
        </w:rPr>
        <w:t>比选</w:t>
      </w:r>
      <w:r>
        <w:rPr>
          <w:rFonts w:hint="eastAsia" w:cs="@仿宋_GB2312"/>
          <w:color w:val="auto"/>
          <w:kern w:val="2"/>
          <w:sz w:val="24"/>
          <w:szCs w:val="24"/>
          <w:highlight w:val="none"/>
        </w:rPr>
        <w:t>文件公布的施工扬尘污染防治措施费用，一旦我方成交，将严格遵守国家、省、市增值税相关规定的要求。我方将按照</w:t>
      </w:r>
      <w:r>
        <w:rPr>
          <w:rFonts w:hint="eastAsia" w:cs="@仿宋_GB2312"/>
          <w:color w:val="auto"/>
          <w:kern w:val="2"/>
          <w:sz w:val="24"/>
          <w:szCs w:val="24"/>
          <w:highlight w:val="none"/>
          <w:lang w:eastAsia="zh-CN"/>
        </w:rPr>
        <w:t>比选</w:t>
      </w:r>
      <w:r>
        <w:rPr>
          <w:rFonts w:hint="eastAsia" w:cs="@仿宋_GB2312"/>
          <w:color w:val="auto"/>
          <w:kern w:val="2"/>
          <w:sz w:val="24"/>
          <w:szCs w:val="24"/>
          <w:highlight w:val="none"/>
        </w:rPr>
        <w:t>文件的要求对农民工工资、扬尘污染防治进行办理专户设立、工资支付等事宜。</w:t>
      </w:r>
    </w:p>
    <w:p w14:paraId="36BF2FDF">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14:paraId="683AA5D8">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14:paraId="5AC8F2D7">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14:paraId="56FB3AAB">
      <w:pPr>
        <w:widowControl/>
        <w:jc w:val="center"/>
        <w:rPr>
          <w:color w:val="auto"/>
          <w:sz w:val="24"/>
          <w:szCs w:val="24"/>
          <w:highlight w:val="none"/>
        </w:rPr>
      </w:pPr>
      <w:r>
        <w:rPr>
          <w:color w:val="auto"/>
          <w:sz w:val="24"/>
          <w:highlight w:val="none"/>
        </w:rPr>
        <w:br w:type="page"/>
      </w:r>
      <w:bookmarkStart w:id="621" w:name="_Toc520983592"/>
      <w:r>
        <w:rPr>
          <w:rFonts w:hint="eastAsia"/>
          <w:b/>
          <w:color w:val="auto"/>
          <w:sz w:val="24"/>
          <w:highlight w:val="none"/>
        </w:rPr>
        <w:t>五、无不良信用记录声明函</w:t>
      </w:r>
      <w:bookmarkEnd w:id="621"/>
    </w:p>
    <w:p w14:paraId="6E78488A">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w:t>
      </w:r>
      <w:r>
        <w:rPr>
          <w:rFonts w:hint="eastAsia"/>
          <w:i/>
          <w:color w:val="auto"/>
          <w:sz w:val="24"/>
          <w:highlight w:val="none"/>
          <w:lang w:eastAsia="zh-CN"/>
        </w:rPr>
        <w:t>比选</w:t>
      </w:r>
      <w:r>
        <w:rPr>
          <w:rFonts w:hint="eastAsia"/>
          <w:i/>
          <w:color w:val="auto"/>
          <w:sz w:val="24"/>
          <w:highlight w:val="none"/>
        </w:rPr>
        <w:t>的，联合体双方均须提供）</w:t>
      </w:r>
    </w:p>
    <w:p w14:paraId="094979B2">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14:paraId="043C72A4">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14:paraId="1A913991">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14:paraId="7D96F4DE">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14:paraId="7965A5E4">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2E02DF97">
      <w:pPr>
        <w:spacing w:line="360" w:lineRule="auto"/>
        <w:ind w:firstLine="3840" w:firstLineChars="1600"/>
        <w:rPr>
          <w:rFonts w:cs="宋体"/>
          <w:color w:val="auto"/>
          <w:sz w:val="24"/>
          <w:szCs w:val="24"/>
          <w:highlight w:val="none"/>
        </w:rPr>
      </w:pPr>
    </w:p>
    <w:p w14:paraId="65D3E510">
      <w:pPr>
        <w:spacing w:line="360" w:lineRule="auto"/>
        <w:ind w:firstLine="3840" w:firstLineChars="1600"/>
        <w:rPr>
          <w:rFonts w:cs="宋体"/>
          <w:color w:val="auto"/>
          <w:sz w:val="24"/>
          <w:szCs w:val="24"/>
          <w:highlight w:val="none"/>
        </w:rPr>
      </w:pPr>
    </w:p>
    <w:p w14:paraId="2EA9587F">
      <w:pPr>
        <w:spacing w:line="360" w:lineRule="auto"/>
        <w:ind w:firstLine="3840" w:firstLineChars="1600"/>
        <w:rPr>
          <w:rFonts w:cs="宋体"/>
          <w:color w:val="auto"/>
          <w:sz w:val="24"/>
          <w:szCs w:val="24"/>
          <w:highlight w:val="none"/>
        </w:rPr>
      </w:pPr>
    </w:p>
    <w:p w14:paraId="48FED6A2">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供应商</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555ECAE7">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451F4798">
      <w:pPr>
        <w:spacing w:line="440" w:lineRule="exact"/>
        <w:ind w:firstLine="4800" w:firstLineChars="2000"/>
        <w:rPr>
          <w:color w:val="auto"/>
          <w:sz w:val="24"/>
          <w:szCs w:val="24"/>
          <w:highlight w:val="none"/>
          <w:u w:val="single"/>
        </w:rPr>
      </w:pPr>
    </w:p>
    <w:p w14:paraId="6454EDDB">
      <w:pPr>
        <w:spacing w:line="440" w:lineRule="exact"/>
        <w:ind w:firstLine="4800" w:firstLineChars="2000"/>
        <w:rPr>
          <w:color w:val="auto"/>
          <w:sz w:val="24"/>
          <w:szCs w:val="24"/>
          <w:highlight w:val="none"/>
          <w:u w:val="single"/>
        </w:rPr>
      </w:pPr>
    </w:p>
    <w:p w14:paraId="458FEA78">
      <w:pPr>
        <w:widowControl/>
        <w:jc w:val="center"/>
        <w:rPr>
          <w:b/>
          <w:color w:val="auto"/>
          <w:sz w:val="24"/>
          <w:highlight w:val="none"/>
        </w:rPr>
      </w:pPr>
      <w:r>
        <w:rPr>
          <w:color w:val="auto"/>
          <w:sz w:val="24"/>
          <w:highlight w:val="none"/>
        </w:rPr>
        <w:br w:type="page"/>
      </w:r>
      <w:bookmarkStart w:id="622" w:name="_Toc520983594"/>
      <w:bookmarkStart w:id="623" w:name="_Toc204594911"/>
      <w:bookmarkStart w:id="624" w:name="_Toc516969106"/>
      <w:bookmarkStart w:id="625" w:name="_Toc121626298"/>
      <w:r>
        <w:rPr>
          <w:rFonts w:hint="eastAsia"/>
          <w:b/>
          <w:color w:val="auto"/>
          <w:sz w:val="24"/>
          <w:highlight w:val="none"/>
        </w:rPr>
        <w:t>六、授权书</w:t>
      </w:r>
      <w:bookmarkEnd w:id="622"/>
      <w:bookmarkEnd w:id="623"/>
      <w:bookmarkEnd w:id="624"/>
      <w:bookmarkEnd w:id="625"/>
    </w:p>
    <w:p w14:paraId="525A4493">
      <w:pPr>
        <w:spacing w:line="360" w:lineRule="auto"/>
        <w:jc w:val="center"/>
        <w:rPr>
          <w:b/>
          <w:color w:val="auto"/>
          <w:sz w:val="24"/>
          <w:highlight w:val="none"/>
        </w:rPr>
      </w:pPr>
    </w:p>
    <w:p w14:paraId="6C62B49D">
      <w:pPr>
        <w:pStyle w:val="8"/>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授权代表姓名）代表我方参加本项目</w:t>
      </w:r>
      <w:r>
        <w:rPr>
          <w:rFonts w:hint="eastAsia" w:hAnsi="宋体"/>
          <w:color w:val="auto"/>
          <w:sz w:val="24"/>
          <w:szCs w:val="28"/>
          <w:highlight w:val="none"/>
          <w:lang w:eastAsia="zh-CN"/>
        </w:rPr>
        <w:t>比选</w:t>
      </w:r>
      <w:r>
        <w:rPr>
          <w:rFonts w:hint="eastAsia" w:hAnsi="宋体"/>
          <w:bCs/>
          <w:color w:val="auto"/>
          <w:sz w:val="24"/>
          <w:szCs w:val="28"/>
          <w:highlight w:val="none"/>
        </w:rPr>
        <w:t>活动</w:t>
      </w:r>
      <w:r>
        <w:rPr>
          <w:rFonts w:hint="eastAsia" w:hAnsi="宋体"/>
          <w:color w:val="auto"/>
          <w:sz w:val="24"/>
          <w:szCs w:val="28"/>
          <w:highlight w:val="none"/>
        </w:rPr>
        <w:t>，全权代表我方处理</w:t>
      </w:r>
      <w:r>
        <w:rPr>
          <w:rFonts w:hint="eastAsia" w:hAnsi="宋体"/>
          <w:color w:val="auto"/>
          <w:sz w:val="24"/>
          <w:szCs w:val="28"/>
          <w:highlight w:val="none"/>
          <w:lang w:eastAsia="zh-CN"/>
        </w:rPr>
        <w:t>比选</w:t>
      </w:r>
      <w:r>
        <w:rPr>
          <w:rFonts w:hint="eastAsia" w:hAnsi="宋体"/>
          <w:color w:val="auto"/>
          <w:sz w:val="24"/>
          <w:szCs w:val="28"/>
          <w:highlight w:val="none"/>
        </w:rPr>
        <w:t>过程的一切事宜，包括但不限于：提交响应文件、参与</w:t>
      </w:r>
      <w:r>
        <w:rPr>
          <w:rFonts w:hint="eastAsia" w:hAnsi="宋体"/>
          <w:color w:val="auto"/>
          <w:sz w:val="24"/>
          <w:szCs w:val="28"/>
          <w:highlight w:val="none"/>
          <w:lang w:eastAsia="zh-CN"/>
        </w:rPr>
        <w:t>比选</w:t>
      </w:r>
      <w:r>
        <w:rPr>
          <w:rFonts w:hint="eastAsia" w:hAnsi="宋体"/>
          <w:color w:val="auto"/>
          <w:sz w:val="24"/>
          <w:szCs w:val="28"/>
          <w:highlight w:val="none"/>
        </w:rPr>
        <w:t>、签约等。</w:t>
      </w:r>
      <w:r>
        <w:rPr>
          <w:rFonts w:hint="eastAsia"/>
          <w:color w:val="auto"/>
          <w:sz w:val="24"/>
          <w:szCs w:val="18"/>
          <w:highlight w:val="none"/>
          <w:lang w:eastAsia="zh-CN"/>
        </w:rPr>
        <w:t>供应商</w:t>
      </w:r>
      <w:r>
        <w:rPr>
          <w:rFonts w:hint="eastAsia" w:hAnsi="宋体"/>
          <w:color w:val="auto"/>
          <w:sz w:val="24"/>
          <w:szCs w:val="28"/>
          <w:highlight w:val="none"/>
        </w:rPr>
        <w:t>授权代表在</w:t>
      </w:r>
      <w:r>
        <w:rPr>
          <w:rFonts w:hint="eastAsia" w:hAnsi="宋体"/>
          <w:color w:val="auto"/>
          <w:sz w:val="24"/>
          <w:szCs w:val="28"/>
          <w:highlight w:val="none"/>
          <w:lang w:eastAsia="zh-CN"/>
        </w:rPr>
        <w:t>比选</w:t>
      </w:r>
      <w:r>
        <w:rPr>
          <w:rFonts w:hint="eastAsia" w:hAnsi="宋体"/>
          <w:color w:val="auto"/>
          <w:sz w:val="24"/>
          <w:szCs w:val="28"/>
          <w:highlight w:val="none"/>
        </w:rPr>
        <w:t>活动过程中所签署的一切文件和处理与之有关的一切事务，本公司均予以认可并对此承担责任。</w:t>
      </w:r>
      <w:r>
        <w:rPr>
          <w:rFonts w:hint="eastAsia"/>
          <w:color w:val="auto"/>
          <w:sz w:val="24"/>
          <w:szCs w:val="18"/>
          <w:highlight w:val="none"/>
          <w:lang w:eastAsia="zh-CN"/>
        </w:rPr>
        <w:t>供应商</w:t>
      </w:r>
      <w:r>
        <w:rPr>
          <w:rFonts w:hint="eastAsia" w:hAnsi="宋体"/>
          <w:color w:val="auto"/>
          <w:sz w:val="24"/>
          <w:szCs w:val="28"/>
          <w:highlight w:val="none"/>
        </w:rPr>
        <w:t>授权代表无转委托权。特此授权。</w:t>
      </w:r>
    </w:p>
    <w:p w14:paraId="7B57B0EB">
      <w:pPr>
        <w:pStyle w:val="8"/>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14:paraId="3EF48186">
      <w:pPr>
        <w:pStyle w:val="8"/>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14:paraId="5D75CF7D">
      <w:pPr>
        <w:pStyle w:val="8"/>
        <w:snapToGrid w:val="0"/>
        <w:spacing w:line="360" w:lineRule="auto"/>
        <w:ind w:firstLine="480" w:firstLineChars="200"/>
        <w:jc w:val="left"/>
        <w:rPr>
          <w:rFonts w:hAnsi="宋体"/>
          <w:color w:val="auto"/>
          <w:sz w:val="24"/>
          <w:highlight w:val="none"/>
        </w:rPr>
      </w:pPr>
    </w:p>
    <w:p w14:paraId="38421F19">
      <w:pPr>
        <w:pStyle w:val="8"/>
        <w:snapToGrid w:val="0"/>
        <w:spacing w:line="360" w:lineRule="auto"/>
        <w:ind w:firstLine="480" w:firstLineChars="200"/>
        <w:jc w:val="left"/>
        <w:rPr>
          <w:rFonts w:hAnsi="宋体"/>
          <w:color w:val="auto"/>
          <w:sz w:val="24"/>
          <w:highlight w:val="none"/>
        </w:rPr>
      </w:pPr>
    </w:p>
    <w:p w14:paraId="181F79A0">
      <w:pPr>
        <w:pStyle w:val="8"/>
        <w:snapToGrid w:val="0"/>
        <w:spacing w:line="360" w:lineRule="auto"/>
        <w:ind w:firstLine="480" w:firstLineChars="200"/>
        <w:jc w:val="left"/>
        <w:rPr>
          <w:rFonts w:hAnsi="宋体"/>
          <w:color w:val="auto"/>
          <w:sz w:val="24"/>
          <w:highlight w:val="none"/>
        </w:rPr>
      </w:pPr>
    </w:p>
    <w:p w14:paraId="571539B9">
      <w:pPr>
        <w:pStyle w:val="8"/>
        <w:snapToGrid w:val="0"/>
        <w:spacing w:line="360" w:lineRule="auto"/>
        <w:ind w:firstLine="480" w:firstLineChars="200"/>
        <w:jc w:val="left"/>
        <w:rPr>
          <w:rFonts w:hAnsi="宋体"/>
          <w:color w:val="auto"/>
          <w:sz w:val="24"/>
          <w:highlight w:val="none"/>
        </w:rPr>
      </w:pPr>
    </w:p>
    <w:p w14:paraId="41A4C941">
      <w:pPr>
        <w:pStyle w:val="8"/>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04DD7137">
      <w:pPr>
        <w:pStyle w:val="8"/>
        <w:snapToGrid w:val="0"/>
        <w:spacing w:line="360" w:lineRule="auto"/>
        <w:ind w:firstLine="480" w:firstLineChars="200"/>
        <w:jc w:val="left"/>
        <w:rPr>
          <w:rFonts w:hAnsi="宋体"/>
          <w:color w:val="auto"/>
          <w:sz w:val="24"/>
          <w:szCs w:val="28"/>
          <w:highlight w:val="none"/>
        </w:rPr>
      </w:pPr>
    </w:p>
    <w:p w14:paraId="622F6D7C">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732BA28C">
      <w:pPr>
        <w:spacing w:line="360" w:lineRule="auto"/>
        <w:rPr>
          <w:color w:val="auto"/>
          <w:sz w:val="24"/>
          <w:szCs w:val="28"/>
          <w:highlight w:val="none"/>
        </w:rPr>
      </w:pPr>
    </w:p>
    <w:p w14:paraId="230BA308">
      <w:pPr>
        <w:spacing w:line="360" w:lineRule="auto"/>
        <w:rPr>
          <w:bCs/>
          <w:color w:val="auto"/>
          <w:sz w:val="24"/>
          <w:szCs w:val="28"/>
          <w:highlight w:val="none"/>
        </w:rPr>
      </w:pPr>
      <w:r>
        <w:rPr>
          <w:rFonts w:hint="eastAsia"/>
          <w:color w:val="auto"/>
          <w:sz w:val="24"/>
          <w:szCs w:val="18"/>
          <w:highlight w:val="none"/>
          <w:lang w:eastAsia="zh-CN"/>
        </w:rPr>
        <w:t>供应商</w:t>
      </w:r>
      <w:r>
        <w:rPr>
          <w:rFonts w:hint="eastAsia"/>
          <w:bCs/>
          <w:color w:val="auto"/>
          <w:sz w:val="24"/>
          <w:szCs w:val="28"/>
          <w:highlight w:val="none"/>
        </w:rPr>
        <w:t>电子签章：</w:t>
      </w:r>
      <w:r>
        <w:rPr>
          <w:rFonts w:hint="eastAsia"/>
          <w:bCs/>
          <w:color w:val="auto"/>
          <w:sz w:val="24"/>
          <w:szCs w:val="28"/>
          <w:highlight w:val="none"/>
          <w:u w:val="single"/>
        </w:rPr>
        <w:t xml:space="preserve">                    </w:t>
      </w:r>
    </w:p>
    <w:p w14:paraId="53F8602D">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460321F2">
      <w:pPr>
        <w:spacing w:line="360" w:lineRule="auto"/>
        <w:rPr>
          <w:color w:val="auto"/>
          <w:sz w:val="24"/>
          <w:szCs w:val="28"/>
          <w:highlight w:val="none"/>
        </w:rPr>
      </w:pPr>
    </w:p>
    <w:p w14:paraId="1498419E">
      <w:pPr>
        <w:spacing w:line="360" w:lineRule="auto"/>
        <w:rPr>
          <w:color w:val="auto"/>
          <w:sz w:val="24"/>
          <w:szCs w:val="28"/>
          <w:highlight w:val="none"/>
        </w:rPr>
      </w:pPr>
    </w:p>
    <w:p w14:paraId="106356E8">
      <w:pPr>
        <w:pStyle w:val="8"/>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14:paraId="278584FE">
      <w:pPr>
        <w:pStyle w:val="8"/>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供应商</w:t>
      </w:r>
      <w:r>
        <w:rPr>
          <w:rFonts w:hint="eastAsia" w:hAnsi="宋体"/>
          <w:color w:val="auto"/>
          <w:sz w:val="24"/>
          <w:szCs w:val="28"/>
          <w:highlight w:val="none"/>
        </w:rPr>
        <w:t>授权代表，提供身份证明扫描件；</w:t>
      </w:r>
    </w:p>
    <w:p w14:paraId="2665E786">
      <w:pPr>
        <w:spacing w:line="360" w:lineRule="auto"/>
        <w:jc w:val="left"/>
        <w:rPr>
          <w:color w:val="auto"/>
          <w:sz w:val="24"/>
          <w:highlight w:val="none"/>
        </w:rPr>
      </w:pPr>
      <w:r>
        <w:rPr>
          <w:rFonts w:hint="eastAsia"/>
          <w:color w:val="auto"/>
          <w:sz w:val="24"/>
          <w:highlight w:val="none"/>
        </w:rPr>
        <w:t>2.法定代表人参加</w:t>
      </w:r>
      <w:r>
        <w:rPr>
          <w:rFonts w:hint="eastAsia"/>
          <w:color w:val="auto"/>
          <w:sz w:val="24"/>
          <w:highlight w:val="none"/>
          <w:lang w:eastAsia="zh-CN"/>
        </w:rPr>
        <w:t>比选</w:t>
      </w:r>
      <w:r>
        <w:rPr>
          <w:rFonts w:hint="eastAsia"/>
          <w:color w:val="auto"/>
          <w:sz w:val="24"/>
          <w:highlight w:val="none"/>
        </w:rPr>
        <w:t>的无需提供授权书，仅提供身份证明扫描件。</w:t>
      </w:r>
    </w:p>
    <w:p w14:paraId="28CD0CD6">
      <w:pPr>
        <w:widowControl/>
        <w:jc w:val="center"/>
        <w:rPr>
          <w:rFonts w:hint="eastAsia" w:eastAsia="宋体" w:cs="@仿宋_GB2312"/>
          <w:b/>
          <w:bCs/>
          <w:color w:val="auto"/>
          <w:kern w:val="2"/>
          <w:sz w:val="24"/>
          <w:szCs w:val="24"/>
          <w:highlight w:val="none"/>
          <w:lang w:eastAsia="zh-CN"/>
        </w:rPr>
      </w:pPr>
      <w:r>
        <w:rPr>
          <w:color w:val="auto"/>
          <w:sz w:val="24"/>
          <w:highlight w:val="none"/>
        </w:rPr>
        <w:br w:type="page"/>
      </w:r>
      <w:r>
        <w:rPr>
          <w:rFonts w:hint="eastAsia" w:cs="@仿宋_GB2312"/>
          <w:b/>
          <w:bCs/>
          <w:color w:val="auto"/>
          <w:kern w:val="2"/>
          <w:sz w:val="24"/>
          <w:szCs w:val="24"/>
          <w:highlight w:val="none"/>
        </w:rPr>
        <w:t>七、</w:t>
      </w:r>
      <w:r>
        <w:rPr>
          <w:rFonts w:hint="eastAsia" w:cs="@仿宋_GB2312"/>
          <w:b/>
          <w:bCs/>
          <w:color w:val="auto"/>
          <w:kern w:val="2"/>
          <w:sz w:val="24"/>
          <w:szCs w:val="24"/>
          <w:highlight w:val="none"/>
          <w:lang w:val="en-US" w:eastAsia="zh-CN"/>
        </w:rPr>
        <w:t>电子交易服务费</w:t>
      </w:r>
    </w:p>
    <w:p w14:paraId="71E6E939">
      <w:pPr>
        <w:pStyle w:val="8"/>
        <w:snapToGrid w:val="0"/>
        <w:spacing w:line="360" w:lineRule="auto"/>
        <w:jc w:val="center"/>
        <w:rPr>
          <w:rFonts w:hint="eastAsia" w:hAnsi="宋体"/>
          <w:color w:val="auto"/>
          <w:sz w:val="24"/>
          <w:szCs w:val="28"/>
          <w:highlight w:val="none"/>
        </w:rPr>
      </w:pPr>
    </w:p>
    <w:p w14:paraId="7E75FEC7">
      <w:pPr>
        <w:pStyle w:val="8"/>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供应商</w:t>
      </w:r>
      <w:r>
        <w:rPr>
          <w:rFonts w:hint="eastAsia" w:hAnsi="宋体"/>
          <w:color w:val="auto"/>
          <w:sz w:val="24"/>
          <w:szCs w:val="28"/>
          <w:highlight w:val="none"/>
        </w:rPr>
        <w:t>应在此提供银行回单的扫描件。</w:t>
      </w:r>
    </w:p>
    <w:p w14:paraId="26134A27">
      <w:pPr>
        <w:widowControl/>
        <w:jc w:val="center"/>
        <w:rPr>
          <w:rFonts w:cs="@仿宋_GB2312"/>
          <w:b/>
          <w:bCs/>
          <w:color w:val="auto"/>
          <w:kern w:val="2"/>
          <w:sz w:val="24"/>
          <w:szCs w:val="24"/>
          <w:highlight w:val="none"/>
        </w:rPr>
      </w:pPr>
    </w:p>
    <w:p w14:paraId="62317315">
      <w:pPr>
        <w:widowControl/>
        <w:jc w:val="center"/>
        <w:rPr>
          <w:rFonts w:cs="@仿宋_GB2312"/>
          <w:b/>
          <w:bCs/>
          <w:color w:val="auto"/>
          <w:kern w:val="2"/>
          <w:sz w:val="24"/>
          <w:szCs w:val="24"/>
          <w:highlight w:val="none"/>
        </w:rPr>
      </w:pPr>
    </w:p>
    <w:p w14:paraId="68F26307">
      <w:pPr>
        <w:widowControl/>
        <w:jc w:val="center"/>
        <w:rPr>
          <w:rFonts w:cs="@仿宋_GB2312"/>
          <w:b/>
          <w:bCs/>
          <w:color w:val="auto"/>
          <w:kern w:val="2"/>
          <w:sz w:val="24"/>
          <w:szCs w:val="24"/>
          <w:highlight w:val="none"/>
        </w:rPr>
      </w:pPr>
    </w:p>
    <w:p w14:paraId="02ADA8AC">
      <w:pPr>
        <w:widowControl/>
        <w:jc w:val="center"/>
        <w:rPr>
          <w:rFonts w:cs="@仿宋_GB2312"/>
          <w:b/>
          <w:bCs/>
          <w:color w:val="auto"/>
          <w:kern w:val="2"/>
          <w:sz w:val="24"/>
          <w:szCs w:val="24"/>
          <w:highlight w:val="none"/>
        </w:rPr>
      </w:pPr>
    </w:p>
    <w:p w14:paraId="1E2DB521">
      <w:pPr>
        <w:widowControl/>
        <w:jc w:val="center"/>
        <w:rPr>
          <w:rFonts w:cs="@仿宋_GB2312"/>
          <w:b/>
          <w:bCs/>
          <w:color w:val="auto"/>
          <w:kern w:val="2"/>
          <w:sz w:val="24"/>
          <w:szCs w:val="24"/>
          <w:highlight w:val="none"/>
        </w:rPr>
      </w:pPr>
    </w:p>
    <w:p w14:paraId="40DA1C98">
      <w:pPr>
        <w:widowControl/>
        <w:jc w:val="center"/>
        <w:rPr>
          <w:rFonts w:cs="@仿宋_GB2312"/>
          <w:b/>
          <w:bCs/>
          <w:color w:val="auto"/>
          <w:kern w:val="2"/>
          <w:sz w:val="24"/>
          <w:szCs w:val="24"/>
          <w:highlight w:val="none"/>
        </w:rPr>
      </w:pPr>
    </w:p>
    <w:p w14:paraId="39ED5180">
      <w:pPr>
        <w:widowControl/>
        <w:jc w:val="center"/>
        <w:rPr>
          <w:rFonts w:cs="@仿宋_GB2312"/>
          <w:b/>
          <w:bCs/>
          <w:color w:val="auto"/>
          <w:kern w:val="2"/>
          <w:sz w:val="24"/>
          <w:szCs w:val="24"/>
          <w:highlight w:val="none"/>
        </w:rPr>
      </w:pPr>
    </w:p>
    <w:p w14:paraId="1309E01C">
      <w:pPr>
        <w:widowControl/>
        <w:jc w:val="center"/>
        <w:rPr>
          <w:rFonts w:cs="@仿宋_GB2312"/>
          <w:b/>
          <w:bCs/>
          <w:color w:val="auto"/>
          <w:kern w:val="2"/>
          <w:sz w:val="24"/>
          <w:szCs w:val="24"/>
          <w:highlight w:val="none"/>
        </w:rPr>
      </w:pPr>
    </w:p>
    <w:p w14:paraId="5F8D8F61">
      <w:pPr>
        <w:widowControl/>
        <w:jc w:val="center"/>
        <w:rPr>
          <w:rFonts w:cs="@仿宋_GB2312"/>
          <w:b/>
          <w:bCs/>
          <w:color w:val="auto"/>
          <w:kern w:val="2"/>
          <w:sz w:val="24"/>
          <w:szCs w:val="24"/>
          <w:highlight w:val="none"/>
        </w:rPr>
      </w:pPr>
    </w:p>
    <w:p w14:paraId="6781B883">
      <w:pPr>
        <w:widowControl/>
        <w:jc w:val="center"/>
        <w:rPr>
          <w:rFonts w:cs="@仿宋_GB2312"/>
          <w:b/>
          <w:bCs/>
          <w:color w:val="auto"/>
          <w:kern w:val="2"/>
          <w:sz w:val="24"/>
          <w:szCs w:val="24"/>
          <w:highlight w:val="none"/>
        </w:rPr>
      </w:pPr>
    </w:p>
    <w:p w14:paraId="17B450AB">
      <w:pPr>
        <w:widowControl/>
        <w:jc w:val="center"/>
        <w:rPr>
          <w:rFonts w:cs="@仿宋_GB2312"/>
          <w:b/>
          <w:bCs/>
          <w:color w:val="auto"/>
          <w:kern w:val="2"/>
          <w:sz w:val="24"/>
          <w:szCs w:val="24"/>
          <w:highlight w:val="none"/>
        </w:rPr>
      </w:pPr>
    </w:p>
    <w:p w14:paraId="35EAE73E">
      <w:pPr>
        <w:widowControl/>
        <w:jc w:val="center"/>
        <w:rPr>
          <w:rFonts w:cs="@仿宋_GB2312"/>
          <w:b/>
          <w:bCs/>
          <w:color w:val="auto"/>
          <w:kern w:val="2"/>
          <w:sz w:val="24"/>
          <w:szCs w:val="24"/>
          <w:highlight w:val="none"/>
        </w:rPr>
      </w:pPr>
    </w:p>
    <w:p w14:paraId="6756400F">
      <w:pPr>
        <w:widowControl/>
        <w:jc w:val="center"/>
        <w:rPr>
          <w:rFonts w:cs="@仿宋_GB2312"/>
          <w:b/>
          <w:bCs/>
          <w:color w:val="auto"/>
          <w:kern w:val="2"/>
          <w:sz w:val="24"/>
          <w:szCs w:val="24"/>
          <w:highlight w:val="none"/>
        </w:rPr>
      </w:pPr>
    </w:p>
    <w:p w14:paraId="022B0291">
      <w:pPr>
        <w:pStyle w:val="7"/>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w:t>
      </w:r>
      <w:r>
        <w:rPr>
          <w:rFonts w:hint="eastAsia" w:ascii="宋体" w:hAnsi="宋体" w:cs="宋体"/>
          <w:b/>
          <w:bCs/>
          <w:color w:val="auto"/>
          <w:sz w:val="24"/>
          <w:szCs w:val="24"/>
          <w:highlight w:val="none"/>
          <w:lang w:val="en-US" w:eastAsia="zh-CN"/>
        </w:rPr>
        <w:t>电子交易服务费</w:t>
      </w:r>
      <w:r>
        <w:rPr>
          <w:rFonts w:hint="eastAsia" w:ascii="宋体" w:hAnsi="宋体" w:eastAsia="宋体" w:cs="宋体"/>
          <w:b/>
          <w:bCs/>
          <w:color w:val="auto"/>
          <w:sz w:val="24"/>
          <w:szCs w:val="24"/>
          <w:highlight w:val="none"/>
          <w:lang w:val="en-US" w:eastAsia="zh-CN"/>
        </w:rPr>
        <w:t>发票请在本页附上开票信息，开票信息按照下列格式填写，发票开具后可在单位税务数字账户中查收，如未填写或填写不完整后期自行带转账回单至肥西县公共资源交易有限公司2楼大厅3号窗口开具。</w:t>
      </w:r>
    </w:p>
    <w:p w14:paraId="1A20FAF8">
      <w:pPr>
        <w:pStyle w:val="12"/>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14:paraId="0BAC1511">
      <w:pPr>
        <w:pStyle w:val="7"/>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14:paraId="529C2103">
      <w:pPr>
        <w:pStyle w:val="12"/>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3987B49">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14:paraId="56E7722A">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14:paraId="29038F3B">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14:paraId="2F951A51">
      <w:pPr>
        <w:widowControl/>
        <w:jc w:val="center"/>
        <w:rPr>
          <w:rFonts w:hint="eastAsia" w:ascii="宋体" w:hAnsi="宋体" w:eastAsia="宋体" w:cs="宋体"/>
          <w:b/>
          <w:bCs/>
          <w:color w:val="auto"/>
          <w:kern w:val="2"/>
          <w:sz w:val="24"/>
          <w:szCs w:val="24"/>
          <w:highlight w:val="none"/>
        </w:rPr>
      </w:pPr>
    </w:p>
    <w:p w14:paraId="3F6F8A5F">
      <w:pPr>
        <w:widowControl/>
        <w:jc w:val="center"/>
        <w:rPr>
          <w:rFonts w:cs="@仿宋_GB2312"/>
          <w:b/>
          <w:bCs/>
          <w:color w:val="auto"/>
          <w:kern w:val="2"/>
          <w:sz w:val="24"/>
          <w:szCs w:val="24"/>
          <w:highlight w:val="none"/>
        </w:rPr>
      </w:pPr>
    </w:p>
    <w:p w14:paraId="5B56B4F0">
      <w:pPr>
        <w:pStyle w:val="6"/>
        <w:rPr>
          <w:color w:val="auto"/>
          <w:highlight w:val="none"/>
        </w:rPr>
      </w:pPr>
    </w:p>
    <w:p w14:paraId="502E6ADC">
      <w:pPr>
        <w:widowControl/>
        <w:jc w:val="center"/>
        <w:rPr>
          <w:rFonts w:cs="@仿宋_GB2312"/>
          <w:b/>
          <w:bCs/>
          <w:color w:val="auto"/>
          <w:kern w:val="2"/>
          <w:sz w:val="24"/>
          <w:szCs w:val="24"/>
          <w:highlight w:val="none"/>
        </w:rPr>
      </w:pPr>
    </w:p>
    <w:p w14:paraId="0F1BD6C0">
      <w:pPr>
        <w:widowControl/>
        <w:jc w:val="center"/>
        <w:rPr>
          <w:rFonts w:cs="@仿宋_GB2312"/>
          <w:b/>
          <w:bCs/>
          <w:color w:val="auto"/>
          <w:kern w:val="2"/>
          <w:sz w:val="24"/>
          <w:szCs w:val="24"/>
          <w:highlight w:val="none"/>
        </w:rPr>
      </w:pPr>
    </w:p>
    <w:p w14:paraId="151E4AB0">
      <w:pPr>
        <w:widowControl/>
        <w:jc w:val="center"/>
        <w:rPr>
          <w:rFonts w:cs="@仿宋_GB2312"/>
          <w:b/>
          <w:bCs/>
          <w:color w:val="auto"/>
          <w:kern w:val="2"/>
          <w:sz w:val="24"/>
          <w:szCs w:val="24"/>
          <w:highlight w:val="none"/>
        </w:rPr>
      </w:pPr>
    </w:p>
    <w:p w14:paraId="30999DBB">
      <w:pPr>
        <w:widowControl/>
        <w:jc w:val="center"/>
        <w:rPr>
          <w:rFonts w:cs="@仿宋_GB2312"/>
          <w:b/>
          <w:bCs/>
          <w:color w:val="auto"/>
          <w:kern w:val="2"/>
          <w:sz w:val="24"/>
          <w:szCs w:val="24"/>
          <w:highlight w:val="none"/>
        </w:rPr>
      </w:pPr>
    </w:p>
    <w:p w14:paraId="6AFD97B4">
      <w:pPr>
        <w:widowControl/>
        <w:jc w:val="center"/>
        <w:rPr>
          <w:rFonts w:cs="@仿宋_GB2312"/>
          <w:b/>
          <w:bCs/>
          <w:color w:val="auto"/>
          <w:kern w:val="2"/>
          <w:sz w:val="24"/>
          <w:szCs w:val="24"/>
          <w:highlight w:val="none"/>
        </w:rPr>
      </w:pPr>
    </w:p>
    <w:p w14:paraId="0B1E1796">
      <w:pPr>
        <w:widowControl/>
        <w:jc w:val="center"/>
        <w:rPr>
          <w:rFonts w:cs="@仿宋_GB2312"/>
          <w:b/>
          <w:bCs/>
          <w:color w:val="auto"/>
          <w:kern w:val="2"/>
          <w:sz w:val="24"/>
          <w:szCs w:val="24"/>
          <w:highlight w:val="none"/>
        </w:rPr>
      </w:pPr>
    </w:p>
    <w:p w14:paraId="0C7E1DA2">
      <w:pPr>
        <w:widowControl/>
        <w:jc w:val="center"/>
        <w:rPr>
          <w:rFonts w:cs="@仿宋_GB2312"/>
          <w:b/>
          <w:bCs/>
          <w:color w:val="auto"/>
          <w:kern w:val="2"/>
          <w:sz w:val="24"/>
          <w:szCs w:val="24"/>
          <w:highlight w:val="none"/>
        </w:rPr>
      </w:pPr>
    </w:p>
    <w:p w14:paraId="621B0DCE">
      <w:pPr>
        <w:widowControl/>
        <w:jc w:val="center"/>
        <w:rPr>
          <w:rFonts w:cs="@仿宋_GB2312"/>
          <w:b/>
          <w:bCs/>
          <w:color w:val="auto"/>
          <w:kern w:val="2"/>
          <w:sz w:val="24"/>
          <w:szCs w:val="24"/>
          <w:highlight w:val="none"/>
        </w:rPr>
      </w:pPr>
    </w:p>
    <w:p w14:paraId="09A9A694">
      <w:pPr>
        <w:widowControl/>
        <w:jc w:val="center"/>
        <w:rPr>
          <w:rFonts w:cs="@仿宋_GB2312"/>
          <w:b/>
          <w:bCs/>
          <w:color w:val="auto"/>
          <w:kern w:val="2"/>
          <w:sz w:val="24"/>
          <w:szCs w:val="24"/>
          <w:highlight w:val="none"/>
        </w:rPr>
      </w:pPr>
    </w:p>
    <w:p w14:paraId="59D393B6">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14:paraId="4D2DC44F">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70313137">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4969E37A">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0E507423">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70834B61">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14:paraId="26E23F6D">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2868BB97">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14:paraId="0359A002">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14:paraId="1983BD8E">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14:paraId="475F722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供应商</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14:paraId="11EB4F48">
      <w:pPr>
        <w:spacing w:before="62" w:beforeLines="20" w:after="62" w:afterLines="20" w:line="540" w:lineRule="exact"/>
        <w:ind w:firstLine="610"/>
        <w:rPr>
          <w:rFonts w:ascii="@仿宋_GB2312" w:eastAsia="@仿宋_GB2312" w:cs="宋体"/>
          <w:color w:val="auto"/>
          <w:kern w:val="2"/>
          <w:sz w:val="24"/>
          <w:szCs w:val="24"/>
          <w:highlight w:val="none"/>
        </w:rPr>
      </w:pPr>
    </w:p>
    <w:p w14:paraId="0F0BD9B1">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14:paraId="29EF2EE0">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14:paraId="43F20D29">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14:paraId="7F2E1334">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14:paraId="43A63DB8">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AB39E5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CFA8515">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14:paraId="581CAE18">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肥西乡侬商业管理有限公司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7BDE497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w:t>
      </w:r>
      <w:r>
        <w:rPr>
          <w:rFonts w:hint="eastAsia" w:cs="宋体"/>
          <w:color w:val="auto"/>
          <w:kern w:val="2"/>
          <w:sz w:val="24"/>
          <w:szCs w:val="24"/>
          <w:highlight w:val="none"/>
          <w:lang w:eastAsia="zh-CN"/>
        </w:rPr>
        <w:t>比选</w:t>
      </w:r>
      <w:r>
        <w:rPr>
          <w:rFonts w:hint="eastAsia" w:cs="宋体"/>
          <w:color w:val="auto"/>
          <w:kern w:val="2"/>
          <w:sz w:val="24"/>
          <w:szCs w:val="24"/>
          <w:highlight w:val="none"/>
        </w:rPr>
        <w:t>活动，现郑重承诺如下：</w:t>
      </w:r>
    </w:p>
    <w:p w14:paraId="6F2D820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rPr>
        <w:t>业主单位</w:t>
      </w:r>
      <w:r>
        <w:rPr>
          <w:rFonts w:hint="eastAsia" w:cs="宋体"/>
          <w:color w:val="auto"/>
          <w:kern w:val="2"/>
          <w:sz w:val="24"/>
          <w:szCs w:val="24"/>
          <w:highlight w:val="none"/>
        </w:rPr>
        <w:t>对我单位营业执照有效性进一步核查。</w:t>
      </w:r>
    </w:p>
    <w:p w14:paraId="3B5B183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二、若我单位成交，将严格按照国家及省市行业主管部门规定在项目所在地办理施工许可（如需），并在项目所在地交纳相关税费。</w:t>
      </w:r>
    </w:p>
    <w:p w14:paraId="74B240F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14:paraId="73A4587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w:t>
      </w:r>
      <w:r>
        <w:rPr>
          <w:rFonts w:hint="eastAsia" w:cs="宋体"/>
          <w:color w:val="auto"/>
          <w:kern w:val="2"/>
          <w:sz w:val="24"/>
          <w:szCs w:val="24"/>
          <w:highlight w:val="none"/>
          <w:lang w:eastAsia="zh-CN"/>
        </w:rPr>
        <w:t>比选</w:t>
      </w:r>
      <w:r>
        <w:rPr>
          <w:rFonts w:hint="eastAsia" w:cs="宋体"/>
          <w:color w:val="auto"/>
          <w:kern w:val="2"/>
          <w:sz w:val="24"/>
          <w:szCs w:val="24"/>
          <w:highlight w:val="none"/>
        </w:rPr>
        <w:t>有效期内，在本项目所在区域未存在因质量事故、安全事故等被限期承包工程或市场不良行为等被限制</w:t>
      </w:r>
      <w:r>
        <w:rPr>
          <w:rFonts w:hint="eastAsia" w:cs="宋体"/>
          <w:color w:val="auto"/>
          <w:kern w:val="2"/>
          <w:sz w:val="24"/>
          <w:szCs w:val="24"/>
          <w:highlight w:val="none"/>
          <w:lang w:eastAsia="zh-CN"/>
        </w:rPr>
        <w:t>比选</w:t>
      </w:r>
      <w:r>
        <w:rPr>
          <w:rFonts w:hint="eastAsia" w:cs="宋体"/>
          <w:color w:val="auto"/>
          <w:kern w:val="2"/>
          <w:sz w:val="24"/>
          <w:szCs w:val="24"/>
          <w:highlight w:val="none"/>
        </w:rPr>
        <w:t>资格行为，且处于处罚期内的情况；</w:t>
      </w:r>
    </w:p>
    <w:p w14:paraId="2A5D58A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14:paraId="3264BB5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w:t>
      </w:r>
      <w:r>
        <w:rPr>
          <w:rFonts w:hint="eastAsia" w:cs="宋体"/>
          <w:color w:val="auto"/>
          <w:kern w:val="2"/>
          <w:sz w:val="24"/>
          <w:szCs w:val="24"/>
          <w:highlight w:val="none"/>
          <w:lang w:eastAsia="zh-CN"/>
        </w:rPr>
        <w:t>比选</w:t>
      </w:r>
      <w:r>
        <w:rPr>
          <w:rFonts w:hint="eastAsia" w:cs="宋体"/>
          <w:color w:val="auto"/>
          <w:kern w:val="2"/>
          <w:sz w:val="24"/>
          <w:szCs w:val="24"/>
          <w:highlight w:val="none"/>
        </w:rPr>
        <w:t>资格情况。</w:t>
      </w:r>
    </w:p>
    <w:p w14:paraId="5BF66B1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14:paraId="4EC53D0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14:paraId="45905BF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九、我单位一旦成交，将在</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文件规定时间内缴纳相关费用、领取成交通知书，并与</w:t>
      </w:r>
      <w:r>
        <w:rPr>
          <w:rFonts w:hint="eastAsia"/>
          <w:color w:val="auto"/>
          <w:sz w:val="24"/>
          <w:szCs w:val="18"/>
          <w:highlight w:val="none"/>
        </w:rPr>
        <w:t>业主单位</w:t>
      </w:r>
      <w:r>
        <w:rPr>
          <w:rFonts w:hint="eastAsia" w:cs="宋体"/>
          <w:color w:val="auto"/>
          <w:kern w:val="2"/>
          <w:sz w:val="24"/>
          <w:szCs w:val="24"/>
          <w:highlight w:val="none"/>
        </w:rPr>
        <w:t>联系并签订合同，组织进场施工事宜，否则贵单位有权取消我单位成交资格。</w:t>
      </w:r>
    </w:p>
    <w:p w14:paraId="24EFBD5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十、我单位在响应文件提交截止时间前已在安徽省按照主管部门相关要求办理信息登记手续，如未按此要求办理信息登记，</w:t>
      </w:r>
      <w:r>
        <w:rPr>
          <w:rFonts w:hint="eastAsia"/>
          <w:color w:val="auto"/>
          <w:sz w:val="24"/>
          <w:szCs w:val="18"/>
          <w:highlight w:val="none"/>
        </w:rPr>
        <w:t>业主单位</w:t>
      </w:r>
      <w:r>
        <w:rPr>
          <w:rFonts w:hint="eastAsia" w:cs="宋体"/>
          <w:color w:val="auto"/>
          <w:kern w:val="2"/>
          <w:sz w:val="24"/>
          <w:szCs w:val="24"/>
          <w:highlight w:val="none"/>
        </w:rPr>
        <w:t>可按照我单位弄虚作假取消我单位成交资格，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w:t>
      </w:r>
      <w:r>
        <w:rPr>
          <w:rFonts w:hint="eastAsia" w:cs="宋体"/>
          <w:color w:val="auto"/>
          <w:kern w:val="2"/>
          <w:sz w:val="24"/>
          <w:szCs w:val="24"/>
          <w:highlight w:val="none"/>
          <w:lang w:eastAsia="zh-CN"/>
        </w:rPr>
        <w:t>比选</w:t>
      </w:r>
      <w:r>
        <w:rPr>
          <w:rFonts w:hint="eastAsia" w:cs="宋体"/>
          <w:color w:val="auto"/>
          <w:kern w:val="2"/>
          <w:sz w:val="24"/>
          <w:szCs w:val="24"/>
          <w:highlight w:val="none"/>
        </w:rPr>
        <w:t>保证金不予退还，同时贵单位可向我单位进一步追偿工期延误造成的一切损失。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14:paraId="636A9596">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供应商</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14:paraId="1BB62F85">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626" w:name="_Toc520986200"/>
      <w:r>
        <w:rPr>
          <w:rFonts w:hint="eastAsia" w:cs="@仿宋_GB2312"/>
          <w:b/>
          <w:bCs/>
          <w:color w:val="auto"/>
          <w:kern w:val="2"/>
          <w:sz w:val="24"/>
          <w:szCs w:val="24"/>
          <w:highlight w:val="none"/>
        </w:rPr>
        <w:t>十</w:t>
      </w:r>
      <w:bookmarkEnd w:id="626"/>
      <w:r>
        <w:rPr>
          <w:rFonts w:hint="eastAsia" w:cs="@仿宋_GB2312"/>
          <w:b/>
          <w:bCs/>
          <w:color w:val="auto"/>
          <w:kern w:val="2"/>
          <w:sz w:val="24"/>
          <w:szCs w:val="24"/>
          <w:highlight w:val="none"/>
        </w:rPr>
        <w:t>、项目经理承诺书</w:t>
      </w:r>
    </w:p>
    <w:p w14:paraId="335DD53A">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肥西乡侬商业管理有限公司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7E52F2B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w:t>
      </w:r>
      <w:r>
        <w:rPr>
          <w:rFonts w:hint="eastAsia" w:cs="宋体"/>
          <w:color w:val="auto"/>
          <w:kern w:val="2"/>
          <w:sz w:val="24"/>
          <w:szCs w:val="24"/>
          <w:highlight w:val="none"/>
          <w:lang w:eastAsia="zh-CN"/>
        </w:rPr>
        <w:t>比选</w:t>
      </w:r>
      <w:r>
        <w:rPr>
          <w:rFonts w:hint="eastAsia" w:cs="宋体"/>
          <w:color w:val="auto"/>
          <w:kern w:val="2"/>
          <w:sz w:val="24"/>
          <w:szCs w:val="24"/>
          <w:highlight w:val="none"/>
        </w:rPr>
        <w:t>担任的项目经理，郑重承诺：</w:t>
      </w:r>
    </w:p>
    <w:p w14:paraId="645A5A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w:t>
      </w:r>
      <w:r>
        <w:rPr>
          <w:rFonts w:hint="eastAsia" w:cs="宋体"/>
          <w:color w:val="auto"/>
          <w:kern w:val="2"/>
          <w:sz w:val="24"/>
          <w:szCs w:val="24"/>
          <w:highlight w:val="none"/>
          <w:lang w:eastAsia="zh-CN"/>
        </w:rPr>
        <w:t>比选</w:t>
      </w:r>
      <w:r>
        <w:rPr>
          <w:rFonts w:hint="eastAsia" w:cs="宋体"/>
          <w:color w:val="auto"/>
          <w:kern w:val="2"/>
          <w:sz w:val="24"/>
          <w:szCs w:val="24"/>
          <w:highlight w:val="none"/>
        </w:rPr>
        <w:t>而造假的行为。</w:t>
      </w:r>
    </w:p>
    <w:p w14:paraId="21E9A34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目前无在岗项目或虽在其他项目上担任项目经理岗位，但承诺在本项目成交后合同签订前能够从其他项目变更至本项目并全面履约。</w:t>
      </w:r>
    </w:p>
    <w:p w14:paraId="4741E09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三、本人承诺，一旦成交，将严格按照</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文件规定履约。</w:t>
      </w:r>
    </w:p>
    <w:p w14:paraId="0AED0C4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14:paraId="62FEB3D7">
      <w:pPr>
        <w:spacing w:line="360" w:lineRule="auto"/>
        <w:ind w:firstLine="480" w:firstLineChars="200"/>
        <w:rPr>
          <w:rFonts w:cs="宋体"/>
          <w:color w:val="auto"/>
          <w:kern w:val="2"/>
          <w:sz w:val="24"/>
          <w:szCs w:val="24"/>
          <w:highlight w:val="none"/>
        </w:rPr>
      </w:pPr>
    </w:p>
    <w:p w14:paraId="024C3D03">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276069A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CD5710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1426EDD4">
      <w:pPr>
        <w:spacing w:line="360" w:lineRule="auto"/>
        <w:ind w:firstLine="480" w:firstLineChars="200"/>
        <w:rPr>
          <w:rFonts w:cs="宋体"/>
          <w:color w:val="auto"/>
          <w:kern w:val="2"/>
          <w:sz w:val="24"/>
          <w:szCs w:val="24"/>
          <w:highlight w:val="none"/>
        </w:rPr>
      </w:pPr>
    </w:p>
    <w:p w14:paraId="6226CA6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615580BF">
      <w:pPr>
        <w:spacing w:line="360" w:lineRule="auto"/>
        <w:jc w:val="center"/>
        <w:rPr>
          <w:rFonts w:cs="@仿宋_GB2312"/>
          <w:b/>
          <w:bCs/>
          <w:color w:val="auto"/>
          <w:kern w:val="2"/>
          <w:sz w:val="24"/>
          <w:szCs w:val="24"/>
          <w:highlight w:val="none"/>
        </w:rPr>
      </w:pPr>
      <w:bookmarkStart w:id="627" w:name="_Toc438648628"/>
      <w:r>
        <w:rPr>
          <w:rFonts w:hint="eastAsia" w:ascii="@仿宋_GB2312" w:eastAsia="@仿宋_GB2312" w:cs="宋体"/>
          <w:b/>
          <w:color w:val="auto"/>
          <w:kern w:val="2"/>
          <w:sz w:val="24"/>
          <w:szCs w:val="24"/>
          <w:highlight w:val="none"/>
        </w:rPr>
        <w:br w:type="page"/>
      </w:r>
      <w:bookmarkEnd w:id="627"/>
      <w:r>
        <w:rPr>
          <w:rFonts w:hint="eastAsia" w:cs="@仿宋_GB2312"/>
          <w:b/>
          <w:bCs/>
          <w:color w:val="auto"/>
          <w:kern w:val="2"/>
          <w:sz w:val="24"/>
          <w:szCs w:val="24"/>
          <w:highlight w:val="none"/>
        </w:rPr>
        <w:t>十一、</w:t>
      </w:r>
      <w:r>
        <w:rPr>
          <w:rFonts w:hint="eastAsia" w:cs="@仿宋_GB2312"/>
          <w:b/>
          <w:bCs/>
          <w:color w:val="auto"/>
          <w:kern w:val="2"/>
          <w:sz w:val="24"/>
          <w:szCs w:val="24"/>
          <w:highlight w:val="none"/>
          <w:lang w:eastAsia="zh-CN"/>
        </w:rPr>
        <w:t>比选</w:t>
      </w:r>
      <w:r>
        <w:rPr>
          <w:rFonts w:hint="eastAsia" w:cs="@仿宋_GB2312"/>
          <w:b/>
          <w:bCs/>
          <w:color w:val="auto"/>
          <w:kern w:val="2"/>
          <w:sz w:val="24"/>
          <w:szCs w:val="24"/>
          <w:highlight w:val="none"/>
        </w:rPr>
        <w:t>业绩承诺函</w:t>
      </w:r>
    </w:p>
    <w:p w14:paraId="4FC48FD8">
      <w:pPr>
        <w:rPr>
          <w:rFonts w:eastAsia="@仿宋_GB2312" w:cs="@仿宋_GB2312"/>
          <w:color w:val="auto"/>
          <w:kern w:val="2"/>
          <w:sz w:val="21"/>
          <w:highlight w:val="none"/>
        </w:rPr>
      </w:pPr>
    </w:p>
    <w:p w14:paraId="6FDD27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我公司同意成交结果公告中公示以下业绩并承诺：响应文件中所提供的业绩均真实有效，若被发现存在任何虚假、隐瞒情况，我公司承担由此产生的一切后果。</w:t>
      </w:r>
    </w:p>
    <w:p w14:paraId="0694980A">
      <w:pPr>
        <w:spacing w:line="360" w:lineRule="auto"/>
        <w:ind w:firstLine="480" w:firstLineChars="200"/>
        <w:rPr>
          <w:rFonts w:cs="宋体"/>
          <w:color w:val="auto"/>
          <w:kern w:val="2"/>
          <w:sz w:val="24"/>
          <w:szCs w:val="24"/>
          <w:highlight w:val="none"/>
        </w:rPr>
      </w:pPr>
    </w:p>
    <w:p w14:paraId="7CB1707D">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6F8D538">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3FFBB7D">
      <w:pPr>
        <w:spacing w:line="360" w:lineRule="auto"/>
        <w:rPr>
          <w:rFonts w:eastAsia="@仿宋_GB2312" w:cs="@仿宋_GB2312"/>
          <w:color w:val="auto"/>
          <w:kern w:val="2"/>
          <w:sz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42FA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60044B5A">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14:paraId="4ADC2032">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14:paraId="3C1A94CE">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14:paraId="25A12D60">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14:paraId="2F3F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D0E44B6">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14:paraId="6C87C0AB">
            <w:pPr>
              <w:spacing w:line="360" w:lineRule="auto"/>
              <w:rPr>
                <w:rFonts w:cs="宋体"/>
                <w:b/>
                <w:color w:val="auto"/>
                <w:kern w:val="2"/>
                <w:sz w:val="24"/>
                <w:szCs w:val="24"/>
                <w:highlight w:val="none"/>
              </w:rPr>
            </w:pPr>
          </w:p>
        </w:tc>
        <w:tc>
          <w:tcPr>
            <w:tcW w:w="2320" w:type="dxa"/>
            <w:vAlign w:val="center"/>
          </w:tcPr>
          <w:p w14:paraId="1B837D99">
            <w:pPr>
              <w:spacing w:line="360" w:lineRule="auto"/>
              <w:rPr>
                <w:rFonts w:cs="宋体"/>
                <w:b/>
                <w:color w:val="auto"/>
                <w:kern w:val="2"/>
                <w:sz w:val="24"/>
                <w:szCs w:val="24"/>
                <w:highlight w:val="none"/>
              </w:rPr>
            </w:pPr>
          </w:p>
        </w:tc>
        <w:tc>
          <w:tcPr>
            <w:tcW w:w="1069" w:type="dxa"/>
            <w:vAlign w:val="center"/>
          </w:tcPr>
          <w:p w14:paraId="0072787E">
            <w:pPr>
              <w:spacing w:line="360" w:lineRule="auto"/>
              <w:rPr>
                <w:rFonts w:cs="宋体"/>
                <w:b/>
                <w:color w:val="auto"/>
                <w:kern w:val="2"/>
                <w:sz w:val="24"/>
                <w:szCs w:val="24"/>
                <w:highlight w:val="none"/>
              </w:rPr>
            </w:pPr>
          </w:p>
        </w:tc>
      </w:tr>
      <w:tr w14:paraId="15E9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1F6C1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14:paraId="5E645A55">
            <w:pPr>
              <w:spacing w:line="360" w:lineRule="auto"/>
              <w:rPr>
                <w:rFonts w:cs="宋体"/>
                <w:b/>
                <w:color w:val="auto"/>
                <w:kern w:val="2"/>
                <w:sz w:val="24"/>
                <w:szCs w:val="24"/>
                <w:highlight w:val="none"/>
              </w:rPr>
            </w:pPr>
          </w:p>
        </w:tc>
        <w:tc>
          <w:tcPr>
            <w:tcW w:w="2320" w:type="dxa"/>
            <w:vAlign w:val="center"/>
          </w:tcPr>
          <w:p w14:paraId="166F6B78">
            <w:pPr>
              <w:spacing w:line="360" w:lineRule="auto"/>
              <w:rPr>
                <w:rFonts w:cs="宋体"/>
                <w:b/>
                <w:color w:val="auto"/>
                <w:kern w:val="2"/>
                <w:sz w:val="24"/>
                <w:szCs w:val="24"/>
                <w:highlight w:val="none"/>
              </w:rPr>
            </w:pPr>
          </w:p>
        </w:tc>
        <w:tc>
          <w:tcPr>
            <w:tcW w:w="1069" w:type="dxa"/>
            <w:vAlign w:val="center"/>
          </w:tcPr>
          <w:p w14:paraId="7DF99768">
            <w:pPr>
              <w:spacing w:line="360" w:lineRule="auto"/>
              <w:rPr>
                <w:rFonts w:cs="宋体"/>
                <w:b/>
                <w:color w:val="auto"/>
                <w:kern w:val="2"/>
                <w:sz w:val="24"/>
                <w:szCs w:val="24"/>
                <w:highlight w:val="none"/>
              </w:rPr>
            </w:pPr>
          </w:p>
        </w:tc>
      </w:tr>
      <w:tr w14:paraId="0506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03372C9">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14:paraId="4703D7FB">
            <w:pPr>
              <w:spacing w:line="360" w:lineRule="auto"/>
              <w:rPr>
                <w:rFonts w:cs="宋体"/>
                <w:b/>
                <w:color w:val="auto"/>
                <w:kern w:val="2"/>
                <w:sz w:val="24"/>
                <w:szCs w:val="24"/>
                <w:highlight w:val="none"/>
              </w:rPr>
            </w:pPr>
          </w:p>
        </w:tc>
        <w:tc>
          <w:tcPr>
            <w:tcW w:w="2320" w:type="dxa"/>
            <w:vAlign w:val="center"/>
          </w:tcPr>
          <w:p w14:paraId="3304A864">
            <w:pPr>
              <w:spacing w:line="360" w:lineRule="auto"/>
              <w:rPr>
                <w:rFonts w:cs="宋体"/>
                <w:b/>
                <w:color w:val="auto"/>
                <w:kern w:val="2"/>
                <w:sz w:val="24"/>
                <w:szCs w:val="24"/>
                <w:highlight w:val="none"/>
              </w:rPr>
            </w:pPr>
          </w:p>
        </w:tc>
        <w:tc>
          <w:tcPr>
            <w:tcW w:w="1069" w:type="dxa"/>
            <w:vAlign w:val="center"/>
          </w:tcPr>
          <w:p w14:paraId="59FFE2CF">
            <w:pPr>
              <w:spacing w:line="360" w:lineRule="auto"/>
              <w:rPr>
                <w:rFonts w:cs="宋体"/>
                <w:b/>
                <w:color w:val="auto"/>
                <w:kern w:val="2"/>
                <w:sz w:val="24"/>
                <w:szCs w:val="24"/>
                <w:highlight w:val="none"/>
              </w:rPr>
            </w:pPr>
          </w:p>
        </w:tc>
      </w:tr>
      <w:tr w14:paraId="69EB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048A90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14:paraId="39957EDB">
            <w:pPr>
              <w:spacing w:line="360" w:lineRule="auto"/>
              <w:rPr>
                <w:rFonts w:cs="宋体"/>
                <w:b/>
                <w:color w:val="auto"/>
                <w:kern w:val="2"/>
                <w:sz w:val="24"/>
                <w:szCs w:val="24"/>
                <w:highlight w:val="none"/>
              </w:rPr>
            </w:pPr>
          </w:p>
        </w:tc>
        <w:tc>
          <w:tcPr>
            <w:tcW w:w="2320" w:type="dxa"/>
            <w:vAlign w:val="center"/>
          </w:tcPr>
          <w:p w14:paraId="3DB2485C">
            <w:pPr>
              <w:spacing w:line="360" w:lineRule="auto"/>
              <w:rPr>
                <w:rFonts w:cs="宋体"/>
                <w:b/>
                <w:color w:val="auto"/>
                <w:kern w:val="2"/>
                <w:sz w:val="24"/>
                <w:szCs w:val="24"/>
                <w:highlight w:val="none"/>
              </w:rPr>
            </w:pPr>
          </w:p>
        </w:tc>
        <w:tc>
          <w:tcPr>
            <w:tcW w:w="1069" w:type="dxa"/>
            <w:vAlign w:val="center"/>
          </w:tcPr>
          <w:p w14:paraId="2BF64B0C">
            <w:pPr>
              <w:spacing w:line="360" w:lineRule="auto"/>
              <w:rPr>
                <w:rFonts w:cs="宋体"/>
                <w:b/>
                <w:color w:val="auto"/>
                <w:kern w:val="2"/>
                <w:sz w:val="24"/>
                <w:szCs w:val="24"/>
                <w:highlight w:val="none"/>
              </w:rPr>
            </w:pPr>
          </w:p>
        </w:tc>
      </w:tr>
      <w:tr w14:paraId="29E5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558991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14:paraId="3E06C97C">
            <w:pPr>
              <w:spacing w:line="360" w:lineRule="auto"/>
              <w:rPr>
                <w:rFonts w:cs="宋体"/>
                <w:b/>
                <w:color w:val="auto"/>
                <w:kern w:val="2"/>
                <w:sz w:val="24"/>
                <w:szCs w:val="24"/>
                <w:highlight w:val="none"/>
              </w:rPr>
            </w:pPr>
          </w:p>
        </w:tc>
        <w:tc>
          <w:tcPr>
            <w:tcW w:w="2320" w:type="dxa"/>
            <w:vAlign w:val="center"/>
          </w:tcPr>
          <w:p w14:paraId="4389C420">
            <w:pPr>
              <w:spacing w:line="360" w:lineRule="auto"/>
              <w:rPr>
                <w:rFonts w:cs="宋体"/>
                <w:b/>
                <w:color w:val="auto"/>
                <w:kern w:val="2"/>
                <w:sz w:val="24"/>
                <w:szCs w:val="24"/>
                <w:highlight w:val="none"/>
              </w:rPr>
            </w:pPr>
          </w:p>
        </w:tc>
        <w:tc>
          <w:tcPr>
            <w:tcW w:w="1069" w:type="dxa"/>
            <w:vAlign w:val="center"/>
          </w:tcPr>
          <w:p w14:paraId="3E3DC0E7">
            <w:pPr>
              <w:spacing w:line="360" w:lineRule="auto"/>
              <w:rPr>
                <w:rFonts w:cs="宋体"/>
                <w:b/>
                <w:color w:val="auto"/>
                <w:kern w:val="2"/>
                <w:sz w:val="24"/>
                <w:szCs w:val="24"/>
                <w:highlight w:val="none"/>
              </w:rPr>
            </w:pPr>
          </w:p>
        </w:tc>
      </w:tr>
      <w:tr w14:paraId="3774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41BC713">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14:paraId="1EBB31B9">
            <w:pPr>
              <w:spacing w:line="360" w:lineRule="auto"/>
              <w:rPr>
                <w:rFonts w:cs="宋体"/>
                <w:b/>
                <w:color w:val="auto"/>
                <w:kern w:val="2"/>
                <w:sz w:val="24"/>
                <w:szCs w:val="24"/>
                <w:highlight w:val="none"/>
              </w:rPr>
            </w:pPr>
          </w:p>
        </w:tc>
        <w:tc>
          <w:tcPr>
            <w:tcW w:w="2320" w:type="dxa"/>
            <w:vAlign w:val="center"/>
          </w:tcPr>
          <w:p w14:paraId="6F9BA910">
            <w:pPr>
              <w:spacing w:line="360" w:lineRule="auto"/>
              <w:rPr>
                <w:rFonts w:cs="宋体"/>
                <w:b/>
                <w:color w:val="auto"/>
                <w:kern w:val="2"/>
                <w:sz w:val="24"/>
                <w:szCs w:val="24"/>
                <w:highlight w:val="none"/>
              </w:rPr>
            </w:pPr>
          </w:p>
        </w:tc>
        <w:tc>
          <w:tcPr>
            <w:tcW w:w="1069" w:type="dxa"/>
            <w:vAlign w:val="center"/>
          </w:tcPr>
          <w:p w14:paraId="63ADA0BA">
            <w:pPr>
              <w:spacing w:line="360" w:lineRule="auto"/>
              <w:rPr>
                <w:rFonts w:cs="宋体"/>
                <w:b/>
                <w:color w:val="auto"/>
                <w:kern w:val="2"/>
                <w:sz w:val="24"/>
                <w:szCs w:val="24"/>
                <w:highlight w:val="none"/>
              </w:rPr>
            </w:pPr>
          </w:p>
        </w:tc>
      </w:tr>
    </w:tbl>
    <w:p w14:paraId="553BDAD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14:paraId="1BFBDF4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供应商</w:t>
      </w:r>
      <w:r>
        <w:rPr>
          <w:rFonts w:hint="eastAsia" w:cs="宋体"/>
          <w:color w:val="auto"/>
          <w:kern w:val="2"/>
          <w:sz w:val="24"/>
          <w:szCs w:val="24"/>
          <w:highlight w:val="none"/>
        </w:rPr>
        <w:t>满足本</w:t>
      </w:r>
      <w:r>
        <w:rPr>
          <w:rFonts w:hint="eastAsia" w:cs="宋体"/>
          <w:color w:val="auto"/>
          <w:kern w:val="2"/>
          <w:sz w:val="24"/>
          <w:szCs w:val="24"/>
          <w:highlight w:val="none"/>
          <w:lang w:eastAsia="zh-CN"/>
        </w:rPr>
        <w:t>比选</w:t>
      </w:r>
      <w:r>
        <w:rPr>
          <w:rFonts w:hint="eastAsia" w:cs="宋体"/>
          <w:color w:val="auto"/>
          <w:kern w:val="2"/>
          <w:sz w:val="24"/>
          <w:szCs w:val="24"/>
          <w:highlight w:val="none"/>
        </w:rPr>
        <w:t xml:space="preserve">文件要求的业绩； </w:t>
      </w:r>
    </w:p>
    <w:p w14:paraId="7FAF639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2.成交人提供的以上业绩情况，如</w:t>
      </w:r>
      <w:r>
        <w:rPr>
          <w:rFonts w:hint="eastAsia" w:cs="宋体"/>
          <w:color w:val="auto"/>
          <w:kern w:val="2"/>
          <w:sz w:val="24"/>
          <w:szCs w:val="24"/>
          <w:highlight w:val="none"/>
          <w:lang w:eastAsia="zh-CN"/>
        </w:rPr>
        <w:t>比选</w:t>
      </w:r>
      <w:r>
        <w:rPr>
          <w:rFonts w:hint="eastAsia" w:cs="宋体"/>
          <w:color w:val="auto"/>
          <w:kern w:val="2"/>
          <w:sz w:val="24"/>
          <w:szCs w:val="24"/>
          <w:highlight w:val="none"/>
        </w:rPr>
        <w:t>文件《</w:t>
      </w:r>
      <w:r>
        <w:rPr>
          <w:rFonts w:hint="eastAsia"/>
          <w:color w:val="auto"/>
          <w:sz w:val="24"/>
          <w:szCs w:val="18"/>
          <w:highlight w:val="none"/>
          <w:lang w:eastAsia="zh-CN"/>
        </w:rPr>
        <w:t>供应商</w:t>
      </w:r>
      <w:r>
        <w:rPr>
          <w:rFonts w:hint="eastAsia" w:cs="宋体"/>
          <w:color w:val="auto"/>
          <w:kern w:val="2"/>
          <w:sz w:val="24"/>
          <w:szCs w:val="24"/>
          <w:highlight w:val="none"/>
        </w:rPr>
        <w:t>须知前附表》有约定的，将按约定随成交结果公告同时公告。</w:t>
      </w:r>
    </w:p>
    <w:p w14:paraId="029FDEAE">
      <w:pPr>
        <w:spacing w:line="360" w:lineRule="auto"/>
        <w:jc w:val="center"/>
        <w:rPr>
          <w:b/>
          <w:color w:val="auto"/>
          <w:sz w:val="24"/>
          <w:highlight w:val="none"/>
        </w:rPr>
      </w:pPr>
      <w:r>
        <w:rPr>
          <w:color w:val="auto"/>
          <w:sz w:val="24"/>
          <w:highlight w:val="none"/>
        </w:rPr>
        <w:br w:type="page"/>
      </w:r>
      <w:bookmarkStart w:id="628" w:name="_Hlk44283088"/>
      <w:r>
        <w:rPr>
          <w:rFonts w:hint="eastAsia"/>
          <w:b/>
          <w:color w:val="auto"/>
          <w:sz w:val="24"/>
          <w:highlight w:val="none"/>
        </w:rPr>
        <w:t>十二、</w:t>
      </w:r>
      <w:r>
        <w:rPr>
          <w:rFonts w:hint="eastAsia"/>
          <w:b/>
          <w:color w:val="auto"/>
          <w:sz w:val="24"/>
          <w:highlight w:val="none"/>
          <w:lang w:eastAsia="zh-CN"/>
        </w:rPr>
        <w:t>比选</w:t>
      </w:r>
      <w:r>
        <w:rPr>
          <w:rFonts w:hint="eastAsia"/>
          <w:b/>
          <w:color w:val="auto"/>
          <w:sz w:val="24"/>
          <w:highlight w:val="none"/>
        </w:rPr>
        <w:t>保证金退还声明</w:t>
      </w:r>
    </w:p>
    <w:p w14:paraId="76C5E038">
      <w:pPr>
        <w:spacing w:before="156" w:beforeLines="50" w:after="156" w:afterLines="50" w:line="360" w:lineRule="auto"/>
        <w:ind w:firstLine="480" w:firstLineChars="200"/>
        <w:rPr>
          <w:rFonts w:hint="eastAsia"/>
          <w:color w:val="auto"/>
          <w:sz w:val="24"/>
          <w:highlight w:val="none"/>
          <w:u w:val="single"/>
          <w:lang w:eastAsia="zh-CN"/>
        </w:rPr>
      </w:pPr>
      <w:r>
        <w:rPr>
          <w:rFonts w:hint="eastAsia"/>
          <w:color w:val="auto"/>
          <w:sz w:val="24"/>
          <w:highlight w:val="none"/>
        </w:rPr>
        <w:t>项目名称：</w:t>
      </w:r>
      <w:r>
        <w:rPr>
          <w:rFonts w:hint="eastAsia"/>
          <w:color w:val="auto"/>
          <w:sz w:val="24"/>
          <w:highlight w:val="none"/>
          <w:u w:val="single"/>
          <w:lang w:val="en-US" w:eastAsia="zh-CN"/>
        </w:rPr>
        <w:t>肥西县花木城特色花卉农产品交易市场建设工程项目一期——室内标准化农产品交易大厅地面改造工程</w:t>
      </w:r>
    </w:p>
    <w:p w14:paraId="1EFED4BC">
      <w:pPr>
        <w:spacing w:before="156" w:beforeLines="50" w:after="156" w:afterLines="50" w:line="360" w:lineRule="auto"/>
        <w:ind w:firstLine="480" w:firstLineChars="200"/>
        <w:rPr>
          <w:rFonts w:hint="eastAsia" w:eastAsia="宋体"/>
          <w:color w:val="auto"/>
          <w:sz w:val="24"/>
          <w:highlight w:val="none"/>
          <w:lang w:val="en-US" w:eastAsia="zh-CN"/>
        </w:rPr>
      </w:pPr>
      <w:r>
        <w:rPr>
          <w:rFonts w:hint="eastAsia"/>
          <w:bCs/>
          <w:color w:val="auto"/>
          <w:sz w:val="24"/>
          <w:highlight w:val="none"/>
        </w:rPr>
        <w:t>项目编号：</w:t>
      </w:r>
      <w:r>
        <w:rPr>
          <w:rFonts w:hint="eastAsia"/>
          <w:color w:val="auto"/>
          <w:sz w:val="24"/>
          <w:highlight w:val="none"/>
          <w:u w:val="single"/>
          <w:lang w:eastAsia="zh-CN"/>
        </w:rPr>
        <w:t>2025PHGQ426</w:t>
      </w:r>
    </w:p>
    <w:p w14:paraId="614DA023">
      <w:pPr>
        <w:spacing w:before="156" w:beforeLines="50" w:after="156" w:afterLines="50" w:line="360" w:lineRule="auto"/>
        <w:ind w:firstLine="480" w:firstLineChars="200"/>
        <w:rPr>
          <w:bCs/>
          <w:color w:val="auto"/>
          <w:sz w:val="24"/>
          <w:szCs w:val="28"/>
          <w:highlight w:val="none"/>
          <w:u w:val="single"/>
        </w:rPr>
      </w:pPr>
      <w:r>
        <w:rPr>
          <w:rFonts w:hint="eastAsia"/>
          <w:bCs/>
          <w:color w:val="auto"/>
          <w:sz w:val="24"/>
          <w:highlight w:val="none"/>
          <w:lang w:eastAsia="zh-CN"/>
        </w:rPr>
        <w:t>比选</w:t>
      </w:r>
      <w:r>
        <w:rPr>
          <w:rFonts w:hint="eastAsia"/>
          <w:color w:val="auto"/>
          <w:sz w:val="24"/>
          <w:highlight w:val="none"/>
        </w:rPr>
        <w:t>保证金金额：</w:t>
      </w:r>
      <w:r>
        <w:rPr>
          <w:rFonts w:hint="eastAsia"/>
          <w:b/>
          <w:bCs/>
          <w:color w:val="auto"/>
          <w:sz w:val="24"/>
          <w:szCs w:val="28"/>
          <w:highlight w:val="none"/>
          <w:u w:val="single"/>
        </w:rPr>
        <w:t xml:space="preserve">                      </w:t>
      </w:r>
    </w:p>
    <w:p w14:paraId="0222DC77">
      <w:pPr>
        <w:spacing w:line="360" w:lineRule="auto"/>
        <w:ind w:firstLine="480" w:firstLineChars="200"/>
        <w:rPr>
          <w:color w:val="auto"/>
          <w:sz w:val="24"/>
          <w:highlight w:val="none"/>
        </w:rPr>
      </w:pPr>
      <w:r>
        <w:rPr>
          <w:rFonts w:hint="eastAsia"/>
          <w:color w:val="auto"/>
          <w:sz w:val="24"/>
          <w:highlight w:val="none"/>
        </w:rPr>
        <w:t>我单位</w:t>
      </w:r>
      <w:r>
        <w:rPr>
          <w:rFonts w:hint="eastAsia"/>
          <w:bCs/>
          <w:color w:val="auto"/>
          <w:sz w:val="24"/>
          <w:highlight w:val="none"/>
          <w:lang w:eastAsia="zh-CN"/>
        </w:rPr>
        <w:t>比选</w:t>
      </w:r>
      <w:r>
        <w:rPr>
          <w:rFonts w:hint="eastAsia"/>
          <w:color w:val="auto"/>
          <w:sz w:val="24"/>
          <w:highlight w:val="none"/>
        </w:rPr>
        <w:t>保证金到期后请汇至如下</w:t>
      </w:r>
      <w:r>
        <w:rPr>
          <w:rFonts w:hint="eastAsia"/>
          <w:color w:val="auto"/>
          <w:sz w:val="24"/>
          <w:highlight w:val="none"/>
          <w:lang w:eastAsia="zh-CN"/>
        </w:rPr>
        <w:t>账号</w:t>
      </w:r>
      <w:r>
        <w:rPr>
          <w:rFonts w:hint="eastAsia"/>
          <w:color w:val="auto"/>
          <w:sz w:val="24"/>
          <w:highlight w:val="none"/>
        </w:rPr>
        <w:t>（与</w:t>
      </w:r>
      <w:r>
        <w:rPr>
          <w:rFonts w:hint="eastAsia"/>
          <w:color w:val="auto"/>
          <w:sz w:val="24"/>
          <w:szCs w:val="18"/>
          <w:highlight w:val="none"/>
          <w:lang w:eastAsia="zh-CN"/>
        </w:rPr>
        <w:t>供应商</w:t>
      </w:r>
      <w:r>
        <w:rPr>
          <w:rFonts w:hint="eastAsia"/>
          <w:color w:val="auto"/>
          <w:sz w:val="24"/>
          <w:highlight w:val="none"/>
        </w:rPr>
        <w:t>名称一致）：</w:t>
      </w:r>
    </w:p>
    <w:p w14:paraId="68A4FDC5">
      <w:pPr>
        <w:spacing w:line="360" w:lineRule="auto"/>
        <w:ind w:firstLine="808" w:firstLineChars="337"/>
        <w:rPr>
          <w:color w:val="auto"/>
          <w:sz w:val="24"/>
          <w:highlight w:val="none"/>
          <w:u w:val="single"/>
        </w:rPr>
      </w:pPr>
      <w:r>
        <w:rPr>
          <w:rFonts w:hint="eastAsia"/>
          <w:color w:val="auto"/>
          <w:sz w:val="24"/>
          <w:highlight w:val="none"/>
        </w:rPr>
        <w:t>收款单位：</w:t>
      </w:r>
      <w:r>
        <w:rPr>
          <w:rFonts w:hint="eastAsia"/>
          <w:color w:val="auto"/>
          <w:sz w:val="24"/>
          <w:highlight w:val="none"/>
          <w:u w:val="single"/>
        </w:rPr>
        <w:t xml:space="preserve">                       </w:t>
      </w:r>
    </w:p>
    <w:p w14:paraId="7FE72F96">
      <w:pPr>
        <w:spacing w:line="360" w:lineRule="auto"/>
        <w:ind w:firstLine="808" w:firstLineChars="337"/>
        <w:rPr>
          <w:color w:val="auto"/>
          <w:sz w:val="24"/>
          <w:highlight w:val="none"/>
          <w:u w:val="single"/>
        </w:rPr>
      </w:pPr>
      <w:r>
        <w:rPr>
          <w:rFonts w:hint="eastAsia"/>
          <w:color w:val="auto"/>
          <w:sz w:val="24"/>
          <w:highlight w:val="none"/>
        </w:rPr>
        <w:t>开 户 行：</w:t>
      </w:r>
      <w:r>
        <w:rPr>
          <w:rFonts w:hint="eastAsia"/>
          <w:color w:val="auto"/>
          <w:sz w:val="24"/>
          <w:highlight w:val="none"/>
          <w:u w:val="single"/>
        </w:rPr>
        <w:t xml:space="preserve">                       </w:t>
      </w:r>
    </w:p>
    <w:p w14:paraId="24D2E5F7">
      <w:pPr>
        <w:spacing w:line="360" w:lineRule="auto"/>
        <w:ind w:firstLine="808" w:firstLineChars="337"/>
        <w:rPr>
          <w:color w:val="auto"/>
          <w:sz w:val="24"/>
          <w:highlight w:val="none"/>
          <w:u w:val="single"/>
        </w:rPr>
      </w:pPr>
      <w:r>
        <w:rPr>
          <w:rFonts w:hint="eastAsia"/>
          <w:color w:val="auto"/>
          <w:sz w:val="24"/>
          <w:highlight w:val="none"/>
          <w:lang w:eastAsia="zh-CN"/>
        </w:rPr>
        <w:t>银行账号</w:t>
      </w:r>
      <w:r>
        <w:rPr>
          <w:rFonts w:hint="eastAsia"/>
          <w:color w:val="auto"/>
          <w:sz w:val="24"/>
          <w:highlight w:val="none"/>
        </w:rPr>
        <w:t>：</w:t>
      </w:r>
      <w:r>
        <w:rPr>
          <w:rFonts w:hint="eastAsia"/>
          <w:color w:val="auto"/>
          <w:sz w:val="24"/>
          <w:highlight w:val="none"/>
          <w:u w:val="single"/>
        </w:rPr>
        <w:t xml:space="preserve">                       </w:t>
      </w:r>
    </w:p>
    <w:p w14:paraId="1C268E95">
      <w:pPr>
        <w:spacing w:line="360" w:lineRule="auto"/>
        <w:ind w:firstLine="808" w:firstLineChars="337"/>
        <w:rPr>
          <w:color w:val="auto"/>
          <w:sz w:val="24"/>
          <w:highlight w:val="none"/>
          <w:u w:val="single"/>
        </w:rPr>
      </w:pPr>
      <w:r>
        <w:rPr>
          <w:rFonts w:hint="eastAsia"/>
          <w:color w:val="auto"/>
          <w:sz w:val="24"/>
          <w:highlight w:val="none"/>
        </w:rPr>
        <w:t>电    话：</w:t>
      </w:r>
      <w:r>
        <w:rPr>
          <w:rFonts w:hint="eastAsia"/>
          <w:color w:val="auto"/>
          <w:sz w:val="24"/>
          <w:highlight w:val="none"/>
          <w:u w:val="single"/>
        </w:rPr>
        <w:t xml:space="preserve">                       </w:t>
      </w:r>
    </w:p>
    <w:p w14:paraId="5C0F3A11">
      <w:pPr>
        <w:spacing w:line="360" w:lineRule="auto"/>
        <w:ind w:firstLine="808" w:firstLineChars="337"/>
        <w:rPr>
          <w:color w:val="auto"/>
          <w:sz w:val="24"/>
          <w:highlight w:val="none"/>
          <w:u w:val="single"/>
        </w:rPr>
      </w:pPr>
      <w:r>
        <w:rPr>
          <w:rFonts w:hint="eastAsia"/>
          <w:color w:val="auto"/>
          <w:sz w:val="24"/>
          <w:highlight w:val="none"/>
        </w:rPr>
        <w:t>地    址：</w:t>
      </w:r>
      <w:r>
        <w:rPr>
          <w:rFonts w:hint="eastAsia"/>
          <w:color w:val="auto"/>
          <w:sz w:val="24"/>
          <w:highlight w:val="none"/>
          <w:u w:val="single"/>
        </w:rPr>
        <w:t xml:space="preserve">                       </w:t>
      </w:r>
      <w:r>
        <w:rPr>
          <w:rFonts w:hint="eastAsia"/>
          <w:color w:val="auto"/>
          <w:sz w:val="24"/>
          <w:highlight w:val="none"/>
        </w:rPr>
        <w:t xml:space="preserve">  </w:t>
      </w:r>
    </w:p>
    <w:p w14:paraId="0B9F26B2">
      <w:pPr>
        <w:spacing w:line="360" w:lineRule="auto"/>
        <w:ind w:firstLine="630"/>
        <w:rPr>
          <w:color w:val="auto"/>
          <w:sz w:val="24"/>
          <w:highlight w:val="none"/>
        </w:rPr>
      </w:pPr>
    </w:p>
    <w:p w14:paraId="401F1056">
      <w:pPr>
        <w:spacing w:line="360" w:lineRule="auto"/>
        <w:ind w:firstLine="630"/>
        <w:rPr>
          <w:color w:val="auto"/>
          <w:sz w:val="24"/>
          <w:highlight w:val="none"/>
        </w:rPr>
      </w:pPr>
    </w:p>
    <w:p w14:paraId="358A64D3">
      <w:pPr>
        <w:spacing w:line="360" w:lineRule="auto"/>
        <w:ind w:firstLine="4228" w:firstLineChars="1762"/>
        <w:rPr>
          <w:color w:val="auto"/>
          <w:sz w:val="24"/>
          <w:szCs w:val="24"/>
          <w:highlight w:val="none"/>
          <w:u w:val="single"/>
        </w:rPr>
      </w:pPr>
      <w:r>
        <w:rPr>
          <w:rFonts w:hint="eastAsia"/>
          <w:color w:val="auto"/>
          <w:sz w:val="24"/>
          <w:highlight w:val="none"/>
        </w:rPr>
        <w:t xml:space="preserve">    </w:t>
      </w:r>
      <w:r>
        <w:rPr>
          <w:rFonts w:hint="eastAsia"/>
          <w:color w:val="auto"/>
          <w:sz w:val="24"/>
          <w:szCs w:val="18"/>
          <w:highlight w:val="none"/>
          <w:lang w:eastAsia="zh-CN"/>
        </w:rPr>
        <w:t>供应商</w:t>
      </w:r>
      <w:r>
        <w:rPr>
          <w:color w:val="auto"/>
          <w:sz w:val="24"/>
          <w:szCs w:val="24"/>
          <w:highlight w:val="none"/>
        </w:rPr>
        <w:t>电子签章</w:t>
      </w:r>
      <w:r>
        <w:rPr>
          <w:rFonts w:hint="eastAsia"/>
          <w:color w:val="auto"/>
          <w:sz w:val="24"/>
          <w:szCs w:val="24"/>
          <w:highlight w:val="none"/>
        </w:rPr>
        <w:t>：</w:t>
      </w:r>
      <w:r>
        <w:rPr>
          <w:color w:val="auto"/>
          <w:sz w:val="24"/>
          <w:szCs w:val="24"/>
          <w:highlight w:val="none"/>
          <w:u w:val="single"/>
        </w:rPr>
        <w:t xml:space="preserve">             </w:t>
      </w:r>
    </w:p>
    <w:p w14:paraId="6E96C483">
      <w:pPr>
        <w:spacing w:line="360" w:lineRule="auto"/>
        <w:ind w:firstLine="630"/>
        <w:rPr>
          <w:color w:val="auto"/>
          <w:sz w:val="24"/>
          <w:highlight w:val="none"/>
        </w:rPr>
      </w:pPr>
    </w:p>
    <w:p w14:paraId="5C0A0E53">
      <w:pPr>
        <w:spacing w:line="360" w:lineRule="auto"/>
        <w:ind w:firstLine="630"/>
        <w:rPr>
          <w:color w:val="auto"/>
          <w:sz w:val="24"/>
          <w:highlight w:val="none"/>
        </w:rPr>
      </w:pPr>
    </w:p>
    <w:p w14:paraId="583B61C8">
      <w:pPr>
        <w:spacing w:line="360" w:lineRule="auto"/>
        <w:ind w:firstLine="630"/>
        <w:rPr>
          <w:b/>
          <w:bCs/>
          <w:color w:val="auto"/>
          <w:sz w:val="24"/>
          <w:highlight w:val="none"/>
        </w:rPr>
      </w:pPr>
    </w:p>
    <w:p w14:paraId="7F3D7E09">
      <w:pPr>
        <w:spacing w:before="156" w:beforeLines="50" w:after="156" w:afterLines="50" w:line="360" w:lineRule="auto"/>
        <w:rPr>
          <w:color w:val="auto"/>
          <w:sz w:val="24"/>
          <w:highlight w:val="none"/>
        </w:rPr>
      </w:pPr>
      <w:r>
        <w:rPr>
          <w:rFonts w:hint="eastAsia"/>
          <w:color w:val="auto"/>
          <w:sz w:val="24"/>
          <w:highlight w:val="none"/>
        </w:rPr>
        <w:t>备注：</w:t>
      </w:r>
    </w:p>
    <w:p w14:paraId="59AA5EBA">
      <w:pPr>
        <w:spacing w:before="156" w:beforeLines="50" w:after="156" w:afterLines="50" w:line="360" w:lineRule="auto"/>
        <w:rPr>
          <w:color w:val="auto"/>
          <w:sz w:val="24"/>
          <w:highlight w:val="none"/>
        </w:rPr>
      </w:pPr>
      <w:r>
        <w:rPr>
          <w:rFonts w:hint="eastAsia"/>
          <w:color w:val="auto"/>
          <w:sz w:val="24"/>
          <w:highlight w:val="none"/>
        </w:rPr>
        <w:t>1.成交人</w:t>
      </w:r>
      <w:r>
        <w:rPr>
          <w:color w:val="auto"/>
          <w:sz w:val="24"/>
          <w:highlight w:val="none"/>
        </w:rPr>
        <w:t>办理</w:t>
      </w:r>
      <w:r>
        <w:rPr>
          <w:rFonts w:hint="eastAsia"/>
          <w:color w:val="auto"/>
          <w:sz w:val="24"/>
          <w:highlight w:val="none"/>
        </w:rPr>
        <w:t>合同</w:t>
      </w:r>
      <w:r>
        <w:rPr>
          <w:color w:val="auto"/>
          <w:sz w:val="24"/>
          <w:highlight w:val="none"/>
        </w:rPr>
        <w:t>备案时</w:t>
      </w:r>
      <w:r>
        <w:rPr>
          <w:rFonts w:hint="eastAsia"/>
          <w:color w:val="auto"/>
          <w:sz w:val="24"/>
          <w:highlight w:val="none"/>
        </w:rPr>
        <w:t>须</w:t>
      </w:r>
      <w:r>
        <w:rPr>
          <w:color w:val="auto"/>
          <w:sz w:val="24"/>
          <w:highlight w:val="none"/>
        </w:rPr>
        <w:t>携带此表提交至</w:t>
      </w:r>
      <w:r>
        <w:rPr>
          <w:rFonts w:hint="eastAsia"/>
          <w:color w:val="auto"/>
          <w:sz w:val="24"/>
          <w:highlight w:val="none"/>
          <w:u w:val="single"/>
          <w:lang w:eastAsia="zh-CN"/>
        </w:rPr>
        <w:t>肥西县派合商务服务有限公司</w:t>
      </w:r>
      <w:r>
        <w:rPr>
          <w:rFonts w:hint="eastAsia"/>
          <w:color w:val="auto"/>
          <w:sz w:val="24"/>
          <w:highlight w:val="none"/>
          <w:lang w:eastAsia="zh-CN"/>
        </w:rPr>
        <w:t>项目经理</w:t>
      </w:r>
      <w:r>
        <w:rPr>
          <w:rFonts w:hint="eastAsia"/>
          <w:color w:val="auto"/>
          <w:sz w:val="24"/>
          <w:highlight w:val="none"/>
        </w:rPr>
        <w:t>。</w:t>
      </w:r>
    </w:p>
    <w:p w14:paraId="0FB34D53">
      <w:pPr>
        <w:spacing w:before="156" w:beforeLines="50" w:after="156" w:afterLines="50" w:line="360" w:lineRule="auto"/>
        <w:rPr>
          <w:bCs/>
          <w:color w:val="auto"/>
          <w:sz w:val="24"/>
          <w:highlight w:val="none"/>
        </w:rPr>
      </w:pPr>
      <w:r>
        <w:rPr>
          <w:rFonts w:hint="eastAsia"/>
          <w:bCs/>
          <w:color w:val="auto"/>
          <w:sz w:val="24"/>
          <w:highlight w:val="none"/>
        </w:rPr>
        <w:t>2.</w:t>
      </w:r>
      <w:r>
        <w:rPr>
          <w:rFonts w:hint="eastAsia"/>
          <w:bCs/>
          <w:color w:val="auto"/>
          <w:sz w:val="24"/>
          <w:highlight w:val="none"/>
          <w:lang w:eastAsia="zh-CN"/>
        </w:rPr>
        <w:t>比选</w:t>
      </w:r>
      <w:r>
        <w:rPr>
          <w:rFonts w:hint="eastAsia"/>
          <w:bCs/>
          <w:color w:val="auto"/>
          <w:sz w:val="24"/>
          <w:highlight w:val="none"/>
        </w:rPr>
        <w:t>保证金只退还至</w:t>
      </w:r>
      <w:r>
        <w:rPr>
          <w:rFonts w:hint="eastAsia"/>
          <w:color w:val="auto"/>
          <w:sz w:val="24"/>
          <w:szCs w:val="18"/>
          <w:highlight w:val="none"/>
          <w:lang w:eastAsia="zh-CN"/>
        </w:rPr>
        <w:t>供应商</w:t>
      </w:r>
      <w:r>
        <w:rPr>
          <w:rFonts w:hint="eastAsia"/>
          <w:color w:val="auto"/>
          <w:sz w:val="24"/>
          <w:szCs w:val="18"/>
          <w:highlight w:val="none"/>
        </w:rPr>
        <w:t>基本</w:t>
      </w:r>
      <w:r>
        <w:rPr>
          <w:rFonts w:hint="eastAsia"/>
          <w:bCs/>
          <w:color w:val="auto"/>
          <w:sz w:val="24"/>
          <w:highlight w:val="none"/>
        </w:rPr>
        <w:t>账户。因收款单位与</w:t>
      </w:r>
      <w:r>
        <w:rPr>
          <w:rFonts w:hint="eastAsia"/>
          <w:color w:val="auto"/>
          <w:sz w:val="24"/>
          <w:szCs w:val="18"/>
          <w:highlight w:val="none"/>
          <w:lang w:eastAsia="zh-CN"/>
        </w:rPr>
        <w:t>供应商</w:t>
      </w:r>
      <w:r>
        <w:rPr>
          <w:rFonts w:hint="eastAsia"/>
          <w:bCs/>
          <w:color w:val="auto"/>
          <w:sz w:val="24"/>
          <w:highlight w:val="none"/>
        </w:rPr>
        <w:t>名称不一致（分公司或子公司代收</w:t>
      </w:r>
      <w:r>
        <w:rPr>
          <w:rFonts w:hint="eastAsia"/>
          <w:bCs/>
          <w:color w:val="auto"/>
          <w:sz w:val="24"/>
          <w:highlight w:val="none"/>
          <w:lang w:eastAsia="zh-CN"/>
        </w:rPr>
        <w:t>比选</w:t>
      </w:r>
      <w:r>
        <w:rPr>
          <w:rFonts w:hint="eastAsia"/>
          <w:bCs/>
          <w:color w:val="auto"/>
          <w:sz w:val="24"/>
          <w:highlight w:val="none"/>
        </w:rPr>
        <w:t>保证金，视同名称不一致）造成的</w:t>
      </w:r>
      <w:r>
        <w:rPr>
          <w:rFonts w:hint="eastAsia"/>
          <w:bCs/>
          <w:color w:val="auto"/>
          <w:sz w:val="24"/>
          <w:highlight w:val="none"/>
          <w:lang w:eastAsia="zh-CN"/>
        </w:rPr>
        <w:t>比选</w:t>
      </w:r>
      <w:r>
        <w:rPr>
          <w:rFonts w:hint="eastAsia"/>
          <w:bCs/>
          <w:color w:val="auto"/>
          <w:sz w:val="24"/>
          <w:highlight w:val="none"/>
        </w:rPr>
        <w:t>保证金无法退还或迟延退还，</w:t>
      </w:r>
      <w:r>
        <w:rPr>
          <w:rFonts w:hint="eastAsia"/>
          <w:color w:val="auto"/>
          <w:sz w:val="24"/>
          <w:highlight w:val="none"/>
          <w:u w:val="single"/>
          <w:lang w:eastAsia="zh-CN"/>
        </w:rPr>
        <w:t>肥西县派合商务服务有限公司</w:t>
      </w:r>
      <w:r>
        <w:rPr>
          <w:rFonts w:hint="eastAsia"/>
          <w:bCs/>
          <w:color w:val="auto"/>
          <w:sz w:val="24"/>
          <w:highlight w:val="none"/>
        </w:rPr>
        <w:t>概不负责。</w:t>
      </w:r>
    </w:p>
    <w:p w14:paraId="46DD9D2B">
      <w:pPr>
        <w:adjustRightInd w:val="0"/>
        <w:snapToGrid w:val="0"/>
        <w:spacing w:line="360" w:lineRule="auto"/>
        <w:jc w:val="left"/>
        <w:rPr>
          <w:rFonts w:cs="Arial"/>
          <w:bCs/>
          <w:color w:val="auto"/>
          <w:sz w:val="24"/>
          <w:szCs w:val="28"/>
          <w:highlight w:val="none"/>
        </w:rPr>
      </w:pPr>
      <w:r>
        <w:rPr>
          <w:rFonts w:hint="eastAsia"/>
          <w:bCs/>
          <w:color w:val="auto"/>
          <w:sz w:val="24"/>
          <w:highlight w:val="none"/>
        </w:rPr>
        <w:t>3.</w:t>
      </w:r>
      <w:r>
        <w:rPr>
          <w:rFonts w:hint="eastAsia"/>
          <w:color w:val="auto"/>
          <w:sz w:val="24"/>
          <w:highlight w:val="none"/>
          <w:u w:val="single"/>
          <w:lang w:eastAsia="zh-CN"/>
        </w:rPr>
        <w:t>肥西县派合商务服务有限公司</w:t>
      </w:r>
      <w:r>
        <w:rPr>
          <w:rFonts w:hint="eastAsia"/>
          <w:bCs/>
          <w:color w:val="auto"/>
          <w:sz w:val="24"/>
          <w:highlight w:val="none"/>
        </w:rPr>
        <w:t>将在成交通知书发出后五个工作日内退还未成交人的</w:t>
      </w:r>
      <w:r>
        <w:rPr>
          <w:rFonts w:hint="eastAsia"/>
          <w:bCs/>
          <w:color w:val="auto"/>
          <w:sz w:val="24"/>
          <w:highlight w:val="none"/>
          <w:lang w:eastAsia="zh-CN"/>
        </w:rPr>
        <w:t>比选</w:t>
      </w:r>
      <w:r>
        <w:rPr>
          <w:rFonts w:hint="eastAsia"/>
          <w:bCs/>
          <w:color w:val="auto"/>
          <w:sz w:val="24"/>
          <w:highlight w:val="none"/>
        </w:rPr>
        <w:t>保证金，在合同签订后五个工作日内退还成交人的</w:t>
      </w:r>
      <w:r>
        <w:rPr>
          <w:rFonts w:hint="eastAsia"/>
          <w:bCs/>
          <w:color w:val="auto"/>
          <w:sz w:val="24"/>
          <w:highlight w:val="none"/>
          <w:lang w:eastAsia="zh-CN"/>
        </w:rPr>
        <w:t>比选</w:t>
      </w:r>
      <w:r>
        <w:rPr>
          <w:rFonts w:hint="eastAsia"/>
          <w:bCs/>
          <w:color w:val="auto"/>
          <w:sz w:val="24"/>
          <w:highlight w:val="none"/>
        </w:rPr>
        <w:t>保证金。</w:t>
      </w:r>
    </w:p>
    <w:p w14:paraId="47EDC62A">
      <w:pPr>
        <w:widowControl/>
        <w:jc w:val="center"/>
        <w:rPr>
          <w:b/>
          <w:color w:val="auto"/>
          <w:sz w:val="24"/>
          <w:highlight w:val="none"/>
        </w:rPr>
      </w:pPr>
      <w:r>
        <w:rPr>
          <w:b/>
          <w:color w:val="auto"/>
          <w:sz w:val="24"/>
          <w:highlight w:val="none"/>
        </w:rPr>
        <w:br w:type="page"/>
      </w:r>
      <w:bookmarkEnd w:id="628"/>
      <w:r>
        <w:rPr>
          <w:rFonts w:hint="eastAsia"/>
          <w:b/>
          <w:color w:val="auto"/>
          <w:sz w:val="24"/>
          <w:highlight w:val="none"/>
        </w:rPr>
        <w:t>十三、其他相关证明材料</w:t>
      </w:r>
    </w:p>
    <w:p w14:paraId="3F0EC8C0">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供应商</w:t>
      </w:r>
      <w:r>
        <w:rPr>
          <w:rFonts w:hint="eastAsia"/>
          <w:color w:val="auto"/>
          <w:sz w:val="24"/>
          <w:highlight w:val="none"/>
        </w:rPr>
        <w:t>编制施工组织设计，包括</w:t>
      </w:r>
      <w:r>
        <w:rPr>
          <w:rFonts w:hint="eastAsia"/>
          <w:color w:val="auto"/>
          <w:sz w:val="24"/>
          <w:highlight w:val="none"/>
          <w:lang w:eastAsia="zh-CN"/>
        </w:rPr>
        <w:t>比选</w:t>
      </w:r>
      <w:r>
        <w:rPr>
          <w:rFonts w:hint="eastAsia"/>
          <w:color w:val="auto"/>
          <w:sz w:val="24"/>
          <w:highlight w:val="none"/>
        </w:rPr>
        <w:t>文件规定的施工组织设计基本内容。</w:t>
      </w:r>
    </w:p>
    <w:p w14:paraId="3BFB8C30">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供应商</w:t>
      </w:r>
      <w:r>
        <w:rPr>
          <w:rFonts w:hint="eastAsia"/>
          <w:color w:val="auto"/>
          <w:sz w:val="24"/>
          <w:highlight w:val="none"/>
        </w:rPr>
        <w:t>认为与</w:t>
      </w:r>
      <w:r>
        <w:rPr>
          <w:rFonts w:hint="eastAsia"/>
          <w:color w:val="auto"/>
          <w:sz w:val="24"/>
          <w:highlight w:val="none"/>
          <w:lang w:eastAsia="zh-CN"/>
        </w:rPr>
        <w:t>比选</w:t>
      </w:r>
      <w:r>
        <w:rPr>
          <w:rFonts w:hint="eastAsia"/>
          <w:color w:val="auto"/>
          <w:sz w:val="24"/>
          <w:highlight w:val="none"/>
        </w:rPr>
        <w:t>有关的其他资料。</w:t>
      </w:r>
    </w:p>
    <w:p w14:paraId="733EB14B">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5"/>
          <w:rFonts w:hint="eastAsia" w:cs="宋体"/>
          <w:b/>
          <w:bCs/>
          <w:color w:val="auto"/>
          <w:sz w:val="44"/>
          <w:szCs w:val="44"/>
          <w:highlight w:val="none"/>
        </w:rPr>
        <w:footnoteReference w:id="3"/>
      </w:r>
    </w:p>
    <w:p w14:paraId="42C14398">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eastAsia="zh-CN"/>
        </w:rPr>
        <w:t>供应商</w:t>
      </w:r>
      <w:r>
        <w:rPr>
          <w:rFonts w:hint="eastAsia" w:cs="宋体"/>
          <w:color w:val="auto"/>
          <w:szCs w:val="24"/>
          <w:highlight w:val="none"/>
        </w:rPr>
        <w:t>”按“</w:t>
      </w:r>
      <w:r>
        <w:rPr>
          <w:rFonts w:hint="eastAsia"/>
          <w:color w:val="auto"/>
          <w:szCs w:val="18"/>
          <w:highlight w:val="none"/>
          <w:lang w:eastAsia="zh-CN"/>
        </w:rPr>
        <w:t>供应商</w:t>
      </w:r>
      <w:r>
        <w:rPr>
          <w:rFonts w:hint="eastAsia" w:cs="宋体"/>
          <w:color w:val="auto"/>
          <w:szCs w:val="24"/>
          <w:highlight w:val="none"/>
        </w:rPr>
        <w:t>”理解，“投标文件”按“响应文件”理解，“招标文件”按“采购文件”理解，“投标文件递交截止时间”按“首次递交响应文件截止时间”理解，“开标”按“开启响应文件”理解，“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”按“评审小组”理解，“投标无效”按“响应文件无效”理解。</w:t>
      </w:r>
    </w:p>
    <w:p w14:paraId="140F9DD0">
      <w:pPr>
        <w:spacing w:line="400" w:lineRule="exact"/>
        <w:ind w:firstLine="400" w:firstLineChars="200"/>
        <w:rPr>
          <w:rFonts w:cs="宋体"/>
          <w:color w:val="auto"/>
          <w:szCs w:val="24"/>
          <w:highlight w:val="none"/>
        </w:rPr>
      </w:pPr>
    </w:p>
    <w:p w14:paraId="72101D6A">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14:paraId="46D3E744">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应及时办理CA证书，用于对投标文件进行电子签章及加、解密。</w:t>
      </w:r>
    </w:p>
    <w:p w14:paraId="66064A7F">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14:paraId="44C8C4DD">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31"/>
          <w:rFonts w:hint="eastAsia" w:cs="宋体"/>
          <w:bCs/>
          <w:color w:val="auto"/>
          <w:highlight w:val="none"/>
        </w:rPr>
        <w:t>http://www.youzhicai.com/ActivityTopic/AdviceDetail/8f80a7ec-911f-4c4d-a123-f</w:t>
      </w:r>
      <w:bookmarkStart w:id="629" w:name="_Hlt105085547"/>
      <w:bookmarkStart w:id="630" w:name="_Hlt105085548"/>
      <w:r>
        <w:rPr>
          <w:rStyle w:val="31"/>
          <w:rFonts w:hint="eastAsia" w:cs="宋体"/>
          <w:bCs/>
          <w:color w:val="auto"/>
          <w:highlight w:val="none"/>
        </w:rPr>
        <w:t>8</w:t>
      </w:r>
      <w:bookmarkEnd w:id="629"/>
      <w:bookmarkEnd w:id="630"/>
      <w:r>
        <w:rPr>
          <w:rStyle w:val="31"/>
          <w:rFonts w:hint="eastAsia" w:cs="宋体"/>
          <w:bCs/>
          <w:color w:val="auto"/>
          <w:highlight w:val="none"/>
        </w:rPr>
        <w:t>849880f045</w:t>
      </w:r>
      <w:r>
        <w:rPr>
          <w:rStyle w:val="31"/>
          <w:rFonts w:hint="eastAsia" w:cs="宋体"/>
          <w:bCs/>
          <w:color w:val="auto"/>
          <w:highlight w:val="none"/>
        </w:rPr>
        <w:fldChar w:fldCharType="end"/>
      </w:r>
      <w:r>
        <w:rPr>
          <w:rFonts w:hint="eastAsia" w:cs="宋体"/>
          <w:bCs/>
          <w:color w:val="auto"/>
          <w:highlight w:val="none"/>
        </w:rPr>
        <w:t>。</w:t>
      </w:r>
    </w:p>
    <w:p w14:paraId="58CACD2C">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14:paraId="120932A0">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14:paraId="2184583C">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14:paraId="0F8DF971">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供应商</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供应商</w:t>
      </w:r>
      <w:r>
        <w:rPr>
          <w:rFonts w:hint="eastAsia" w:cs="宋体"/>
          <w:color w:val="auto"/>
          <w:szCs w:val="24"/>
          <w:highlight w:val="none"/>
        </w:rPr>
        <w:t>自行承担责任；</w:t>
      </w:r>
    </w:p>
    <w:p w14:paraId="2A70AB55">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14:paraId="3D9A2CC6">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14:paraId="162714CD">
      <w:pPr>
        <w:spacing w:line="400" w:lineRule="exact"/>
        <w:ind w:firstLine="400" w:firstLineChars="200"/>
        <w:rPr>
          <w:rStyle w:val="31"/>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供应商</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31"/>
          <w:rFonts w:hint="eastAsia" w:cs="宋体"/>
          <w:color w:val="auto"/>
          <w:highlight w:val="none"/>
        </w:rPr>
        <w:t>https://toolcdn.youzhicai.com/tools/BidderTools.zip</w:t>
      </w:r>
      <w:r>
        <w:rPr>
          <w:rStyle w:val="31"/>
          <w:rFonts w:hint="eastAsia" w:cs="宋体"/>
          <w:color w:val="auto"/>
          <w:highlight w:val="none"/>
        </w:rPr>
        <w:fldChar w:fldCharType="end"/>
      </w:r>
      <w:r>
        <w:rPr>
          <w:rStyle w:val="31"/>
          <w:rFonts w:hint="eastAsia" w:cs="宋体"/>
          <w:color w:val="auto"/>
          <w:highlight w:val="none"/>
        </w:rPr>
        <w:t>。</w:t>
      </w:r>
    </w:p>
    <w:p w14:paraId="33EA1A01">
      <w:pPr>
        <w:spacing w:line="400" w:lineRule="exact"/>
        <w:ind w:firstLine="400" w:firstLineChars="200"/>
        <w:rPr>
          <w:rStyle w:val="31"/>
          <w:rFonts w:cs="宋体"/>
          <w:color w:val="auto"/>
          <w:highlight w:val="none"/>
          <w:u w:val="none"/>
        </w:rPr>
      </w:pPr>
      <w:r>
        <w:rPr>
          <w:rStyle w:val="31"/>
          <w:rFonts w:hint="eastAsia" w:cs="宋体"/>
          <w:color w:val="auto"/>
          <w:highlight w:val="none"/>
          <w:u w:val="none"/>
        </w:rPr>
        <w:tab/>
      </w:r>
      <w:r>
        <w:rPr>
          <w:rStyle w:val="31"/>
          <w:rFonts w:hint="eastAsia" w:cs="宋体"/>
          <w:color w:val="auto"/>
          <w:highlight w:val="none"/>
          <w:u w:val="none"/>
        </w:rPr>
        <w:t>8.1.投标工具建议在window7或windows10操作系统下使用；</w:t>
      </w:r>
    </w:p>
    <w:p w14:paraId="53ABABA3">
      <w:pPr>
        <w:spacing w:line="400" w:lineRule="exact"/>
        <w:ind w:firstLine="400" w:firstLineChars="200"/>
        <w:rPr>
          <w:rFonts w:cs="宋体"/>
          <w:bCs/>
          <w:color w:val="auto"/>
          <w:sz w:val="18"/>
          <w:highlight w:val="none"/>
        </w:rPr>
      </w:pPr>
      <w:r>
        <w:rPr>
          <w:rStyle w:val="31"/>
          <w:rFonts w:hint="eastAsia" w:cs="宋体"/>
          <w:color w:val="auto"/>
          <w:highlight w:val="none"/>
          <w:u w:val="none"/>
        </w:rPr>
        <w:tab/>
      </w:r>
      <w:r>
        <w:rPr>
          <w:rStyle w:val="31"/>
          <w:rFonts w:hint="eastAsia" w:cs="宋体"/>
          <w:color w:val="auto"/>
          <w:highlight w:val="none"/>
          <w:u w:val="none"/>
        </w:rPr>
        <w:t>8.2.电子投标文件编制建议使用</w:t>
      </w:r>
      <w:r>
        <w:rPr>
          <w:rFonts w:hint="eastAsia" w:cs="宋体"/>
          <w:color w:val="auto"/>
          <w:highlight w:val="none"/>
        </w:rPr>
        <w:t>office2010版本。</w:t>
      </w:r>
    </w:p>
    <w:p w14:paraId="55EAEC67">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31"/>
          <w:rFonts w:hint="eastAsia" w:cs="宋体"/>
          <w:color w:val="auto"/>
          <w:highlight w:val="none"/>
        </w:rPr>
        <w:t>https://toolcdn.youzhicai.com/ca.zip</w:t>
      </w:r>
      <w:r>
        <w:rPr>
          <w:rStyle w:val="31"/>
          <w:rFonts w:hint="eastAsia" w:cs="宋体"/>
          <w:color w:val="auto"/>
          <w:highlight w:val="none"/>
        </w:rPr>
        <w:fldChar w:fldCharType="end"/>
      </w:r>
      <w:r>
        <w:rPr>
          <w:rStyle w:val="31"/>
          <w:rFonts w:hint="eastAsia" w:cs="宋体"/>
          <w:color w:val="auto"/>
          <w:highlight w:val="none"/>
        </w:rPr>
        <w:t>。</w:t>
      </w:r>
    </w:p>
    <w:p w14:paraId="6FBC8FEE">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供应商</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供应商</w:t>
      </w:r>
      <w:r>
        <w:rPr>
          <w:rFonts w:hint="eastAsia" w:cs="宋体"/>
          <w:color w:val="auto"/>
          <w:szCs w:val="24"/>
          <w:highlight w:val="none"/>
        </w:rPr>
        <w:t>未完成电子投标文件上传的，视为没有递交投标文件。</w:t>
      </w:r>
    </w:p>
    <w:p w14:paraId="7A991C48">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供应商</w:t>
      </w:r>
      <w:r>
        <w:rPr>
          <w:rFonts w:hint="eastAsia" w:cs="宋体"/>
          <w:color w:val="auto"/>
          <w:szCs w:val="24"/>
          <w:highlight w:val="none"/>
        </w:rPr>
        <w:t>在投标文件递交截止时间前，可以对其所递交的电子投标文件进行撤回，修改后重新上传。</w:t>
      </w:r>
    </w:p>
    <w:p w14:paraId="3C28F067">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供应商</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14:paraId="52E68D47">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14:paraId="73B648D4">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业主单位</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供应商</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14:paraId="1B6EF3C8">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供应商</w:t>
      </w:r>
      <w:r>
        <w:rPr>
          <w:rFonts w:hint="eastAsia" w:cs="宋体"/>
          <w:color w:val="auto"/>
          <w:szCs w:val="24"/>
          <w:highlight w:val="none"/>
        </w:rPr>
        <w:t>无需到达开标现场。招标文件“</w:t>
      </w:r>
      <w:r>
        <w:rPr>
          <w:rFonts w:hint="eastAsia"/>
          <w:color w:val="auto"/>
          <w:szCs w:val="18"/>
          <w:highlight w:val="none"/>
          <w:lang w:eastAsia="zh-CN"/>
        </w:rPr>
        <w:t>供应商</w:t>
      </w:r>
      <w:r>
        <w:rPr>
          <w:rFonts w:hint="eastAsia" w:cs="宋体"/>
          <w:color w:val="auto"/>
          <w:szCs w:val="24"/>
          <w:highlight w:val="none"/>
        </w:rPr>
        <w:t>须知”中另有规定的，从其规定。</w:t>
      </w:r>
    </w:p>
    <w:p w14:paraId="2F5989DB">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供应商</w:t>
      </w:r>
      <w:r>
        <w:rPr>
          <w:rFonts w:hint="eastAsia" w:cs="宋体"/>
          <w:color w:val="auto"/>
          <w:szCs w:val="24"/>
          <w:highlight w:val="none"/>
        </w:rPr>
        <w:t>须按照招标文件的要求在投标文件递交截止时间前登录投标工具并保持在线，关注开标互动大厅消息直到项目评审结束。</w:t>
      </w:r>
    </w:p>
    <w:p w14:paraId="2E9C87C3">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供应商</w:t>
      </w:r>
      <w:r>
        <w:rPr>
          <w:rFonts w:hint="eastAsia" w:cs="宋体"/>
          <w:color w:val="auto"/>
          <w:szCs w:val="24"/>
          <w:highlight w:val="none"/>
        </w:rPr>
        <w:t>须知”中另有规定的，从其规定）。潜在</w:t>
      </w:r>
      <w:r>
        <w:rPr>
          <w:rFonts w:hint="eastAsia"/>
          <w:color w:val="auto"/>
          <w:szCs w:val="18"/>
          <w:highlight w:val="none"/>
          <w:lang w:eastAsia="zh-CN"/>
        </w:rPr>
        <w:t>供应商</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供应商</w:t>
      </w:r>
      <w:r>
        <w:rPr>
          <w:rFonts w:hint="eastAsia" w:cs="宋体"/>
          <w:color w:val="auto"/>
          <w:szCs w:val="24"/>
          <w:highlight w:val="none"/>
        </w:rPr>
        <w:t>须知”中对投标文件解密设有线下补救方案的，执行该补救方案。</w:t>
      </w:r>
    </w:p>
    <w:p w14:paraId="7D4713DE">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14:paraId="058EA413">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供应商</w:t>
      </w:r>
      <w:r>
        <w:rPr>
          <w:rFonts w:hint="eastAsia" w:cs="宋体"/>
          <w:color w:val="auto"/>
          <w:szCs w:val="24"/>
          <w:highlight w:val="none"/>
        </w:rPr>
        <w:t>，</w:t>
      </w:r>
      <w:r>
        <w:rPr>
          <w:rFonts w:hint="eastAsia"/>
          <w:color w:val="auto"/>
          <w:szCs w:val="18"/>
          <w:highlight w:val="none"/>
          <w:lang w:eastAsia="zh-CN"/>
        </w:rPr>
        <w:t>供应商</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供应商</w:t>
      </w:r>
      <w:r>
        <w:rPr>
          <w:rFonts w:hint="eastAsia" w:cs="宋体"/>
          <w:color w:val="auto"/>
          <w:szCs w:val="24"/>
          <w:highlight w:val="none"/>
        </w:rPr>
        <w:t>未及时回复，视为放弃澄清。</w:t>
      </w:r>
    </w:p>
    <w:p w14:paraId="52DA993E">
      <w:pPr>
        <w:spacing w:line="400" w:lineRule="exact"/>
        <w:ind w:firstLine="400" w:firstLineChars="200"/>
        <w:rPr>
          <w:rFonts w:cs="宋体"/>
          <w:color w:val="auto"/>
          <w:highlight w:val="none"/>
        </w:rPr>
      </w:pPr>
      <w:r>
        <w:rPr>
          <w:rFonts w:hint="eastAsia" w:cs="宋体"/>
          <w:color w:val="auto"/>
          <w:highlight w:val="none"/>
        </w:rPr>
        <w:t>五、异常情形</w:t>
      </w:r>
    </w:p>
    <w:p w14:paraId="73C8E468">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14:paraId="223ECF87">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14:paraId="541CF990">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14:paraId="02526B55">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14:paraId="44C71088">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14:paraId="41CC3667">
      <w:pPr>
        <w:spacing w:line="400" w:lineRule="exact"/>
        <w:ind w:firstLine="400" w:firstLineChars="200"/>
        <w:rPr>
          <w:rFonts w:cs="宋体"/>
          <w:color w:val="auto"/>
          <w:highlight w:val="none"/>
        </w:rPr>
      </w:pPr>
      <w:r>
        <w:rPr>
          <w:rFonts w:hint="eastAsia" w:cs="宋体"/>
          <w:color w:val="auto"/>
          <w:highlight w:val="none"/>
        </w:rPr>
        <w:t>六、异常情形处理</w:t>
      </w:r>
    </w:p>
    <w:p w14:paraId="2ED37616">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14:paraId="73EEAC99">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业主单位</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业主单位</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供应商</w:t>
      </w:r>
      <w:r>
        <w:rPr>
          <w:rFonts w:hint="eastAsia" w:cs="宋体"/>
          <w:color w:val="auto"/>
          <w:highlight w:val="none"/>
        </w:rPr>
        <w:t>发出延长中止期限通知，并发布公布。</w:t>
      </w:r>
    </w:p>
    <w:p w14:paraId="4F8BE529">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业主单位</w:t>
      </w:r>
      <w:r>
        <w:rPr>
          <w:rFonts w:hint="eastAsia" w:cs="宋体"/>
          <w:color w:val="auto"/>
          <w:highlight w:val="none"/>
        </w:rPr>
        <w:t>或代理机构应当尽快恢复招投标程序，向</w:t>
      </w:r>
      <w:r>
        <w:rPr>
          <w:rFonts w:hint="eastAsia"/>
          <w:color w:val="auto"/>
          <w:szCs w:val="18"/>
          <w:highlight w:val="none"/>
          <w:lang w:eastAsia="zh-CN"/>
        </w:rPr>
        <w:t>供应商</w:t>
      </w:r>
      <w:r>
        <w:rPr>
          <w:rFonts w:hint="eastAsia" w:cs="宋体"/>
          <w:color w:val="auto"/>
          <w:highlight w:val="none"/>
        </w:rPr>
        <w:t>发出恢复交易通知，并发布公布；已发出延长中止期限通知的，按通知执行。</w:t>
      </w:r>
    </w:p>
    <w:p w14:paraId="449058DA">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42C6">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9E2C">
    <w:pPr>
      <w:pStyle w:val="11"/>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footnote>
  <w:footnote w:id="0">
    <w:p w14:paraId="4BAF08F8">
      <w:pPr>
        <w:pStyle w:val="15"/>
      </w:pPr>
    </w:p>
  </w:footnote>
  <w:footnote w:id="1">
    <w:p w14:paraId="3E051BCE">
      <w:pPr>
        <w:pStyle w:val="15"/>
      </w:pPr>
    </w:p>
  </w:footnote>
  <w:footnote w:id="2">
    <w:p w14:paraId="20A76266">
      <w:pPr>
        <w:pStyle w:val="15"/>
      </w:pPr>
    </w:p>
  </w:footnote>
  <w:footnote w:id="3">
    <w:p w14:paraId="3135F78D">
      <w:pPr>
        <w:pStyle w:val="15"/>
      </w:pPr>
      <w:r>
        <w:rPr>
          <w:rStyle w:val="35"/>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C0BC">
    <w:pPr>
      <w:pStyle w:val="13"/>
      <w:jc w:val="left"/>
    </w:pPr>
    <w:r>
      <w:rPr>
        <w:rFonts w:hint="eastAsia"/>
        <w:lang w:eastAsia="zh-CN"/>
      </w:rPr>
      <w:t>比选</w:t>
    </w:r>
    <w:r>
      <w:rPr>
        <w:rFonts w:hint="eastAsia"/>
      </w:rPr>
      <w:t>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1F6B">
    <w:pPr>
      <w:pStyle w:val="13"/>
      <w:jc w:val="left"/>
    </w:pPr>
    <w:r>
      <w:rPr>
        <w:rFonts w:hint="eastAsia"/>
        <w:lang w:eastAsia="zh-CN"/>
      </w:rPr>
      <w:t>比选</w:t>
    </w:r>
    <w:r>
      <w:rPr>
        <w:rFonts w:hint="eastAsia"/>
      </w:rPr>
      <w:t>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8D30DE"/>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B85F94"/>
    <w:rsid w:val="01C20BC1"/>
    <w:rsid w:val="02E311D1"/>
    <w:rsid w:val="0343163D"/>
    <w:rsid w:val="03471228"/>
    <w:rsid w:val="035C5045"/>
    <w:rsid w:val="036436F5"/>
    <w:rsid w:val="03AD7709"/>
    <w:rsid w:val="03C20CFD"/>
    <w:rsid w:val="043B51FA"/>
    <w:rsid w:val="048B7C48"/>
    <w:rsid w:val="04902FC6"/>
    <w:rsid w:val="049A38BA"/>
    <w:rsid w:val="049C23C0"/>
    <w:rsid w:val="052554E5"/>
    <w:rsid w:val="053973EC"/>
    <w:rsid w:val="053B5CAD"/>
    <w:rsid w:val="05756DEA"/>
    <w:rsid w:val="0599432F"/>
    <w:rsid w:val="05C649F8"/>
    <w:rsid w:val="05EF0B06"/>
    <w:rsid w:val="061147C4"/>
    <w:rsid w:val="06A63E66"/>
    <w:rsid w:val="071E7A6D"/>
    <w:rsid w:val="0828199A"/>
    <w:rsid w:val="08C84F4C"/>
    <w:rsid w:val="08EB1C1E"/>
    <w:rsid w:val="08F6103E"/>
    <w:rsid w:val="09092DE7"/>
    <w:rsid w:val="0969226A"/>
    <w:rsid w:val="09C10EB1"/>
    <w:rsid w:val="0AFC15E8"/>
    <w:rsid w:val="0B444D3D"/>
    <w:rsid w:val="0B491765"/>
    <w:rsid w:val="0B5120DD"/>
    <w:rsid w:val="0B62234B"/>
    <w:rsid w:val="0B921521"/>
    <w:rsid w:val="0C3A5C6D"/>
    <w:rsid w:val="0C41302A"/>
    <w:rsid w:val="0CBA487A"/>
    <w:rsid w:val="0D233659"/>
    <w:rsid w:val="0D2564A8"/>
    <w:rsid w:val="0D305579"/>
    <w:rsid w:val="0D324DE0"/>
    <w:rsid w:val="0D6671EC"/>
    <w:rsid w:val="0DF4332B"/>
    <w:rsid w:val="0E25296B"/>
    <w:rsid w:val="0E5C1E70"/>
    <w:rsid w:val="0E807E3A"/>
    <w:rsid w:val="0EC27511"/>
    <w:rsid w:val="0EC85A61"/>
    <w:rsid w:val="0EDA208D"/>
    <w:rsid w:val="0F3C1D55"/>
    <w:rsid w:val="0F5C08A7"/>
    <w:rsid w:val="0FCD6A7A"/>
    <w:rsid w:val="0FF00FEF"/>
    <w:rsid w:val="0FFE370C"/>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8E7CA5"/>
    <w:rsid w:val="18A2581C"/>
    <w:rsid w:val="192D6C6E"/>
    <w:rsid w:val="1A50725A"/>
    <w:rsid w:val="1ACF521A"/>
    <w:rsid w:val="1AD617E2"/>
    <w:rsid w:val="1B0B4BA2"/>
    <w:rsid w:val="1B4030F3"/>
    <w:rsid w:val="1B66485B"/>
    <w:rsid w:val="1C153A84"/>
    <w:rsid w:val="1C2B7608"/>
    <w:rsid w:val="1C76287C"/>
    <w:rsid w:val="1C9A0C60"/>
    <w:rsid w:val="1CBC0BD7"/>
    <w:rsid w:val="1D4C65FE"/>
    <w:rsid w:val="1D7414B2"/>
    <w:rsid w:val="1DB51D77"/>
    <w:rsid w:val="1E005185"/>
    <w:rsid w:val="1E047E66"/>
    <w:rsid w:val="1E21497B"/>
    <w:rsid w:val="1F9009DB"/>
    <w:rsid w:val="1FBA6F24"/>
    <w:rsid w:val="1FD707C9"/>
    <w:rsid w:val="2002256D"/>
    <w:rsid w:val="20112FE8"/>
    <w:rsid w:val="201D5FF2"/>
    <w:rsid w:val="2237485C"/>
    <w:rsid w:val="2245341D"/>
    <w:rsid w:val="227258EB"/>
    <w:rsid w:val="22D60519"/>
    <w:rsid w:val="23682531"/>
    <w:rsid w:val="23C2284B"/>
    <w:rsid w:val="243D4E7D"/>
    <w:rsid w:val="247258FF"/>
    <w:rsid w:val="252D6896"/>
    <w:rsid w:val="25B032A3"/>
    <w:rsid w:val="25FD7B6A"/>
    <w:rsid w:val="26565FDF"/>
    <w:rsid w:val="26B6639A"/>
    <w:rsid w:val="26C0260D"/>
    <w:rsid w:val="26C05AFB"/>
    <w:rsid w:val="26E42B12"/>
    <w:rsid w:val="26EF7EEE"/>
    <w:rsid w:val="27091ADD"/>
    <w:rsid w:val="27220ADA"/>
    <w:rsid w:val="27435A51"/>
    <w:rsid w:val="27624129"/>
    <w:rsid w:val="28370592"/>
    <w:rsid w:val="286D547B"/>
    <w:rsid w:val="28C9259C"/>
    <w:rsid w:val="28F811E9"/>
    <w:rsid w:val="28FC4939"/>
    <w:rsid w:val="29655B14"/>
    <w:rsid w:val="29D42256"/>
    <w:rsid w:val="2A016FA2"/>
    <w:rsid w:val="2A6B3832"/>
    <w:rsid w:val="2AB147B5"/>
    <w:rsid w:val="2AE90244"/>
    <w:rsid w:val="2B7E2320"/>
    <w:rsid w:val="2BA556CD"/>
    <w:rsid w:val="2BB62C95"/>
    <w:rsid w:val="2BBE2635"/>
    <w:rsid w:val="2BD733B6"/>
    <w:rsid w:val="2BE75544"/>
    <w:rsid w:val="2C5B7DFA"/>
    <w:rsid w:val="2D030961"/>
    <w:rsid w:val="2D6211CC"/>
    <w:rsid w:val="2D79041E"/>
    <w:rsid w:val="2D856DC3"/>
    <w:rsid w:val="2DA76D39"/>
    <w:rsid w:val="2DE24215"/>
    <w:rsid w:val="307B1892"/>
    <w:rsid w:val="30AE03DF"/>
    <w:rsid w:val="30B7783B"/>
    <w:rsid w:val="30CD2133"/>
    <w:rsid w:val="30D2231F"/>
    <w:rsid w:val="310A4E78"/>
    <w:rsid w:val="31833619"/>
    <w:rsid w:val="31AF7BD2"/>
    <w:rsid w:val="31EA7C43"/>
    <w:rsid w:val="31F93956"/>
    <w:rsid w:val="32700042"/>
    <w:rsid w:val="329219D2"/>
    <w:rsid w:val="32AB5D6C"/>
    <w:rsid w:val="32D707E6"/>
    <w:rsid w:val="32D938BC"/>
    <w:rsid w:val="32ED7F9D"/>
    <w:rsid w:val="331165AB"/>
    <w:rsid w:val="33512760"/>
    <w:rsid w:val="345614B9"/>
    <w:rsid w:val="34684D49"/>
    <w:rsid w:val="346B00EF"/>
    <w:rsid w:val="348222AE"/>
    <w:rsid w:val="34E37107"/>
    <w:rsid w:val="34FC591F"/>
    <w:rsid w:val="35170C48"/>
    <w:rsid w:val="35E52AF5"/>
    <w:rsid w:val="36456BF4"/>
    <w:rsid w:val="36835E6A"/>
    <w:rsid w:val="36FD5149"/>
    <w:rsid w:val="375A1DC0"/>
    <w:rsid w:val="376E145B"/>
    <w:rsid w:val="37DD15AA"/>
    <w:rsid w:val="37F963E3"/>
    <w:rsid w:val="382471D8"/>
    <w:rsid w:val="385076D4"/>
    <w:rsid w:val="38FA3251"/>
    <w:rsid w:val="39290F4A"/>
    <w:rsid w:val="3939522E"/>
    <w:rsid w:val="397A3554"/>
    <w:rsid w:val="39D349ED"/>
    <w:rsid w:val="3A313DDF"/>
    <w:rsid w:val="3A4C5A45"/>
    <w:rsid w:val="3AD66FDC"/>
    <w:rsid w:val="3AE57D3B"/>
    <w:rsid w:val="3BFB45B8"/>
    <w:rsid w:val="3C24596A"/>
    <w:rsid w:val="3CD53E49"/>
    <w:rsid w:val="3D2A6F55"/>
    <w:rsid w:val="3D5D5666"/>
    <w:rsid w:val="3D8449A1"/>
    <w:rsid w:val="3EA07AC6"/>
    <w:rsid w:val="3EE14075"/>
    <w:rsid w:val="3EF738D0"/>
    <w:rsid w:val="3F2F6B8F"/>
    <w:rsid w:val="3F4D7AC5"/>
    <w:rsid w:val="3FD140EA"/>
    <w:rsid w:val="3FF46F41"/>
    <w:rsid w:val="405368AD"/>
    <w:rsid w:val="40550877"/>
    <w:rsid w:val="4084035D"/>
    <w:rsid w:val="4086667F"/>
    <w:rsid w:val="40A8087E"/>
    <w:rsid w:val="413B60C1"/>
    <w:rsid w:val="41590C35"/>
    <w:rsid w:val="41967399"/>
    <w:rsid w:val="41C37B1D"/>
    <w:rsid w:val="42ED123B"/>
    <w:rsid w:val="43553C60"/>
    <w:rsid w:val="43790D20"/>
    <w:rsid w:val="43A36B1A"/>
    <w:rsid w:val="4427569D"/>
    <w:rsid w:val="44305F71"/>
    <w:rsid w:val="446C318F"/>
    <w:rsid w:val="44A8366B"/>
    <w:rsid w:val="44AE6C6F"/>
    <w:rsid w:val="44D25071"/>
    <w:rsid w:val="44E4041B"/>
    <w:rsid w:val="45006282"/>
    <w:rsid w:val="45291FB9"/>
    <w:rsid w:val="45392515"/>
    <w:rsid w:val="453D2A10"/>
    <w:rsid w:val="45BE6BF8"/>
    <w:rsid w:val="462C412C"/>
    <w:rsid w:val="467557CF"/>
    <w:rsid w:val="4734721D"/>
    <w:rsid w:val="48286871"/>
    <w:rsid w:val="4832149E"/>
    <w:rsid w:val="48657AC5"/>
    <w:rsid w:val="48CA377C"/>
    <w:rsid w:val="48E23D6F"/>
    <w:rsid w:val="49311755"/>
    <w:rsid w:val="49843F7B"/>
    <w:rsid w:val="498F32C4"/>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435648A"/>
    <w:rsid w:val="54484D88"/>
    <w:rsid w:val="5459695A"/>
    <w:rsid w:val="54BF4D86"/>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D20514F"/>
    <w:rsid w:val="5D645228"/>
    <w:rsid w:val="5D704AEA"/>
    <w:rsid w:val="5DB5658E"/>
    <w:rsid w:val="5E10464A"/>
    <w:rsid w:val="5E3A43C8"/>
    <w:rsid w:val="5E781EA8"/>
    <w:rsid w:val="5EA87092"/>
    <w:rsid w:val="5F5A15AE"/>
    <w:rsid w:val="5F7A5030"/>
    <w:rsid w:val="601D27F2"/>
    <w:rsid w:val="60311DE8"/>
    <w:rsid w:val="607518FD"/>
    <w:rsid w:val="609D1752"/>
    <w:rsid w:val="60B62814"/>
    <w:rsid w:val="60B6715E"/>
    <w:rsid w:val="60C4146E"/>
    <w:rsid w:val="60CB63CB"/>
    <w:rsid w:val="60F65306"/>
    <w:rsid w:val="610C7AA7"/>
    <w:rsid w:val="61547EE0"/>
    <w:rsid w:val="617355D6"/>
    <w:rsid w:val="61FD6FAC"/>
    <w:rsid w:val="62051CA5"/>
    <w:rsid w:val="62DF5EF4"/>
    <w:rsid w:val="62EC69C1"/>
    <w:rsid w:val="639A5952"/>
    <w:rsid w:val="639C02C3"/>
    <w:rsid w:val="63AD5A6D"/>
    <w:rsid w:val="63C15A99"/>
    <w:rsid w:val="6447610E"/>
    <w:rsid w:val="64C33752"/>
    <w:rsid w:val="65387C9C"/>
    <w:rsid w:val="65D043B5"/>
    <w:rsid w:val="660D514E"/>
    <w:rsid w:val="66617326"/>
    <w:rsid w:val="66F67E0E"/>
    <w:rsid w:val="6759214B"/>
    <w:rsid w:val="67AE693B"/>
    <w:rsid w:val="67B31118"/>
    <w:rsid w:val="67CD1BC9"/>
    <w:rsid w:val="68324D3D"/>
    <w:rsid w:val="68617509"/>
    <w:rsid w:val="68795886"/>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B3264F"/>
    <w:rsid w:val="6AD466B8"/>
    <w:rsid w:val="6B4355EC"/>
    <w:rsid w:val="6B6723AC"/>
    <w:rsid w:val="6BD41C89"/>
    <w:rsid w:val="6BDE7164"/>
    <w:rsid w:val="6C3B2FFD"/>
    <w:rsid w:val="6D033285"/>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E11A1"/>
    <w:rsid w:val="72A259DC"/>
    <w:rsid w:val="72C40DC1"/>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3A2DA7"/>
    <w:rsid w:val="78B55D26"/>
    <w:rsid w:val="78C31B1A"/>
    <w:rsid w:val="78C935D5"/>
    <w:rsid w:val="79CC49FF"/>
    <w:rsid w:val="79EE2C15"/>
    <w:rsid w:val="79FF2E57"/>
    <w:rsid w:val="7A85177D"/>
    <w:rsid w:val="7A8F43AA"/>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annotation text"/>
    <w:basedOn w:val="1"/>
    <w:link w:val="45"/>
    <w:autoRedefine/>
    <w:qFormat/>
    <w:uiPriority w:val="0"/>
    <w:pPr>
      <w:jc w:val="left"/>
    </w:pPr>
  </w:style>
  <w:style w:type="paragraph" w:styleId="6">
    <w:name w:val="Body Text"/>
    <w:basedOn w:val="1"/>
    <w:autoRedefine/>
    <w:qFormat/>
    <w:uiPriority w:val="0"/>
    <w:pPr>
      <w:spacing w:after="120"/>
    </w:pPr>
    <w:rPr>
      <w:rFonts w:ascii="@微软简标宋" w:hAnsi="@微软简标宋" w:eastAsia="@微软简标宋" w:cs="@微软简标宋"/>
      <w:szCs w:val="24"/>
      <w:lang w:val="zh-CN"/>
    </w:rPr>
  </w:style>
  <w:style w:type="paragraph" w:styleId="7">
    <w:name w:val="Body Text Indent"/>
    <w:basedOn w:val="1"/>
    <w:link w:val="48"/>
    <w:autoRedefine/>
    <w:unhideWhenUsed/>
    <w:qFormat/>
    <w:uiPriority w:val="99"/>
    <w:pPr>
      <w:spacing w:after="120"/>
      <w:ind w:left="420" w:leftChars="200"/>
    </w:pPr>
    <w:rPr>
      <w:rFonts w:ascii="Calibri" w:hAnsi="Calibri"/>
      <w:kern w:val="2"/>
      <w:sz w:val="21"/>
      <w:szCs w:val="22"/>
    </w:rPr>
  </w:style>
  <w:style w:type="paragraph" w:styleId="8">
    <w:name w:val="Plain Text"/>
    <w:basedOn w:val="1"/>
    <w:autoRedefine/>
    <w:qFormat/>
    <w:uiPriority w:val="0"/>
    <w:rPr>
      <w:rFonts w:hAnsi="Courier New"/>
      <w:szCs w:val="22"/>
    </w:rPr>
  </w:style>
  <w:style w:type="paragraph" w:styleId="9">
    <w:name w:val="Date"/>
    <w:basedOn w:val="1"/>
    <w:next w:val="1"/>
    <w:qFormat/>
    <w:uiPriority w:val="99"/>
    <w:rPr>
      <w:b/>
      <w:sz w:val="28"/>
      <w:szCs w:val="20"/>
    </w:rPr>
  </w:style>
  <w:style w:type="paragraph" w:styleId="10">
    <w:name w:val="Balloon Text"/>
    <w:basedOn w:val="1"/>
    <w:link w:val="44"/>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rPr>
      <w:rFonts w:ascii="Arial" w:hAnsi="Arial" w:cs="Arial"/>
      <w:kern w:val="1"/>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7">
    <w:name w:val="Normal (Web)"/>
    <w:basedOn w:val="1"/>
    <w:next w:val="6"/>
    <w:autoRedefine/>
    <w:qFormat/>
    <w:uiPriority w:val="0"/>
    <w:pPr>
      <w:widowControl/>
      <w:spacing w:before="100" w:beforeAutospacing="1" w:after="100" w:afterAutospacing="1"/>
      <w:jc w:val="left"/>
    </w:pPr>
    <w:rPr>
      <w:rFonts w:cs="宋体"/>
      <w:color w:val="0066CC"/>
      <w:sz w:val="24"/>
      <w:szCs w:val="24"/>
    </w:rPr>
  </w:style>
  <w:style w:type="paragraph" w:styleId="18">
    <w:name w:val="annotation subject"/>
    <w:basedOn w:val="5"/>
    <w:next w:val="5"/>
    <w:link w:val="46"/>
    <w:autoRedefine/>
    <w:qFormat/>
    <w:uiPriority w:val="0"/>
    <w:rPr>
      <w:b/>
      <w:bCs/>
    </w:rPr>
  </w:style>
  <w:style w:type="paragraph" w:styleId="19">
    <w:name w:val="Body Text First Indent"/>
    <w:basedOn w:val="6"/>
    <w:next w:val="1"/>
    <w:autoRedefine/>
    <w:unhideWhenUsed/>
    <w:qFormat/>
    <w:uiPriority w:val="99"/>
    <w:pPr>
      <w:ind w:firstLine="420" w:firstLineChars="100"/>
    </w:pPr>
  </w:style>
  <w:style w:type="paragraph" w:styleId="20">
    <w:name w:val="Body Text First Indent 2"/>
    <w:basedOn w:val="7"/>
    <w:qFormat/>
    <w:uiPriority w:val="0"/>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unhideWhenUsed/>
    <w:qFormat/>
    <w:uiPriority w:val="99"/>
    <w:rPr>
      <w:color w:val="0563C1"/>
      <w:u w:val="singl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unhideWhenUsed/>
    <w:qFormat/>
    <w:uiPriority w:val="0"/>
    <w:rPr>
      <w:sz w:val="21"/>
      <w:szCs w:val="21"/>
    </w:rPr>
  </w:style>
  <w:style w:type="character" w:styleId="34">
    <w:name w:val="HTML Cite"/>
    <w:basedOn w:val="23"/>
    <w:autoRedefine/>
    <w:qFormat/>
    <w:uiPriority w:val="0"/>
  </w:style>
  <w:style w:type="character" w:styleId="35">
    <w:name w:val="footnote reference"/>
    <w:autoRedefine/>
    <w:unhideWhenUsed/>
    <w:qFormat/>
    <w:uiPriority w:val="0"/>
    <w:rPr>
      <w:vertAlign w:val="superscript"/>
    </w:rPr>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xl31"/>
    <w:basedOn w:val="1"/>
    <w:autoRedefine/>
    <w:qFormat/>
    <w:uiPriority w:val="0"/>
    <w:pPr>
      <w:widowControl/>
      <w:spacing w:before="100" w:beforeAutospacing="1" w:after="100" w:afterAutospacing="1"/>
      <w:jc w:val="center"/>
    </w:pPr>
    <w:rPr>
      <w:b/>
      <w:bCs/>
      <w:sz w:val="28"/>
      <w:szCs w:val="28"/>
    </w:rPr>
  </w:style>
  <w:style w:type="paragraph" w:customStyle="1" w:styleId="39">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0">
    <w:name w:val="普通 (Web)"/>
    <w:basedOn w:val="1"/>
    <w:autoRedefine/>
    <w:qFormat/>
    <w:uiPriority w:val="0"/>
    <w:pPr>
      <w:widowControl/>
      <w:spacing w:before="100" w:beforeAutospacing="1" w:after="100" w:afterAutospacing="1"/>
      <w:jc w:val="left"/>
    </w:pPr>
    <w:rPr>
      <w:sz w:val="24"/>
      <w:szCs w:val="24"/>
    </w:rPr>
  </w:style>
  <w:style w:type="paragraph" w:customStyle="1" w:styleId="41">
    <w:name w:val="Table Paragraph"/>
    <w:basedOn w:val="1"/>
    <w:next w:val="1"/>
    <w:autoRedefine/>
    <w:qFormat/>
    <w:uiPriority w:val="1"/>
    <w:rPr>
      <w:rFonts w:cs="宋体"/>
      <w:lang w:val="zh-CN" w:bidi="zh-CN"/>
    </w:rPr>
  </w:style>
  <w:style w:type="table" w:customStyle="1" w:styleId="42">
    <w:name w:val="网格型2"/>
    <w:basedOn w:val="21"/>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List Paragraph"/>
    <w:basedOn w:val="1"/>
    <w:autoRedefine/>
    <w:qFormat/>
    <w:uiPriority w:val="34"/>
    <w:pPr>
      <w:ind w:firstLine="420" w:firstLineChars="200"/>
    </w:pPr>
  </w:style>
  <w:style w:type="character" w:customStyle="1" w:styleId="44">
    <w:name w:val="批注框文本 Char"/>
    <w:basedOn w:val="23"/>
    <w:link w:val="10"/>
    <w:autoRedefine/>
    <w:qFormat/>
    <w:uiPriority w:val="0"/>
    <w:rPr>
      <w:rFonts w:ascii="宋体" w:hAnsi="宋体"/>
      <w:sz w:val="18"/>
      <w:szCs w:val="18"/>
    </w:rPr>
  </w:style>
  <w:style w:type="character" w:customStyle="1" w:styleId="45">
    <w:name w:val="批注文字 Char"/>
    <w:basedOn w:val="23"/>
    <w:link w:val="5"/>
    <w:autoRedefine/>
    <w:qFormat/>
    <w:uiPriority w:val="0"/>
    <w:rPr>
      <w:rFonts w:ascii="宋体" w:hAnsi="宋体"/>
    </w:rPr>
  </w:style>
  <w:style w:type="character" w:customStyle="1" w:styleId="46">
    <w:name w:val="批注主题 Char"/>
    <w:basedOn w:val="45"/>
    <w:link w:val="18"/>
    <w:autoRedefine/>
    <w:qFormat/>
    <w:uiPriority w:val="0"/>
    <w:rPr>
      <w:rFonts w:ascii="宋体" w:hAnsi="宋体"/>
      <w:b/>
      <w:bCs/>
    </w:rPr>
  </w:style>
  <w:style w:type="paragraph" w:customStyle="1" w:styleId="47">
    <w:name w:val="修订1"/>
    <w:autoRedefine/>
    <w:hidden/>
    <w:semiHidden/>
    <w:qFormat/>
    <w:uiPriority w:val="99"/>
    <w:rPr>
      <w:rFonts w:ascii="宋体" w:hAnsi="宋体" w:eastAsia="宋体" w:cs="Times New Roman"/>
      <w:lang w:val="en-US" w:eastAsia="zh-CN" w:bidi="ar-SA"/>
    </w:rPr>
  </w:style>
  <w:style w:type="character" w:customStyle="1" w:styleId="48">
    <w:name w:val="正文文本缩进 Char"/>
    <w:basedOn w:val="23"/>
    <w:link w:val="7"/>
    <w:autoRedefine/>
    <w:qFormat/>
    <w:uiPriority w:val="99"/>
    <w:rPr>
      <w:rFonts w:ascii="Calibri" w:hAnsi="Calibri"/>
      <w:kern w:val="2"/>
      <w:sz w:val="21"/>
      <w:szCs w:val="22"/>
    </w:rPr>
  </w:style>
  <w:style w:type="paragraph" w:customStyle="1" w:styleId="49">
    <w:name w:val="Char Char Char Char Char Char Char1 Char"/>
    <w:basedOn w:val="1"/>
    <w:autoRedefine/>
    <w:qFormat/>
    <w:uiPriority w:val="0"/>
    <w:rPr>
      <w:rFonts w:ascii="Arial" w:hAnsi="Arial" w:eastAsia="宋体" w:cs="Arial"/>
      <w:sz w:val="24"/>
    </w:rPr>
  </w:style>
  <w:style w:type="paragraph" w:customStyle="1" w:styleId="50">
    <w:name w:val="列出段落1"/>
    <w:basedOn w:val="1"/>
    <w:qFormat/>
    <w:uiPriority w:val="99"/>
    <w:pPr>
      <w:ind w:firstLine="420" w:firstLineChars="200"/>
    </w:pPr>
    <w:rPr>
      <w:rFonts w:ascii="Calibri" w:hAnsi="Calibri" w:eastAsia="宋体" w:cs="Times New Roman"/>
    </w:rPr>
  </w:style>
  <w:style w:type="paragraph" w:customStyle="1" w:styleId="51">
    <w:name w:val="Table Text"/>
    <w:basedOn w:val="1"/>
    <w:autoRedefine/>
    <w:semiHidden/>
    <w:qFormat/>
    <w:uiPriority w:val="0"/>
    <w:rPr>
      <w:rFonts w:ascii="仿宋" w:hAnsi="仿宋" w:eastAsia="仿宋" w:cs="仿宋"/>
      <w:sz w:val="24"/>
      <w:szCs w:val="24"/>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108</Pages>
  <Words>51598</Words>
  <Characters>55577</Characters>
  <Lines>472</Lines>
  <Paragraphs>132</Paragraphs>
  <TotalTime>56</TotalTime>
  <ScaleCrop>false</ScaleCrop>
  <LinksUpToDate>false</LinksUpToDate>
  <CharactersWithSpaces>63435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2025-02-10T02:28:00Z</cp:lastPrinted>
  <dcterms:modified xsi:type="dcterms:W3CDTF">2025-09-19T08:32:09Z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DB2020F1A858409189618ECFCFFC8E53_13</vt:lpwstr>
  </property>
  <property fmtid="{D5CDD505-2E9C-101B-9397-08002B2CF9AE}" pid="4" name="KSOTemplateDocerSaveRecord">
    <vt:lpwstr>eyJoZGlkIjoiZGE1ODU5ZTc0NGI0M2EzYzU0NmFjZmJjNDVhZjY4ZTMiLCJ1c2VySWQiOiIxNzgwNjI3MSJ9</vt:lpwstr>
  </property>
</Properties>
</file>