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2FA39">
      <w:pPr>
        <w:tabs>
          <w:tab w:val="left" w:pos="315"/>
          <w:tab w:val="left" w:pos="8820"/>
        </w:tabs>
        <w:spacing w:before="240" w:beforeLines="100" w:after="120" w:afterLines="50" w:line="500" w:lineRule="exact"/>
        <w:ind w:right="305" w:rightChars="127" w:firstLine="1044"/>
        <w:jc w:val="center"/>
        <w:rPr>
          <w:rFonts w:hint="eastAsia"/>
          <w:b/>
          <w:bCs/>
          <w:sz w:val="52"/>
          <w:szCs w:val="52"/>
          <w:highlight w:val="none"/>
          <w:vertAlign w:val="superscript"/>
        </w:rPr>
      </w:pPr>
    </w:p>
    <w:p w14:paraId="521F7483">
      <w:pPr>
        <w:tabs>
          <w:tab w:val="left" w:pos="315"/>
          <w:tab w:val="left" w:pos="8820"/>
        </w:tabs>
        <w:ind w:firstLine="0" w:firstLineChars="0"/>
        <w:jc w:val="center"/>
        <w:rPr>
          <w:b/>
          <w:bCs/>
          <w:sz w:val="52"/>
          <w:szCs w:val="52"/>
          <w:highlight w:val="none"/>
        </w:rPr>
      </w:pPr>
      <w:bookmarkStart w:id="0" w:name="_Hlk9544796"/>
      <w:r>
        <w:rPr>
          <w:rFonts w:hint="eastAsia"/>
          <w:b/>
          <w:bCs/>
          <w:sz w:val="52"/>
          <w:szCs w:val="52"/>
          <w:highlight w:val="none"/>
        </w:rPr>
        <w:t>服务类项目</w:t>
      </w:r>
    </w:p>
    <w:p w14:paraId="42EAA1C6">
      <w:pPr>
        <w:tabs>
          <w:tab w:val="left" w:pos="315"/>
          <w:tab w:val="left" w:pos="8820"/>
        </w:tabs>
        <w:ind w:firstLine="0" w:firstLineChars="0"/>
        <w:jc w:val="center"/>
        <w:rPr>
          <w:sz w:val="44"/>
          <w:szCs w:val="44"/>
          <w:highlight w:val="none"/>
        </w:rPr>
      </w:pPr>
      <w:r>
        <w:rPr>
          <w:rFonts w:hint="eastAsia"/>
          <w:b/>
          <w:bCs/>
          <w:sz w:val="52"/>
          <w:szCs w:val="52"/>
          <w:highlight w:val="none"/>
        </w:rPr>
        <w:t>磋商文件</w:t>
      </w:r>
      <w:r>
        <w:rPr>
          <w:rFonts w:hint="eastAsia" w:cs="宋体"/>
          <w:highlight w:val="none"/>
        </w:rPr>
        <w:drawing>
          <wp:anchor distT="0" distB="0" distL="114300" distR="114300" simplePos="0" relativeHeight="251659264" behindDoc="0" locked="0" layoutInCell="1" allowOverlap="1">
            <wp:simplePos x="0" y="0"/>
            <wp:positionH relativeFrom="column">
              <wp:posOffset>1899285</wp:posOffset>
            </wp:positionH>
            <wp:positionV relativeFrom="paragraph">
              <wp:posOffset>1385570</wp:posOffset>
            </wp:positionV>
            <wp:extent cx="1733550" cy="1743075"/>
            <wp:effectExtent l="0" t="0" r="0" b="9525"/>
            <wp:wrapSquare wrapText="bothSides"/>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4"/>
                    <a:stretch>
                      <a:fillRect/>
                    </a:stretch>
                  </pic:blipFill>
                  <pic:spPr>
                    <a:xfrm>
                      <a:off x="0" y="0"/>
                      <a:ext cx="1733550" cy="1743075"/>
                    </a:xfrm>
                    <a:prstGeom prst="rect">
                      <a:avLst/>
                    </a:prstGeom>
                    <a:noFill/>
                    <a:ln>
                      <a:noFill/>
                    </a:ln>
                  </pic:spPr>
                </pic:pic>
              </a:graphicData>
            </a:graphic>
          </wp:anchor>
        </w:drawing>
      </w:r>
      <w:bookmarkEnd w:id="0"/>
    </w:p>
    <w:p w14:paraId="66D60C5C">
      <w:pPr>
        <w:tabs>
          <w:tab w:val="left" w:pos="315"/>
          <w:tab w:val="left" w:pos="8820"/>
        </w:tabs>
        <w:spacing w:before="240" w:beforeLines="100" w:after="120" w:afterLines="50" w:line="500" w:lineRule="exact"/>
        <w:ind w:right="305" w:rightChars="127" w:firstLine="883"/>
        <w:jc w:val="center"/>
        <w:rPr>
          <w:b/>
          <w:bCs/>
          <w:sz w:val="44"/>
          <w:szCs w:val="44"/>
          <w:highlight w:val="none"/>
        </w:rPr>
      </w:pPr>
    </w:p>
    <w:p w14:paraId="631FA066">
      <w:pPr>
        <w:tabs>
          <w:tab w:val="left" w:pos="315"/>
          <w:tab w:val="left" w:pos="8820"/>
        </w:tabs>
        <w:spacing w:before="240" w:beforeLines="100" w:after="120" w:afterLines="50" w:line="500" w:lineRule="exact"/>
        <w:ind w:right="305" w:rightChars="127" w:firstLine="883"/>
        <w:jc w:val="center"/>
        <w:rPr>
          <w:b/>
          <w:bCs/>
          <w:sz w:val="44"/>
          <w:szCs w:val="44"/>
          <w:highlight w:val="none"/>
        </w:rPr>
      </w:pPr>
      <w:bookmarkStart w:id="27" w:name="_GoBack"/>
      <w:bookmarkEnd w:id="27"/>
    </w:p>
    <w:p w14:paraId="24BACA0E">
      <w:pPr>
        <w:tabs>
          <w:tab w:val="left" w:pos="315"/>
          <w:tab w:val="left" w:pos="8820"/>
        </w:tabs>
        <w:spacing w:before="240" w:beforeLines="100" w:after="120" w:afterLines="50" w:line="500" w:lineRule="exact"/>
        <w:ind w:right="305" w:rightChars="127" w:firstLine="883"/>
        <w:jc w:val="center"/>
        <w:rPr>
          <w:b/>
          <w:bCs/>
          <w:sz w:val="44"/>
          <w:szCs w:val="44"/>
          <w:highlight w:val="none"/>
        </w:rPr>
      </w:pPr>
    </w:p>
    <w:p w14:paraId="27C34A02">
      <w:pPr>
        <w:tabs>
          <w:tab w:val="left" w:pos="315"/>
          <w:tab w:val="left" w:pos="8820"/>
        </w:tabs>
        <w:spacing w:before="240" w:beforeLines="100" w:after="120" w:afterLines="50" w:line="500" w:lineRule="exact"/>
        <w:ind w:right="305" w:rightChars="127" w:firstLine="883"/>
        <w:jc w:val="center"/>
        <w:rPr>
          <w:b/>
          <w:bCs/>
          <w:sz w:val="44"/>
          <w:szCs w:val="44"/>
          <w:highlight w:val="none"/>
        </w:rPr>
      </w:pPr>
    </w:p>
    <w:p w14:paraId="07FC0BF7">
      <w:pPr>
        <w:tabs>
          <w:tab w:val="left" w:pos="315"/>
          <w:tab w:val="left" w:pos="8820"/>
        </w:tabs>
        <w:spacing w:before="240" w:beforeLines="100" w:after="120" w:afterLines="50" w:line="500" w:lineRule="exact"/>
        <w:ind w:right="305" w:rightChars="127" w:firstLine="883"/>
        <w:jc w:val="center"/>
        <w:rPr>
          <w:b/>
          <w:bCs/>
          <w:sz w:val="44"/>
          <w:szCs w:val="44"/>
          <w:highlight w:val="none"/>
        </w:rPr>
      </w:pPr>
    </w:p>
    <w:p w14:paraId="1069274E">
      <w:pPr>
        <w:tabs>
          <w:tab w:val="left" w:pos="315"/>
          <w:tab w:val="left" w:pos="8820"/>
        </w:tabs>
        <w:spacing w:before="240" w:beforeLines="100" w:after="120" w:afterLines="50" w:line="500" w:lineRule="exact"/>
        <w:ind w:right="305" w:rightChars="127" w:firstLine="883"/>
        <w:jc w:val="center"/>
        <w:rPr>
          <w:b/>
          <w:bCs/>
          <w:sz w:val="44"/>
          <w:szCs w:val="44"/>
          <w:highlight w:val="none"/>
        </w:rPr>
      </w:pPr>
    </w:p>
    <w:p w14:paraId="38C67DFE">
      <w:pPr>
        <w:tabs>
          <w:tab w:val="left" w:pos="315"/>
          <w:tab w:val="left" w:pos="8820"/>
        </w:tabs>
        <w:spacing w:before="240" w:beforeLines="100" w:after="120" w:afterLines="50" w:line="500" w:lineRule="exact"/>
        <w:ind w:right="305" w:rightChars="127" w:firstLine="883"/>
        <w:jc w:val="center"/>
        <w:rPr>
          <w:b/>
          <w:bCs/>
          <w:sz w:val="44"/>
          <w:szCs w:val="44"/>
          <w:highlight w:val="none"/>
        </w:rPr>
      </w:pPr>
    </w:p>
    <w:p w14:paraId="2307AF84">
      <w:pPr>
        <w:tabs>
          <w:tab w:val="left" w:pos="315"/>
          <w:tab w:val="left" w:pos="8820"/>
        </w:tabs>
        <w:spacing w:before="240" w:beforeLines="100" w:after="120" w:afterLines="50" w:line="500" w:lineRule="exact"/>
        <w:ind w:right="305" w:rightChars="127" w:firstLine="883"/>
        <w:jc w:val="center"/>
        <w:rPr>
          <w:b/>
          <w:bCs/>
          <w:sz w:val="44"/>
          <w:szCs w:val="44"/>
          <w:highlight w:val="none"/>
        </w:rPr>
      </w:pPr>
    </w:p>
    <w:p w14:paraId="0C5DE246">
      <w:pPr>
        <w:tabs>
          <w:tab w:val="left" w:pos="2410"/>
        </w:tabs>
        <w:autoSpaceDE w:val="0"/>
        <w:autoSpaceDN w:val="0"/>
        <w:adjustRightInd w:val="0"/>
        <w:snapToGrid w:val="0"/>
        <w:ind w:firstLine="723"/>
        <w:rPr>
          <w:rFonts w:hint="eastAsia" w:eastAsia="宋体"/>
          <w:b/>
          <w:spacing w:val="20"/>
          <w:sz w:val="32"/>
          <w:szCs w:val="32"/>
          <w:highlight w:val="none"/>
          <w:lang w:eastAsia="zh-CN"/>
        </w:rPr>
      </w:pPr>
      <w:r>
        <w:rPr>
          <w:rFonts w:hint="eastAsia"/>
          <w:b/>
          <w:spacing w:val="20"/>
          <w:sz w:val="32"/>
          <w:szCs w:val="32"/>
          <w:highlight w:val="none"/>
        </w:rPr>
        <w:t>项目名称：</w:t>
      </w:r>
      <w:r>
        <w:rPr>
          <w:rFonts w:hint="eastAsia"/>
          <w:b/>
          <w:spacing w:val="20"/>
          <w:sz w:val="32"/>
          <w:szCs w:val="32"/>
          <w:highlight w:val="none"/>
          <w:lang w:eastAsia="zh-CN"/>
        </w:rPr>
        <w:t>肥西县桃花镇人民政府机关办公区物业服务采购项目</w:t>
      </w:r>
    </w:p>
    <w:p w14:paraId="280CB1FF">
      <w:pPr>
        <w:tabs>
          <w:tab w:val="left" w:pos="2410"/>
        </w:tabs>
        <w:autoSpaceDE w:val="0"/>
        <w:autoSpaceDN w:val="0"/>
        <w:adjustRightInd w:val="0"/>
        <w:snapToGrid w:val="0"/>
        <w:ind w:firstLine="723"/>
        <w:rPr>
          <w:rFonts w:hint="eastAsia" w:eastAsia="宋体"/>
          <w:b/>
          <w:spacing w:val="20"/>
          <w:sz w:val="32"/>
          <w:szCs w:val="32"/>
          <w:highlight w:val="none"/>
          <w:lang w:eastAsia="zh-CN"/>
        </w:rPr>
      </w:pPr>
      <w:r>
        <w:rPr>
          <w:rFonts w:hint="eastAsia"/>
          <w:b/>
          <w:spacing w:val="20"/>
          <w:sz w:val="32"/>
          <w:szCs w:val="32"/>
          <w:highlight w:val="none"/>
        </w:rPr>
        <w:t>项目编号：</w:t>
      </w:r>
      <w:r>
        <w:rPr>
          <w:rFonts w:hint="eastAsia"/>
          <w:b/>
          <w:spacing w:val="20"/>
          <w:sz w:val="32"/>
          <w:szCs w:val="32"/>
          <w:highlight w:val="none"/>
          <w:lang w:eastAsia="zh-CN"/>
        </w:rPr>
        <w:t>2026GSFN0004</w:t>
      </w:r>
    </w:p>
    <w:p w14:paraId="51F9B238">
      <w:pPr>
        <w:tabs>
          <w:tab w:val="left" w:pos="2410"/>
        </w:tabs>
        <w:autoSpaceDE w:val="0"/>
        <w:autoSpaceDN w:val="0"/>
        <w:adjustRightInd w:val="0"/>
        <w:snapToGrid w:val="0"/>
        <w:ind w:firstLine="723"/>
        <w:rPr>
          <w:rFonts w:hint="eastAsia" w:eastAsia="宋体"/>
          <w:b/>
          <w:spacing w:val="20"/>
          <w:sz w:val="32"/>
          <w:szCs w:val="32"/>
          <w:highlight w:val="none"/>
          <w:lang w:eastAsia="zh-CN"/>
        </w:rPr>
      </w:pPr>
      <w:r>
        <w:rPr>
          <w:rFonts w:hint="eastAsia"/>
          <w:b/>
          <w:spacing w:val="20"/>
          <w:sz w:val="32"/>
          <w:szCs w:val="32"/>
          <w:highlight w:val="none"/>
        </w:rPr>
        <w:t>业主单位：</w:t>
      </w:r>
      <w:r>
        <w:rPr>
          <w:rFonts w:hint="eastAsia"/>
          <w:b/>
          <w:spacing w:val="20"/>
          <w:sz w:val="32"/>
          <w:szCs w:val="32"/>
          <w:highlight w:val="none"/>
          <w:lang w:eastAsia="zh-CN"/>
        </w:rPr>
        <w:t xml:space="preserve">肥西县桃花镇人民政府 </w:t>
      </w:r>
    </w:p>
    <w:p w14:paraId="54C2F8F9">
      <w:pPr>
        <w:tabs>
          <w:tab w:val="left" w:pos="2410"/>
        </w:tabs>
        <w:autoSpaceDE w:val="0"/>
        <w:autoSpaceDN w:val="0"/>
        <w:adjustRightInd w:val="0"/>
        <w:snapToGrid w:val="0"/>
        <w:ind w:firstLine="723"/>
        <w:rPr>
          <w:b/>
          <w:spacing w:val="20"/>
          <w:sz w:val="32"/>
          <w:szCs w:val="32"/>
          <w:highlight w:val="none"/>
        </w:rPr>
      </w:pPr>
      <w:r>
        <w:rPr>
          <w:rFonts w:hint="eastAsia"/>
          <w:b/>
          <w:spacing w:val="20"/>
          <w:sz w:val="32"/>
          <w:szCs w:val="32"/>
          <w:highlight w:val="none"/>
        </w:rPr>
        <w:t>代理机构：肥西县公共资源交易有限责任公司</w:t>
      </w:r>
    </w:p>
    <w:p w14:paraId="4358908C">
      <w:pPr>
        <w:tabs>
          <w:tab w:val="left" w:pos="2410"/>
        </w:tabs>
        <w:autoSpaceDE w:val="0"/>
        <w:autoSpaceDN w:val="0"/>
        <w:adjustRightInd w:val="0"/>
        <w:snapToGrid w:val="0"/>
        <w:ind w:firstLine="723"/>
        <w:jc w:val="center"/>
        <w:rPr>
          <w:b/>
          <w:sz w:val="36"/>
          <w:highlight w:val="none"/>
        </w:rPr>
      </w:pPr>
    </w:p>
    <w:p w14:paraId="4AFAD8B6">
      <w:pPr>
        <w:tabs>
          <w:tab w:val="left" w:pos="2410"/>
        </w:tabs>
        <w:autoSpaceDE w:val="0"/>
        <w:autoSpaceDN w:val="0"/>
        <w:adjustRightInd w:val="0"/>
        <w:snapToGrid w:val="0"/>
        <w:ind w:firstLine="3253" w:firstLineChars="900"/>
        <w:rPr>
          <w:b/>
          <w:sz w:val="36"/>
          <w:highlight w:val="none"/>
        </w:rPr>
      </w:pPr>
      <w:r>
        <w:rPr>
          <w:rFonts w:hint="eastAsia"/>
          <w:b/>
          <w:sz w:val="36"/>
          <w:highlight w:val="none"/>
        </w:rPr>
        <w:t>202</w:t>
      </w:r>
      <w:r>
        <w:rPr>
          <w:rFonts w:hint="eastAsia"/>
          <w:b/>
          <w:sz w:val="36"/>
          <w:highlight w:val="none"/>
          <w:lang w:val="en-US" w:eastAsia="zh-CN"/>
        </w:rPr>
        <w:t>6</w:t>
      </w:r>
      <w:r>
        <w:rPr>
          <w:rFonts w:hint="eastAsia"/>
          <w:b/>
          <w:sz w:val="36"/>
          <w:highlight w:val="none"/>
        </w:rPr>
        <w:t>年</w:t>
      </w:r>
      <w:r>
        <w:rPr>
          <w:rFonts w:hint="eastAsia"/>
          <w:b/>
          <w:sz w:val="36"/>
          <w:highlight w:val="none"/>
          <w:lang w:val="en-US" w:eastAsia="zh-CN"/>
        </w:rPr>
        <w:t>8</w:t>
      </w:r>
      <w:r>
        <w:rPr>
          <w:rFonts w:hint="eastAsia"/>
          <w:b/>
          <w:sz w:val="36"/>
          <w:highlight w:val="none"/>
        </w:rPr>
        <w:t>月</w:t>
      </w:r>
      <w:r>
        <w:rPr>
          <w:b/>
          <w:sz w:val="36"/>
          <w:highlight w:val="none"/>
        </w:rPr>
        <w:br w:type="page"/>
      </w:r>
    </w:p>
    <w:p w14:paraId="5EE3C63C">
      <w:pPr>
        <w:tabs>
          <w:tab w:val="left" w:pos="2410"/>
        </w:tabs>
        <w:autoSpaceDE w:val="0"/>
        <w:autoSpaceDN w:val="0"/>
        <w:adjustRightInd w:val="0"/>
        <w:snapToGrid w:val="0"/>
        <w:ind w:firstLine="562"/>
        <w:jc w:val="center"/>
        <w:rPr>
          <w:b/>
          <w:sz w:val="28"/>
          <w:highlight w:val="none"/>
        </w:rPr>
      </w:pPr>
      <w:r>
        <w:rPr>
          <w:rFonts w:hint="eastAsia"/>
          <w:b/>
          <w:sz w:val="28"/>
          <w:highlight w:val="none"/>
        </w:rPr>
        <w:t>目  录</w:t>
      </w:r>
    </w:p>
    <w:p w14:paraId="1E86878B">
      <w:pPr>
        <w:pStyle w:val="11"/>
        <w:tabs>
          <w:tab w:val="right" w:leader="dot" w:pos="8869"/>
        </w:tabs>
        <w:rPr>
          <w:b/>
          <w:bCs/>
        </w:rPr>
      </w:pPr>
      <w:r>
        <w:rPr>
          <w:rFonts w:asciiTheme="minorEastAsia" w:hAnsiTheme="minorEastAsia"/>
          <w:b/>
          <w:bCs/>
          <w:sz w:val="24"/>
          <w:szCs w:val="24"/>
          <w:highlight w:val="none"/>
        </w:rPr>
        <w:fldChar w:fldCharType="begin"/>
      </w:r>
      <w:r>
        <w:rPr>
          <w:rFonts w:asciiTheme="minorEastAsia" w:hAnsiTheme="minorEastAsia"/>
          <w:b/>
          <w:bCs/>
          <w:sz w:val="24"/>
          <w:szCs w:val="24"/>
          <w:highlight w:val="none"/>
        </w:rPr>
        <w:instrText xml:space="preserve"> </w:instrText>
      </w:r>
      <w:r>
        <w:rPr>
          <w:rFonts w:hint="eastAsia" w:asciiTheme="minorEastAsia" w:hAnsiTheme="minorEastAsia"/>
          <w:b/>
          <w:bCs/>
          <w:sz w:val="24"/>
          <w:szCs w:val="24"/>
          <w:highlight w:val="none"/>
        </w:rPr>
        <w:instrText xml:space="preserve">TOC \o "1-2" \h \z \u</w:instrText>
      </w:r>
      <w:r>
        <w:rPr>
          <w:rFonts w:asciiTheme="minorEastAsia" w:hAnsiTheme="minorEastAsia"/>
          <w:b/>
          <w:bCs/>
          <w:sz w:val="24"/>
          <w:szCs w:val="24"/>
          <w:highlight w:val="none"/>
        </w:rPr>
        <w:instrText xml:space="preserve"> </w:instrText>
      </w:r>
      <w:r>
        <w:rPr>
          <w:rFonts w:asciiTheme="minorEastAsia" w:hAnsiTheme="minorEastAsia"/>
          <w:b/>
          <w:bCs/>
          <w:sz w:val="24"/>
          <w:szCs w:val="24"/>
          <w:highlight w:val="none"/>
        </w:rPr>
        <w:fldChar w:fldCharType="separate"/>
      </w:r>
      <w:r>
        <w:rPr>
          <w:rFonts w:asciiTheme="minorEastAsia" w:hAnsiTheme="minorEastAsia"/>
          <w:b/>
          <w:bCs/>
          <w:szCs w:val="24"/>
          <w:highlight w:val="none"/>
        </w:rPr>
        <w:fldChar w:fldCharType="begin"/>
      </w:r>
      <w:r>
        <w:rPr>
          <w:rFonts w:asciiTheme="minorEastAsia" w:hAnsiTheme="minorEastAsia"/>
          <w:b/>
          <w:bCs/>
          <w:szCs w:val="24"/>
          <w:highlight w:val="none"/>
        </w:rPr>
        <w:instrText xml:space="preserve"> HYPERLINK \l _Toc14832 </w:instrText>
      </w:r>
      <w:r>
        <w:rPr>
          <w:rFonts w:asciiTheme="minorEastAsia" w:hAnsiTheme="minorEastAsia"/>
          <w:b/>
          <w:bCs/>
          <w:szCs w:val="24"/>
          <w:highlight w:val="none"/>
        </w:rPr>
        <w:fldChar w:fldCharType="separate"/>
      </w:r>
      <w:r>
        <w:rPr>
          <w:rFonts w:hint="eastAsia" w:asciiTheme="minorEastAsia" w:hAnsiTheme="minorEastAsia" w:eastAsiaTheme="minorEastAsia"/>
          <w:b/>
          <w:bCs/>
        </w:rPr>
        <w:t xml:space="preserve">第一章 </w:t>
      </w:r>
      <w:r>
        <w:rPr>
          <w:rFonts w:hint="eastAsia" w:asciiTheme="minorEastAsia" w:hAnsiTheme="minorEastAsia" w:eastAsiaTheme="minorEastAsia"/>
          <w:b/>
          <w:bCs/>
          <w:highlight w:val="none"/>
        </w:rPr>
        <w:t>磋商公告</w:t>
      </w:r>
      <w:r>
        <w:rPr>
          <w:b/>
          <w:bCs/>
        </w:rPr>
        <w:tab/>
      </w:r>
      <w:r>
        <w:rPr>
          <w:b/>
          <w:bCs/>
        </w:rPr>
        <w:fldChar w:fldCharType="begin"/>
      </w:r>
      <w:r>
        <w:rPr>
          <w:b/>
          <w:bCs/>
        </w:rPr>
        <w:instrText xml:space="preserve"> PAGEREF _Toc14832 \h </w:instrText>
      </w:r>
      <w:r>
        <w:rPr>
          <w:b/>
          <w:bCs/>
        </w:rPr>
        <w:fldChar w:fldCharType="separate"/>
      </w:r>
      <w:r>
        <w:rPr>
          <w:b/>
          <w:bCs/>
        </w:rPr>
        <w:t>3</w:t>
      </w:r>
      <w:r>
        <w:rPr>
          <w:b/>
          <w:bCs/>
        </w:rPr>
        <w:fldChar w:fldCharType="end"/>
      </w:r>
      <w:r>
        <w:rPr>
          <w:rFonts w:asciiTheme="minorEastAsia" w:hAnsiTheme="minorEastAsia"/>
          <w:b/>
          <w:bCs/>
          <w:szCs w:val="24"/>
          <w:highlight w:val="none"/>
        </w:rPr>
        <w:fldChar w:fldCharType="end"/>
      </w:r>
    </w:p>
    <w:p w14:paraId="3DEBA91A">
      <w:pPr>
        <w:pStyle w:val="11"/>
        <w:tabs>
          <w:tab w:val="right" w:leader="dot" w:pos="8869"/>
        </w:tabs>
        <w:rPr>
          <w:b/>
          <w:bCs/>
        </w:rPr>
      </w:pPr>
      <w:r>
        <w:rPr>
          <w:rFonts w:asciiTheme="minorEastAsia" w:hAnsiTheme="minorEastAsia"/>
          <w:b/>
          <w:bCs/>
          <w:szCs w:val="24"/>
          <w:highlight w:val="none"/>
        </w:rPr>
        <w:fldChar w:fldCharType="begin"/>
      </w:r>
      <w:r>
        <w:rPr>
          <w:rFonts w:asciiTheme="minorEastAsia" w:hAnsiTheme="minorEastAsia"/>
          <w:b/>
          <w:bCs/>
          <w:szCs w:val="24"/>
          <w:highlight w:val="none"/>
        </w:rPr>
        <w:instrText xml:space="preserve"> HYPERLINK \l _Toc4515 </w:instrText>
      </w:r>
      <w:r>
        <w:rPr>
          <w:rFonts w:asciiTheme="minorEastAsia" w:hAnsiTheme="minorEastAsia"/>
          <w:b/>
          <w:bCs/>
          <w:szCs w:val="24"/>
          <w:highlight w:val="none"/>
        </w:rPr>
        <w:fldChar w:fldCharType="separate"/>
      </w:r>
      <w:r>
        <w:rPr>
          <w:rFonts w:hint="eastAsia" w:asciiTheme="minorEastAsia" w:hAnsiTheme="minorEastAsia" w:eastAsiaTheme="minorEastAsia"/>
          <w:b/>
          <w:bCs/>
          <w:highlight w:val="none"/>
        </w:rPr>
        <w:t>第二章</w:t>
      </w:r>
      <w:r>
        <w:rPr>
          <w:rFonts w:asciiTheme="minorEastAsia" w:hAnsiTheme="minorEastAsia" w:eastAsiaTheme="minorEastAsia"/>
          <w:b/>
          <w:bCs/>
          <w:highlight w:val="none"/>
        </w:rPr>
        <w:t xml:space="preserve"> </w:t>
      </w:r>
      <w:r>
        <w:rPr>
          <w:rFonts w:hint="eastAsia" w:asciiTheme="minorEastAsia" w:hAnsiTheme="minorEastAsia" w:eastAsiaTheme="minorEastAsia"/>
          <w:b/>
          <w:bCs/>
          <w:highlight w:val="none"/>
        </w:rPr>
        <w:t xml:space="preserve"> 供应商</w:t>
      </w:r>
      <w:r>
        <w:rPr>
          <w:rFonts w:asciiTheme="minorEastAsia" w:hAnsiTheme="minorEastAsia" w:eastAsiaTheme="minorEastAsia"/>
          <w:b/>
          <w:bCs/>
          <w:highlight w:val="none"/>
        </w:rPr>
        <w:t>须知</w:t>
      </w:r>
      <w:r>
        <w:rPr>
          <w:b/>
          <w:bCs/>
        </w:rPr>
        <w:tab/>
      </w:r>
      <w:r>
        <w:rPr>
          <w:b/>
          <w:bCs/>
        </w:rPr>
        <w:fldChar w:fldCharType="begin"/>
      </w:r>
      <w:r>
        <w:rPr>
          <w:b/>
          <w:bCs/>
        </w:rPr>
        <w:instrText xml:space="preserve"> PAGEREF _Toc4515 \h </w:instrText>
      </w:r>
      <w:r>
        <w:rPr>
          <w:b/>
          <w:bCs/>
        </w:rPr>
        <w:fldChar w:fldCharType="separate"/>
      </w:r>
      <w:r>
        <w:rPr>
          <w:b/>
          <w:bCs/>
        </w:rPr>
        <w:t>6</w:t>
      </w:r>
      <w:r>
        <w:rPr>
          <w:b/>
          <w:bCs/>
        </w:rPr>
        <w:fldChar w:fldCharType="end"/>
      </w:r>
      <w:r>
        <w:rPr>
          <w:rFonts w:asciiTheme="minorEastAsia" w:hAnsiTheme="minorEastAsia"/>
          <w:b/>
          <w:bCs/>
          <w:szCs w:val="24"/>
          <w:highlight w:val="none"/>
        </w:rPr>
        <w:fldChar w:fldCharType="end"/>
      </w:r>
    </w:p>
    <w:p w14:paraId="47D8AEE2">
      <w:pPr>
        <w:pStyle w:val="11"/>
        <w:tabs>
          <w:tab w:val="right" w:leader="dot" w:pos="8869"/>
        </w:tabs>
        <w:rPr>
          <w:b/>
          <w:bCs/>
        </w:rPr>
      </w:pPr>
      <w:r>
        <w:rPr>
          <w:rFonts w:asciiTheme="minorEastAsia" w:hAnsiTheme="minorEastAsia"/>
          <w:b/>
          <w:bCs/>
          <w:szCs w:val="24"/>
          <w:highlight w:val="none"/>
        </w:rPr>
        <w:fldChar w:fldCharType="begin"/>
      </w:r>
      <w:r>
        <w:rPr>
          <w:rFonts w:asciiTheme="minorEastAsia" w:hAnsiTheme="minorEastAsia"/>
          <w:b/>
          <w:bCs/>
          <w:szCs w:val="24"/>
          <w:highlight w:val="none"/>
        </w:rPr>
        <w:instrText xml:space="preserve"> HYPERLINK \l _Toc14866 </w:instrText>
      </w:r>
      <w:r>
        <w:rPr>
          <w:rFonts w:asciiTheme="minorEastAsia" w:hAnsiTheme="minorEastAsia"/>
          <w:b/>
          <w:bCs/>
          <w:szCs w:val="24"/>
          <w:highlight w:val="none"/>
        </w:rPr>
        <w:fldChar w:fldCharType="separate"/>
      </w:r>
      <w:r>
        <w:rPr>
          <w:rFonts w:hint="eastAsia" w:asciiTheme="minorEastAsia" w:hAnsiTheme="minorEastAsia" w:eastAsiaTheme="minorEastAsia"/>
          <w:b/>
          <w:bCs/>
          <w:highlight w:val="none"/>
        </w:rPr>
        <w:t>第三章  业主单位要求</w:t>
      </w:r>
      <w:r>
        <w:rPr>
          <w:b/>
          <w:bCs/>
        </w:rPr>
        <w:tab/>
      </w:r>
      <w:r>
        <w:rPr>
          <w:b/>
          <w:bCs/>
        </w:rPr>
        <w:fldChar w:fldCharType="begin"/>
      </w:r>
      <w:r>
        <w:rPr>
          <w:b/>
          <w:bCs/>
        </w:rPr>
        <w:instrText xml:space="preserve"> PAGEREF _Toc14866 \h </w:instrText>
      </w:r>
      <w:r>
        <w:rPr>
          <w:b/>
          <w:bCs/>
        </w:rPr>
        <w:fldChar w:fldCharType="separate"/>
      </w:r>
      <w:r>
        <w:rPr>
          <w:b/>
          <w:bCs/>
        </w:rPr>
        <w:t>23</w:t>
      </w:r>
      <w:r>
        <w:rPr>
          <w:b/>
          <w:bCs/>
        </w:rPr>
        <w:fldChar w:fldCharType="end"/>
      </w:r>
      <w:r>
        <w:rPr>
          <w:rFonts w:asciiTheme="minorEastAsia" w:hAnsiTheme="minorEastAsia"/>
          <w:b/>
          <w:bCs/>
          <w:szCs w:val="24"/>
          <w:highlight w:val="none"/>
        </w:rPr>
        <w:fldChar w:fldCharType="end"/>
      </w:r>
    </w:p>
    <w:p w14:paraId="18F71D11">
      <w:pPr>
        <w:pStyle w:val="11"/>
        <w:tabs>
          <w:tab w:val="right" w:leader="dot" w:pos="8869"/>
        </w:tabs>
        <w:rPr>
          <w:b/>
          <w:bCs/>
        </w:rPr>
      </w:pPr>
      <w:r>
        <w:rPr>
          <w:rFonts w:asciiTheme="minorEastAsia" w:hAnsiTheme="minorEastAsia"/>
          <w:b/>
          <w:bCs/>
          <w:szCs w:val="24"/>
          <w:highlight w:val="none"/>
        </w:rPr>
        <w:fldChar w:fldCharType="begin"/>
      </w:r>
      <w:r>
        <w:rPr>
          <w:rFonts w:asciiTheme="minorEastAsia" w:hAnsiTheme="minorEastAsia"/>
          <w:b/>
          <w:bCs/>
          <w:szCs w:val="24"/>
          <w:highlight w:val="none"/>
        </w:rPr>
        <w:instrText xml:space="preserve"> HYPERLINK \l _Toc8991 </w:instrText>
      </w:r>
      <w:r>
        <w:rPr>
          <w:rFonts w:asciiTheme="minorEastAsia" w:hAnsiTheme="minorEastAsia"/>
          <w:b/>
          <w:bCs/>
          <w:szCs w:val="24"/>
          <w:highlight w:val="none"/>
        </w:rPr>
        <w:fldChar w:fldCharType="separate"/>
      </w:r>
      <w:r>
        <w:rPr>
          <w:rFonts w:hint="eastAsia" w:asciiTheme="minorEastAsia" w:hAnsiTheme="minorEastAsia" w:eastAsiaTheme="minorEastAsia"/>
          <w:b/>
          <w:bCs/>
          <w:highlight w:val="none"/>
        </w:rPr>
        <w:t>第四章  评审方法和标准</w:t>
      </w:r>
      <w:r>
        <w:rPr>
          <w:b/>
          <w:bCs/>
        </w:rPr>
        <w:tab/>
      </w:r>
      <w:r>
        <w:rPr>
          <w:b/>
          <w:bCs/>
        </w:rPr>
        <w:fldChar w:fldCharType="begin"/>
      </w:r>
      <w:r>
        <w:rPr>
          <w:b/>
          <w:bCs/>
        </w:rPr>
        <w:instrText xml:space="preserve"> PAGEREF _Toc8991 \h </w:instrText>
      </w:r>
      <w:r>
        <w:rPr>
          <w:b/>
          <w:bCs/>
        </w:rPr>
        <w:fldChar w:fldCharType="separate"/>
      </w:r>
      <w:r>
        <w:rPr>
          <w:b/>
          <w:bCs/>
        </w:rPr>
        <w:t>28</w:t>
      </w:r>
      <w:r>
        <w:rPr>
          <w:b/>
          <w:bCs/>
        </w:rPr>
        <w:fldChar w:fldCharType="end"/>
      </w:r>
      <w:r>
        <w:rPr>
          <w:rFonts w:asciiTheme="minorEastAsia" w:hAnsiTheme="minorEastAsia"/>
          <w:b/>
          <w:bCs/>
          <w:szCs w:val="24"/>
          <w:highlight w:val="none"/>
        </w:rPr>
        <w:fldChar w:fldCharType="end"/>
      </w:r>
    </w:p>
    <w:p w14:paraId="6B3DF5DD">
      <w:pPr>
        <w:pStyle w:val="11"/>
        <w:tabs>
          <w:tab w:val="right" w:leader="dot" w:pos="8869"/>
        </w:tabs>
        <w:rPr>
          <w:b/>
          <w:bCs/>
        </w:rPr>
      </w:pPr>
      <w:r>
        <w:rPr>
          <w:rFonts w:asciiTheme="minorEastAsia" w:hAnsiTheme="minorEastAsia"/>
          <w:b/>
          <w:bCs/>
          <w:szCs w:val="24"/>
          <w:highlight w:val="none"/>
        </w:rPr>
        <w:fldChar w:fldCharType="begin"/>
      </w:r>
      <w:r>
        <w:rPr>
          <w:rFonts w:asciiTheme="minorEastAsia" w:hAnsiTheme="minorEastAsia"/>
          <w:b/>
          <w:bCs/>
          <w:szCs w:val="24"/>
          <w:highlight w:val="none"/>
        </w:rPr>
        <w:instrText xml:space="preserve"> HYPERLINK \l _Toc11803 </w:instrText>
      </w:r>
      <w:r>
        <w:rPr>
          <w:rFonts w:asciiTheme="minorEastAsia" w:hAnsiTheme="minorEastAsia"/>
          <w:b/>
          <w:bCs/>
          <w:szCs w:val="24"/>
          <w:highlight w:val="none"/>
        </w:rPr>
        <w:fldChar w:fldCharType="separate"/>
      </w:r>
      <w:r>
        <w:rPr>
          <w:rFonts w:hint="eastAsia" w:asciiTheme="minorEastAsia" w:hAnsiTheme="minorEastAsia" w:eastAsiaTheme="minorEastAsia"/>
          <w:b/>
          <w:bCs/>
          <w:highlight w:val="none"/>
        </w:rPr>
        <w:t>第五章  合同</w:t>
      </w:r>
      <w:r>
        <w:rPr>
          <w:b/>
          <w:bCs/>
        </w:rPr>
        <w:tab/>
      </w:r>
      <w:r>
        <w:rPr>
          <w:b/>
          <w:bCs/>
        </w:rPr>
        <w:fldChar w:fldCharType="begin"/>
      </w:r>
      <w:r>
        <w:rPr>
          <w:b/>
          <w:bCs/>
        </w:rPr>
        <w:instrText xml:space="preserve"> PAGEREF _Toc11803 \h </w:instrText>
      </w:r>
      <w:r>
        <w:rPr>
          <w:b/>
          <w:bCs/>
        </w:rPr>
        <w:fldChar w:fldCharType="separate"/>
      </w:r>
      <w:r>
        <w:rPr>
          <w:b/>
          <w:bCs/>
        </w:rPr>
        <w:t>35</w:t>
      </w:r>
      <w:r>
        <w:rPr>
          <w:b/>
          <w:bCs/>
        </w:rPr>
        <w:fldChar w:fldCharType="end"/>
      </w:r>
      <w:r>
        <w:rPr>
          <w:rFonts w:asciiTheme="minorEastAsia" w:hAnsiTheme="minorEastAsia"/>
          <w:b/>
          <w:bCs/>
          <w:szCs w:val="24"/>
          <w:highlight w:val="none"/>
        </w:rPr>
        <w:fldChar w:fldCharType="end"/>
      </w:r>
    </w:p>
    <w:p w14:paraId="1219C26A">
      <w:pPr>
        <w:pStyle w:val="11"/>
        <w:tabs>
          <w:tab w:val="right" w:leader="dot" w:pos="8869"/>
        </w:tabs>
        <w:rPr>
          <w:b/>
          <w:bCs/>
        </w:rPr>
      </w:pPr>
      <w:r>
        <w:rPr>
          <w:rFonts w:asciiTheme="minorEastAsia" w:hAnsiTheme="minorEastAsia"/>
          <w:b/>
          <w:bCs/>
          <w:szCs w:val="24"/>
          <w:highlight w:val="none"/>
        </w:rPr>
        <w:fldChar w:fldCharType="begin"/>
      </w:r>
      <w:r>
        <w:rPr>
          <w:rFonts w:asciiTheme="minorEastAsia" w:hAnsiTheme="minorEastAsia"/>
          <w:b/>
          <w:bCs/>
          <w:szCs w:val="24"/>
          <w:highlight w:val="none"/>
        </w:rPr>
        <w:instrText xml:space="preserve"> HYPERLINK \l _Toc13101 </w:instrText>
      </w:r>
      <w:r>
        <w:rPr>
          <w:rFonts w:asciiTheme="minorEastAsia" w:hAnsiTheme="minorEastAsia"/>
          <w:b/>
          <w:bCs/>
          <w:szCs w:val="24"/>
          <w:highlight w:val="none"/>
        </w:rPr>
        <w:fldChar w:fldCharType="separate"/>
      </w:r>
      <w:r>
        <w:rPr>
          <w:rFonts w:hint="eastAsia" w:asciiTheme="minorEastAsia" w:hAnsiTheme="minorEastAsia" w:eastAsiaTheme="minorEastAsia"/>
          <w:b/>
          <w:bCs/>
          <w:highlight w:val="none"/>
        </w:rPr>
        <w:t>第六章  响应文件格式</w:t>
      </w:r>
      <w:r>
        <w:rPr>
          <w:b/>
          <w:bCs/>
        </w:rPr>
        <w:tab/>
      </w:r>
      <w:r>
        <w:rPr>
          <w:b/>
          <w:bCs/>
        </w:rPr>
        <w:fldChar w:fldCharType="begin"/>
      </w:r>
      <w:r>
        <w:rPr>
          <w:b/>
          <w:bCs/>
        </w:rPr>
        <w:instrText xml:space="preserve"> PAGEREF _Toc13101 \h </w:instrText>
      </w:r>
      <w:r>
        <w:rPr>
          <w:b/>
          <w:bCs/>
        </w:rPr>
        <w:fldChar w:fldCharType="separate"/>
      </w:r>
      <w:r>
        <w:rPr>
          <w:b/>
          <w:bCs/>
        </w:rPr>
        <w:t>36</w:t>
      </w:r>
      <w:r>
        <w:rPr>
          <w:b/>
          <w:bCs/>
        </w:rPr>
        <w:fldChar w:fldCharType="end"/>
      </w:r>
      <w:r>
        <w:rPr>
          <w:rFonts w:asciiTheme="minorEastAsia" w:hAnsiTheme="minorEastAsia"/>
          <w:b/>
          <w:bCs/>
          <w:szCs w:val="24"/>
          <w:highlight w:val="none"/>
        </w:rPr>
        <w:fldChar w:fldCharType="end"/>
      </w:r>
    </w:p>
    <w:p w14:paraId="21FBFA1C">
      <w:pPr>
        <w:pStyle w:val="11"/>
        <w:tabs>
          <w:tab w:val="right" w:leader="dot" w:pos="8296"/>
        </w:tabs>
        <w:ind w:firstLine="440"/>
        <w:rPr>
          <w:rFonts w:asciiTheme="minorEastAsia" w:hAnsiTheme="minorEastAsia"/>
          <w:szCs w:val="24"/>
          <w:highlight w:val="none"/>
        </w:rPr>
      </w:pPr>
      <w:r>
        <w:rPr>
          <w:rFonts w:asciiTheme="minorEastAsia" w:hAnsiTheme="minorEastAsia"/>
          <w:b/>
          <w:bCs/>
          <w:szCs w:val="24"/>
          <w:highlight w:val="none"/>
        </w:rPr>
        <w:fldChar w:fldCharType="end"/>
      </w:r>
    </w:p>
    <w:p w14:paraId="581AF928">
      <w:pPr>
        <w:pStyle w:val="18"/>
        <w:ind w:left="180" w:leftChars="75" w:firstLine="480"/>
        <w:rPr>
          <w:rFonts w:asciiTheme="minorEastAsia" w:hAnsiTheme="minorEastAsia" w:eastAsiaTheme="minorEastAsia"/>
          <w:sz w:val="28"/>
          <w:highlight w:val="none"/>
        </w:rPr>
        <w:sectPr>
          <w:headerReference r:id="rId7" w:type="first"/>
          <w:footerReference r:id="rId10" w:type="first"/>
          <w:headerReference r:id="rId5" w:type="default"/>
          <w:footerReference r:id="rId8" w:type="default"/>
          <w:headerReference r:id="rId6" w:type="even"/>
          <w:footerReference r:id="rId9" w:type="even"/>
          <w:pgSz w:w="11907" w:h="16840"/>
          <w:pgMar w:top="1440" w:right="1519" w:bottom="1440" w:left="1519" w:header="851" w:footer="992" w:gutter="0"/>
          <w:pgBorders>
            <w:top w:val="none" w:sz="0" w:space="0"/>
            <w:left w:val="none" w:sz="0" w:space="0"/>
            <w:bottom w:val="none" w:sz="0" w:space="0"/>
            <w:right w:val="none" w:sz="0" w:space="0"/>
          </w:pgBorders>
          <w:cols w:space="720" w:num="1"/>
          <w:docGrid w:linePitch="462" w:charSpace="0"/>
        </w:sectPr>
      </w:pPr>
      <w:r>
        <w:rPr>
          <w:rFonts w:hint="eastAsia"/>
          <w:highlight w:val="none"/>
        </w:rPr>
        <w:br w:type="page"/>
      </w:r>
    </w:p>
    <w:p w14:paraId="78CECEA5">
      <w:pPr>
        <w:numPr>
          <w:ilvl w:val="0"/>
          <w:numId w:val="1"/>
        </w:numPr>
        <w:ind w:firstLine="562"/>
        <w:jc w:val="center"/>
        <w:outlineLvl w:val="1"/>
        <w:rPr>
          <w:rFonts w:asciiTheme="minorEastAsia" w:hAnsiTheme="minorEastAsia" w:eastAsiaTheme="minorEastAsia"/>
          <w:b/>
          <w:sz w:val="28"/>
          <w:highlight w:val="none"/>
        </w:rPr>
      </w:pPr>
      <w:r>
        <w:rPr>
          <w:rFonts w:hint="eastAsia" w:asciiTheme="minorEastAsia" w:hAnsiTheme="minorEastAsia" w:eastAsiaTheme="minorEastAsia"/>
          <w:b/>
          <w:sz w:val="28"/>
          <w:highlight w:val="none"/>
        </w:rPr>
        <w:t xml:space="preserve"> </w:t>
      </w:r>
      <w:bookmarkStart w:id="1" w:name="_Toc14832"/>
      <w:bookmarkStart w:id="2" w:name="_Hlk193096165"/>
      <w:r>
        <w:rPr>
          <w:rFonts w:hint="eastAsia" w:asciiTheme="minorEastAsia" w:hAnsiTheme="minorEastAsia" w:eastAsiaTheme="minorEastAsia"/>
          <w:b/>
          <w:sz w:val="28"/>
          <w:highlight w:val="none"/>
        </w:rPr>
        <w:t>磋商公告</w:t>
      </w:r>
      <w:bookmarkEnd w:id="1"/>
    </w:p>
    <w:p w14:paraId="6A762C61">
      <w:pPr>
        <w:pStyle w:val="19"/>
        <w:widowControl w:val="0"/>
        <w:autoSpaceDE w:val="0"/>
        <w:autoSpaceDN w:val="0"/>
        <w:adjustRightInd w:val="0"/>
        <w:spacing w:before="93" w:beforeLines="30" w:after="93" w:afterLines="30"/>
        <w:rPr>
          <w:rFonts w:asciiTheme="majorEastAsia" w:hAnsiTheme="majorEastAsia" w:eastAsiaTheme="majorEastAsia" w:cstheme="majorEastAsia"/>
          <w:highlight w:val="none"/>
        </w:rPr>
      </w:pPr>
      <w:r>
        <w:rPr>
          <w:rFonts w:hint="eastAsia" w:asciiTheme="majorEastAsia" w:hAnsiTheme="majorEastAsia" w:eastAsiaTheme="majorEastAsia" w:cstheme="majorEastAsia"/>
          <w:kern w:val="2"/>
          <w:highlight w:val="none"/>
        </w:rPr>
        <w:t>肥西县公共资源交易有限责任公司受</w:t>
      </w:r>
      <w:r>
        <w:rPr>
          <w:rFonts w:hint="eastAsia" w:asciiTheme="majorEastAsia" w:hAnsiTheme="majorEastAsia" w:eastAsiaTheme="majorEastAsia" w:cstheme="majorEastAsia"/>
          <w:kern w:val="2"/>
          <w:highlight w:val="none"/>
          <w:lang w:eastAsia="zh-CN"/>
        </w:rPr>
        <w:t>肥西县桃花镇人民政府</w:t>
      </w:r>
      <w:r>
        <w:rPr>
          <w:rFonts w:hint="eastAsia" w:asciiTheme="majorEastAsia" w:hAnsiTheme="majorEastAsia" w:eastAsiaTheme="majorEastAsia" w:cstheme="majorEastAsia"/>
          <w:kern w:val="2"/>
          <w:highlight w:val="none"/>
        </w:rPr>
        <w:t>委托，现对</w:t>
      </w:r>
      <w:r>
        <w:rPr>
          <w:rFonts w:hint="eastAsia" w:asciiTheme="majorEastAsia" w:hAnsiTheme="majorEastAsia" w:eastAsiaTheme="majorEastAsia" w:cstheme="majorEastAsia"/>
          <w:kern w:val="2"/>
          <w:highlight w:val="none"/>
          <w:lang w:eastAsia="zh-CN"/>
        </w:rPr>
        <w:t>肥西县桃花镇人民政府机关办公区物业服务采购项目</w:t>
      </w:r>
      <w:r>
        <w:rPr>
          <w:rFonts w:hint="eastAsia" w:asciiTheme="majorEastAsia" w:hAnsiTheme="majorEastAsia" w:eastAsiaTheme="majorEastAsia" w:cstheme="majorEastAsia"/>
          <w:kern w:val="2"/>
          <w:highlight w:val="none"/>
        </w:rPr>
        <w:t>进行磋商，欢迎具备条件的供应商参加磋商。</w:t>
      </w:r>
    </w:p>
    <w:p w14:paraId="132A6513">
      <w:pPr>
        <w:spacing w:before="93" w:beforeLines="30" w:after="93" w:afterLines="30"/>
        <w:ind w:firstLine="482"/>
        <w:rPr>
          <w:rFonts w:asciiTheme="majorEastAsia" w:hAnsiTheme="majorEastAsia" w:eastAsiaTheme="majorEastAsia" w:cstheme="majorEastAsia"/>
          <w:b/>
          <w:bCs/>
          <w:szCs w:val="24"/>
          <w:highlight w:val="none"/>
        </w:rPr>
      </w:pPr>
      <w:r>
        <w:rPr>
          <w:rFonts w:hint="eastAsia" w:asciiTheme="majorEastAsia" w:hAnsiTheme="majorEastAsia" w:eastAsiaTheme="majorEastAsia" w:cstheme="majorEastAsia"/>
          <w:b/>
          <w:bCs/>
          <w:szCs w:val="24"/>
          <w:highlight w:val="none"/>
        </w:rPr>
        <w:t>1.项目名称及内容</w:t>
      </w:r>
    </w:p>
    <w:p w14:paraId="7D3596C8">
      <w:pPr>
        <w:autoSpaceDE w:val="0"/>
        <w:autoSpaceDN w:val="0"/>
        <w:adjustRightInd w:val="0"/>
        <w:spacing w:before="93" w:beforeLines="30" w:after="93" w:afterLines="30"/>
        <w:ind w:firstLine="480"/>
        <w:jc w:val="left"/>
        <w:rPr>
          <w:rFonts w:hint="eastAsia" w:asciiTheme="majorEastAsia" w:hAnsiTheme="majorEastAsia" w:eastAsiaTheme="majorEastAsia" w:cstheme="majorEastAsia"/>
          <w:szCs w:val="24"/>
          <w:highlight w:val="none"/>
          <w:lang w:eastAsia="zh-CN"/>
        </w:rPr>
      </w:pPr>
      <w:r>
        <w:rPr>
          <w:rFonts w:hint="eastAsia" w:asciiTheme="majorEastAsia" w:hAnsiTheme="majorEastAsia" w:eastAsiaTheme="majorEastAsia" w:cstheme="majorEastAsia"/>
          <w:szCs w:val="24"/>
          <w:highlight w:val="none"/>
        </w:rPr>
        <w:t>1.1 项目编号：</w:t>
      </w:r>
      <w:r>
        <w:rPr>
          <w:rFonts w:hint="eastAsia" w:asciiTheme="majorEastAsia" w:hAnsiTheme="majorEastAsia" w:eastAsiaTheme="majorEastAsia" w:cstheme="majorEastAsia"/>
          <w:szCs w:val="24"/>
          <w:highlight w:val="none"/>
          <w:lang w:eastAsia="zh-CN"/>
        </w:rPr>
        <w:t>2026GSFN0004</w:t>
      </w:r>
    </w:p>
    <w:p w14:paraId="4552C4D3">
      <w:pPr>
        <w:autoSpaceDE w:val="0"/>
        <w:autoSpaceDN w:val="0"/>
        <w:adjustRightInd w:val="0"/>
        <w:spacing w:before="93" w:beforeLines="30" w:after="93" w:afterLines="30"/>
        <w:ind w:firstLine="480"/>
        <w:jc w:val="left"/>
        <w:rPr>
          <w:rFonts w:hint="eastAsia" w:asciiTheme="majorEastAsia" w:hAnsiTheme="majorEastAsia" w:eastAsiaTheme="majorEastAsia" w:cstheme="majorEastAsia"/>
          <w:szCs w:val="24"/>
          <w:highlight w:val="none"/>
          <w:lang w:eastAsia="zh-CN"/>
        </w:rPr>
      </w:pPr>
      <w:r>
        <w:rPr>
          <w:rFonts w:hint="eastAsia" w:asciiTheme="majorEastAsia" w:hAnsiTheme="majorEastAsia" w:eastAsiaTheme="majorEastAsia" w:cstheme="majorEastAsia"/>
          <w:szCs w:val="24"/>
          <w:highlight w:val="none"/>
        </w:rPr>
        <w:t>1.2 项目名称：</w:t>
      </w:r>
      <w:r>
        <w:rPr>
          <w:rFonts w:hint="eastAsia" w:asciiTheme="majorEastAsia" w:hAnsiTheme="majorEastAsia" w:eastAsiaTheme="majorEastAsia" w:cstheme="majorEastAsia"/>
          <w:szCs w:val="24"/>
          <w:highlight w:val="none"/>
          <w:lang w:eastAsia="zh-CN"/>
        </w:rPr>
        <w:t>肥西县桃花镇人民政府机关办公区物业服务采购项目</w:t>
      </w:r>
    </w:p>
    <w:p w14:paraId="199F05BB">
      <w:pPr>
        <w:autoSpaceDE w:val="0"/>
        <w:autoSpaceDN w:val="0"/>
        <w:adjustRightInd w:val="0"/>
        <w:spacing w:before="93" w:beforeLines="30" w:after="93" w:afterLines="30"/>
        <w:ind w:firstLine="480"/>
        <w:jc w:val="left"/>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szCs w:val="24"/>
          <w:highlight w:val="none"/>
        </w:rPr>
        <w:t>1.3 项目地点：</w:t>
      </w:r>
      <w:r>
        <w:rPr>
          <w:rFonts w:hint="eastAsia" w:asciiTheme="majorEastAsia" w:hAnsiTheme="majorEastAsia" w:eastAsiaTheme="majorEastAsia" w:cstheme="majorEastAsia"/>
          <w:kern w:val="2"/>
          <w:highlight w:val="none"/>
        </w:rPr>
        <w:t>肥西县</w:t>
      </w:r>
    </w:p>
    <w:p w14:paraId="7FF3E96C">
      <w:pPr>
        <w:autoSpaceDE w:val="0"/>
        <w:autoSpaceDN w:val="0"/>
        <w:adjustRightInd w:val="0"/>
        <w:spacing w:before="93" w:beforeLines="30" w:after="93" w:afterLines="30"/>
        <w:ind w:firstLine="480"/>
        <w:jc w:val="left"/>
        <w:rPr>
          <w:rFonts w:hint="eastAsia" w:asciiTheme="majorEastAsia" w:hAnsiTheme="majorEastAsia" w:eastAsiaTheme="majorEastAsia" w:cstheme="majorEastAsia"/>
          <w:szCs w:val="24"/>
          <w:highlight w:val="none"/>
          <w:lang w:eastAsia="zh-CN"/>
        </w:rPr>
      </w:pPr>
      <w:r>
        <w:rPr>
          <w:rFonts w:hint="eastAsia" w:asciiTheme="majorEastAsia" w:hAnsiTheme="majorEastAsia" w:eastAsiaTheme="majorEastAsia" w:cstheme="majorEastAsia"/>
          <w:szCs w:val="24"/>
          <w:highlight w:val="none"/>
        </w:rPr>
        <w:t>1.4 项目单位：</w:t>
      </w:r>
      <w:r>
        <w:rPr>
          <w:rFonts w:hint="eastAsia" w:asciiTheme="majorEastAsia" w:hAnsiTheme="majorEastAsia" w:eastAsiaTheme="majorEastAsia" w:cstheme="majorEastAsia"/>
          <w:kern w:val="2"/>
          <w:highlight w:val="none"/>
          <w:lang w:eastAsia="zh-CN"/>
        </w:rPr>
        <w:t xml:space="preserve">肥西县桃花镇人民政府 </w:t>
      </w:r>
    </w:p>
    <w:p w14:paraId="44F9193B">
      <w:pPr>
        <w:autoSpaceDE w:val="0"/>
        <w:autoSpaceDN w:val="0"/>
        <w:adjustRightInd w:val="0"/>
        <w:spacing w:before="93" w:beforeLines="30" w:after="93" w:afterLines="30"/>
        <w:ind w:firstLine="480"/>
        <w:jc w:val="left"/>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szCs w:val="24"/>
          <w:highlight w:val="none"/>
        </w:rPr>
        <w:t>1.5 项目概况：</w:t>
      </w:r>
      <w:r>
        <w:rPr>
          <w:rFonts w:hint="eastAsia" w:asciiTheme="majorEastAsia" w:hAnsiTheme="majorEastAsia" w:eastAsiaTheme="majorEastAsia" w:cstheme="majorEastAsia"/>
          <w:szCs w:val="24"/>
          <w:highlight w:val="none"/>
          <w:lang w:val="en-US" w:eastAsia="zh-CN"/>
        </w:rPr>
        <w:t>肥西县桃花镇机关办公区总占地面积29280平方米，其中机关办公楼九层，建筑面积约8590平方米，机关大院绿化景观面积约20424平方米等，项目设立一个总包，含对所有场所的物业服务</w:t>
      </w:r>
      <w:r>
        <w:rPr>
          <w:rFonts w:hint="eastAsia" w:asciiTheme="majorEastAsia" w:hAnsiTheme="majorEastAsia" w:eastAsiaTheme="majorEastAsia" w:cstheme="majorEastAsia"/>
          <w:szCs w:val="24"/>
          <w:highlight w:val="none"/>
        </w:rPr>
        <w:t>，具体采购内容详见磋商文件。</w:t>
      </w:r>
    </w:p>
    <w:p w14:paraId="79D2E5BB">
      <w:pPr>
        <w:autoSpaceDE w:val="0"/>
        <w:autoSpaceDN w:val="0"/>
        <w:adjustRightInd w:val="0"/>
        <w:spacing w:before="93" w:beforeLines="30" w:after="93" w:afterLines="30"/>
        <w:ind w:firstLine="480"/>
        <w:jc w:val="left"/>
        <w:rPr>
          <w:rFonts w:hint="eastAsia" w:asciiTheme="majorEastAsia" w:hAnsiTheme="majorEastAsia" w:eastAsiaTheme="majorEastAsia" w:cstheme="majorEastAsia"/>
          <w:szCs w:val="24"/>
          <w:highlight w:val="none"/>
          <w:lang w:eastAsia="zh-CN"/>
        </w:rPr>
      </w:pPr>
      <w:r>
        <w:rPr>
          <w:rFonts w:hint="eastAsia" w:asciiTheme="majorEastAsia" w:hAnsiTheme="majorEastAsia" w:eastAsiaTheme="majorEastAsia" w:cstheme="majorEastAsia"/>
          <w:szCs w:val="24"/>
          <w:highlight w:val="none"/>
        </w:rPr>
        <w:t>1.6 资金来源：自筹资金</w:t>
      </w:r>
    </w:p>
    <w:p w14:paraId="1C59B08C">
      <w:pPr>
        <w:autoSpaceDE w:val="0"/>
        <w:autoSpaceDN w:val="0"/>
        <w:adjustRightInd w:val="0"/>
        <w:spacing w:before="93" w:beforeLines="30" w:after="93" w:afterLines="30"/>
        <w:ind w:firstLine="480"/>
        <w:jc w:val="left"/>
        <w:rPr>
          <w:rFonts w:hint="default" w:eastAsiaTheme="majorEastAsia"/>
          <w:szCs w:val="24"/>
          <w:highlight w:val="none"/>
          <w:lang w:val="en-US" w:eastAsia="zh-CN"/>
        </w:rPr>
      </w:pPr>
      <w:r>
        <w:rPr>
          <w:rFonts w:hint="eastAsia" w:asciiTheme="majorEastAsia" w:hAnsiTheme="majorEastAsia" w:eastAsiaTheme="majorEastAsia" w:cstheme="majorEastAsia"/>
          <w:szCs w:val="24"/>
          <w:highlight w:val="none"/>
        </w:rPr>
        <w:t>1.7 项目预算：</w:t>
      </w:r>
      <w:r>
        <w:rPr>
          <w:rFonts w:hint="eastAsia" w:asciiTheme="majorEastAsia" w:hAnsiTheme="majorEastAsia" w:eastAsiaTheme="majorEastAsia" w:cstheme="majorEastAsia"/>
          <w:szCs w:val="24"/>
          <w:highlight w:val="none"/>
          <w:lang w:val="en-US" w:eastAsia="zh-CN"/>
        </w:rPr>
        <w:t>49.80万元</w:t>
      </w:r>
    </w:p>
    <w:p w14:paraId="060139D5">
      <w:pPr>
        <w:autoSpaceDE w:val="0"/>
        <w:autoSpaceDN w:val="0"/>
        <w:adjustRightInd w:val="0"/>
        <w:spacing w:before="93" w:beforeLines="30" w:after="93" w:afterLines="30"/>
        <w:ind w:firstLine="480"/>
        <w:jc w:val="left"/>
        <w:rPr>
          <w:rFonts w:hint="default"/>
          <w:b/>
          <w:bCs/>
          <w:szCs w:val="24"/>
          <w:highlight w:val="none"/>
          <w:lang w:val="en-US"/>
        </w:rPr>
      </w:pPr>
      <w:r>
        <w:rPr>
          <w:rFonts w:hint="eastAsia" w:asciiTheme="majorEastAsia" w:hAnsiTheme="majorEastAsia" w:eastAsiaTheme="majorEastAsia" w:cstheme="majorEastAsia"/>
          <w:b/>
          <w:bCs/>
          <w:szCs w:val="24"/>
          <w:highlight w:val="none"/>
        </w:rPr>
        <w:t>1.</w:t>
      </w:r>
      <w:r>
        <w:rPr>
          <w:rFonts w:hint="eastAsia" w:asciiTheme="majorEastAsia" w:hAnsiTheme="majorEastAsia" w:eastAsiaTheme="majorEastAsia" w:cstheme="majorEastAsia"/>
          <w:b/>
          <w:bCs/>
          <w:szCs w:val="24"/>
          <w:highlight w:val="none"/>
          <w:lang w:val="en-US" w:eastAsia="zh-CN"/>
        </w:rPr>
        <w:t>8</w:t>
      </w:r>
      <w:r>
        <w:rPr>
          <w:rFonts w:hint="eastAsia" w:asciiTheme="majorEastAsia" w:hAnsiTheme="majorEastAsia" w:eastAsiaTheme="majorEastAsia" w:cstheme="majorEastAsia"/>
          <w:b/>
          <w:bCs/>
          <w:szCs w:val="24"/>
          <w:highlight w:val="none"/>
        </w:rPr>
        <w:t xml:space="preserve"> </w:t>
      </w:r>
      <w:r>
        <w:rPr>
          <w:rFonts w:hint="eastAsia" w:asciiTheme="majorEastAsia" w:hAnsiTheme="majorEastAsia" w:eastAsiaTheme="majorEastAsia" w:cstheme="majorEastAsia"/>
          <w:b/>
          <w:bCs/>
          <w:szCs w:val="24"/>
          <w:highlight w:val="none"/>
          <w:lang w:val="en-US" w:eastAsia="zh-CN"/>
        </w:rPr>
        <w:t>最高限价</w:t>
      </w:r>
      <w:r>
        <w:rPr>
          <w:rFonts w:hint="eastAsia" w:asciiTheme="majorEastAsia" w:hAnsiTheme="majorEastAsia" w:eastAsiaTheme="majorEastAsia" w:cstheme="majorEastAsia"/>
          <w:b/>
          <w:bCs/>
          <w:szCs w:val="24"/>
          <w:highlight w:val="none"/>
        </w:rPr>
        <w:t>：</w:t>
      </w:r>
      <w:r>
        <w:rPr>
          <w:rFonts w:hint="eastAsia" w:asciiTheme="majorEastAsia" w:hAnsiTheme="majorEastAsia" w:eastAsiaTheme="majorEastAsia" w:cstheme="majorEastAsia"/>
          <w:szCs w:val="24"/>
          <w:highlight w:val="none"/>
          <w:lang w:val="en-US" w:eastAsia="zh-CN"/>
        </w:rPr>
        <w:t>49.80万元</w:t>
      </w:r>
    </w:p>
    <w:p w14:paraId="450551B4">
      <w:pPr>
        <w:autoSpaceDE w:val="0"/>
        <w:autoSpaceDN w:val="0"/>
        <w:adjustRightInd w:val="0"/>
        <w:spacing w:before="93" w:beforeLines="30" w:after="93" w:afterLines="30"/>
        <w:ind w:firstLine="480"/>
        <w:jc w:val="left"/>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szCs w:val="24"/>
          <w:highlight w:val="none"/>
        </w:rPr>
        <w:t>1.</w:t>
      </w:r>
      <w:r>
        <w:rPr>
          <w:rFonts w:hint="eastAsia" w:asciiTheme="majorEastAsia" w:hAnsiTheme="majorEastAsia" w:eastAsiaTheme="majorEastAsia" w:cstheme="majorEastAsia"/>
          <w:szCs w:val="24"/>
          <w:highlight w:val="none"/>
          <w:lang w:val="en-US" w:eastAsia="zh-CN"/>
        </w:rPr>
        <w:t>9</w:t>
      </w:r>
      <w:r>
        <w:rPr>
          <w:rFonts w:hint="eastAsia" w:asciiTheme="majorEastAsia" w:hAnsiTheme="majorEastAsia" w:eastAsiaTheme="majorEastAsia" w:cstheme="majorEastAsia"/>
          <w:szCs w:val="24"/>
          <w:highlight w:val="none"/>
        </w:rPr>
        <w:t xml:space="preserve"> 项目类别：服务类</w:t>
      </w:r>
    </w:p>
    <w:p w14:paraId="7A6FB6E7">
      <w:pPr>
        <w:autoSpaceDE w:val="0"/>
        <w:autoSpaceDN w:val="0"/>
        <w:adjustRightInd w:val="0"/>
        <w:spacing w:before="93" w:beforeLines="30" w:after="93" w:afterLines="30"/>
        <w:ind w:firstLine="480"/>
        <w:jc w:val="left"/>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szCs w:val="24"/>
          <w:highlight w:val="none"/>
        </w:rPr>
        <w:t>1.</w:t>
      </w:r>
      <w:r>
        <w:rPr>
          <w:rFonts w:hint="eastAsia" w:asciiTheme="majorEastAsia" w:hAnsiTheme="majorEastAsia" w:eastAsiaTheme="majorEastAsia" w:cstheme="majorEastAsia"/>
          <w:szCs w:val="24"/>
          <w:highlight w:val="none"/>
          <w:lang w:val="en-US" w:eastAsia="zh-CN"/>
        </w:rPr>
        <w:t>10</w:t>
      </w:r>
      <w:r>
        <w:rPr>
          <w:rFonts w:hint="eastAsia" w:asciiTheme="majorEastAsia" w:hAnsiTheme="majorEastAsia" w:eastAsiaTheme="majorEastAsia" w:cstheme="majorEastAsia"/>
          <w:szCs w:val="24"/>
          <w:highlight w:val="none"/>
        </w:rPr>
        <w:t xml:space="preserve"> 包别划分：共分1个包</w:t>
      </w:r>
    </w:p>
    <w:p w14:paraId="0B091BE2">
      <w:pPr>
        <w:spacing w:before="93" w:beforeLines="30" w:after="93" w:afterLines="30"/>
        <w:ind w:firstLine="482"/>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b/>
          <w:bCs/>
          <w:szCs w:val="24"/>
          <w:highlight w:val="none"/>
        </w:rPr>
        <w:t xml:space="preserve">2.供应商资格要求 </w:t>
      </w:r>
    </w:p>
    <w:p w14:paraId="4A961F84">
      <w:pPr>
        <w:spacing w:before="93" w:beforeLines="30" w:after="93" w:afterLines="30"/>
        <w:ind w:firstLine="482"/>
        <w:rPr>
          <w:rFonts w:hint="eastAsia" w:ascii="宋体" w:hAnsi="宋体" w:eastAsia="宋体" w:cs="宋体"/>
          <w:color w:val="FF0000"/>
          <w:sz w:val="24"/>
          <w:highlight w:val="none"/>
          <w:u w:val="none"/>
          <w:lang w:val="en-US" w:eastAsia="zh-CN"/>
        </w:rPr>
      </w:pPr>
      <w:r>
        <w:rPr>
          <w:rFonts w:hint="eastAsia" w:asciiTheme="majorEastAsia" w:hAnsiTheme="majorEastAsia" w:eastAsiaTheme="majorEastAsia" w:cstheme="majorEastAsia"/>
          <w:szCs w:val="24"/>
          <w:highlight w:val="none"/>
        </w:rPr>
        <w:t>2.1 供应商具有独立承担民事责任的能力；</w:t>
      </w:r>
    </w:p>
    <w:p w14:paraId="4EF55F13">
      <w:pPr>
        <w:spacing w:before="93" w:beforeLines="30" w:after="93" w:afterLines="30"/>
        <w:ind w:firstLine="482"/>
        <w:rPr>
          <w:rFonts w:hint="eastAsia" w:asciiTheme="majorEastAsia" w:hAnsiTheme="majorEastAsia" w:eastAsiaTheme="majorEastAsia" w:cstheme="majorEastAsia"/>
          <w:szCs w:val="24"/>
          <w:highlight w:val="none"/>
          <w:lang w:eastAsia="zh-CN"/>
        </w:rPr>
      </w:pPr>
      <w:r>
        <w:rPr>
          <w:rFonts w:hint="eastAsia" w:asciiTheme="majorEastAsia" w:hAnsiTheme="majorEastAsia" w:eastAsiaTheme="majorEastAsia" w:cstheme="majorEastAsia"/>
          <w:b w:val="0"/>
          <w:bCs w:val="0"/>
          <w:szCs w:val="24"/>
          <w:highlight w:val="none"/>
        </w:rPr>
        <w:t>2.</w:t>
      </w:r>
      <w:r>
        <w:rPr>
          <w:rFonts w:hint="eastAsia" w:asciiTheme="majorEastAsia" w:hAnsiTheme="majorEastAsia" w:eastAsiaTheme="majorEastAsia" w:cstheme="majorEastAsia"/>
          <w:b w:val="0"/>
          <w:bCs w:val="0"/>
          <w:szCs w:val="24"/>
          <w:highlight w:val="none"/>
          <w:lang w:val="en-US" w:eastAsia="zh-CN"/>
        </w:rPr>
        <w:t>2</w:t>
      </w:r>
      <w:r>
        <w:rPr>
          <w:rFonts w:hint="eastAsia" w:asciiTheme="majorEastAsia" w:hAnsiTheme="majorEastAsia" w:eastAsiaTheme="majorEastAsia" w:cstheme="majorEastAsia"/>
          <w:b w:val="0"/>
          <w:bCs w:val="0"/>
          <w:szCs w:val="24"/>
          <w:highlight w:val="none"/>
        </w:rPr>
        <w:t xml:space="preserve"> 本项目</w:t>
      </w:r>
      <w:r>
        <w:rPr>
          <w:rFonts w:hint="eastAsia" w:asciiTheme="majorEastAsia" w:hAnsiTheme="majorEastAsia" w:eastAsiaTheme="majorEastAsia" w:cstheme="majorEastAsia"/>
          <w:b w:val="0"/>
          <w:bCs w:val="0"/>
          <w:color w:val="000000" w:themeColor="text1"/>
          <w:szCs w:val="24"/>
          <w:highlight w:val="none"/>
          <w:lang w:val="en-US" w:eastAsia="zh-CN"/>
          <w14:textFill>
            <w14:solidFill>
              <w14:schemeClr w14:val="tx1"/>
            </w14:solidFill>
          </w14:textFill>
        </w:rPr>
        <w:t>不</w:t>
      </w:r>
      <w:r>
        <w:rPr>
          <w:rFonts w:hint="eastAsia" w:asciiTheme="majorEastAsia" w:hAnsiTheme="majorEastAsia" w:eastAsiaTheme="majorEastAsia" w:cstheme="majorEastAsia"/>
          <w:b w:val="0"/>
          <w:bCs w:val="0"/>
          <w:szCs w:val="24"/>
          <w:highlight w:val="none"/>
        </w:rPr>
        <w:t>联合体磋商</w:t>
      </w:r>
      <w:r>
        <w:rPr>
          <w:rFonts w:hint="eastAsia" w:asciiTheme="majorEastAsia" w:hAnsiTheme="majorEastAsia" w:eastAsiaTheme="majorEastAsia" w:cstheme="majorEastAsia"/>
          <w:szCs w:val="24"/>
          <w:highlight w:val="none"/>
          <w:lang w:eastAsia="zh-CN"/>
        </w:rPr>
        <w:t>；</w:t>
      </w:r>
    </w:p>
    <w:p w14:paraId="08AC9961">
      <w:pPr>
        <w:spacing w:before="93" w:beforeLines="30" w:after="93" w:afterLines="30"/>
        <w:ind w:firstLine="480"/>
        <w:rPr>
          <w:rFonts w:hint="eastAsia" w:asciiTheme="majorEastAsia" w:hAnsiTheme="majorEastAsia" w:eastAsiaTheme="majorEastAsia" w:cstheme="majorEastAsia"/>
          <w:b/>
          <w:bCs/>
          <w:i/>
          <w:iCs/>
          <w:szCs w:val="24"/>
          <w:highlight w:val="none"/>
          <w:lang w:eastAsia="zh-CN"/>
        </w:rPr>
      </w:pPr>
      <w:r>
        <w:rPr>
          <w:rFonts w:hint="eastAsia" w:asciiTheme="majorEastAsia" w:hAnsiTheme="majorEastAsia" w:eastAsiaTheme="majorEastAsia" w:cstheme="majorEastAsia"/>
          <w:szCs w:val="24"/>
          <w:highlight w:val="none"/>
        </w:rPr>
        <w:t>2.</w:t>
      </w:r>
      <w:r>
        <w:rPr>
          <w:rFonts w:hint="eastAsia" w:asciiTheme="majorEastAsia" w:hAnsiTheme="majorEastAsia" w:eastAsiaTheme="majorEastAsia" w:cstheme="majorEastAsia"/>
          <w:szCs w:val="24"/>
          <w:highlight w:val="none"/>
          <w:lang w:val="en-US" w:eastAsia="zh-CN"/>
        </w:rPr>
        <w:t>3</w:t>
      </w:r>
      <w:r>
        <w:rPr>
          <w:rFonts w:hint="eastAsia" w:asciiTheme="majorEastAsia" w:hAnsiTheme="majorEastAsia" w:eastAsiaTheme="majorEastAsia" w:cstheme="majorEastAsia"/>
          <w:szCs w:val="24"/>
          <w:highlight w:val="none"/>
        </w:rPr>
        <w:t xml:space="preserve"> 供应商存在以下不良信用记录情形之一的，不得推荐为成交候选人，不得确定为成交人</w:t>
      </w:r>
      <w:r>
        <w:rPr>
          <w:rFonts w:hint="eastAsia" w:asciiTheme="majorEastAsia" w:hAnsiTheme="majorEastAsia" w:eastAsiaTheme="majorEastAsia" w:cstheme="majorEastAsia"/>
          <w:szCs w:val="24"/>
          <w:highlight w:val="none"/>
          <w:lang w:eastAsia="zh-CN"/>
        </w:rPr>
        <w:t>；</w:t>
      </w:r>
    </w:p>
    <w:p w14:paraId="363CCD5E">
      <w:pPr>
        <w:spacing w:before="93" w:beforeLines="30" w:after="93" w:afterLines="30"/>
        <w:ind w:firstLine="480"/>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szCs w:val="24"/>
          <w:highlight w:val="none"/>
        </w:rPr>
        <w:t>（1）在“信用中国”网站（http://www.creditchina.gov.cn/）中被列入失信被执行人名单；</w:t>
      </w:r>
    </w:p>
    <w:p w14:paraId="7F24E91C">
      <w:pPr>
        <w:spacing w:before="93" w:beforeLines="30" w:after="93" w:afterLines="30"/>
        <w:ind w:firstLine="480"/>
        <w:rPr>
          <w:rFonts w:hint="eastAsia" w:asciiTheme="majorEastAsia" w:hAnsiTheme="majorEastAsia" w:eastAsiaTheme="majorEastAsia" w:cstheme="majorEastAsia"/>
          <w:szCs w:val="24"/>
          <w:highlight w:val="none"/>
          <w:lang w:eastAsia="zh-CN"/>
        </w:rPr>
      </w:pPr>
      <w:r>
        <w:rPr>
          <w:rFonts w:hint="eastAsia" w:asciiTheme="majorEastAsia" w:hAnsiTheme="majorEastAsia" w:eastAsiaTheme="majorEastAsia" w:cstheme="majorEastAsia"/>
          <w:szCs w:val="24"/>
          <w:highlight w:val="none"/>
        </w:rPr>
        <w:t>（2）在“信用中国”网站（http://www.creditchina.gov.cn/）中被列入重大税收违法失信主体名单</w:t>
      </w:r>
      <w:r>
        <w:rPr>
          <w:rFonts w:hint="eastAsia" w:asciiTheme="majorEastAsia" w:hAnsiTheme="majorEastAsia" w:eastAsiaTheme="majorEastAsia" w:cstheme="majorEastAsia"/>
          <w:szCs w:val="24"/>
          <w:highlight w:val="none"/>
          <w:lang w:eastAsia="zh-CN"/>
        </w:rPr>
        <w:t>。</w:t>
      </w:r>
    </w:p>
    <w:p w14:paraId="7F79E25B">
      <w:pPr>
        <w:tabs>
          <w:tab w:val="center" w:pos="4394"/>
        </w:tabs>
        <w:spacing w:before="93" w:beforeLines="30" w:after="93" w:afterLines="30"/>
        <w:ind w:firstLine="482"/>
        <w:rPr>
          <w:rFonts w:asciiTheme="majorEastAsia" w:hAnsiTheme="majorEastAsia" w:eastAsiaTheme="majorEastAsia" w:cstheme="majorEastAsia"/>
          <w:b/>
          <w:bCs/>
          <w:szCs w:val="24"/>
          <w:highlight w:val="none"/>
        </w:rPr>
      </w:pPr>
      <w:r>
        <w:rPr>
          <w:rFonts w:hint="eastAsia" w:asciiTheme="majorEastAsia" w:hAnsiTheme="majorEastAsia" w:eastAsiaTheme="majorEastAsia" w:cstheme="majorEastAsia"/>
          <w:b/>
          <w:bCs/>
          <w:szCs w:val="24"/>
          <w:highlight w:val="none"/>
        </w:rPr>
        <w:t>3.磋商文件的获取</w:t>
      </w:r>
      <w:r>
        <w:rPr>
          <w:rFonts w:hint="eastAsia" w:asciiTheme="majorEastAsia" w:hAnsiTheme="majorEastAsia" w:eastAsiaTheme="majorEastAsia" w:cstheme="majorEastAsia"/>
          <w:b/>
          <w:bCs/>
          <w:szCs w:val="24"/>
          <w:highlight w:val="none"/>
        </w:rPr>
        <w:tab/>
      </w:r>
    </w:p>
    <w:p w14:paraId="5E836DA6">
      <w:pPr>
        <w:adjustRightInd w:val="0"/>
        <w:snapToGrid w:val="0"/>
        <w:spacing w:before="93" w:beforeLines="30" w:after="93" w:afterLines="30"/>
        <w:ind w:firstLine="480"/>
        <w:rPr>
          <w:rFonts w:asciiTheme="majorEastAsia" w:hAnsiTheme="majorEastAsia" w:eastAsiaTheme="majorEastAsia" w:cstheme="majorEastAsia"/>
          <w:color w:val="FF0000"/>
          <w:szCs w:val="24"/>
          <w:highlight w:val="none"/>
        </w:rPr>
      </w:pPr>
      <w:r>
        <w:rPr>
          <w:rFonts w:hint="eastAsia" w:asciiTheme="majorEastAsia" w:hAnsiTheme="majorEastAsia" w:eastAsiaTheme="majorEastAsia" w:cstheme="majorEastAsia"/>
          <w:color w:val="FF0000"/>
          <w:szCs w:val="24"/>
          <w:highlight w:val="none"/>
        </w:rPr>
        <w:t>3.1 获取时间：202</w:t>
      </w:r>
      <w:r>
        <w:rPr>
          <w:rFonts w:hint="eastAsia" w:asciiTheme="majorEastAsia" w:hAnsiTheme="majorEastAsia" w:eastAsiaTheme="majorEastAsia" w:cstheme="majorEastAsia"/>
          <w:color w:val="FF0000"/>
          <w:szCs w:val="24"/>
          <w:highlight w:val="none"/>
          <w:lang w:val="en-US" w:eastAsia="zh-CN"/>
        </w:rPr>
        <w:t>6</w:t>
      </w:r>
      <w:r>
        <w:rPr>
          <w:rFonts w:hint="eastAsia" w:asciiTheme="majorEastAsia" w:hAnsiTheme="majorEastAsia" w:eastAsiaTheme="majorEastAsia" w:cstheme="majorEastAsia"/>
          <w:color w:val="FF0000"/>
          <w:szCs w:val="24"/>
          <w:highlight w:val="none"/>
        </w:rPr>
        <w:t>年</w:t>
      </w:r>
      <w:r>
        <w:rPr>
          <w:rFonts w:hint="eastAsia" w:asciiTheme="majorEastAsia" w:hAnsiTheme="majorEastAsia" w:eastAsiaTheme="majorEastAsia" w:cstheme="majorEastAsia"/>
          <w:color w:val="FF0000"/>
          <w:szCs w:val="24"/>
          <w:highlight w:val="none"/>
          <w:lang w:val="en-US" w:eastAsia="zh-CN"/>
        </w:rPr>
        <w:t>8</w:t>
      </w:r>
      <w:r>
        <w:rPr>
          <w:rFonts w:hint="eastAsia" w:asciiTheme="majorEastAsia" w:hAnsiTheme="majorEastAsia" w:eastAsiaTheme="majorEastAsia" w:cstheme="majorEastAsia"/>
          <w:color w:val="FF0000"/>
          <w:szCs w:val="24"/>
          <w:highlight w:val="none"/>
        </w:rPr>
        <w:t>月</w:t>
      </w:r>
      <w:r>
        <w:rPr>
          <w:rFonts w:hint="eastAsia" w:asciiTheme="majorEastAsia" w:hAnsiTheme="majorEastAsia" w:eastAsiaTheme="majorEastAsia" w:cstheme="majorEastAsia"/>
          <w:color w:val="FF0000"/>
          <w:szCs w:val="24"/>
          <w:highlight w:val="none"/>
          <w:lang w:val="en-US" w:eastAsia="zh-CN"/>
        </w:rPr>
        <w:t>31</w:t>
      </w:r>
      <w:r>
        <w:rPr>
          <w:rFonts w:hint="eastAsia" w:asciiTheme="majorEastAsia" w:hAnsiTheme="majorEastAsia" w:eastAsiaTheme="majorEastAsia" w:cstheme="majorEastAsia"/>
          <w:color w:val="FF0000"/>
          <w:szCs w:val="24"/>
          <w:highlight w:val="none"/>
        </w:rPr>
        <w:t>日至磋商时间。</w:t>
      </w:r>
    </w:p>
    <w:p w14:paraId="54B2FFE3">
      <w:pPr>
        <w:adjustRightInd w:val="0"/>
        <w:snapToGrid w:val="0"/>
        <w:spacing w:before="93" w:beforeLines="30" w:after="93" w:afterLines="30"/>
        <w:ind w:firstLine="480"/>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szCs w:val="24"/>
          <w:highlight w:val="none"/>
        </w:rPr>
        <w:t>3.2 获取地点：优质采云采购平台（http://www.youzhicai.com/）</w:t>
      </w:r>
    </w:p>
    <w:p w14:paraId="2DB4C021">
      <w:pPr>
        <w:adjustRightInd w:val="0"/>
        <w:snapToGrid w:val="0"/>
        <w:spacing w:before="93" w:beforeLines="30" w:after="93" w:afterLines="30"/>
        <w:ind w:firstLine="480"/>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szCs w:val="24"/>
          <w:highlight w:val="none"/>
        </w:rPr>
        <w:t>3.3 获取方式：在线下载</w:t>
      </w:r>
    </w:p>
    <w:p w14:paraId="3B37BAAA">
      <w:pPr>
        <w:spacing w:before="93" w:beforeLines="30" w:after="93" w:afterLines="30"/>
        <w:ind w:firstLine="482"/>
        <w:rPr>
          <w:rFonts w:asciiTheme="majorEastAsia" w:hAnsiTheme="majorEastAsia" w:eastAsiaTheme="majorEastAsia" w:cstheme="majorEastAsia"/>
          <w:b/>
          <w:bCs/>
          <w:szCs w:val="24"/>
          <w:highlight w:val="none"/>
        </w:rPr>
      </w:pPr>
      <w:r>
        <w:rPr>
          <w:rFonts w:hint="eastAsia" w:asciiTheme="majorEastAsia" w:hAnsiTheme="majorEastAsia" w:eastAsiaTheme="majorEastAsia" w:cstheme="majorEastAsia"/>
          <w:b/>
          <w:bCs/>
          <w:szCs w:val="24"/>
          <w:highlight w:val="none"/>
        </w:rPr>
        <w:t>4.响应文件提交截止时间</w:t>
      </w:r>
    </w:p>
    <w:p w14:paraId="5DAF5C49">
      <w:pPr>
        <w:adjustRightInd w:val="0"/>
        <w:snapToGrid w:val="0"/>
        <w:spacing w:before="93" w:beforeLines="30" w:after="93" w:afterLines="30"/>
        <w:ind w:firstLine="480"/>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szCs w:val="24"/>
          <w:highlight w:val="none"/>
        </w:rPr>
        <w:t>同磋商时间。</w:t>
      </w:r>
    </w:p>
    <w:p w14:paraId="796D2C58">
      <w:pPr>
        <w:spacing w:before="93" w:beforeLines="30" w:after="93" w:afterLines="30"/>
        <w:ind w:firstLine="482"/>
        <w:rPr>
          <w:rFonts w:asciiTheme="majorEastAsia" w:hAnsiTheme="majorEastAsia" w:eastAsiaTheme="majorEastAsia" w:cstheme="majorEastAsia"/>
          <w:b/>
          <w:bCs/>
          <w:szCs w:val="24"/>
          <w:highlight w:val="none"/>
        </w:rPr>
      </w:pPr>
      <w:r>
        <w:rPr>
          <w:rFonts w:hint="eastAsia" w:asciiTheme="majorEastAsia" w:hAnsiTheme="majorEastAsia" w:eastAsiaTheme="majorEastAsia" w:cstheme="majorEastAsia"/>
          <w:b/>
          <w:bCs/>
          <w:szCs w:val="24"/>
          <w:highlight w:val="none"/>
        </w:rPr>
        <w:t>5.磋商时间及地点</w:t>
      </w:r>
    </w:p>
    <w:p w14:paraId="79981470">
      <w:pPr>
        <w:adjustRightInd w:val="0"/>
        <w:snapToGrid w:val="0"/>
        <w:spacing w:before="93" w:beforeLines="30" w:after="93" w:afterLines="30"/>
        <w:ind w:firstLine="480"/>
        <w:rPr>
          <w:rFonts w:hint="default" w:asciiTheme="majorEastAsia" w:hAnsiTheme="majorEastAsia" w:eastAsiaTheme="majorEastAsia" w:cstheme="majorEastAsia"/>
          <w:szCs w:val="24"/>
          <w:highlight w:val="none"/>
          <w:lang w:val="en-US" w:eastAsia="zh-CN"/>
        </w:rPr>
      </w:pPr>
      <w:r>
        <w:rPr>
          <w:rFonts w:hint="eastAsia" w:asciiTheme="majorEastAsia" w:hAnsiTheme="majorEastAsia" w:eastAsiaTheme="majorEastAsia" w:cstheme="majorEastAsia"/>
          <w:szCs w:val="24"/>
          <w:highlight w:val="none"/>
        </w:rPr>
        <w:t>5.1 磋商时间：</w:t>
      </w:r>
      <w:r>
        <w:rPr>
          <w:rFonts w:hint="eastAsia" w:asciiTheme="majorEastAsia" w:hAnsiTheme="majorEastAsia" w:eastAsiaTheme="majorEastAsia" w:cstheme="majorEastAsia"/>
          <w:color w:val="FF0000"/>
          <w:szCs w:val="24"/>
          <w:highlight w:val="none"/>
        </w:rPr>
        <w:t>202</w:t>
      </w:r>
      <w:r>
        <w:rPr>
          <w:rFonts w:hint="eastAsia" w:asciiTheme="majorEastAsia" w:hAnsiTheme="majorEastAsia" w:eastAsiaTheme="majorEastAsia" w:cstheme="majorEastAsia"/>
          <w:color w:val="FF0000"/>
          <w:szCs w:val="24"/>
          <w:highlight w:val="none"/>
          <w:lang w:val="en-US" w:eastAsia="zh-CN"/>
        </w:rPr>
        <w:t>6</w:t>
      </w:r>
      <w:r>
        <w:rPr>
          <w:rFonts w:hint="eastAsia" w:asciiTheme="majorEastAsia" w:hAnsiTheme="majorEastAsia" w:eastAsiaTheme="majorEastAsia" w:cstheme="majorEastAsia"/>
          <w:color w:val="FF0000"/>
          <w:szCs w:val="24"/>
          <w:highlight w:val="none"/>
        </w:rPr>
        <w:t>年</w:t>
      </w:r>
      <w:r>
        <w:rPr>
          <w:rFonts w:hint="eastAsia" w:asciiTheme="majorEastAsia" w:hAnsiTheme="majorEastAsia" w:eastAsiaTheme="majorEastAsia" w:cstheme="majorEastAsia"/>
          <w:color w:val="FF0000"/>
          <w:szCs w:val="24"/>
          <w:highlight w:val="none"/>
          <w:lang w:val="en-US" w:eastAsia="zh-CN"/>
        </w:rPr>
        <w:t>9</w:t>
      </w:r>
      <w:r>
        <w:rPr>
          <w:rFonts w:hint="eastAsia" w:asciiTheme="majorEastAsia" w:hAnsiTheme="majorEastAsia" w:eastAsiaTheme="majorEastAsia" w:cstheme="majorEastAsia"/>
          <w:color w:val="FF0000"/>
          <w:szCs w:val="24"/>
          <w:highlight w:val="none"/>
        </w:rPr>
        <w:t>月</w:t>
      </w:r>
      <w:r>
        <w:rPr>
          <w:rFonts w:hint="eastAsia" w:asciiTheme="majorEastAsia" w:hAnsiTheme="majorEastAsia" w:eastAsiaTheme="majorEastAsia" w:cstheme="majorEastAsia"/>
          <w:color w:val="FF0000"/>
          <w:szCs w:val="24"/>
          <w:highlight w:val="none"/>
          <w:lang w:val="en-US" w:eastAsia="zh-CN"/>
        </w:rPr>
        <w:t>10</w:t>
      </w:r>
      <w:r>
        <w:rPr>
          <w:rFonts w:hint="eastAsia" w:asciiTheme="majorEastAsia" w:hAnsiTheme="majorEastAsia" w:eastAsiaTheme="majorEastAsia" w:cstheme="majorEastAsia"/>
          <w:color w:val="FF0000"/>
          <w:szCs w:val="24"/>
          <w:highlight w:val="none"/>
        </w:rPr>
        <w:t>日</w:t>
      </w:r>
      <w:r>
        <w:rPr>
          <w:rFonts w:hint="eastAsia" w:asciiTheme="majorEastAsia" w:hAnsiTheme="majorEastAsia" w:eastAsiaTheme="majorEastAsia" w:cstheme="majorEastAsia"/>
          <w:color w:val="FF0000"/>
          <w:szCs w:val="24"/>
          <w:highlight w:val="none"/>
          <w:lang w:val="en-US" w:eastAsia="zh-CN"/>
        </w:rPr>
        <w:t>上午9时00分</w:t>
      </w:r>
    </w:p>
    <w:p w14:paraId="5A726F0E">
      <w:pPr>
        <w:adjustRightInd w:val="0"/>
        <w:snapToGrid w:val="0"/>
        <w:spacing w:before="93" w:beforeLines="30" w:after="93" w:afterLines="30"/>
        <w:ind w:firstLine="480"/>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szCs w:val="24"/>
          <w:highlight w:val="none"/>
        </w:rPr>
        <w:t>5.2 磋商地点：优质采云采购平台（http://www.youzhicai.com/）</w:t>
      </w:r>
    </w:p>
    <w:p w14:paraId="1EB120F1">
      <w:pPr>
        <w:spacing w:before="93" w:beforeLines="30" w:after="93" w:afterLines="30"/>
        <w:ind w:firstLine="482"/>
        <w:rPr>
          <w:rFonts w:asciiTheme="majorEastAsia" w:hAnsiTheme="majorEastAsia" w:eastAsiaTheme="majorEastAsia" w:cstheme="majorEastAsia"/>
          <w:b/>
          <w:bCs/>
          <w:szCs w:val="24"/>
          <w:highlight w:val="none"/>
        </w:rPr>
      </w:pPr>
      <w:r>
        <w:rPr>
          <w:rFonts w:hint="eastAsia" w:asciiTheme="majorEastAsia" w:hAnsiTheme="majorEastAsia" w:eastAsiaTheme="majorEastAsia" w:cstheme="majorEastAsia"/>
          <w:b/>
          <w:bCs/>
          <w:szCs w:val="24"/>
          <w:highlight w:val="none"/>
        </w:rPr>
        <w:t>6.发布公告的媒介</w:t>
      </w:r>
    </w:p>
    <w:p w14:paraId="43280728">
      <w:pPr>
        <w:spacing w:before="93" w:beforeLines="30" w:after="93" w:afterLines="30"/>
        <w:ind w:firstLine="480"/>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szCs w:val="24"/>
          <w:highlight w:val="none"/>
        </w:rPr>
        <w:t>本次磋商公告同时在肥西县公共资源交易有限责任公司、优质采云采购平台、安徽省招标投标信息网、中国采购与招标网上发布。</w:t>
      </w:r>
    </w:p>
    <w:p w14:paraId="61944674">
      <w:pPr>
        <w:spacing w:before="93" w:beforeLines="30" w:after="93" w:afterLines="30"/>
        <w:ind w:firstLine="482"/>
        <w:rPr>
          <w:rFonts w:asciiTheme="majorEastAsia" w:hAnsiTheme="majorEastAsia" w:eastAsiaTheme="majorEastAsia" w:cstheme="majorEastAsia"/>
          <w:b/>
          <w:bCs/>
          <w:szCs w:val="24"/>
          <w:highlight w:val="none"/>
        </w:rPr>
      </w:pPr>
      <w:r>
        <w:rPr>
          <w:rFonts w:hint="eastAsia" w:asciiTheme="majorEastAsia" w:hAnsiTheme="majorEastAsia" w:eastAsiaTheme="majorEastAsia" w:cstheme="majorEastAsia"/>
          <w:b/>
          <w:bCs/>
          <w:szCs w:val="24"/>
          <w:highlight w:val="none"/>
        </w:rPr>
        <w:t>7.联系方式</w:t>
      </w:r>
    </w:p>
    <w:p w14:paraId="772AA214">
      <w:pPr>
        <w:spacing w:before="93" w:beforeLines="30" w:after="93" w:afterLines="30"/>
        <w:ind w:firstLine="480"/>
        <w:rPr>
          <w:rFonts w:hint="eastAsia" w:asciiTheme="majorEastAsia" w:hAnsiTheme="majorEastAsia" w:eastAsiaTheme="majorEastAsia" w:cstheme="majorEastAsia"/>
          <w:szCs w:val="24"/>
          <w:highlight w:val="none"/>
          <w:lang w:eastAsia="zh-CN"/>
        </w:rPr>
      </w:pPr>
      <w:r>
        <w:rPr>
          <w:rFonts w:hint="eastAsia" w:asciiTheme="majorEastAsia" w:hAnsiTheme="majorEastAsia" w:eastAsiaTheme="majorEastAsia" w:cstheme="majorEastAsia"/>
          <w:szCs w:val="24"/>
          <w:highlight w:val="none"/>
        </w:rPr>
        <w:t>7.1 业主单位</w:t>
      </w:r>
    </w:p>
    <w:p w14:paraId="0D8A1133">
      <w:pPr>
        <w:spacing w:before="93" w:beforeLines="30" w:after="93" w:afterLines="30"/>
        <w:ind w:firstLine="480"/>
        <w:rPr>
          <w:rFonts w:hint="eastAsia" w:asciiTheme="majorEastAsia" w:hAnsiTheme="majorEastAsia" w:eastAsiaTheme="majorEastAsia" w:cstheme="majorEastAsia"/>
          <w:szCs w:val="24"/>
          <w:highlight w:val="none"/>
          <w:lang w:eastAsia="zh-CN"/>
        </w:rPr>
      </w:pPr>
      <w:r>
        <w:rPr>
          <w:rFonts w:hint="eastAsia" w:asciiTheme="majorEastAsia" w:hAnsiTheme="majorEastAsia" w:eastAsiaTheme="majorEastAsia" w:cstheme="majorEastAsia"/>
          <w:szCs w:val="24"/>
          <w:highlight w:val="none"/>
        </w:rPr>
        <w:t>业主单位名称：</w:t>
      </w:r>
      <w:r>
        <w:rPr>
          <w:rFonts w:hint="eastAsia" w:asciiTheme="majorEastAsia" w:hAnsiTheme="majorEastAsia" w:eastAsiaTheme="majorEastAsia" w:cstheme="majorEastAsia"/>
          <w:szCs w:val="24"/>
          <w:highlight w:val="none"/>
          <w:lang w:eastAsia="zh-CN"/>
        </w:rPr>
        <w:t xml:space="preserve">肥西县桃花镇人民政府 </w:t>
      </w:r>
    </w:p>
    <w:p w14:paraId="5E94607A">
      <w:pPr>
        <w:spacing w:before="93" w:beforeLines="30" w:after="93" w:afterLines="30"/>
        <w:ind w:firstLine="480"/>
        <w:rPr>
          <w:rFonts w:hint="default" w:asciiTheme="majorEastAsia" w:hAnsiTheme="majorEastAsia" w:eastAsiaTheme="majorEastAsia" w:cstheme="majorEastAsia"/>
          <w:szCs w:val="24"/>
          <w:highlight w:val="none"/>
          <w:u w:val="none"/>
          <w:lang w:val="en-US" w:eastAsia="zh-CN"/>
        </w:rPr>
      </w:pPr>
      <w:r>
        <w:rPr>
          <w:rFonts w:hint="eastAsia" w:asciiTheme="majorEastAsia" w:hAnsiTheme="majorEastAsia" w:eastAsiaTheme="majorEastAsia" w:cstheme="majorEastAsia"/>
          <w:szCs w:val="24"/>
          <w:highlight w:val="none"/>
        </w:rPr>
        <w:t>地址：</w:t>
      </w:r>
      <w:r>
        <w:rPr>
          <w:rFonts w:hint="eastAsia" w:asciiTheme="majorEastAsia" w:hAnsiTheme="majorEastAsia" w:eastAsiaTheme="majorEastAsia" w:cstheme="majorEastAsia"/>
          <w:szCs w:val="24"/>
          <w:highlight w:val="none"/>
          <w:lang w:eastAsia="zh-CN"/>
        </w:rPr>
        <w:t>合肥市高新玉兰大道</w:t>
      </w:r>
      <w:r>
        <w:rPr>
          <w:rFonts w:hint="eastAsia" w:asciiTheme="majorEastAsia" w:hAnsiTheme="majorEastAsia" w:eastAsiaTheme="majorEastAsia" w:cstheme="majorEastAsia"/>
          <w:szCs w:val="24"/>
          <w:highlight w:val="none"/>
          <w:lang w:val="en-US" w:eastAsia="zh-CN"/>
        </w:rPr>
        <w:t>40号</w:t>
      </w:r>
    </w:p>
    <w:p w14:paraId="139A2DD7">
      <w:pPr>
        <w:spacing w:before="93" w:beforeLines="30" w:after="93" w:afterLines="30"/>
        <w:ind w:firstLine="480"/>
        <w:rPr>
          <w:rFonts w:hint="eastAsia" w:asciiTheme="majorEastAsia" w:hAnsiTheme="majorEastAsia" w:eastAsiaTheme="majorEastAsia" w:cstheme="majorEastAsia"/>
          <w:szCs w:val="24"/>
          <w:highlight w:val="none"/>
          <w:u w:val="none"/>
          <w:lang w:val="en-US" w:eastAsia="zh-CN"/>
        </w:rPr>
      </w:pPr>
      <w:r>
        <w:rPr>
          <w:rFonts w:hint="eastAsia" w:asciiTheme="majorEastAsia" w:hAnsiTheme="majorEastAsia" w:eastAsiaTheme="majorEastAsia" w:cstheme="majorEastAsia"/>
          <w:szCs w:val="24"/>
          <w:highlight w:val="none"/>
          <w:u w:val="none"/>
        </w:rPr>
        <w:t>联系人：</w:t>
      </w:r>
      <w:r>
        <w:rPr>
          <w:rFonts w:hint="eastAsia" w:asciiTheme="majorEastAsia" w:hAnsiTheme="majorEastAsia" w:eastAsiaTheme="majorEastAsia" w:cstheme="majorEastAsia"/>
          <w:szCs w:val="24"/>
          <w:highlight w:val="none"/>
          <w:u w:val="none"/>
          <w:lang w:val="en-US" w:eastAsia="zh-CN"/>
        </w:rPr>
        <w:t>解正中</w:t>
      </w:r>
    </w:p>
    <w:p w14:paraId="75F3D677">
      <w:pPr>
        <w:spacing w:before="93" w:beforeLines="30" w:after="93" w:afterLines="30"/>
        <w:ind w:firstLine="480"/>
        <w:rPr>
          <w:rFonts w:hint="default" w:asciiTheme="majorEastAsia" w:hAnsiTheme="majorEastAsia" w:eastAsiaTheme="majorEastAsia" w:cstheme="majorEastAsia"/>
          <w:szCs w:val="24"/>
          <w:highlight w:val="none"/>
          <w:u w:val="none"/>
          <w:lang w:val="en-US" w:eastAsia="zh-CN"/>
        </w:rPr>
      </w:pPr>
      <w:r>
        <w:rPr>
          <w:rFonts w:hint="eastAsia" w:asciiTheme="majorEastAsia" w:hAnsiTheme="majorEastAsia" w:eastAsiaTheme="majorEastAsia" w:cstheme="majorEastAsia"/>
          <w:szCs w:val="24"/>
          <w:highlight w:val="none"/>
          <w:u w:val="none"/>
        </w:rPr>
        <w:t>电话：</w:t>
      </w:r>
      <w:r>
        <w:rPr>
          <w:rFonts w:hint="eastAsia" w:asciiTheme="majorEastAsia" w:hAnsiTheme="majorEastAsia" w:eastAsiaTheme="majorEastAsia" w:cstheme="majorEastAsia"/>
          <w:szCs w:val="24"/>
          <w:highlight w:val="none"/>
          <w:u w:val="none"/>
          <w:lang w:val="en-US" w:eastAsia="zh-CN"/>
        </w:rPr>
        <w:t>0551-</w:t>
      </w:r>
      <w:r>
        <w:rPr>
          <w:rFonts w:hint="eastAsia" w:asciiTheme="majorEastAsia" w:hAnsiTheme="majorEastAsia" w:eastAsiaTheme="majorEastAsia" w:cstheme="majorEastAsia"/>
          <w:szCs w:val="24"/>
          <w:highlight w:val="none"/>
          <w:lang w:val="en-US" w:eastAsia="zh-CN"/>
        </w:rPr>
        <w:t>68992110</w:t>
      </w:r>
    </w:p>
    <w:p w14:paraId="5455598F">
      <w:pPr>
        <w:spacing w:before="93" w:beforeLines="30" w:after="93" w:afterLines="30"/>
        <w:ind w:firstLine="480"/>
        <w:rPr>
          <w:rFonts w:asciiTheme="majorEastAsia" w:hAnsiTheme="majorEastAsia" w:eastAsiaTheme="majorEastAsia" w:cstheme="majorEastAsia"/>
          <w:b/>
          <w:szCs w:val="24"/>
          <w:highlight w:val="none"/>
        </w:rPr>
      </w:pPr>
      <w:r>
        <w:rPr>
          <w:rFonts w:hint="eastAsia" w:asciiTheme="majorEastAsia" w:hAnsiTheme="majorEastAsia" w:eastAsiaTheme="majorEastAsia" w:cstheme="majorEastAsia"/>
          <w:szCs w:val="24"/>
          <w:highlight w:val="none"/>
        </w:rPr>
        <w:t>7.2 代理机构</w:t>
      </w:r>
    </w:p>
    <w:p w14:paraId="7CCF6AFB">
      <w:pPr>
        <w:spacing w:before="93" w:beforeLines="30" w:after="93" w:afterLines="30"/>
        <w:ind w:firstLine="480"/>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szCs w:val="24"/>
          <w:highlight w:val="none"/>
        </w:rPr>
        <w:t>代理机构名称：肥西县公共资源交易有限责任公司</w:t>
      </w:r>
    </w:p>
    <w:p w14:paraId="79F4876B">
      <w:pPr>
        <w:spacing w:before="93" w:beforeLines="30" w:after="93" w:afterLines="30"/>
        <w:ind w:firstLine="480"/>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szCs w:val="24"/>
          <w:highlight w:val="none"/>
        </w:rPr>
        <w:t>地  址：肥西县上派镇紫石路与佛光路交叉口肥光办公区3号楼2楼</w:t>
      </w:r>
    </w:p>
    <w:p w14:paraId="3A5CA2C2">
      <w:pPr>
        <w:spacing w:before="93" w:beforeLines="30" w:after="93" w:afterLines="30"/>
        <w:ind w:firstLine="480"/>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szCs w:val="24"/>
          <w:highlight w:val="none"/>
        </w:rPr>
        <w:t>联系人：</w:t>
      </w:r>
      <w:r>
        <w:rPr>
          <w:rFonts w:hint="eastAsia" w:asciiTheme="majorEastAsia" w:hAnsiTheme="majorEastAsia" w:eastAsiaTheme="majorEastAsia" w:cstheme="majorEastAsia"/>
          <w:szCs w:val="24"/>
          <w:highlight w:val="none"/>
          <w:lang w:val="en-US" w:eastAsia="zh-CN"/>
        </w:rPr>
        <w:t>唐</w:t>
      </w:r>
      <w:r>
        <w:rPr>
          <w:rFonts w:hint="eastAsia" w:asciiTheme="majorEastAsia" w:hAnsiTheme="majorEastAsia" w:eastAsiaTheme="majorEastAsia" w:cstheme="majorEastAsia"/>
          <w:szCs w:val="24"/>
          <w:highlight w:val="none"/>
        </w:rPr>
        <w:t>工</w:t>
      </w:r>
    </w:p>
    <w:p w14:paraId="34E90846">
      <w:pPr>
        <w:spacing w:before="93" w:beforeLines="30" w:after="93" w:afterLines="30"/>
        <w:ind w:firstLine="480"/>
        <w:rPr>
          <w:rFonts w:hint="default" w:asciiTheme="majorEastAsia" w:hAnsiTheme="majorEastAsia" w:eastAsiaTheme="majorEastAsia" w:cstheme="majorEastAsia"/>
          <w:szCs w:val="24"/>
          <w:highlight w:val="none"/>
          <w:lang w:val="en-US" w:eastAsia="zh-CN"/>
        </w:rPr>
      </w:pPr>
      <w:r>
        <w:rPr>
          <w:rFonts w:hint="eastAsia" w:asciiTheme="majorEastAsia" w:hAnsiTheme="majorEastAsia" w:eastAsiaTheme="majorEastAsia" w:cstheme="majorEastAsia"/>
          <w:szCs w:val="24"/>
          <w:highlight w:val="none"/>
        </w:rPr>
        <w:t>电  话：0551-688</w:t>
      </w:r>
      <w:r>
        <w:rPr>
          <w:rFonts w:hint="eastAsia" w:asciiTheme="majorEastAsia" w:hAnsiTheme="majorEastAsia" w:eastAsiaTheme="majorEastAsia" w:cstheme="majorEastAsia"/>
          <w:szCs w:val="24"/>
          <w:highlight w:val="none"/>
          <w:lang w:val="en-US" w:eastAsia="zh-CN"/>
        </w:rPr>
        <w:t>38796</w:t>
      </w:r>
    </w:p>
    <w:p w14:paraId="7D0F1D10">
      <w:pPr>
        <w:spacing w:before="93" w:beforeLines="30" w:after="93" w:afterLines="30"/>
        <w:ind w:firstLine="480"/>
        <w:rPr>
          <w:rFonts w:hint="eastAsia" w:asciiTheme="majorEastAsia" w:hAnsiTheme="majorEastAsia" w:eastAsiaTheme="majorEastAsia" w:cstheme="majorEastAsia"/>
          <w:b/>
          <w:szCs w:val="24"/>
          <w:highlight w:val="none"/>
          <w:lang w:eastAsia="zh-CN"/>
        </w:rPr>
      </w:pPr>
      <w:r>
        <w:rPr>
          <w:rFonts w:hint="eastAsia" w:asciiTheme="majorEastAsia" w:hAnsiTheme="majorEastAsia" w:eastAsiaTheme="majorEastAsia" w:cstheme="majorEastAsia"/>
          <w:szCs w:val="24"/>
          <w:highlight w:val="none"/>
        </w:rPr>
        <w:t>7.3 监督管理部门</w:t>
      </w:r>
    </w:p>
    <w:p w14:paraId="4BA03E8D">
      <w:pPr>
        <w:spacing w:before="93" w:beforeLines="30" w:after="93" w:afterLines="30"/>
        <w:ind w:firstLine="480"/>
        <w:rPr>
          <w:rFonts w:hint="eastAsia" w:asciiTheme="majorEastAsia" w:hAnsiTheme="majorEastAsia" w:eastAsiaTheme="majorEastAsia" w:cstheme="majorEastAsia"/>
          <w:b/>
          <w:color w:val="000000" w:themeColor="text1"/>
          <w:szCs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Cs w:val="24"/>
          <w:highlight w:val="none"/>
          <w14:textFill>
            <w14:solidFill>
              <w14:schemeClr w14:val="tx1"/>
            </w14:solidFill>
          </w14:textFill>
        </w:rPr>
        <w:t>监督管理部门：</w:t>
      </w:r>
      <w:r>
        <w:rPr>
          <w:rFonts w:hint="eastAsia" w:asciiTheme="majorEastAsia" w:hAnsiTheme="majorEastAsia" w:eastAsiaTheme="majorEastAsia" w:cstheme="majorEastAsia"/>
          <w:color w:val="000000" w:themeColor="text1"/>
          <w:szCs w:val="24"/>
          <w:highlight w:val="none"/>
          <w:lang w:val="en-US" w:eastAsia="zh-CN"/>
          <w14:textFill>
            <w14:solidFill>
              <w14:schemeClr w14:val="tx1"/>
            </w14:solidFill>
          </w14:textFill>
        </w:rPr>
        <w:t>肥西县</w:t>
      </w:r>
      <w:r>
        <w:rPr>
          <w:rFonts w:hint="eastAsia" w:asciiTheme="majorEastAsia" w:hAnsiTheme="majorEastAsia" w:eastAsiaTheme="majorEastAsia" w:cstheme="majorEastAsia"/>
          <w:color w:val="000000" w:themeColor="text1"/>
          <w:szCs w:val="24"/>
          <w:highlight w:val="none"/>
          <w14:textFill>
            <w14:solidFill>
              <w14:schemeClr w14:val="tx1"/>
            </w14:solidFill>
          </w14:textFill>
        </w:rPr>
        <w:t>桃花镇纪委</w:t>
      </w:r>
    </w:p>
    <w:p w14:paraId="36B780FF">
      <w:pPr>
        <w:spacing w:before="93" w:beforeLines="30" w:after="93" w:afterLines="30"/>
        <w:ind w:firstLine="480"/>
        <w:rPr>
          <w:rFonts w:asciiTheme="majorEastAsia" w:hAnsiTheme="majorEastAsia" w:eastAsiaTheme="majorEastAsia" w:cstheme="majorEastAsia"/>
          <w:color w:val="000000" w:themeColor="text1"/>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Cs w:val="24"/>
          <w:highlight w:val="none"/>
          <w14:textFill>
            <w14:solidFill>
              <w14:schemeClr w14:val="tx1"/>
            </w14:solidFill>
          </w14:textFill>
        </w:rPr>
        <w:t>地  址：</w:t>
      </w:r>
      <w:r>
        <w:rPr>
          <w:rFonts w:hint="eastAsia" w:asciiTheme="majorEastAsia" w:hAnsiTheme="majorEastAsia" w:eastAsiaTheme="majorEastAsia" w:cstheme="majorEastAsia"/>
          <w:szCs w:val="24"/>
          <w:highlight w:val="none"/>
          <w:lang w:eastAsia="zh-CN"/>
        </w:rPr>
        <w:t>合肥市高新玉兰大道</w:t>
      </w:r>
      <w:r>
        <w:rPr>
          <w:rFonts w:hint="eastAsia" w:asciiTheme="majorEastAsia" w:hAnsiTheme="majorEastAsia" w:eastAsiaTheme="majorEastAsia" w:cstheme="majorEastAsia"/>
          <w:szCs w:val="24"/>
          <w:highlight w:val="none"/>
          <w:lang w:val="en-US" w:eastAsia="zh-CN"/>
        </w:rPr>
        <w:t>40号</w:t>
      </w:r>
    </w:p>
    <w:p w14:paraId="6F9F12F1">
      <w:pPr>
        <w:spacing w:before="93" w:beforeLines="30" w:after="93" w:afterLines="30"/>
        <w:ind w:firstLine="480"/>
        <w:rPr>
          <w:rFonts w:hint="default" w:asciiTheme="majorEastAsia" w:hAnsiTheme="majorEastAsia" w:eastAsiaTheme="majorEastAsia" w:cstheme="majorEastAsia"/>
          <w:color w:val="000000" w:themeColor="text1"/>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Cs w:val="24"/>
          <w:highlight w:val="none"/>
          <w14:textFill>
            <w14:solidFill>
              <w14:schemeClr w14:val="tx1"/>
            </w14:solidFill>
          </w14:textFill>
        </w:rPr>
        <w:t>电  话：0551</w:t>
      </w:r>
      <w:r>
        <w:rPr>
          <w:rFonts w:hint="eastAsia" w:asciiTheme="majorEastAsia" w:hAnsiTheme="majorEastAsia" w:eastAsiaTheme="majorEastAsia" w:cstheme="majorEastAsia"/>
          <w:color w:val="000000" w:themeColor="text1"/>
          <w:szCs w:val="24"/>
          <w:highlight w:val="none"/>
          <w:lang w:val="en-US" w:eastAsia="zh-CN"/>
          <w14:textFill>
            <w14:solidFill>
              <w14:schemeClr w14:val="tx1"/>
            </w14:solidFill>
          </w14:textFill>
        </w:rPr>
        <w:t>-</w:t>
      </w:r>
      <w:r>
        <w:rPr>
          <w:rFonts w:hint="eastAsia" w:asciiTheme="majorEastAsia" w:hAnsiTheme="majorEastAsia" w:eastAsiaTheme="majorEastAsia" w:cstheme="majorEastAsia"/>
          <w:color w:val="000000" w:themeColor="text1"/>
          <w:szCs w:val="24"/>
          <w:highlight w:val="none"/>
          <w14:textFill>
            <w14:solidFill>
              <w14:schemeClr w14:val="tx1"/>
            </w14:solidFill>
          </w14:textFill>
        </w:rPr>
        <w:t>62575110</w:t>
      </w:r>
    </w:p>
    <w:p w14:paraId="737A0898">
      <w:pPr>
        <w:spacing w:before="93" w:beforeLines="30" w:after="93" w:afterLines="30"/>
        <w:ind w:firstLine="482"/>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b/>
          <w:szCs w:val="24"/>
          <w:highlight w:val="none"/>
        </w:rPr>
        <w:t>8.其他事项说明</w:t>
      </w:r>
    </w:p>
    <w:p w14:paraId="1DCDC09E">
      <w:pPr>
        <w:spacing w:before="93" w:beforeLines="30" w:after="93" w:afterLines="30"/>
        <w:ind w:firstLine="480"/>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szCs w:val="24"/>
          <w:highlight w:val="none"/>
        </w:rPr>
        <w:t>8.1 电子化交易要求：</w:t>
      </w:r>
    </w:p>
    <w:p w14:paraId="29D1E155">
      <w:pPr>
        <w:spacing w:before="93" w:beforeLines="30" w:after="93" w:afterLines="30"/>
        <w:ind w:firstLine="480"/>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szCs w:val="24"/>
          <w:highlight w:val="none"/>
        </w:rPr>
        <w:t>（1）潜在供应商须登录“优质采云采购平台”（网址：http://www.youzhicai.com/，以下称“优质采平台”）参与本项目磋商活动。首次登录须办理注册手续，请务必选择注册为“投标人角色”类型。注册流程见优质采平台“用户注册”栏目，咨询电话：400-0099-555。因未及时办理注册手续影响参加磋商活动的，责任自负。</w:t>
      </w:r>
    </w:p>
    <w:p w14:paraId="4A896751">
      <w:pPr>
        <w:spacing w:before="93" w:beforeLines="30" w:after="93" w:afterLines="30"/>
        <w:ind w:firstLine="480"/>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szCs w:val="24"/>
          <w:highlight w:val="none"/>
        </w:rPr>
        <w:t>（2）已注册的潜在供应商可登录优质采平台获取磋商文件，本项目的磋商文件及其他资料（含澄清、答疑及相关补充文件）通过优质采平台发布，业主单位/代理机构不再另行书面通知，潜在供应商应及时关注、查阅优质采平台。因未及时查看导致不利后果的，责任自负。</w:t>
      </w:r>
    </w:p>
    <w:p w14:paraId="74044186">
      <w:pPr>
        <w:spacing w:before="93" w:beforeLines="30" w:after="93" w:afterLines="30"/>
        <w:ind w:firstLine="480"/>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szCs w:val="24"/>
          <w:highlight w:val="none"/>
        </w:rPr>
        <w:t>（3）已注册的潜在供应商若注册信息发生变更（如：与初始注册信息不一致），应及</w:t>
      </w:r>
      <w:r>
        <w:rPr>
          <w:rFonts w:hint="eastAsia" w:asciiTheme="majorEastAsia" w:hAnsiTheme="majorEastAsia" w:eastAsiaTheme="majorEastAsia" w:cstheme="majorEastAsia"/>
          <w:szCs w:val="24"/>
          <w:highlight w:val="none"/>
          <w:lang w:eastAsia="zh-CN"/>
        </w:rPr>
        <w:t>时在</w:t>
      </w:r>
      <w:r>
        <w:rPr>
          <w:rFonts w:hint="eastAsia" w:asciiTheme="majorEastAsia" w:hAnsiTheme="majorEastAsia" w:eastAsiaTheme="majorEastAsia" w:cstheme="majorEastAsia"/>
          <w:szCs w:val="24"/>
          <w:highlight w:val="none"/>
        </w:rPr>
        <w:t>网上提交变更申请。因未及时变更导致不利后果的，责任自负。</w:t>
      </w:r>
    </w:p>
    <w:p w14:paraId="02C262DF">
      <w:pPr>
        <w:spacing w:before="93" w:beforeLines="30" w:after="93" w:afterLines="30"/>
        <w:ind w:firstLine="480"/>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szCs w:val="24"/>
          <w:highlight w:val="none"/>
        </w:rPr>
        <w:t>（4）本项目采用全流程电子化交易方式，潜在供应商须办理CA数字证书（以下简称CA），CA用于响应文件的签章及上传（上传响应文件需使用CA进行加密）；CA办理详见《关于优质采平台数字证书办理的须知》（http://www.youzhicai.com/nd/a_8f80a7ec-911f-4c4d-a123-f8849880f045.html）；咨询热线：400-0099-555。CA锁线上办理地址：https://portal.youzhicai.com/ui/portal-sup/#/signature/list</w:t>
      </w:r>
    </w:p>
    <w:p w14:paraId="625BA4FA">
      <w:pPr>
        <w:spacing w:before="93" w:beforeLines="30" w:after="93" w:afterLines="30"/>
        <w:ind w:firstLine="480"/>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szCs w:val="24"/>
          <w:highlight w:val="none"/>
        </w:rPr>
        <w:t>（5）响应文件必须使用“优质采投标文件制作工具”制作生成并上传。下载地址：http://toolcdn.youzhicai.com/tools/BidderTools.zip，使用说明书及视频教程下载地址：http://file.youzhicai.com/files/BidderHelp.rar。</w:t>
      </w:r>
    </w:p>
    <w:p w14:paraId="2E0AC82D">
      <w:pPr>
        <w:spacing w:before="93" w:beforeLines="30" w:after="93" w:afterLines="30"/>
        <w:ind w:firstLine="480"/>
        <w:rPr>
          <w:rFonts w:asciiTheme="majorEastAsia" w:hAnsiTheme="majorEastAsia" w:eastAsiaTheme="majorEastAsia" w:cstheme="majorEastAsia"/>
          <w:szCs w:val="24"/>
          <w:highlight w:val="none"/>
        </w:rPr>
      </w:pPr>
      <w:r>
        <w:rPr>
          <w:rFonts w:hint="eastAsia" w:asciiTheme="majorEastAsia" w:hAnsiTheme="majorEastAsia" w:eastAsiaTheme="majorEastAsia" w:cstheme="majorEastAsia"/>
          <w:szCs w:val="24"/>
          <w:highlight w:val="none"/>
        </w:rPr>
        <w:t>8.2 供应商应合理安排磋商文件获取时间，特别是网络速度慢的地区防止在系统关闭前网络拥堵无法操作。如果因计算机及网络故障造成无法完成磋商文件获取，责任自负。</w:t>
      </w:r>
      <w:bookmarkEnd w:id="2"/>
      <w:r>
        <w:rPr>
          <w:rFonts w:hint="eastAsia" w:asciiTheme="majorEastAsia" w:hAnsiTheme="majorEastAsia" w:eastAsiaTheme="majorEastAsia" w:cstheme="majorEastAsia"/>
          <w:szCs w:val="24"/>
          <w:highlight w:val="none"/>
        </w:rPr>
        <w:br w:type="page"/>
      </w:r>
    </w:p>
    <w:p w14:paraId="25E41F8F">
      <w:pPr>
        <w:ind w:firstLine="562"/>
        <w:jc w:val="center"/>
        <w:outlineLvl w:val="1"/>
        <w:rPr>
          <w:rFonts w:asciiTheme="minorEastAsia" w:hAnsiTheme="minorEastAsia" w:eastAsiaTheme="minorEastAsia"/>
          <w:b/>
          <w:sz w:val="28"/>
          <w:highlight w:val="none"/>
        </w:rPr>
      </w:pPr>
      <w:bookmarkStart w:id="3" w:name="_Toc4515"/>
      <w:r>
        <w:rPr>
          <w:rFonts w:hint="eastAsia" w:asciiTheme="minorEastAsia" w:hAnsiTheme="minorEastAsia" w:eastAsiaTheme="minorEastAsia"/>
          <w:b/>
          <w:sz w:val="28"/>
          <w:highlight w:val="none"/>
        </w:rPr>
        <w:t>第二章</w:t>
      </w:r>
      <w:r>
        <w:rPr>
          <w:rFonts w:asciiTheme="minorEastAsia" w:hAnsiTheme="minorEastAsia" w:eastAsiaTheme="minorEastAsia"/>
          <w:b/>
          <w:sz w:val="28"/>
          <w:highlight w:val="none"/>
        </w:rPr>
        <w:t xml:space="preserve"> </w:t>
      </w:r>
      <w:r>
        <w:rPr>
          <w:rFonts w:hint="eastAsia" w:asciiTheme="minorEastAsia" w:hAnsiTheme="minorEastAsia" w:eastAsiaTheme="minorEastAsia"/>
          <w:b/>
          <w:sz w:val="28"/>
          <w:highlight w:val="none"/>
        </w:rPr>
        <w:t xml:space="preserve"> 供应商</w:t>
      </w:r>
      <w:r>
        <w:rPr>
          <w:rFonts w:asciiTheme="minorEastAsia" w:hAnsiTheme="minorEastAsia" w:eastAsiaTheme="minorEastAsia"/>
          <w:b/>
          <w:sz w:val="28"/>
          <w:highlight w:val="none"/>
        </w:rPr>
        <w:t>须知</w:t>
      </w:r>
      <w:bookmarkEnd w:id="3"/>
    </w:p>
    <w:p w14:paraId="058BC701">
      <w:pPr>
        <w:ind w:firstLine="482"/>
        <w:jc w:val="center"/>
        <w:outlineLvl w:val="2"/>
        <w:rPr>
          <w:rFonts w:asciiTheme="minorEastAsia" w:hAnsiTheme="minorEastAsia" w:eastAsiaTheme="minorEastAsia"/>
          <w:b/>
          <w:highlight w:val="none"/>
        </w:rPr>
      </w:pPr>
      <w:r>
        <w:rPr>
          <w:rFonts w:hint="eastAsia" w:asciiTheme="minorEastAsia" w:hAnsiTheme="minorEastAsia" w:eastAsiaTheme="minorEastAsia"/>
          <w:b/>
          <w:highlight w:val="none"/>
        </w:rPr>
        <w:t>供应商</w:t>
      </w:r>
      <w:r>
        <w:rPr>
          <w:rFonts w:asciiTheme="minorEastAsia" w:hAnsiTheme="minorEastAsia" w:eastAsiaTheme="minorEastAsia"/>
          <w:b/>
          <w:highlight w:val="none"/>
        </w:rPr>
        <w:t>须</w:t>
      </w:r>
      <w:r>
        <w:rPr>
          <w:rFonts w:hint="eastAsia" w:asciiTheme="minorEastAsia" w:hAnsiTheme="minorEastAsia" w:eastAsiaTheme="minorEastAsia"/>
          <w:b/>
          <w:highlight w:val="none"/>
        </w:rPr>
        <w:t>知前附表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3"/>
        <w:gridCol w:w="1333"/>
        <w:gridCol w:w="6176"/>
      </w:tblGrid>
      <w:tr w14:paraId="40FA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vAlign w:val="center"/>
          </w:tcPr>
          <w:p w14:paraId="69BC9F16">
            <w:pPr>
              <w:pStyle w:val="20"/>
              <w:rPr>
                <w:b/>
                <w:bCs w:val="0"/>
                <w:color w:val="000000" w:themeColor="text1"/>
                <w:highlight w:val="none"/>
                <w14:textFill>
                  <w14:solidFill>
                    <w14:schemeClr w14:val="tx1"/>
                  </w14:solidFill>
                </w14:textFill>
              </w:rPr>
            </w:pPr>
            <w:r>
              <w:rPr>
                <w:rFonts w:hint="eastAsia"/>
                <w:b/>
                <w:bCs w:val="0"/>
                <w:color w:val="000000" w:themeColor="text1"/>
                <w:highlight w:val="none"/>
                <w14:textFill>
                  <w14:solidFill>
                    <w14:schemeClr w14:val="tx1"/>
                  </w14:solidFill>
                </w14:textFill>
              </w:rPr>
              <w:t>条款号</w:t>
            </w:r>
          </w:p>
        </w:tc>
        <w:tc>
          <w:tcPr>
            <w:tcW w:w="782" w:type="pct"/>
            <w:vAlign w:val="center"/>
          </w:tcPr>
          <w:p w14:paraId="13F3EA01">
            <w:pPr>
              <w:pStyle w:val="20"/>
              <w:rPr>
                <w:b/>
                <w:bCs w:val="0"/>
                <w:color w:val="000000" w:themeColor="text1"/>
                <w:highlight w:val="none"/>
                <w14:textFill>
                  <w14:solidFill>
                    <w14:schemeClr w14:val="tx1"/>
                  </w14:solidFill>
                </w14:textFill>
              </w:rPr>
            </w:pPr>
            <w:r>
              <w:rPr>
                <w:rFonts w:hint="eastAsia"/>
                <w:b/>
                <w:bCs w:val="0"/>
                <w:color w:val="000000" w:themeColor="text1"/>
                <w:highlight w:val="none"/>
                <w14:textFill>
                  <w14:solidFill>
                    <w14:schemeClr w14:val="tx1"/>
                  </w14:solidFill>
                </w14:textFill>
              </w:rPr>
              <w:t>条款名称</w:t>
            </w:r>
          </w:p>
        </w:tc>
        <w:tc>
          <w:tcPr>
            <w:tcW w:w="3623" w:type="pct"/>
            <w:vAlign w:val="center"/>
          </w:tcPr>
          <w:p w14:paraId="78623818">
            <w:pPr>
              <w:pStyle w:val="20"/>
              <w:rPr>
                <w:b/>
                <w:bCs w:val="0"/>
                <w:color w:val="000000" w:themeColor="text1"/>
                <w:highlight w:val="none"/>
                <w14:textFill>
                  <w14:solidFill>
                    <w14:schemeClr w14:val="tx1"/>
                  </w14:solidFill>
                </w14:textFill>
              </w:rPr>
            </w:pPr>
            <w:r>
              <w:rPr>
                <w:rFonts w:hint="eastAsia"/>
                <w:b/>
                <w:bCs w:val="0"/>
                <w:color w:val="000000" w:themeColor="text1"/>
                <w:highlight w:val="none"/>
                <w14:textFill>
                  <w14:solidFill>
                    <w14:schemeClr w14:val="tx1"/>
                  </w14:solidFill>
                </w14:textFill>
              </w:rPr>
              <w:t>内容、说明与要求</w:t>
            </w:r>
          </w:p>
        </w:tc>
      </w:tr>
      <w:tr w14:paraId="4D25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vAlign w:val="center"/>
          </w:tcPr>
          <w:p w14:paraId="21E7C972">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p>
        </w:tc>
        <w:tc>
          <w:tcPr>
            <w:tcW w:w="782" w:type="pct"/>
            <w:vAlign w:val="center"/>
          </w:tcPr>
          <w:p w14:paraId="5026BA85">
            <w:pPr>
              <w:pStyle w:val="20"/>
              <w:rPr>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服务地点</w:t>
            </w:r>
          </w:p>
        </w:tc>
        <w:tc>
          <w:tcPr>
            <w:tcW w:w="3623" w:type="pct"/>
            <w:vAlign w:val="center"/>
          </w:tcPr>
          <w:p w14:paraId="5DDD1603">
            <w:pPr>
              <w:pStyle w:val="20"/>
              <w:rPr>
                <w:rFonts w:hint="default" w:eastAsia="宋体"/>
                <w:color w:val="000000" w:themeColor="text1"/>
                <w:highlight w:val="none"/>
                <w:lang w:val="en-US" w:eastAsia="zh-CN"/>
                <w14:textFill>
                  <w14:solidFill>
                    <w14:schemeClr w14:val="tx1"/>
                  </w14:solidFill>
                </w14:textFill>
              </w:rPr>
            </w:pPr>
            <w:r>
              <w:rPr>
                <w:rFonts w:hint="eastAsia" w:cs="宋体"/>
                <w:b w:val="0"/>
                <w:bCs w:val="0"/>
                <w:color w:val="000000"/>
                <w:kern w:val="2"/>
                <w:sz w:val="24"/>
                <w:szCs w:val="24"/>
                <w:lang w:val="en-US" w:eastAsia="zh-CN"/>
              </w:rPr>
              <w:t>采购人指定地点</w:t>
            </w:r>
          </w:p>
        </w:tc>
      </w:tr>
      <w:tr w14:paraId="60C0C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594" w:type="pct"/>
            <w:vAlign w:val="center"/>
          </w:tcPr>
          <w:p w14:paraId="281DE587">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p>
        </w:tc>
        <w:tc>
          <w:tcPr>
            <w:tcW w:w="782" w:type="pct"/>
            <w:vAlign w:val="center"/>
          </w:tcPr>
          <w:p w14:paraId="4C5F8FBF">
            <w:pPr>
              <w:pStyle w:val="20"/>
              <w:rPr>
                <w:rFonts w:hint="eastAsia" w:eastAsia="宋体"/>
                <w:b/>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服务期限</w:t>
            </w:r>
          </w:p>
        </w:tc>
        <w:tc>
          <w:tcPr>
            <w:tcW w:w="3623" w:type="pct"/>
            <w:vAlign w:val="center"/>
          </w:tcPr>
          <w:p w14:paraId="44C180BF">
            <w:pPr>
              <w:pStyle w:val="22"/>
              <w:rPr>
                <w:rFonts w:hint="default"/>
                <w:color w:val="000000" w:themeColor="text1"/>
                <w:highlight w:val="none"/>
                <w:lang w:val="en-US"/>
                <w14:textFill>
                  <w14:solidFill>
                    <w14:schemeClr w14:val="tx1"/>
                  </w14:solidFill>
                </w14:textFill>
              </w:rPr>
            </w:pPr>
            <w:r>
              <w:rPr>
                <w:rFonts w:hint="eastAsia" w:ascii="宋体" w:hAnsi="宋体" w:eastAsia="宋体" w:cs="宋体"/>
                <w:b w:val="0"/>
                <w:sz w:val="24"/>
                <w:highlight w:val="none"/>
                <w:lang w:val="en-US" w:eastAsia="zh-CN"/>
              </w:rPr>
              <w:t>合同签订后一年。服务期满后，如供应商履约良好</w:t>
            </w:r>
            <w:r>
              <w:rPr>
                <w:rFonts w:hint="eastAsia" w:ascii="宋体" w:hAnsi="宋体" w:eastAsia="宋体" w:cs="宋体"/>
                <w:b w:val="0"/>
                <w:sz w:val="24"/>
                <w:highlight w:val="none"/>
              </w:rPr>
              <w:t>，甲乙双方均同意续签，在项目年度预算能保障的前提下，可续签下</w:t>
            </w:r>
            <w:r>
              <w:rPr>
                <w:rFonts w:hint="eastAsia" w:ascii="宋体" w:hAnsi="宋体" w:eastAsia="宋体" w:cs="宋体"/>
                <w:b w:val="0"/>
                <w:sz w:val="24"/>
                <w:highlight w:val="none"/>
                <w:lang w:val="en-US" w:eastAsia="zh-CN"/>
              </w:rPr>
              <w:t>一</w:t>
            </w:r>
            <w:r>
              <w:rPr>
                <w:rFonts w:hint="eastAsia" w:ascii="宋体" w:hAnsi="宋体" w:eastAsia="宋体" w:cs="宋体"/>
                <w:b w:val="0"/>
                <w:sz w:val="24"/>
                <w:highlight w:val="none"/>
              </w:rPr>
              <w:t>年合同，</w:t>
            </w:r>
            <w:r>
              <w:rPr>
                <w:rFonts w:hint="eastAsia" w:ascii="宋体" w:hAnsi="宋体" w:eastAsia="宋体" w:cs="宋体"/>
                <w:b w:val="0"/>
                <w:sz w:val="24"/>
                <w:highlight w:val="none"/>
                <w:lang w:eastAsia="zh-CN"/>
              </w:rPr>
              <w:t>（</w:t>
            </w:r>
            <w:r>
              <w:rPr>
                <w:rFonts w:hint="eastAsia" w:ascii="宋体" w:hAnsi="宋体" w:eastAsia="宋体" w:cs="宋体"/>
                <w:b w:val="0"/>
                <w:sz w:val="24"/>
                <w:highlight w:val="none"/>
              </w:rPr>
              <w:t>合同一年一签，</w:t>
            </w:r>
            <w:r>
              <w:rPr>
                <w:rFonts w:hint="eastAsia" w:ascii="宋体" w:hAnsi="宋体" w:eastAsia="宋体" w:cs="宋体"/>
                <w:b w:val="0"/>
                <w:sz w:val="24"/>
                <w:highlight w:val="none"/>
                <w:lang w:val="en-US" w:eastAsia="zh-CN"/>
              </w:rPr>
              <w:t>续签不超过2年</w:t>
            </w:r>
            <w:r>
              <w:rPr>
                <w:rFonts w:hint="eastAsia" w:ascii="宋体" w:hAnsi="宋体" w:eastAsia="宋体" w:cs="宋体"/>
                <w:b w:val="0"/>
                <w:sz w:val="24"/>
                <w:highlight w:val="none"/>
                <w:lang w:eastAsia="zh-CN"/>
              </w:rPr>
              <w:t>），</w:t>
            </w:r>
            <w:r>
              <w:rPr>
                <w:rFonts w:hint="eastAsia" w:ascii="宋体" w:hAnsi="宋体" w:eastAsia="宋体" w:cs="宋体"/>
                <w:b w:val="0"/>
                <w:sz w:val="24"/>
                <w:highlight w:val="none"/>
              </w:rPr>
              <w:t>合同成交价不变。</w:t>
            </w:r>
          </w:p>
        </w:tc>
      </w:tr>
      <w:tr w14:paraId="3A83D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vAlign w:val="center"/>
          </w:tcPr>
          <w:p w14:paraId="4EEF762E">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p>
        </w:tc>
        <w:tc>
          <w:tcPr>
            <w:tcW w:w="782" w:type="pct"/>
            <w:vAlign w:val="center"/>
          </w:tcPr>
          <w:p w14:paraId="2C6D1BCF">
            <w:pPr>
              <w:pStyle w:val="20"/>
              <w:rPr>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现场踏勘</w:t>
            </w:r>
          </w:p>
        </w:tc>
        <w:tc>
          <w:tcPr>
            <w:tcW w:w="3623" w:type="pct"/>
            <w:vAlign w:val="center"/>
          </w:tcPr>
          <w:p w14:paraId="7900D63B">
            <w:pPr>
              <w:ind w:firstLine="0" w:firstLineChars="0"/>
              <w:rPr>
                <w:rFonts w:cs="宋体"/>
                <w:bCs/>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w:t>
            </w:r>
            <w:r>
              <w:rPr>
                <w:rFonts w:hint="eastAsia" w:cs="宋体"/>
                <w:bCs/>
                <w:color w:val="000000" w:themeColor="text1"/>
                <w:kern w:val="2"/>
                <w:szCs w:val="24"/>
                <w:highlight w:val="none"/>
                <w14:textFill>
                  <w14:solidFill>
                    <w14:schemeClr w14:val="tx1"/>
                  </w14:solidFill>
                </w14:textFill>
              </w:rPr>
              <w:t>自行踏勘</w:t>
            </w:r>
          </w:p>
          <w:p w14:paraId="20604A27">
            <w:pPr>
              <w:ind w:firstLine="0" w:firstLineChars="0"/>
              <w:rPr>
                <w:rFonts w:cs="宋体"/>
                <w:bCs/>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w:t>
            </w:r>
            <w:r>
              <w:rPr>
                <w:rFonts w:hint="eastAsia" w:cs="宋体"/>
                <w:bCs/>
                <w:color w:val="000000" w:themeColor="text1"/>
                <w:kern w:val="2"/>
                <w:szCs w:val="24"/>
                <w:highlight w:val="none"/>
                <w14:textFill>
                  <w14:solidFill>
                    <w14:schemeClr w14:val="tx1"/>
                  </w14:solidFill>
                </w14:textFill>
              </w:rPr>
              <w:t>集中组织</w:t>
            </w:r>
          </w:p>
          <w:p w14:paraId="2CAA3078">
            <w:pPr>
              <w:ind w:firstLine="0" w:firstLineChars="0"/>
              <w:rPr>
                <w:rFonts w:cs="宋体"/>
                <w:bCs/>
                <w:color w:val="000000" w:themeColor="text1"/>
                <w:kern w:val="2"/>
                <w:szCs w:val="24"/>
                <w:highlight w:val="none"/>
                <w:u w:val="single"/>
                <w14:textFill>
                  <w14:solidFill>
                    <w14:schemeClr w14:val="tx1"/>
                  </w14:solidFill>
                </w14:textFill>
              </w:rPr>
            </w:pPr>
            <w:r>
              <w:rPr>
                <w:rFonts w:hint="eastAsia" w:cs="宋体"/>
                <w:bCs/>
                <w:color w:val="000000" w:themeColor="text1"/>
                <w:kern w:val="2"/>
                <w:szCs w:val="24"/>
                <w:highlight w:val="none"/>
                <w14:textFill>
                  <w14:solidFill>
                    <w14:schemeClr w14:val="tx1"/>
                  </w14:solidFill>
                </w14:textFill>
              </w:rPr>
              <w:t>时间：</w:t>
            </w:r>
            <w:r>
              <w:rPr>
                <w:rFonts w:hint="eastAsia" w:cs="宋体"/>
                <w:bCs/>
                <w:color w:val="000000" w:themeColor="text1"/>
                <w:kern w:val="2"/>
                <w:szCs w:val="24"/>
                <w:highlight w:val="none"/>
                <w:u w:val="single"/>
                <w14:textFill>
                  <w14:solidFill>
                    <w14:schemeClr w14:val="tx1"/>
                  </w14:solidFill>
                </w14:textFill>
              </w:rPr>
              <w:t xml:space="preserve">    </w:t>
            </w:r>
            <w:r>
              <w:rPr>
                <w:rFonts w:hint="eastAsia" w:cs="宋体"/>
                <w:bCs/>
                <w:color w:val="000000" w:themeColor="text1"/>
                <w:kern w:val="2"/>
                <w:szCs w:val="24"/>
                <w:highlight w:val="none"/>
                <w14:textFill>
                  <w14:solidFill>
                    <w14:schemeClr w14:val="tx1"/>
                  </w14:solidFill>
                </w14:textFill>
              </w:rPr>
              <w:t>年</w:t>
            </w:r>
            <w:r>
              <w:rPr>
                <w:rFonts w:hint="eastAsia" w:cs="宋体"/>
                <w:bCs/>
                <w:color w:val="000000" w:themeColor="text1"/>
                <w:kern w:val="2"/>
                <w:szCs w:val="24"/>
                <w:highlight w:val="none"/>
                <w:u w:val="single"/>
                <w14:textFill>
                  <w14:solidFill>
                    <w14:schemeClr w14:val="tx1"/>
                  </w14:solidFill>
                </w14:textFill>
              </w:rPr>
              <w:t xml:space="preserve">  </w:t>
            </w:r>
            <w:r>
              <w:rPr>
                <w:rFonts w:hint="eastAsia" w:cs="宋体"/>
                <w:bCs/>
                <w:color w:val="000000" w:themeColor="text1"/>
                <w:kern w:val="2"/>
                <w:szCs w:val="24"/>
                <w:highlight w:val="none"/>
                <w14:textFill>
                  <w14:solidFill>
                    <w14:schemeClr w14:val="tx1"/>
                  </w14:solidFill>
                </w14:textFill>
              </w:rPr>
              <w:t>月</w:t>
            </w:r>
            <w:r>
              <w:rPr>
                <w:rFonts w:hint="eastAsia" w:cs="宋体"/>
                <w:bCs/>
                <w:color w:val="000000" w:themeColor="text1"/>
                <w:kern w:val="2"/>
                <w:szCs w:val="24"/>
                <w:highlight w:val="none"/>
                <w:u w:val="single"/>
                <w14:textFill>
                  <w14:solidFill>
                    <w14:schemeClr w14:val="tx1"/>
                  </w14:solidFill>
                </w14:textFill>
              </w:rPr>
              <w:t xml:space="preserve">  </w:t>
            </w:r>
            <w:r>
              <w:rPr>
                <w:rFonts w:hint="eastAsia" w:cs="宋体"/>
                <w:bCs/>
                <w:color w:val="000000" w:themeColor="text1"/>
                <w:kern w:val="2"/>
                <w:szCs w:val="24"/>
                <w:highlight w:val="none"/>
                <w14:textFill>
                  <w14:solidFill>
                    <w14:schemeClr w14:val="tx1"/>
                  </w14:solidFill>
                </w14:textFill>
              </w:rPr>
              <w:t>日</w:t>
            </w:r>
            <w:r>
              <w:rPr>
                <w:rFonts w:hint="eastAsia" w:cs="宋体"/>
                <w:bCs/>
                <w:color w:val="000000" w:themeColor="text1"/>
                <w:kern w:val="2"/>
                <w:szCs w:val="24"/>
                <w:highlight w:val="none"/>
                <w:u w:val="single"/>
                <w14:textFill>
                  <w14:solidFill>
                    <w14:schemeClr w14:val="tx1"/>
                  </w14:solidFill>
                </w14:textFill>
              </w:rPr>
              <w:t xml:space="preserve">  </w:t>
            </w:r>
            <w:r>
              <w:rPr>
                <w:rFonts w:hint="eastAsia" w:cs="宋体"/>
                <w:bCs/>
                <w:color w:val="000000" w:themeColor="text1"/>
                <w:kern w:val="2"/>
                <w:szCs w:val="24"/>
                <w:highlight w:val="none"/>
                <w14:textFill>
                  <w14:solidFill>
                    <w14:schemeClr w14:val="tx1"/>
                  </w14:solidFill>
                </w14:textFill>
              </w:rPr>
              <w:t>时</w:t>
            </w:r>
            <w:r>
              <w:rPr>
                <w:rFonts w:hint="eastAsia" w:cs="宋体"/>
                <w:bCs/>
                <w:color w:val="000000" w:themeColor="text1"/>
                <w:kern w:val="2"/>
                <w:szCs w:val="24"/>
                <w:highlight w:val="none"/>
                <w:u w:val="single"/>
                <w14:textFill>
                  <w14:solidFill>
                    <w14:schemeClr w14:val="tx1"/>
                  </w14:solidFill>
                </w14:textFill>
              </w:rPr>
              <w:t xml:space="preserve">  </w:t>
            </w:r>
            <w:r>
              <w:rPr>
                <w:rFonts w:hint="eastAsia" w:cs="宋体"/>
                <w:bCs/>
                <w:color w:val="000000" w:themeColor="text1"/>
                <w:kern w:val="2"/>
                <w:szCs w:val="24"/>
                <w:highlight w:val="none"/>
                <w14:textFill>
                  <w14:solidFill>
                    <w14:schemeClr w14:val="tx1"/>
                  </w14:solidFill>
                </w14:textFill>
              </w:rPr>
              <w:t>分</w:t>
            </w:r>
          </w:p>
          <w:p w14:paraId="0468509C">
            <w:pPr>
              <w:ind w:firstLine="0" w:firstLineChars="0"/>
              <w:rPr>
                <w:rFonts w:cs="宋体"/>
                <w:bCs/>
                <w:color w:val="000000" w:themeColor="text1"/>
                <w:kern w:val="2"/>
                <w:szCs w:val="24"/>
                <w:highlight w:val="none"/>
                <w:u w:val="single"/>
                <w14:textFill>
                  <w14:solidFill>
                    <w14:schemeClr w14:val="tx1"/>
                  </w14:solidFill>
                </w14:textFill>
              </w:rPr>
            </w:pPr>
            <w:r>
              <w:rPr>
                <w:rFonts w:hint="eastAsia" w:cs="宋体"/>
                <w:bCs/>
                <w:color w:val="000000" w:themeColor="text1"/>
                <w:kern w:val="2"/>
                <w:szCs w:val="24"/>
                <w:highlight w:val="none"/>
                <w14:textFill>
                  <w14:solidFill>
                    <w14:schemeClr w14:val="tx1"/>
                  </w14:solidFill>
                </w14:textFill>
              </w:rPr>
              <w:t>现场踏勘联系人及联系电话：</w:t>
            </w:r>
            <w:r>
              <w:rPr>
                <w:rFonts w:hint="eastAsia" w:cs="宋体"/>
                <w:bCs/>
                <w:color w:val="000000" w:themeColor="text1"/>
                <w:kern w:val="2"/>
                <w:szCs w:val="24"/>
                <w:highlight w:val="none"/>
                <w:u w:val="single"/>
                <w14:textFill>
                  <w14:solidFill>
                    <w14:schemeClr w14:val="tx1"/>
                  </w14:solidFill>
                </w14:textFill>
              </w:rPr>
              <w:t xml:space="preserve">           </w:t>
            </w:r>
          </w:p>
          <w:p w14:paraId="3A852D17">
            <w:pPr>
              <w:pStyle w:val="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备注：如供应商未参加业主单位统一组织的现场踏勘，视同放弃现场踏勘，由此引起的一切责任由供应商自行承担。</w:t>
            </w:r>
          </w:p>
        </w:tc>
      </w:tr>
      <w:tr w14:paraId="256A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vAlign w:val="center"/>
          </w:tcPr>
          <w:p w14:paraId="185909A3">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p>
        </w:tc>
        <w:tc>
          <w:tcPr>
            <w:tcW w:w="782" w:type="pct"/>
            <w:vAlign w:val="center"/>
          </w:tcPr>
          <w:p w14:paraId="45A6C364">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关于联合体参加磋商的相关约定（如允许联合体）</w:t>
            </w:r>
          </w:p>
        </w:tc>
        <w:tc>
          <w:tcPr>
            <w:tcW w:w="3623" w:type="pct"/>
            <w:vAlign w:val="center"/>
          </w:tcPr>
          <w:p w14:paraId="10E98A56">
            <w:pPr>
              <w:pStyle w:val="20"/>
              <w:rPr>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（1）联合体参加磋商的，磋商文件获取信息填写，由联合体中任一成员单位完成均可。</w:t>
            </w:r>
          </w:p>
          <w:p w14:paraId="20F9D19D">
            <w:pPr>
              <w:pStyle w:val="20"/>
              <w:rPr>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（2）联合体参加磋商的须提供联合协议（见响应文件格式），相关证明材料由供应商根据联合协议分工情况及磋商文件要求提供。</w:t>
            </w:r>
          </w:p>
          <w:p w14:paraId="7749F9BF">
            <w:pPr>
              <w:pStyle w:val="20"/>
              <w:rPr>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p>
        </w:tc>
      </w:tr>
      <w:tr w14:paraId="6438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vAlign w:val="center"/>
          </w:tcPr>
          <w:p w14:paraId="30EDAF51">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p>
        </w:tc>
        <w:tc>
          <w:tcPr>
            <w:tcW w:w="782" w:type="pct"/>
            <w:vAlign w:val="center"/>
          </w:tcPr>
          <w:p w14:paraId="03844AA4">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初审业绩要求（如有）</w:t>
            </w:r>
          </w:p>
        </w:tc>
        <w:tc>
          <w:tcPr>
            <w:tcW w:w="3623" w:type="pct"/>
            <w:vAlign w:val="center"/>
          </w:tcPr>
          <w:p w14:paraId="4CC205DB">
            <w:pPr>
              <w:ind w:firstLine="0" w:firstLineChars="0"/>
              <w:rPr>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供应商应按下列规定提供业绩证明资料：</w:t>
            </w:r>
          </w:p>
          <w:p w14:paraId="233040B0">
            <w:pPr>
              <w:ind w:firstLine="0" w:firstLineChars="0"/>
              <w:rPr>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□已完成的业绩：响应文件中须同时提供以下业绩证明材料：</w:t>
            </w:r>
          </w:p>
          <w:p w14:paraId="67DA4E0E">
            <w:pPr>
              <w:ind w:firstLine="0" w:firstLineChars="0"/>
              <w:rPr>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（1）业绩合同扫描件；</w:t>
            </w:r>
          </w:p>
          <w:p w14:paraId="37547350">
            <w:pPr>
              <w:ind w:firstLine="0" w:firstLineChars="0"/>
              <w:rPr>
                <w:color w:val="000000" w:themeColor="text1"/>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（2）与该业绩对应的项目已完成的证明材料（如验收报告或业主（或合同甲方）证明）。</w:t>
            </w:r>
          </w:p>
          <w:p w14:paraId="28E22CC1">
            <w:pPr>
              <w:ind w:firstLine="0" w:firstLineChars="0"/>
              <w:rPr>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□正在履约或已完成的业绩：响应文件中须同时提供以下业绩证明材料：</w:t>
            </w:r>
          </w:p>
          <w:p w14:paraId="00A17C76">
            <w:pPr>
              <w:ind w:firstLine="0" w:firstLineChars="0"/>
              <w:rPr>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（1）业绩合同扫描件；</w:t>
            </w:r>
          </w:p>
          <w:p w14:paraId="18F5F815">
            <w:pPr>
              <w:ind w:firstLine="0" w:firstLineChars="0"/>
              <w:rPr>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（2）与该业绩对应的项目正在履约或已完成的证明材料（如验收报告或业主（或合同甲方）证明）。</w:t>
            </w:r>
          </w:p>
          <w:p w14:paraId="1CB323D9">
            <w:pPr>
              <w:ind w:firstLine="0" w:firstLineChars="0"/>
              <w:rPr>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已签订合同但尚未实施的业绩不予认可。即截至磋商时间，项目如存在目前尚未开始履约、人员进场但尚未实质性开展、处于暂停等情况的，该业绩不予认可。</w:t>
            </w:r>
          </w:p>
          <w:p w14:paraId="0B805352">
            <w:pPr>
              <w:ind w:firstLine="0" w:firstLineChars="0"/>
              <w:rPr>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注：（1）正在履约或已完成的证明材料须加盖项目业主单位或合同甲方公章(证明材料已有项目业主单位或合同甲方公章的除外)，否则评审委员会不予认可。</w:t>
            </w:r>
          </w:p>
          <w:p w14:paraId="4700F73C">
            <w:pPr>
              <w:ind w:firstLine="0" w:firstLineChars="0"/>
              <w:rPr>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（2）如果业绩合同和项目已完成（或正在履约）的证明材料中的合同金额、建筑面积等合同要素不一致的，以项目已完成（或正在履约）的证明材料为准。</w:t>
            </w:r>
          </w:p>
          <w:p w14:paraId="4EF86978">
            <w:pPr>
              <w:ind w:firstLine="0" w:firstLineChars="0"/>
              <w:rPr>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3）以上涉及到的证明资料信息应完整或能充分反映评审因素。如未能明确反映评审因素的（如合同总金额、面积等），应另附业主（或合同甲方）证明材料予以明确说明，须加盖项目业主单位或合同甲方公章，否则评审委员会不予认可。</w:t>
            </w:r>
          </w:p>
        </w:tc>
      </w:tr>
      <w:tr w14:paraId="4BEA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vAlign w:val="center"/>
          </w:tcPr>
          <w:p w14:paraId="71A62849">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w:t>
            </w:r>
          </w:p>
        </w:tc>
        <w:tc>
          <w:tcPr>
            <w:tcW w:w="782" w:type="pct"/>
            <w:vAlign w:val="center"/>
          </w:tcPr>
          <w:p w14:paraId="0378C67A">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供应商提出疑问截止时间</w:t>
            </w:r>
          </w:p>
        </w:tc>
        <w:tc>
          <w:tcPr>
            <w:tcW w:w="3623" w:type="pct"/>
          </w:tcPr>
          <w:p w14:paraId="43A3B420">
            <w:pPr>
              <w:spacing w:line="440" w:lineRule="exact"/>
              <w:ind w:firstLine="0" w:firstLineChars="0"/>
              <w:rPr>
                <w:rFonts w:cs="宋体"/>
                <w:bCs/>
                <w:color w:val="FF0000"/>
                <w:szCs w:val="24"/>
                <w:highlight w:val="none"/>
              </w:rPr>
            </w:pPr>
            <w:r>
              <w:rPr>
                <w:rFonts w:hint="eastAsia" w:cs="宋体"/>
                <w:bCs/>
                <w:color w:val="FF0000"/>
                <w:szCs w:val="24"/>
                <w:highlight w:val="none"/>
              </w:rPr>
              <w:t>（1）时间：</w:t>
            </w:r>
            <w:r>
              <w:rPr>
                <w:rFonts w:hint="eastAsia" w:cs="宋体"/>
                <w:b/>
                <w:color w:val="FF0000"/>
                <w:kern w:val="2"/>
                <w:szCs w:val="24"/>
                <w:highlight w:val="none"/>
                <w:u w:val="single"/>
              </w:rPr>
              <w:t>202</w:t>
            </w:r>
            <w:r>
              <w:rPr>
                <w:rFonts w:hint="eastAsia" w:cs="宋体"/>
                <w:b/>
                <w:color w:val="FF0000"/>
                <w:kern w:val="2"/>
                <w:szCs w:val="24"/>
                <w:highlight w:val="none"/>
                <w:u w:val="single"/>
                <w:lang w:val="en-US" w:eastAsia="zh-CN"/>
              </w:rPr>
              <w:t>6</w:t>
            </w:r>
            <w:r>
              <w:rPr>
                <w:rFonts w:hint="eastAsia" w:cs="宋体"/>
                <w:b/>
                <w:color w:val="FF0000"/>
                <w:kern w:val="2"/>
                <w:szCs w:val="24"/>
                <w:highlight w:val="none"/>
              </w:rPr>
              <w:t>年</w:t>
            </w:r>
            <w:r>
              <w:rPr>
                <w:rFonts w:hint="eastAsia" w:cs="宋体"/>
                <w:b/>
                <w:color w:val="FF0000"/>
                <w:kern w:val="2"/>
                <w:szCs w:val="24"/>
                <w:highlight w:val="none"/>
                <w:lang w:val="en-US" w:eastAsia="zh-CN"/>
              </w:rPr>
              <w:t>9</w:t>
            </w:r>
            <w:r>
              <w:rPr>
                <w:rFonts w:hint="eastAsia" w:cs="宋体"/>
                <w:b/>
                <w:color w:val="FF0000"/>
                <w:kern w:val="2"/>
                <w:szCs w:val="24"/>
                <w:highlight w:val="none"/>
              </w:rPr>
              <w:t>月</w:t>
            </w:r>
            <w:r>
              <w:rPr>
                <w:rFonts w:hint="eastAsia" w:cs="宋体"/>
                <w:b/>
                <w:color w:val="FF0000"/>
                <w:kern w:val="2"/>
                <w:szCs w:val="24"/>
                <w:highlight w:val="none"/>
                <w:lang w:val="en-US" w:eastAsia="zh-CN"/>
              </w:rPr>
              <w:t>7</w:t>
            </w:r>
            <w:r>
              <w:rPr>
                <w:rFonts w:hint="eastAsia" w:cs="宋体"/>
                <w:b/>
                <w:color w:val="FF0000"/>
                <w:kern w:val="2"/>
                <w:szCs w:val="24"/>
                <w:highlight w:val="none"/>
              </w:rPr>
              <w:t>日</w:t>
            </w:r>
            <w:r>
              <w:rPr>
                <w:rFonts w:hint="eastAsia" w:cs="宋体"/>
                <w:b/>
                <w:color w:val="FF0000"/>
                <w:kern w:val="2"/>
                <w:szCs w:val="24"/>
                <w:highlight w:val="none"/>
                <w:u w:val="single"/>
              </w:rPr>
              <w:t>17</w:t>
            </w:r>
            <w:r>
              <w:rPr>
                <w:rFonts w:hint="eastAsia" w:cs="宋体"/>
                <w:b/>
                <w:color w:val="FF0000"/>
                <w:kern w:val="2"/>
                <w:szCs w:val="24"/>
                <w:highlight w:val="none"/>
              </w:rPr>
              <w:t>时</w:t>
            </w:r>
            <w:r>
              <w:rPr>
                <w:rFonts w:hint="eastAsia" w:cs="宋体"/>
                <w:b/>
                <w:color w:val="FF0000"/>
                <w:kern w:val="2"/>
                <w:szCs w:val="24"/>
                <w:highlight w:val="none"/>
                <w:u w:val="single"/>
              </w:rPr>
              <w:t>30</w:t>
            </w:r>
            <w:r>
              <w:rPr>
                <w:rFonts w:hint="eastAsia" w:cs="宋体"/>
                <w:b/>
                <w:color w:val="FF0000"/>
                <w:kern w:val="2"/>
                <w:szCs w:val="24"/>
                <w:highlight w:val="none"/>
              </w:rPr>
              <w:t>分。</w:t>
            </w:r>
          </w:p>
          <w:p w14:paraId="105A728C">
            <w:pPr>
              <w:spacing w:line="440" w:lineRule="exact"/>
              <w:ind w:firstLine="0" w:firstLineChars="0"/>
              <w:rPr>
                <w:rFonts w:cs="宋体"/>
                <w:bCs/>
                <w:color w:val="000000" w:themeColor="text1"/>
                <w:szCs w:val="24"/>
                <w:highlight w:val="none"/>
                <w14:textFill>
                  <w14:solidFill>
                    <w14:schemeClr w14:val="tx1"/>
                  </w14:solidFill>
                </w14:textFill>
              </w:rPr>
            </w:pPr>
            <w:r>
              <w:rPr>
                <w:rFonts w:hint="eastAsia" w:cs="宋体"/>
                <w:bCs/>
                <w:color w:val="000000" w:themeColor="text1"/>
                <w:szCs w:val="24"/>
                <w:highlight w:val="none"/>
                <w14:textFill>
                  <w14:solidFill>
                    <w14:schemeClr w14:val="tx1"/>
                  </w14:solidFill>
                </w14:textFill>
              </w:rPr>
              <w:t>（2）形式：通过</w:t>
            </w:r>
            <w:r>
              <w:rPr>
                <w:rFonts w:hint="eastAsia" w:asciiTheme="majorEastAsia" w:hAnsiTheme="majorEastAsia" w:eastAsiaTheme="majorEastAsia" w:cstheme="majorEastAsia"/>
                <w:color w:val="000000" w:themeColor="text1"/>
                <w:szCs w:val="24"/>
                <w:highlight w:val="none"/>
                <w14:textFill>
                  <w14:solidFill>
                    <w14:schemeClr w14:val="tx1"/>
                  </w14:solidFill>
                </w14:textFill>
              </w:rPr>
              <w:t>优质采云采购平台</w:t>
            </w:r>
            <w:r>
              <w:rPr>
                <w:rFonts w:hint="eastAsia" w:cs="宋体"/>
                <w:bCs/>
                <w:color w:val="000000" w:themeColor="text1"/>
                <w:szCs w:val="24"/>
                <w:highlight w:val="none"/>
                <w14:textFill>
                  <w14:solidFill>
                    <w14:schemeClr w14:val="tx1"/>
                  </w14:solidFill>
                </w14:textFill>
              </w:rPr>
              <w:t>提交。</w:t>
            </w:r>
          </w:p>
          <w:p w14:paraId="7C5F9453">
            <w:pPr>
              <w:spacing w:line="440" w:lineRule="exact"/>
              <w:ind w:firstLine="0" w:firstLineChars="0"/>
              <w:rPr>
                <w:color w:val="000000" w:themeColor="text1"/>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3）供应商请注意：肥西县公共资源交易有限责任公司对磋商文件进行的澄清、更正或更改，将在网站上及时发布，该公告内容为磋商文件的组成部分，对供应商具有同样约束力效力。供应商应主动上网查询。肥西县公共资源交易有限责任公司不承担供应商未及时关注相关信息引发的相关责任。</w:t>
            </w:r>
          </w:p>
        </w:tc>
      </w:tr>
      <w:tr w14:paraId="2CCA8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vAlign w:val="center"/>
          </w:tcPr>
          <w:p w14:paraId="350D845F">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w:t>
            </w:r>
          </w:p>
        </w:tc>
        <w:tc>
          <w:tcPr>
            <w:tcW w:w="782" w:type="pct"/>
            <w:vAlign w:val="center"/>
          </w:tcPr>
          <w:p w14:paraId="2B66B374">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构成磋商的其他材料</w:t>
            </w:r>
          </w:p>
        </w:tc>
        <w:tc>
          <w:tcPr>
            <w:tcW w:w="3623" w:type="pct"/>
            <w:vAlign w:val="center"/>
          </w:tcPr>
          <w:p w14:paraId="486B4A4A">
            <w:pPr>
              <w:adjustRightInd w:val="0"/>
              <w:snapToGrid w:val="0"/>
              <w:ind w:firstLine="0" w:firstLineChars="0"/>
              <w:jc w:val="left"/>
              <w:rPr>
                <w:rFonts w:cs="宋体"/>
                <w:bCs/>
                <w:color w:val="000000" w:themeColor="text1"/>
                <w:szCs w:val="24"/>
                <w:highlight w:val="none"/>
                <w14:textFill>
                  <w14:solidFill>
                    <w14:schemeClr w14:val="tx1"/>
                  </w14:solidFill>
                </w14:textFill>
              </w:rPr>
            </w:pPr>
            <w:r>
              <w:rPr>
                <w:rFonts w:hint="eastAsia" w:cs="宋体"/>
                <w:bCs/>
                <w:color w:val="000000" w:themeColor="text1"/>
                <w:szCs w:val="24"/>
                <w:highlight w:val="none"/>
                <w14:textFill>
                  <w14:solidFill>
                    <w14:schemeClr w14:val="tx1"/>
                  </w14:solidFill>
                </w14:textFill>
              </w:rPr>
              <w:sym w:font="Wingdings 2" w:char="F052"/>
            </w:r>
            <w:r>
              <w:rPr>
                <w:rFonts w:hint="eastAsia" w:asciiTheme="minorEastAsia" w:hAnsiTheme="minorEastAsia" w:eastAsiaTheme="minorEastAsia"/>
                <w:color w:val="000000" w:themeColor="text1"/>
                <w:highlight w:val="none"/>
                <w14:textFill>
                  <w14:solidFill>
                    <w14:schemeClr w14:val="tx1"/>
                  </w14:solidFill>
                </w14:textFill>
              </w:rPr>
              <w:t xml:space="preserve">无  </w:t>
            </w:r>
            <w:r>
              <w:rPr>
                <w:rFonts w:hint="eastAsia" w:cs="宋体"/>
                <w:bCs/>
                <w:color w:val="000000" w:themeColor="text1"/>
                <w:szCs w:val="24"/>
                <w:highlight w:val="none"/>
                <w14:textFill>
                  <w14:solidFill>
                    <w14:schemeClr w14:val="tx1"/>
                  </w14:solidFill>
                </w14:textFill>
              </w:rPr>
              <w:t>□图纸  □其他：</w:t>
            </w:r>
            <w:r>
              <w:rPr>
                <w:rFonts w:hint="eastAsia" w:cs="宋体"/>
                <w:bCs/>
                <w:color w:val="000000" w:themeColor="text1"/>
                <w:szCs w:val="24"/>
                <w:highlight w:val="none"/>
                <w:u w:val="single"/>
                <w14:textFill>
                  <w14:solidFill>
                    <w14:schemeClr w14:val="tx1"/>
                  </w14:solidFill>
                </w14:textFill>
              </w:rPr>
              <w:t xml:space="preserve">        </w:t>
            </w:r>
          </w:p>
          <w:p w14:paraId="10727F29">
            <w:pPr>
              <w:adjustRightInd w:val="0"/>
              <w:snapToGrid w:val="0"/>
              <w:ind w:firstLine="0" w:firstLineChars="0"/>
              <w:jc w:val="left"/>
              <w:rPr>
                <w:rFonts w:cs="宋体"/>
                <w:bCs/>
                <w:color w:val="000000" w:themeColor="text1"/>
                <w:szCs w:val="24"/>
                <w:highlight w:val="none"/>
                <w14:textFill>
                  <w14:solidFill>
                    <w14:schemeClr w14:val="tx1"/>
                  </w14:solidFill>
                </w14:textFill>
              </w:rPr>
            </w:pPr>
            <w:r>
              <w:rPr>
                <w:rFonts w:hint="eastAsia" w:cs="宋体"/>
                <w:bCs/>
                <w:color w:val="000000" w:themeColor="text1"/>
                <w:szCs w:val="24"/>
                <w:highlight w:val="none"/>
                <w14:textFill>
                  <w14:solidFill>
                    <w14:schemeClr w14:val="tx1"/>
                  </w14:solidFill>
                </w14:textFill>
              </w:rPr>
              <w:t>获得方式：</w:t>
            </w:r>
          </w:p>
          <w:p w14:paraId="30919DDD">
            <w:pPr>
              <w:pStyle w:val="20"/>
              <w:rPr>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上述资料请供应商在获取磋商文件后，自行登录电子交易系统下载本项目附件。</w:t>
            </w:r>
          </w:p>
        </w:tc>
      </w:tr>
      <w:tr w14:paraId="3997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vAlign w:val="center"/>
          </w:tcPr>
          <w:p w14:paraId="76208FE1">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w:t>
            </w:r>
          </w:p>
        </w:tc>
        <w:tc>
          <w:tcPr>
            <w:tcW w:w="782" w:type="pct"/>
            <w:vAlign w:val="center"/>
          </w:tcPr>
          <w:p w14:paraId="07CCFBA8">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磋商保证金及电子交易服务费用</w:t>
            </w:r>
          </w:p>
        </w:tc>
        <w:tc>
          <w:tcPr>
            <w:tcW w:w="3623" w:type="pct"/>
            <w:vAlign w:val="center"/>
          </w:tcPr>
          <w:p w14:paraId="5E73CE4D">
            <w:pPr>
              <w:ind w:firstLine="0" w:firstLineChars="0"/>
              <w:jc w:val="lef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是否要求</w:t>
            </w:r>
            <w:r>
              <w:rPr>
                <w:rFonts w:hint="eastAsia"/>
                <w:color w:val="000000" w:themeColor="text1"/>
                <w:szCs w:val="18"/>
                <w:highlight w:val="none"/>
                <w14:textFill>
                  <w14:solidFill>
                    <w14:schemeClr w14:val="tx1"/>
                  </w14:solidFill>
                </w14:textFill>
              </w:rPr>
              <w:t>供应商</w:t>
            </w:r>
            <w:r>
              <w:rPr>
                <w:rFonts w:hint="eastAsia" w:cs="宋体"/>
                <w:color w:val="000000" w:themeColor="text1"/>
                <w:highlight w:val="none"/>
                <w14:textFill>
                  <w14:solidFill>
                    <w14:schemeClr w14:val="tx1"/>
                  </w14:solidFill>
                </w14:textFill>
              </w:rPr>
              <w:t>递交磋商保证金：</w:t>
            </w:r>
            <w:r>
              <w:rPr>
                <w:rFonts w:ascii="Segoe UI Symbol" w:hAnsi="Segoe UI Symbol" w:cs="Segoe UI Symbol"/>
                <w:b/>
                <w:bCs/>
                <w:color w:val="000000" w:themeColor="text1"/>
                <w:highlight w:val="none"/>
                <w14:textFill>
                  <w14:solidFill>
                    <w14:schemeClr w14:val="tx1"/>
                  </w14:solidFill>
                </w14:textFill>
              </w:rPr>
              <w:t>☑</w:t>
            </w:r>
            <w:r>
              <w:rPr>
                <w:rFonts w:hint="eastAsia" w:cs="宋体"/>
                <w:color w:val="000000" w:themeColor="text1"/>
                <w:highlight w:val="none"/>
                <w14:textFill>
                  <w14:solidFill>
                    <w14:schemeClr w14:val="tx1"/>
                  </w14:solidFill>
                </w14:textFill>
              </w:rPr>
              <w:t xml:space="preserve">不要求 </w:t>
            </w:r>
            <w:r>
              <w:rPr>
                <w:rFonts w:hint="eastAsia" w:cs="宋体"/>
                <w:color w:val="000000" w:themeColor="text1"/>
                <w:highlight w:val="none"/>
                <w14:textFill>
                  <w14:solidFill>
                    <w14:schemeClr w14:val="tx1"/>
                  </w14:solidFill>
                </w14:textFill>
              </w:rPr>
              <w:sym w:font="Wingdings 2" w:char="00A3"/>
            </w:r>
            <w:r>
              <w:rPr>
                <w:rFonts w:hint="eastAsia" w:cs="宋体"/>
                <w:color w:val="000000" w:themeColor="text1"/>
                <w:highlight w:val="none"/>
                <w14:textFill>
                  <w14:solidFill>
                    <w14:schemeClr w14:val="tx1"/>
                  </w14:solidFill>
                </w14:textFill>
              </w:rPr>
              <w:t>要求</w:t>
            </w:r>
          </w:p>
          <w:p w14:paraId="55B5034F">
            <w:pPr>
              <w:snapToGrid w:val="0"/>
              <w:spacing w:line="460" w:lineRule="exact"/>
              <w:ind w:firstLine="0" w:firstLineChars="0"/>
              <w:rPr>
                <w:rFonts w:cs="宋体"/>
                <w:b/>
                <w:bCs/>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是否要求供应商递交电子交易服务费用：□不要求</w:t>
            </w:r>
            <w:r>
              <w:rPr>
                <w:rFonts w:ascii="Segoe UI Symbol" w:hAnsi="Segoe UI Symbol" w:cs="Segoe UI Symbol"/>
                <w:b/>
                <w:bCs/>
                <w:color w:val="000000" w:themeColor="text1"/>
                <w:kern w:val="2"/>
                <w:szCs w:val="24"/>
                <w:highlight w:val="none"/>
                <w14:textFill>
                  <w14:solidFill>
                    <w14:schemeClr w14:val="tx1"/>
                  </w14:solidFill>
                </w14:textFill>
              </w:rPr>
              <w:t>☑</w:t>
            </w:r>
            <w:r>
              <w:rPr>
                <w:rFonts w:hint="eastAsia" w:cs="宋体"/>
                <w:b/>
                <w:bCs/>
                <w:color w:val="000000" w:themeColor="text1"/>
                <w:kern w:val="2"/>
                <w:szCs w:val="24"/>
                <w:highlight w:val="none"/>
                <w14:textFill>
                  <w14:solidFill>
                    <w14:schemeClr w14:val="tx1"/>
                  </w14:solidFill>
                </w14:textFill>
              </w:rPr>
              <w:t>要求</w:t>
            </w:r>
          </w:p>
          <w:p w14:paraId="6DFD5D71">
            <w:pPr>
              <w:snapToGrid w:val="0"/>
              <w:spacing w:line="460" w:lineRule="exact"/>
              <w:ind w:firstLine="120" w:firstLineChars="50"/>
              <w:rPr>
                <w:rFonts w:cs="宋体"/>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电子交易服务费用的形式：</w:t>
            </w:r>
            <w:r>
              <w:rPr>
                <w:rFonts w:hint="eastAsia" w:cs="宋体"/>
                <w:b/>
                <w:bCs/>
                <w:color w:val="000000" w:themeColor="text1"/>
                <w:kern w:val="2"/>
                <w:szCs w:val="24"/>
                <w:highlight w:val="none"/>
                <w14:textFill>
                  <w14:solidFill>
                    <w14:schemeClr w14:val="tx1"/>
                  </w14:solidFill>
                </w14:textFill>
              </w:rPr>
              <w:sym w:font="Wingdings" w:char="00FE"/>
            </w:r>
            <w:r>
              <w:rPr>
                <w:rFonts w:hint="eastAsia" w:cs="宋体"/>
                <w:color w:val="000000" w:themeColor="text1"/>
                <w:kern w:val="2"/>
                <w:szCs w:val="24"/>
                <w:highlight w:val="none"/>
                <w14:textFill>
                  <w14:solidFill>
                    <w14:schemeClr w14:val="tx1"/>
                  </w14:solidFill>
                </w14:textFill>
              </w:rPr>
              <w:t xml:space="preserve">银行转账  </w:t>
            </w:r>
            <w:r>
              <w:rPr>
                <w:rFonts w:hint="eastAsia" w:cs="宋体"/>
                <w:b/>
                <w:bCs/>
                <w:color w:val="000000" w:themeColor="text1"/>
                <w:kern w:val="2"/>
                <w:szCs w:val="24"/>
                <w:highlight w:val="none"/>
                <w14:textFill>
                  <w14:solidFill>
                    <w14:schemeClr w14:val="tx1"/>
                  </w14:solidFill>
                </w14:textFill>
              </w:rPr>
              <w:sym w:font="Wingdings" w:char="00FE"/>
            </w:r>
            <w:r>
              <w:rPr>
                <w:rFonts w:hint="eastAsia" w:cs="宋体"/>
                <w:color w:val="000000" w:themeColor="text1"/>
                <w:kern w:val="2"/>
                <w:szCs w:val="24"/>
                <w:highlight w:val="none"/>
                <w14:textFill>
                  <w14:solidFill>
                    <w14:schemeClr w14:val="tx1"/>
                  </w14:solidFill>
                </w14:textFill>
              </w:rPr>
              <w:t xml:space="preserve">银行电汇 </w:t>
            </w:r>
          </w:p>
          <w:p w14:paraId="14E2B7FA">
            <w:pPr>
              <w:snapToGrid w:val="0"/>
              <w:spacing w:line="460" w:lineRule="exact"/>
              <w:ind w:firstLine="120" w:firstLineChars="50"/>
              <w:rPr>
                <w:rFonts w:cs="宋体"/>
                <w:b/>
                <w:bCs/>
                <w:color w:val="000000" w:themeColor="text1"/>
                <w:kern w:val="2"/>
                <w:szCs w:val="24"/>
                <w:highlight w:val="none"/>
                <w14:textFill>
                  <w14:solidFill>
                    <w14:schemeClr w14:val="tx1"/>
                  </w14:solidFill>
                </w14:textFill>
              </w:rPr>
            </w:pPr>
            <w:r>
              <w:rPr>
                <w:rFonts w:hint="eastAsia" w:cs="宋体"/>
                <w:b/>
                <w:bCs/>
                <w:color w:val="000000" w:themeColor="text1"/>
                <w:kern w:val="2"/>
                <w:szCs w:val="24"/>
                <w:highlight w:val="none"/>
                <w14:textFill>
                  <w14:solidFill>
                    <w14:schemeClr w14:val="tx1"/>
                  </w14:solidFill>
                </w14:textFill>
              </w:rPr>
              <w:t>电子交易服务费用的金额：人民币200元，售后不退。</w:t>
            </w:r>
          </w:p>
          <w:p w14:paraId="549CCC6E">
            <w:pPr>
              <w:snapToGrid w:val="0"/>
              <w:spacing w:line="460" w:lineRule="exact"/>
              <w:ind w:firstLine="120" w:firstLineChars="50"/>
              <w:rPr>
                <w:rFonts w:cs="宋体"/>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 xml:space="preserve">递交要求： </w:t>
            </w:r>
          </w:p>
          <w:p w14:paraId="4DF9D573">
            <w:pPr>
              <w:snapToGrid w:val="0"/>
              <w:ind w:firstLine="0" w:firstLineChars="0"/>
              <w:rPr>
                <w:rFonts w:cs="宋体"/>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①电子交易服务费用的到账截止时间：同磋商时间。</w:t>
            </w:r>
          </w:p>
          <w:p w14:paraId="4487DC88">
            <w:pPr>
              <w:snapToGrid w:val="0"/>
              <w:ind w:firstLine="0" w:firstLineChars="0"/>
              <w:rPr>
                <w:rFonts w:cs="宋体"/>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②电子交易服务费用应当从供应商账户转出。</w:t>
            </w:r>
          </w:p>
          <w:p w14:paraId="1FD0CDBD">
            <w:pPr>
              <w:snapToGrid w:val="0"/>
              <w:ind w:firstLine="0" w:firstLineChars="0"/>
              <w:rPr>
                <w:rFonts w:cs="宋体"/>
                <w:color w:val="FF0000"/>
                <w:kern w:val="2"/>
                <w:szCs w:val="24"/>
                <w:highlight w:val="none"/>
              </w:rPr>
            </w:pPr>
            <w:r>
              <w:rPr>
                <w:rFonts w:hint="eastAsia" w:cs="宋体"/>
                <w:color w:val="FF0000"/>
                <w:kern w:val="2"/>
                <w:szCs w:val="24"/>
                <w:highlight w:val="none"/>
              </w:rPr>
              <w:t>③转入的开户银行及账号：</w:t>
            </w:r>
          </w:p>
          <w:p w14:paraId="76D79D20">
            <w:pPr>
              <w:snapToGrid w:val="0"/>
              <w:ind w:firstLine="0" w:firstLineChars="0"/>
              <w:rPr>
                <w:rFonts w:cs="宋体"/>
                <w:color w:val="FF0000"/>
                <w:kern w:val="2"/>
                <w:szCs w:val="24"/>
                <w:highlight w:val="none"/>
              </w:rPr>
            </w:pPr>
            <w:r>
              <w:rPr>
                <w:rFonts w:hint="eastAsia" w:cs="宋体"/>
                <w:color w:val="FF0000"/>
                <w:kern w:val="2"/>
                <w:szCs w:val="24"/>
                <w:highlight w:val="none"/>
              </w:rPr>
              <w:t>开户银行：广发银行股份有限公司合肥肥西支行</w:t>
            </w:r>
          </w:p>
          <w:p w14:paraId="12EF060D">
            <w:pPr>
              <w:snapToGrid w:val="0"/>
              <w:ind w:firstLine="0" w:firstLineChars="0"/>
              <w:rPr>
                <w:rFonts w:cs="宋体"/>
                <w:color w:val="FF0000"/>
                <w:kern w:val="2"/>
                <w:szCs w:val="24"/>
                <w:highlight w:val="none"/>
              </w:rPr>
            </w:pPr>
            <w:r>
              <w:rPr>
                <w:rFonts w:hint="eastAsia" w:cs="宋体"/>
                <w:color w:val="FF0000"/>
                <w:kern w:val="2"/>
                <w:szCs w:val="24"/>
                <w:highlight w:val="none"/>
              </w:rPr>
              <w:t>开户名：肥西县公共资源交易有限责任公司</w:t>
            </w:r>
          </w:p>
          <w:p w14:paraId="5FF0058F">
            <w:pPr>
              <w:snapToGrid w:val="0"/>
              <w:ind w:firstLine="0" w:firstLineChars="0"/>
              <w:rPr>
                <w:rFonts w:cs="宋体"/>
                <w:color w:val="000000" w:themeColor="text1"/>
                <w:kern w:val="2"/>
                <w:szCs w:val="24"/>
                <w:highlight w:val="none"/>
                <w14:textFill>
                  <w14:solidFill>
                    <w14:schemeClr w14:val="tx1"/>
                  </w14:solidFill>
                </w14:textFill>
              </w:rPr>
            </w:pPr>
            <w:r>
              <w:rPr>
                <w:rFonts w:hint="eastAsia" w:cs="宋体"/>
                <w:color w:val="FF0000"/>
                <w:kern w:val="2"/>
                <w:szCs w:val="24"/>
                <w:highlight w:val="none"/>
              </w:rPr>
              <w:t>账号：6232594999000550242</w:t>
            </w:r>
          </w:p>
          <w:p w14:paraId="298D891C">
            <w:pPr>
              <w:snapToGrid w:val="0"/>
              <w:ind w:firstLine="0" w:firstLineChars="0"/>
              <w:rPr>
                <w:rFonts w:cs="宋体"/>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注意事项：</w:t>
            </w:r>
          </w:p>
          <w:p w14:paraId="3EA4BECE">
            <w:pPr>
              <w:snapToGrid w:val="0"/>
              <w:ind w:firstLine="0" w:firstLineChars="0"/>
              <w:rPr>
                <w:rFonts w:cs="宋体"/>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（1）电子交易服务费用采用虚拟账号，项目磋商失败后，电子交易服务费用交纳账号将会发生变化，请供应商参与后续磋商时，注意勿将电子交易服务费用错交至其他项目账号或前次公告账号。</w:t>
            </w:r>
          </w:p>
          <w:p w14:paraId="3ACD46E9">
            <w:pPr>
              <w:snapToGrid w:val="0"/>
              <w:ind w:firstLine="0" w:firstLineChars="0"/>
              <w:rPr>
                <w:rFonts w:cs="宋体"/>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（3）凡转账到其他项目账户或本项目前次公告账户的，电子交易服务费用无效。</w:t>
            </w:r>
          </w:p>
          <w:p w14:paraId="370DF41A">
            <w:pPr>
              <w:snapToGrid w:val="0"/>
              <w:ind w:firstLine="0" w:firstLineChars="0"/>
              <w:rPr>
                <w:rFonts w:cs="宋体"/>
                <w:color w:val="000000" w:themeColor="text1"/>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（4）供应商参与本项目多个包别磋商的（如分多包别的），应该按包别分别递交电子交易服务费用。未递交电子交易服务费用的包别，其响应无效。</w:t>
            </w:r>
          </w:p>
        </w:tc>
      </w:tr>
      <w:tr w14:paraId="62A39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vAlign w:val="center"/>
          </w:tcPr>
          <w:p w14:paraId="52C0A1DC">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w:t>
            </w:r>
          </w:p>
        </w:tc>
        <w:tc>
          <w:tcPr>
            <w:tcW w:w="782" w:type="pct"/>
            <w:vAlign w:val="center"/>
          </w:tcPr>
          <w:p w14:paraId="46A4E2BC">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不予退还磋商保证金的情形</w:t>
            </w:r>
          </w:p>
        </w:tc>
        <w:tc>
          <w:tcPr>
            <w:tcW w:w="3623" w:type="pct"/>
            <w:vAlign w:val="center"/>
          </w:tcPr>
          <w:p w14:paraId="11840ADB">
            <w:pPr>
              <w:snapToGrid w:val="0"/>
              <w:ind w:firstLine="0" w:firstLineChars="0"/>
              <w:rPr>
                <w:rFonts w:cs="宋体"/>
                <w:color w:val="000000" w:themeColor="text1"/>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w:t>
            </w:r>
          </w:p>
        </w:tc>
      </w:tr>
      <w:tr w14:paraId="4BFBB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vAlign w:val="center"/>
          </w:tcPr>
          <w:p w14:paraId="0EBA4702">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w:t>
            </w:r>
          </w:p>
        </w:tc>
        <w:tc>
          <w:tcPr>
            <w:tcW w:w="782" w:type="pct"/>
            <w:vAlign w:val="center"/>
          </w:tcPr>
          <w:p w14:paraId="66194D87">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磋商现场提交的其他材料要求</w:t>
            </w:r>
          </w:p>
        </w:tc>
        <w:tc>
          <w:tcPr>
            <w:tcW w:w="3623" w:type="pct"/>
            <w:vAlign w:val="center"/>
          </w:tcPr>
          <w:p w14:paraId="3C7CA537">
            <w:pPr>
              <w:pStyle w:val="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无</w:t>
            </w:r>
          </w:p>
        </w:tc>
      </w:tr>
      <w:tr w14:paraId="518EC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vAlign w:val="center"/>
          </w:tcPr>
          <w:p w14:paraId="008244E1">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w:t>
            </w:r>
          </w:p>
        </w:tc>
        <w:tc>
          <w:tcPr>
            <w:tcW w:w="782" w:type="pct"/>
            <w:vAlign w:val="center"/>
          </w:tcPr>
          <w:p w14:paraId="2D42D3B4">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响应文件解密时间</w:t>
            </w:r>
          </w:p>
        </w:tc>
        <w:tc>
          <w:tcPr>
            <w:tcW w:w="3623" w:type="pct"/>
            <w:vAlign w:val="center"/>
          </w:tcPr>
          <w:p w14:paraId="58F7CB88">
            <w:pPr>
              <w:pStyle w:val="20"/>
              <w:rPr>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响应文件提交截止时间后30分钟内（以系统解密倒计时为准）</w:t>
            </w:r>
          </w:p>
        </w:tc>
      </w:tr>
      <w:tr w14:paraId="50B5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vMerge w:val="restart"/>
            <w:vAlign w:val="center"/>
          </w:tcPr>
          <w:p w14:paraId="0CD6B998">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w:t>
            </w:r>
          </w:p>
        </w:tc>
        <w:tc>
          <w:tcPr>
            <w:tcW w:w="782" w:type="pct"/>
            <w:vMerge w:val="restart"/>
            <w:vAlign w:val="center"/>
          </w:tcPr>
          <w:p w14:paraId="546B0441">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确定成交候选人和成交人</w:t>
            </w:r>
          </w:p>
        </w:tc>
        <w:tc>
          <w:tcPr>
            <w:tcW w:w="3623" w:type="pct"/>
            <w:vAlign w:val="center"/>
          </w:tcPr>
          <w:p w14:paraId="25E15C17">
            <w:pPr>
              <w:pStyle w:val="20"/>
              <w:rPr>
                <w:rFonts w:hint="eastAsia" w:eastAsia="宋体"/>
                <w:b/>
                <w:color w:val="000000" w:themeColor="text1"/>
                <w:highlight w:val="none"/>
                <w:u w:val="single"/>
                <w:lang w:eastAsia="zh-CN"/>
                <w14:textFill>
                  <w14:solidFill>
                    <w14:schemeClr w14:val="tx1"/>
                  </w14:solidFill>
                </w14:textFill>
              </w:rPr>
            </w:pPr>
            <w:r>
              <w:rPr>
                <w:rFonts w:hint="eastAsia"/>
                <w:color w:val="FF0000"/>
                <w:highlight w:val="none"/>
              </w:rPr>
              <w:t>评审委员会推荐成交候选人的数量：</w:t>
            </w:r>
            <w:r>
              <w:rPr>
                <w:rFonts w:hint="eastAsia"/>
                <w:color w:val="FF0000"/>
                <w:highlight w:val="none"/>
                <w:u w:val="single"/>
                <w:lang w:val="en-US" w:eastAsia="zh-CN"/>
              </w:rPr>
              <w:t>1</w:t>
            </w:r>
            <w:r>
              <w:rPr>
                <w:rFonts w:hint="eastAsia"/>
                <w:color w:val="FF0000"/>
                <w:highlight w:val="none"/>
                <w:u w:val="single"/>
              </w:rPr>
              <w:t>家</w:t>
            </w:r>
          </w:p>
        </w:tc>
      </w:tr>
      <w:tr w14:paraId="40CE1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vMerge w:val="continue"/>
            <w:vAlign w:val="center"/>
          </w:tcPr>
          <w:p w14:paraId="212599EF">
            <w:pPr>
              <w:pStyle w:val="21"/>
              <w:ind w:firstLine="0" w:firstLineChars="0"/>
              <w:rPr>
                <w:color w:val="000000" w:themeColor="text1"/>
                <w:highlight w:val="none"/>
                <w14:textFill>
                  <w14:solidFill>
                    <w14:schemeClr w14:val="tx1"/>
                  </w14:solidFill>
                </w14:textFill>
              </w:rPr>
            </w:pPr>
          </w:p>
        </w:tc>
        <w:tc>
          <w:tcPr>
            <w:tcW w:w="782" w:type="pct"/>
            <w:vMerge w:val="continue"/>
            <w:vAlign w:val="center"/>
          </w:tcPr>
          <w:p w14:paraId="5392CC8B">
            <w:pPr>
              <w:pStyle w:val="21"/>
              <w:ind w:firstLine="0" w:firstLineChars="0"/>
              <w:rPr>
                <w:color w:val="000000" w:themeColor="text1"/>
                <w:highlight w:val="none"/>
                <w14:textFill>
                  <w14:solidFill>
                    <w14:schemeClr w14:val="tx1"/>
                  </w14:solidFill>
                </w14:textFill>
              </w:rPr>
            </w:pPr>
          </w:p>
        </w:tc>
        <w:tc>
          <w:tcPr>
            <w:tcW w:w="3623" w:type="pct"/>
            <w:vAlign w:val="center"/>
          </w:tcPr>
          <w:p w14:paraId="5F8A4152">
            <w:pPr>
              <w:pStyle w:val="20"/>
              <w:rPr>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确定成交人：</w:t>
            </w:r>
          </w:p>
          <w:p w14:paraId="576A7AB5">
            <w:pPr>
              <w:pStyle w:val="20"/>
              <w:rPr>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sym w:font="Wingdings 2" w:char="0052"/>
            </w:r>
            <w:r>
              <w:rPr>
                <w:rFonts w:hint="eastAsia"/>
                <w:color w:val="000000" w:themeColor="text1"/>
                <w:highlight w:val="none"/>
                <w14:textFill>
                  <w14:solidFill>
                    <w14:schemeClr w14:val="tx1"/>
                  </w14:solidFill>
                </w14:textFill>
              </w:rPr>
              <w:t xml:space="preserve">业主单位委托评审委员会确定     </w:t>
            </w:r>
          </w:p>
          <w:p w14:paraId="52FE0290">
            <w:pPr>
              <w:pStyle w:val="20"/>
              <w:rPr>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sym w:font="Wingdings 2" w:char="00A3"/>
            </w:r>
            <w:r>
              <w:rPr>
                <w:rFonts w:hint="eastAsia"/>
                <w:color w:val="000000" w:themeColor="text1"/>
                <w:highlight w:val="none"/>
                <w14:textFill>
                  <w14:solidFill>
                    <w14:schemeClr w14:val="tx1"/>
                  </w14:solidFill>
                </w14:textFill>
              </w:rPr>
              <w:t>业主单位确定</w:t>
            </w:r>
          </w:p>
        </w:tc>
      </w:tr>
      <w:tr w14:paraId="00D27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vAlign w:val="center"/>
          </w:tcPr>
          <w:p w14:paraId="0D777455">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w:t>
            </w:r>
          </w:p>
        </w:tc>
        <w:tc>
          <w:tcPr>
            <w:tcW w:w="782" w:type="pct"/>
            <w:vAlign w:val="center"/>
          </w:tcPr>
          <w:p w14:paraId="2429EF04">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成交通知书发出的形式</w:t>
            </w:r>
          </w:p>
        </w:tc>
        <w:tc>
          <w:tcPr>
            <w:tcW w:w="3623" w:type="pct"/>
            <w:vAlign w:val="center"/>
          </w:tcPr>
          <w:p w14:paraId="08DEA445">
            <w:pPr>
              <w:pStyle w:val="20"/>
              <w:rPr>
                <w:b/>
                <w:color w:val="000000" w:themeColor="text1"/>
                <w:highlight w:val="none"/>
                <w14:textFill>
                  <w14:solidFill>
                    <w14:schemeClr w14:val="tx1"/>
                  </w14:solidFill>
                </w14:textFill>
              </w:rPr>
            </w:pPr>
            <w:r>
              <w:rPr>
                <w:rFonts w:ascii="Segoe UI Symbol" w:hAnsi="Segoe UI Symbol" w:cs="Segoe UI Symbol"/>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 xml:space="preserve">书面     </w:t>
            </w:r>
            <w:r>
              <w:rPr>
                <w:rFonts w:hint="eastAsia"/>
                <w:color w:val="000000" w:themeColor="text1"/>
                <w:highlight w:val="none"/>
                <w14:textFill>
                  <w14:solidFill>
                    <w14:schemeClr w14:val="tx1"/>
                  </w14:solidFill>
                </w14:textFill>
              </w:rPr>
              <w:sym w:font="Wingdings" w:char="00A8"/>
            </w:r>
            <w:r>
              <w:rPr>
                <w:rFonts w:hint="eastAsia"/>
                <w:color w:val="000000" w:themeColor="text1"/>
                <w:highlight w:val="none"/>
                <w14:textFill>
                  <w14:solidFill>
                    <w14:schemeClr w14:val="tx1"/>
                  </w14:solidFill>
                </w14:textFill>
              </w:rPr>
              <w:t>数据电文</w:t>
            </w:r>
          </w:p>
        </w:tc>
      </w:tr>
      <w:tr w14:paraId="7B54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vAlign w:val="center"/>
          </w:tcPr>
          <w:p w14:paraId="3A0F7C62">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w:t>
            </w:r>
          </w:p>
        </w:tc>
        <w:tc>
          <w:tcPr>
            <w:tcW w:w="782" w:type="pct"/>
            <w:vAlign w:val="center"/>
          </w:tcPr>
          <w:p w14:paraId="475BE8D7">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告知磋商结果的</w:t>
            </w:r>
          </w:p>
          <w:p w14:paraId="59DC1D86">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形式</w:t>
            </w:r>
          </w:p>
        </w:tc>
        <w:tc>
          <w:tcPr>
            <w:tcW w:w="3623" w:type="pct"/>
            <w:vAlign w:val="center"/>
          </w:tcPr>
          <w:p w14:paraId="5F1C652B">
            <w:pPr>
              <w:pStyle w:val="20"/>
              <w:rPr>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sym w:font="Wingdings" w:char="F0FE"/>
            </w:r>
            <w:r>
              <w:rPr>
                <w:rFonts w:hint="eastAsia"/>
                <w:color w:val="000000" w:themeColor="text1"/>
                <w:highlight w:val="none"/>
                <w14:textFill>
                  <w14:solidFill>
                    <w14:schemeClr w14:val="tx1"/>
                  </w14:solidFill>
                </w14:textFill>
              </w:rPr>
              <w:t>供应商自行登录系统查看</w:t>
            </w:r>
          </w:p>
          <w:p w14:paraId="53FD2601">
            <w:pPr>
              <w:pStyle w:val="20"/>
              <w:rPr>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□磋商现场告知</w:t>
            </w:r>
          </w:p>
        </w:tc>
      </w:tr>
      <w:tr w14:paraId="11CAB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vAlign w:val="center"/>
          </w:tcPr>
          <w:p w14:paraId="1358FB87">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15</w:t>
            </w:r>
          </w:p>
        </w:tc>
        <w:tc>
          <w:tcPr>
            <w:tcW w:w="782" w:type="pct"/>
            <w:vAlign w:val="center"/>
          </w:tcPr>
          <w:p w14:paraId="109FF109">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履约</w:t>
            </w:r>
          </w:p>
          <w:p w14:paraId="78B8324B">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保证金</w:t>
            </w:r>
          </w:p>
        </w:tc>
        <w:tc>
          <w:tcPr>
            <w:tcW w:w="3623" w:type="pct"/>
          </w:tcPr>
          <w:p w14:paraId="097F626E">
            <w:pPr>
              <w:snapToGrid w:val="0"/>
              <w:ind w:firstLine="0" w:firstLineChars="0"/>
              <w:rPr>
                <w:rFonts w:cs="宋体"/>
                <w:snapToGrid w:val="0"/>
                <w:color w:val="000000" w:themeColor="text1"/>
                <w:szCs w:val="24"/>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sym w:font="Wingdings" w:char="00A8"/>
            </w:r>
            <w:r>
              <w:rPr>
                <w:rFonts w:hint="eastAsia" w:cs="宋体"/>
                <w:b w:val="0"/>
                <w:bCs w:val="0"/>
                <w:color w:val="000000" w:themeColor="text1"/>
                <w:szCs w:val="24"/>
                <w:highlight w:val="none"/>
                <w14:textFill>
                  <w14:solidFill>
                    <w14:schemeClr w14:val="tx1"/>
                  </w14:solidFill>
                </w14:textFill>
              </w:rPr>
              <w:t xml:space="preserve">收取 </w:t>
            </w:r>
            <w:r>
              <w:rPr>
                <w:rFonts w:hint="eastAsia" w:cs="宋体"/>
                <w:color w:val="000000" w:themeColor="text1"/>
                <w:szCs w:val="24"/>
                <w:highlight w:val="none"/>
                <w14:textFill>
                  <w14:solidFill>
                    <w14:schemeClr w14:val="tx1"/>
                  </w14:solidFill>
                </w14:textFill>
              </w:rPr>
              <w:t xml:space="preserve">    </w:t>
            </w:r>
            <w:r>
              <w:rPr>
                <w:rFonts w:hint="eastAsia" w:cs="宋体"/>
                <w:b/>
                <w:bCs/>
                <w:color w:val="000000" w:themeColor="text1"/>
                <w:szCs w:val="24"/>
                <w:highlight w:val="none"/>
                <w:lang w:eastAsia="zh-CN"/>
                <w14:textFill>
                  <w14:solidFill>
                    <w14:schemeClr w14:val="tx1"/>
                  </w14:solidFill>
                </w14:textFill>
              </w:rPr>
              <w:t>☑</w:t>
            </w:r>
            <w:r>
              <w:rPr>
                <w:rFonts w:hint="eastAsia" w:cs="宋体"/>
                <w:b/>
                <w:bCs/>
                <w:color w:val="000000" w:themeColor="text1"/>
                <w:szCs w:val="24"/>
                <w:highlight w:val="none"/>
                <w14:textFill>
                  <w14:solidFill>
                    <w14:schemeClr w14:val="tx1"/>
                  </w14:solidFill>
                </w14:textFill>
              </w:rPr>
              <w:t>不收取</w:t>
            </w:r>
          </w:p>
          <w:p w14:paraId="4F67FAE1">
            <w:pPr>
              <w:snapToGrid w:val="0"/>
              <w:ind w:firstLine="0" w:firstLineChars="0"/>
              <w:rPr>
                <w:rFonts w:cs="宋体"/>
                <w:bCs/>
                <w:snapToGrid w:val="0"/>
                <w:color w:val="000000" w:themeColor="text1"/>
                <w:szCs w:val="24"/>
                <w:highlight w:val="none"/>
                <w14:textFill>
                  <w14:solidFill>
                    <w14:schemeClr w14:val="tx1"/>
                  </w14:solidFill>
                </w14:textFill>
              </w:rPr>
            </w:pPr>
            <w:r>
              <w:rPr>
                <w:rFonts w:hint="eastAsia" w:cs="宋体"/>
                <w:snapToGrid w:val="0"/>
                <w:color w:val="000000" w:themeColor="text1"/>
                <w:szCs w:val="24"/>
                <w:highlight w:val="none"/>
                <w14:textFill>
                  <w14:solidFill>
                    <w14:schemeClr w14:val="tx1"/>
                  </w14:solidFill>
                </w14:textFill>
              </w:rPr>
              <w:t>（1）金额：</w:t>
            </w:r>
            <w:r>
              <w:rPr>
                <w:rFonts w:hint="eastAsia" w:cs="宋体"/>
                <w:color w:val="000000" w:themeColor="text1"/>
                <w:szCs w:val="24"/>
                <w:highlight w:val="none"/>
                <w14:textFill>
                  <w14:solidFill>
                    <w14:schemeClr w14:val="tx1"/>
                  </w14:solidFill>
                </w14:textFill>
              </w:rPr>
              <w:sym w:font="Wingdings" w:char="00A8"/>
            </w:r>
            <w:r>
              <w:rPr>
                <w:rFonts w:hint="eastAsia" w:cs="宋体"/>
                <w:snapToGrid w:val="0"/>
                <w:color w:val="000000" w:themeColor="text1"/>
                <w:szCs w:val="24"/>
                <w:highlight w:val="none"/>
                <w14:textFill>
                  <w14:solidFill>
                    <w14:schemeClr w14:val="tx1"/>
                  </w14:solidFill>
                </w14:textFill>
              </w:rPr>
              <w:t>成交金额的</w:t>
            </w:r>
            <w:r>
              <w:rPr>
                <w:rFonts w:hint="eastAsia" w:cs="宋体"/>
                <w:snapToGrid w:val="0"/>
                <w:color w:val="000000" w:themeColor="text1"/>
                <w:szCs w:val="24"/>
                <w:highlight w:val="none"/>
                <w:u w:val="single"/>
                <w14:textFill>
                  <w14:solidFill>
                    <w14:schemeClr w14:val="tx1"/>
                  </w14:solidFill>
                </w14:textFill>
              </w:rPr>
              <w:t xml:space="preserve">  </w:t>
            </w:r>
            <w:r>
              <w:rPr>
                <w:rFonts w:hint="eastAsia" w:cs="宋体"/>
                <w:snapToGrid w:val="0"/>
                <w:color w:val="000000" w:themeColor="text1"/>
                <w:szCs w:val="24"/>
                <w:highlight w:val="none"/>
                <w14:textFill>
                  <w14:solidFill>
                    <w14:schemeClr w14:val="tx1"/>
                  </w14:solidFill>
                </w14:textFill>
              </w:rPr>
              <w:t xml:space="preserve">%  </w:t>
            </w:r>
            <w:r>
              <w:rPr>
                <w:rFonts w:hint="eastAsia" w:cs="宋体"/>
                <w:b w:val="0"/>
                <w:bCs w:val="0"/>
                <w:snapToGrid w:val="0"/>
                <w:color w:val="000000" w:themeColor="text1"/>
                <w:szCs w:val="24"/>
                <w:highlight w:val="none"/>
                <w14:textFill>
                  <w14:solidFill>
                    <w14:schemeClr w14:val="tx1"/>
                  </w14:solidFill>
                </w14:textFill>
              </w:rPr>
              <w:t xml:space="preserve"> </w:t>
            </w:r>
            <w:r>
              <w:rPr>
                <w:rFonts w:hint="eastAsia"/>
                <w:b w:val="0"/>
                <w:bCs w:val="0"/>
                <w:color w:val="000000" w:themeColor="text1"/>
                <w:highlight w:val="none"/>
                <w14:textFill>
                  <w14:solidFill>
                    <w14:schemeClr w14:val="tx1"/>
                  </w14:solidFill>
                </w14:textFill>
              </w:rPr>
              <w:sym w:font="Wingdings" w:char="00A8"/>
            </w:r>
            <w:r>
              <w:rPr>
                <w:rFonts w:hint="eastAsia" w:cs="宋体"/>
                <w:b w:val="0"/>
                <w:bCs w:val="0"/>
                <w:color w:val="000000" w:themeColor="text1"/>
                <w:szCs w:val="24"/>
                <w:highlight w:val="none"/>
                <w14:textFill>
                  <w14:solidFill>
                    <w14:schemeClr w14:val="tx1"/>
                  </w14:solidFill>
                </w14:textFill>
              </w:rPr>
              <w:t>定额收取</w:t>
            </w:r>
            <w:r>
              <w:rPr>
                <w:rFonts w:hint="eastAsia" w:cs="宋体"/>
                <w:b w:val="0"/>
                <w:bCs w:val="0"/>
                <w:color w:val="000000" w:themeColor="text1"/>
                <w:szCs w:val="24"/>
                <w:highlight w:val="none"/>
                <w:u w:val="single"/>
                <w:lang w:val="en-US" w:eastAsia="zh-CN"/>
                <w14:textFill>
                  <w14:solidFill>
                    <w14:schemeClr w14:val="tx1"/>
                  </w14:solidFill>
                </w14:textFill>
              </w:rPr>
              <w:t xml:space="preserve">      </w:t>
            </w:r>
            <w:r>
              <w:rPr>
                <w:rFonts w:hint="eastAsia" w:cs="宋体"/>
                <w:b w:val="0"/>
                <w:bCs w:val="0"/>
                <w:color w:val="000000" w:themeColor="text1"/>
                <w:szCs w:val="24"/>
                <w:highlight w:val="none"/>
                <w14:textFill>
                  <w14:solidFill>
                    <w14:schemeClr w14:val="tx1"/>
                  </w14:solidFill>
                </w14:textFill>
              </w:rPr>
              <w:t>元</w:t>
            </w:r>
          </w:p>
          <w:p w14:paraId="64DC2EC9">
            <w:pPr>
              <w:snapToGrid w:val="0"/>
              <w:ind w:firstLine="0" w:firstLineChars="0"/>
              <w:rPr>
                <w:rFonts w:cs="宋体"/>
                <w:color w:val="000000" w:themeColor="text1"/>
                <w:szCs w:val="24"/>
                <w:highlight w:val="none"/>
                <w14:textFill>
                  <w14:solidFill>
                    <w14:schemeClr w14:val="tx1"/>
                  </w14:solidFill>
                </w14:textFill>
              </w:rPr>
            </w:pPr>
            <w:r>
              <w:rPr>
                <w:rFonts w:hint="eastAsia" w:cs="宋体"/>
                <w:bCs/>
                <w:snapToGrid w:val="0"/>
                <w:color w:val="000000" w:themeColor="text1"/>
                <w:szCs w:val="24"/>
                <w:highlight w:val="none"/>
                <w14:textFill>
                  <w14:solidFill>
                    <w14:schemeClr w14:val="tx1"/>
                  </w14:solidFill>
                </w14:textFill>
              </w:rPr>
              <w:t>（2）缴纳形式</w:t>
            </w:r>
            <w:r>
              <w:rPr>
                <w:rFonts w:hint="eastAsia" w:cs="宋体"/>
                <w:color w:val="000000" w:themeColor="text1"/>
                <w:szCs w:val="24"/>
                <w:highlight w:val="none"/>
                <w14:textFill>
                  <w14:solidFill>
                    <w14:schemeClr w14:val="tx1"/>
                  </w14:solidFill>
                </w14:textFill>
              </w:rPr>
              <w:t>：</w:t>
            </w:r>
            <w:r>
              <w:rPr>
                <w:rFonts w:hint="eastAsia"/>
                <w:color w:val="000000" w:themeColor="text1"/>
                <w:highlight w:val="none"/>
                <w14:textFill>
                  <w14:solidFill>
                    <w14:schemeClr w14:val="tx1"/>
                  </w14:solidFill>
                </w14:textFill>
              </w:rPr>
              <w:sym w:font="Wingdings" w:char="00FE"/>
            </w:r>
            <w:r>
              <w:rPr>
                <w:rFonts w:hint="eastAsia" w:cs="宋体"/>
                <w:color w:val="000000" w:themeColor="text1"/>
                <w:szCs w:val="24"/>
                <w:highlight w:val="none"/>
                <w14:textFill>
                  <w14:solidFill>
                    <w14:schemeClr w14:val="tx1"/>
                  </w14:solidFill>
                </w14:textFill>
              </w:rPr>
              <w:t xml:space="preserve">银行转账  </w:t>
            </w:r>
            <w:r>
              <w:rPr>
                <w:rFonts w:hint="eastAsia"/>
                <w:color w:val="000000" w:themeColor="text1"/>
                <w:highlight w:val="none"/>
                <w14:textFill>
                  <w14:solidFill>
                    <w14:schemeClr w14:val="tx1"/>
                  </w14:solidFill>
                </w14:textFill>
              </w:rPr>
              <w:sym w:font="Wingdings" w:char="F0FE"/>
            </w:r>
            <w:r>
              <w:rPr>
                <w:rFonts w:hint="eastAsia" w:cs="宋体"/>
                <w:color w:val="000000" w:themeColor="text1"/>
                <w:szCs w:val="24"/>
                <w:highlight w:val="none"/>
                <w14:textFill>
                  <w14:solidFill>
                    <w14:schemeClr w14:val="tx1"/>
                  </w14:solidFill>
                </w14:textFill>
              </w:rPr>
              <w:t xml:space="preserve">银行电汇 </w:t>
            </w:r>
            <w:r>
              <w:rPr>
                <w:color w:val="000000" w:themeColor="text1"/>
                <w:szCs w:val="24"/>
                <w:highlight w:val="none"/>
                <w14:textFill>
                  <w14:solidFill>
                    <w14:schemeClr w14:val="tx1"/>
                  </w14:solidFill>
                </w14:textFill>
              </w:rPr>
              <w:sym w:font="Wingdings" w:char="00FE"/>
            </w:r>
            <w:r>
              <w:rPr>
                <w:rFonts w:hint="eastAsia" w:cs="宋体"/>
                <w:color w:val="000000" w:themeColor="text1"/>
                <w:szCs w:val="24"/>
                <w:highlight w:val="none"/>
                <w14:textFill>
                  <w14:solidFill>
                    <w14:schemeClr w14:val="tx1"/>
                  </w14:solidFill>
                </w14:textFill>
              </w:rPr>
              <w:t>现金保证</w:t>
            </w:r>
          </w:p>
          <w:p w14:paraId="111591CB">
            <w:pPr>
              <w:snapToGrid w:val="0"/>
              <w:ind w:firstLine="0" w:firstLineChars="0"/>
              <w:rPr>
                <w:rFonts w:cs="宋体"/>
                <w:b/>
                <w:bCs/>
                <w:snapToGrid w:val="0"/>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3）具体要求：合同签订前按规定提交履约保证金，若成交人在规定时限内未提交保证金的，业主单位将书面通知成交人，5日内不能办理的，业主单位将有权取消其成交资格,并没收其磋商保证金。在此情况下业主单位可将该项目授予排名第二的供应商或重新磋商。</w:t>
            </w:r>
          </w:p>
          <w:p w14:paraId="29302D40">
            <w:pPr>
              <w:pStyle w:val="20"/>
              <w:rPr>
                <w:rFonts w:hint="eastAsia" w:eastAsia="宋体"/>
                <w:b/>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（4）收取单位：</w:t>
            </w:r>
            <w:r>
              <w:rPr>
                <w:rFonts w:hint="eastAsia"/>
                <w:color w:val="000000" w:themeColor="text1"/>
                <w:highlight w:val="none"/>
                <w:lang w:eastAsia="zh-CN"/>
                <w14:textFill>
                  <w14:solidFill>
                    <w14:schemeClr w14:val="tx1"/>
                  </w14:solidFill>
                </w14:textFill>
              </w:rPr>
              <w:t xml:space="preserve">肥西县桃花镇人民政府 </w:t>
            </w:r>
          </w:p>
          <w:p w14:paraId="72EC57BD">
            <w:pPr>
              <w:pStyle w:val="20"/>
              <w:rPr>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（5）缴纳时间：合同签订前</w:t>
            </w:r>
          </w:p>
          <w:p w14:paraId="23419716">
            <w:pPr>
              <w:pStyle w:val="20"/>
              <w:rPr>
                <w:b/>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（6）退还时间：</w:t>
            </w:r>
            <w:r>
              <w:rPr>
                <w:rFonts w:hint="eastAsia"/>
                <w:color w:val="000000" w:themeColor="text1"/>
                <w:highlight w:val="none"/>
                <w:lang w:val="en-US" w:eastAsia="zh-CN"/>
                <w14:textFill>
                  <w14:solidFill>
                    <w14:schemeClr w14:val="tx1"/>
                  </w14:solidFill>
                </w14:textFill>
              </w:rPr>
              <w:t>合同履约完成</w:t>
            </w:r>
            <w:r>
              <w:rPr>
                <w:rFonts w:hint="eastAsia"/>
                <w:color w:val="000000" w:themeColor="text1"/>
                <w:highlight w:val="none"/>
                <w14:textFill>
                  <w14:solidFill>
                    <w14:schemeClr w14:val="tx1"/>
                  </w14:solidFill>
                </w14:textFill>
              </w:rPr>
              <w:t xml:space="preserve">，一个月内退还。   </w:t>
            </w:r>
          </w:p>
        </w:tc>
      </w:tr>
      <w:tr w14:paraId="6C2D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vAlign w:val="center"/>
          </w:tcPr>
          <w:p w14:paraId="476931F0">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w:t>
            </w:r>
          </w:p>
        </w:tc>
        <w:tc>
          <w:tcPr>
            <w:tcW w:w="782" w:type="pct"/>
            <w:vAlign w:val="center"/>
          </w:tcPr>
          <w:p w14:paraId="184675EC">
            <w:pPr>
              <w:pStyle w:val="21"/>
              <w:ind w:firstLine="0" w:firstLineChars="0"/>
              <w:rPr>
                <w:snapToGrid w:val="0"/>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代理</w:t>
            </w:r>
          </w:p>
          <w:p w14:paraId="623113B3">
            <w:pPr>
              <w:pStyle w:val="21"/>
              <w:ind w:firstLine="0" w:firstLineChars="0"/>
              <w:rPr>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服务费</w:t>
            </w:r>
          </w:p>
        </w:tc>
        <w:tc>
          <w:tcPr>
            <w:tcW w:w="3623" w:type="pct"/>
            <w:vAlign w:val="center"/>
          </w:tcPr>
          <w:p w14:paraId="4010E922">
            <w:pPr>
              <w:pStyle w:val="20"/>
              <w:rPr>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（1）金额：</w:t>
            </w:r>
          </w:p>
          <w:p w14:paraId="47C7CA50">
            <w:pPr>
              <w:pStyle w:val="20"/>
              <w:rPr>
                <w:rFonts w:hint="default" w:eastAsia="宋体"/>
                <w:b/>
                <w:color w:val="auto"/>
                <w:highlight w:val="none"/>
                <w:u w:val="single"/>
                <w:lang w:val="en-US" w:eastAsia="zh-CN"/>
              </w:rPr>
            </w:pPr>
            <w:r>
              <w:rPr>
                <w:rFonts w:hint="eastAsia"/>
                <w:color w:val="auto"/>
                <w:highlight w:val="none"/>
                <w:lang w:eastAsia="zh-CN"/>
              </w:rPr>
              <w:t>□</w:t>
            </w:r>
            <w:r>
              <w:rPr>
                <w:rFonts w:hint="eastAsia"/>
                <w:color w:val="auto"/>
                <w:highlight w:val="none"/>
              </w:rPr>
              <w:t>定额收取：</w:t>
            </w:r>
            <w:r>
              <w:rPr>
                <w:rFonts w:hint="eastAsia"/>
                <w:color w:val="auto"/>
                <w:highlight w:val="none"/>
                <w:u w:val="single"/>
                <w:lang w:val="en-US" w:eastAsia="zh-CN"/>
              </w:rPr>
              <w:t xml:space="preserve">         </w:t>
            </w:r>
          </w:p>
          <w:p w14:paraId="75390A4C">
            <w:pPr>
              <w:pStyle w:val="20"/>
              <w:rPr>
                <w:color w:val="000000" w:themeColor="text1"/>
                <w:highlight w:val="none"/>
                <w14:textFill>
                  <w14:solidFill>
                    <w14:schemeClr w14:val="tx1"/>
                  </w14:solidFill>
                </w14:textFill>
              </w:rPr>
            </w:pPr>
            <w:r>
              <w:rPr>
                <w:rFonts w:hint="eastAsia" w:ascii="Segoe UI Symbol" w:hAnsi="Segoe UI Symbol" w:cs="Segoe UI Symbol"/>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按下列标准收取：详见附件1《代理服务费收费标准》，不足4000元按4000元收取。</w:t>
            </w:r>
          </w:p>
          <w:p w14:paraId="7CBA8C4A">
            <w:pPr>
              <w:pStyle w:val="20"/>
              <w:rPr>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（2）支付方式：</w:t>
            </w:r>
            <w:r>
              <w:rPr>
                <w:rFonts w:ascii="Segoe UI Symbol" w:hAnsi="Segoe UI Symbol" w:cs="Segoe UI Symbol"/>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转账/电汇</w:t>
            </w:r>
          </w:p>
          <w:p w14:paraId="00B24318">
            <w:pPr>
              <w:ind w:firstLine="0" w:firstLineChars="0"/>
              <w:rPr>
                <w:rFonts w:cs="宋体"/>
                <w:color w:val="000000" w:themeColor="text1"/>
                <w:szCs w:val="24"/>
                <w:highlight w:val="none"/>
                <w14:textFill>
                  <w14:solidFill>
                    <w14:schemeClr w14:val="tx1"/>
                  </w14:solidFill>
                </w14:textFill>
              </w:rPr>
            </w:pPr>
            <w:r>
              <w:rPr>
                <w:rFonts w:hint="eastAsia" w:cs="楷体"/>
                <w:bCs/>
                <w:snapToGrid w:val="0"/>
                <w:color w:val="000000" w:themeColor="text1"/>
                <w:szCs w:val="24"/>
                <w:highlight w:val="none"/>
                <w14:textFill>
                  <w14:solidFill>
                    <w14:schemeClr w14:val="tx1"/>
                  </w14:solidFill>
                </w14:textFill>
              </w:rPr>
              <w:t>备注：以上相关费用，供应商在报价单中不单列，包含在报价中，业主单位不再单独计量支付。</w:t>
            </w:r>
          </w:p>
        </w:tc>
      </w:tr>
      <w:tr w14:paraId="26F0C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vAlign w:val="center"/>
          </w:tcPr>
          <w:p w14:paraId="53E18195">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w:t>
            </w:r>
          </w:p>
        </w:tc>
        <w:tc>
          <w:tcPr>
            <w:tcW w:w="782" w:type="pct"/>
            <w:vAlign w:val="center"/>
          </w:tcPr>
          <w:p w14:paraId="669E79C0">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补充约定</w:t>
            </w:r>
          </w:p>
        </w:tc>
        <w:tc>
          <w:tcPr>
            <w:tcW w:w="3623" w:type="pct"/>
            <w:vAlign w:val="center"/>
          </w:tcPr>
          <w:p w14:paraId="56FE9DFC">
            <w:pPr>
              <w:numPr>
                <w:ilvl w:val="255"/>
                <w:numId w:val="0"/>
              </w:numPr>
              <w:adjustRightInd w:val="0"/>
              <w:snapToGrid w:val="0"/>
              <w:rPr>
                <w:rFonts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（1）通过初审的供应商为3家及以上的，按磋商文件约定进行评审并确定结果；</w:t>
            </w:r>
          </w:p>
          <w:p w14:paraId="7BCD05E0">
            <w:pPr>
              <w:adjustRightInd w:val="0"/>
              <w:snapToGrid w:val="0"/>
              <w:ind w:firstLine="0" w:firstLineChars="0"/>
              <w:rPr>
                <w:color w:val="000000" w:themeColor="text1"/>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（2）通过初审的供应商不足3家的，项目磋商失败。</w:t>
            </w:r>
          </w:p>
        </w:tc>
      </w:tr>
      <w:tr w14:paraId="0C18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vAlign w:val="center"/>
          </w:tcPr>
          <w:p w14:paraId="7B4F9755">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18</w:t>
            </w:r>
          </w:p>
        </w:tc>
        <w:tc>
          <w:tcPr>
            <w:tcW w:w="782" w:type="pct"/>
            <w:vAlign w:val="center"/>
          </w:tcPr>
          <w:p w14:paraId="00843081">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报价须知</w:t>
            </w:r>
          </w:p>
        </w:tc>
        <w:tc>
          <w:tcPr>
            <w:tcW w:w="3623" w:type="pct"/>
            <w:vAlign w:val="center"/>
          </w:tcPr>
          <w:p w14:paraId="4A546B8A">
            <w:pPr>
              <w:ind w:firstLine="0" w:firstLineChars="0"/>
              <w:rPr>
                <w:rFonts w:cs="宋体"/>
                <w:color w:val="000000" w:themeColor="text1"/>
                <w:szCs w:val="24"/>
                <w:highlight w:val="none"/>
                <w14:textFill>
                  <w14:solidFill>
                    <w14:schemeClr w14:val="tx1"/>
                  </w14:solidFill>
                </w14:textFill>
              </w:rPr>
            </w:pPr>
            <w:r>
              <w:rPr>
                <w:rFonts w:hint="eastAsia" w:cs="宋体"/>
                <w:bCs/>
                <w:color w:val="000000" w:themeColor="text1"/>
                <w:kern w:val="2"/>
                <w:szCs w:val="24"/>
                <w:highlight w:val="none"/>
                <w14:textFill>
                  <w14:solidFill>
                    <w14:schemeClr w14:val="tx1"/>
                  </w14:solidFill>
                </w14:textFill>
              </w:rPr>
              <w:t>供应商最终报价不得高于磋商文件（公告）列明的项目预算、最高限价，否则其响应文件将被否决。</w:t>
            </w:r>
          </w:p>
        </w:tc>
      </w:tr>
      <w:tr w14:paraId="3DCB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vAlign w:val="center"/>
          </w:tcPr>
          <w:p w14:paraId="7E5323D5">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w:t>
            </w:r>
          </w:p>
        </w:tc>
        <w:tc>
          <w:tcPr>
            <w:tcW w:w="782" w:type="pct"/>
            <w:vAlign w:val="center"/>
          </w:tcPr>
          <w:p w14:paraId="7707668D">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重要说明</w:t>
            </w:r>
          </w:p>
        </w:tc>
        <w:tc>
          <w:tcPr>
            <w:tcW w:w="3623" w:type="pct"/>
            <w:vAlign w:val="center"/>
          </w:tcPr>
          <w:p w14:paraId="2DCF249B">
            <w:pPr>
              <w:ind w:firstLine="0" w:firstLineChars="0"/>
              <w:rPr>
                <w:rFonts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（1）成交人应在规定期限内提交履约保证金并与业主单位签订合同，若成交人未能在规定期限内提交履约保证金或签订合同，业主单位有权取消成交人成交资格；</w:t>
            </w:r>
          </w:p>
          <w:p w14:paraId="78D1A6BE">
            <w:pPr>
              <w:ind w:firstLine="0" w:firstLineChars="0"/>
              <w:rPr>
                <w:rFonts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（2）合同签订后，成交人存在规定时间内不组织人员进场开工，不履行合同义务等情况，业主单位有权解除合同，并追究违约责任；</w:t>
            </w:r>
          </w:p>
          <w:p w14:paraId="3A8999DD">
            <w:pPr>
              <w:ind w:firstLine="0" w:firstLineChars="0"/>
              <w:rPr>
                <w:rFonts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（3）成交人在成交项目发生投诉、信访举报案件、履约存在争议时，拒绝协助配合有关部门调查案件的，业主单位可以取消其成交资格或解除合同，并追究其违约责任。</w:t>
            </w:r>
          </w:p>
          <w:p w14:paraId="1BF249E9">
            <w:pPr>
              <w:pStyle w:val="5"/>
              <w:spacing w:before="0" w:after="0" w:line="360" w:lineRule="auto"/>
              <w:ind w:firstLine="0" w:firstLineChars="0"/>
              <w:rPr>
                <w:rFonts w:cs="宋体"/>
                <w:b w:val="0"/>
                <w:bCs w:val="0"/>
                <w:color w:val="000000" w:themeColor="text1"/>
                <w:sz w:val="24"/>
                <w:szCs w:val="24"/>
                <w:highlight w:val="none"/>
                <w14:textFill>
                  <w14:solidFill>
                    <w14:schemeClr w14:val="tx1"/>
                  </w14:solidFill>
                </w14:textFill>
              </w:rPr>
            </w:pPr>
            <w:r>
              <w:rPr>
                <w:rFonts w:hint="eastAsia" w:cs="宋体"/>
                <w:b w:val="0"/>
                <w:bCs w:val="0"/>
                <w:color w:val="000000" w:themeColor="text1"/>
                <w:sz w:val="24"/>
                <w:szCs w:val="24"/>
                <w:highlight w:val="none"/>
                <w14:textFill>
                  <w14:solidFill>
                    <w14:schemeClr w14:val="tx1"/>
                  </w14:solidFill>
                </w14:textFill>
              </w:rPr>
              <w:t>（4）供应商参与磋商，应当诚信守法、公平竞争。如有以提供虚假材料（包括但不限于虚假技术参数响应、虚假业绩、虚假证书、虚假检测报告等）、串通参与磋商、隐瞒失信信息等谋取成交的行为，一经发现，业主单位可以取消其成交资格或解除合同，并追究其违约责任。</w:t>
            </w:r>
          </w:p>
        </w:tc>
      </w:tr>
      <w:tr w14:paraId="063C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vAlign w:val="center"/>
          </w:tcPr>
          <w:p w14:paraId="4720AE31">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20</w:t>
            </w:r>
          </w:p>
        </w:tc>
        <w:tc>
          <w:tcPr>
            <w:tcW w:w="782" w:type="pct"/>
            <w:vAlign w:val="center"/>
          </w:tcPr>
          <w:p w14:paraId="68B2F601">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电子交易</w:t>
            </w:r>
          </w:p>
        </w:tc>
        <w:tc>
          <w:tcPr>
            <w:tcW w:w="3623" w:type="pct"/>
            <w:vAlign w:val="center"/>
          </w:tcPr>
          <w:p w14:paraId="130A5B77">
            <w:pPr>
              <w:keepNext w:val="0"/>
              <w:keepLines w:val="0"/>
              <w:pageBreakBefore w:val="0"/>
              <w:widowControl w:val="0"/>
              <w:kinsoku w:val="0"/>
              <w:wordWrap/>
              <w:overflowPunct/>
              <w:topLinePunct w:val="0"/>
              <w:autoSpaceDE w:val="0"/>
              <w:autoSpaceDN w:val="0"/>
              <w:bidi w:val="0"/>
              <w:adjustRightInd/>
              <w:snapToGrid w:val="0"/>
              <w:ind w:firstLine="0" w:firstLineChars="0"/>
              <w:jc w:val="left"/>
              <w:textAlignment w:val="auto"/>
              <w:rPr>
                <w:rFonts w:cs="宋体"/>
                <w:bCs/>
                <w:color w:val="000000" w:themeColor="text1"/>
                <w:szCs w:val="24"/>
                <w:highlight w:val="none"/>
                <w14:textFill>
                  <w14:solidFill>
                    <w14:schemeClr w14:val="tx1"/>
                  </w14:solidFill>
                </w14:textFill>
              </w:rPr>
            </w:pPr>
            <w:r>
              <w:rPr>
                <w:rFonts w:hint="eastAsia" w:cs="宋体"/>
                <w:bCs/>
                <w:color w:val="000000" w:themeColor="text1"/>
                <w:szCs w:val="24"/>
                <w:highlight w:val="none"/>
                <w14:textFill>
                  <w14:solidFill>
                    <w14:schemeClr w14:val="tx1"/>
                  </w14:solidFill>
                </w14:textFill>
              </w:rPr>
              <w:t>本磋商项目实行全流程电子化交易，除磋商文件另有规定外，电子交易操作要求见附件《全流程电子招标采购具体要求》。</w:t>
            </w:r>
          </w:p>
        </w:tc>
      </w:tr>
      <w:tr w14:paraId="317C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shd w:val="clear" w:color="auto" w:fill="auto"/>
            <w:vAlign w:val="center"/>
          </w:tcPr>
          <w:p w14:paraId="0C55CB41">
            <w:pPr>
              <w:pStyle w:val="21"/>
              <w:ind w:firstLine="0" w:firstLineChars="0"/>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21</w:t>
            </w:r>
          </w:p>
        </w:tc>
        <w:tc>
          <w:tcPr>
            <w:tcW w:w="782" w:type="pct"/>
            <w:shd w:val="clear" w:color="auto" w:fill="auto"/>
            <w:vAlign w:val="center"/>
          </w:tcPr>
          <w:p w14:paraId="7F0D0A0F">
            <w:pPr>
              <w:pStyle w:val="21"/>
              <w:ind w:firstLine="0" w:firstLineChars="0"/>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解释权</w:t>
            </w:r>
          </w:p>
        </w:tc>
        <w:tc>
          <w:tcPr>
            <w:tcW w:w="3623" w:type="pct"/>
            <w:shd w:val="clear" w:color="auto" w:fill="auto"/>
            <w:vAlign w:val="center"/>
          </w:tcPr>
          <w:p w14:paraId="388F5326">
            <w:pPr>
              <w:ind w:firstLine="0" w:firstLineChars="0"/>
              <w:rPr>
                <w:rFonts w:cs="宋体"/>
                <w:bCs/>
                <w:color w:val="000000" w:themeColor="text1"/>
                <w:szCs w:val="24"/>
                <w:highlight w:val="none"/>
                <w14:textFill>
                  <w14:solidFill>
                    <w14:schemeClr w14:val="tx1"/>
                  </w14:solidFill>
                </w14:textFill>
              </w:rPr>
            </w:pPr>
            <w:r>
              <w:rPr>
                <w:rFonts w:hint="eastAsia" w:cs="宋体"/>
                <w:bCs/>
                <w:color w:val="000000" w:themeColor="text1"/>
                <w:szCs w:val="24"/>
                <w:highlight w:val="none"/>
                <w14:textFill>
                  <w14:solidFill>
                    <w14:schemeClr w14:val="tx1"/>
                  </w14:solidFill>
                </w14:textFill>
              </w:rPr>
              <w:t>（1）构成本磋商文件的各个组成文件应互为解释，互为说明；</w:t>
            </w:r>
          </w:p>
          <w:p w14:paraId="5E1E7C66">
            <w:pPr>
              <w:ind w:firstLine="0" w:firstLineChars="0"/>
              <w:rPr>
                <w:rFonts w:cs="宋体"/>
                <w:bCs/>
                <w:color w:val="000000" w:themeColor="text1"/>
                <w:szCs w:val="24"/>
                <w:highlight w:val="none"/>
                <w14:textFill>
                  <w14:solidFill>
                    <w14:schemeClr w14:val="tx1"/>
                  </w14:solidFill>
                </w14:textFill>
              </w:rPr>
            </w:pPr>
            <w:r>
              <w:rPr>
                <w:rFonts w:hint="eastAsia" w:cs="宋体"/>
                <w:bCs/>
                <w:color w:val="000000" w:themeColor="text1"/>
                <w:szCs w:val="24"/>
                <w:highlight w:val="none"/>
                <w14:textFill>
                  <w14:solidFill>
                    <w14:schemeClr w14:val="tx1"/>
                  </w14:solidFill>
                </w14:textFill>
              </w:rPr>
              <w:t>（2）同一组成文件中就同一事项的规定或约定不一致的，以编排顺序在后者为准；</w:t>
            </w:r>
          </w:p>
          <w:p w14:paraId="454C24E4">
            <w:pPr>
              <w:ind w:firstLine="0" w:firstLineChars="0"/>
              <w:rPr>
                <w:rFonts w:cs="宋体"/>
                <w:bCs/>
                <w:color w:val="000000" w:themeColor="text1"/>
                <w:szCs w:val="24"/>
                <w:highlight w:val="none"/>
                <w14:textFill>
                  <w14:solidFill>
                    <w14:schemeClr w14:val="tx1"/>
                  </w14:solidFill>
                </w14:textFill>
              </w:rPr>
            </w:pPr>
            <w:r>
              <w:rPr>
                <w:rFonts w:hint="eastAsia" w:cs="宋体"/>
                <w:bCs/>
                <w:color w:val="000000" w:themeColor="text1"/>
                <w:szCs w:val="24"/>
                <w:highlight w:val="none"/>
                <w14:textFill>
                  <w14:solidFill>
                    <w14:schemeClr w14:val="tx1"/>
                  </w14:solidFill>
                </w14:textFill>
              </w:rPr>
              <w:t>（3）如有不明确或不一致，构成合同文件组成内容的，以合同文件约定内容为准，且以专用合同条款约定的合同文件优先顺序解释；</w:t>
            </w:r>
          </w:p>
          <w:p w14:paraId="2E39602C">
            <w:pPr>
              <w:ind w:firstLine="0" w:firstLineChars="0"/>
              <w:rPr>
                <w:rFonts w:cs="宋体"/>
                <w:bCs/>
                <w:color w:val="000000" w:themeColor="text1"/>
                <w:szCs w:val="24"/>
                <w:highlight w:val="none"/>
                <w14:textFill>
                  <w14:solidFill>
                    <w14:schemeClr w14:val="tx1"/>
                  </w14:solidFill>
                </w14:textFill>
              </w:rPr>
            </w:pPr>
            <w:r>
              <w:rPr>
                <w:rFonts w:hint="eastAsia" w:cs="宋体"/>
                <w:bCs/>
                <w:color w:val="000000" w:themeColor="text1"/>
                <w:szCs w:val="24"/>
                <w:highlight w:val="none"/>
                <w14:textFill>
                  <w14:solidFill>
                    <w14:schemeClr w14:val="tx1"/>
                  </w14:solidFill>
                </w14:textFill>
              </w:rPr>
              <w:t>（4）除磋商文件中有特别规定外，仅适用于磋商及响应文件提交阶段的规定，按磋商公告、供应商须知前附表、供应商须知正文、评审方法和标准、响应文件格式的先后顺序解释；</w:t>
            </w:r>
          </w:p>
          <w:p w14:paraId="322C8AC5">
            <w:pPr>
              <w:ind w:firstLine="0" w:firstLineChars="0"/>
              <w:rPr>
                <w:rFonts w:cs="宋体"/>
                <w:color w:val="000000" w:themeColor="text1"/>
                <w:szCs w:val="24"/>
                <w:highlight w:val="none"/>
                <w14:textFill>
                  <w14:solidFill>
                    <w14:schemeClr w14:val="tx1"/>
                  </w14:solidFill>
                </w14:textFill>
              </w:rPr>
            </w:pPr>
            <w:r>
              <w:rPr>
                <w:rFonts w:hint="eastAsia" w:cs="宋体"/>
                <w:bCs/>
                <w:color w:val="000000" w:themeColor="text1"/>
                <w:szCs w:val="24"/>
                <w:highlight w:val="none"/>
                <w14:textFill>
                  <w14:solidFill>
                    <w14:schemeClr w14:val="tx1"/>
                  </w14:solidFill>
                </w14:textFill>
              </w:rPr>
              <w:t>（5）</w:t>
            </w:r>
            <w:r>
              <w:rPr>
                <w:rFonts w:hint="eastAsia" w:cs="宋体"/>
                <w:color w:val="000000" w:themeColor="text1"/>
                <w:szCs w:val="24"/>
                <w:highlight w:val="none"/>
                <w14:textFill>
                  <w14:solidFill>
                    <w14:schemeClr w14:val="tx1"/>
                  </w14:solidFill>
                </w14:textFill>
              </w:rPr>
              <w:t>有澄清的部分以最终的澄清更正内容为准；</w:t>
            </w:r>
          </w:p>
          <w:p w14:paraId="0FED77B0">
            <w:pPr>
              <w:pStyle w:val="20"/>
              <w:ind w:firstLine="0" w:firstLineChars="0"/>
              <w:rPr>
                <w:rFonts w:hint="eastAsia" w:ascii="宋体" w:hAnsi="宋体" w:eastAsia="宋体" w:cs="宋体"/>
                <w:b/>
                <w:bCs/>
                <w:color w:val="000000" w:themeColor="text1"/>
                <w:sz w:val="24"/>
                <w:szCs w:val="24"/>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（6）按本款前述规定仍不能形成结论的，由业主单位负责解释。</w:t>
            </w:r>
          </w:p>
        </w:tc>
      </w:tr>
      <w:tr w14:paraId="1507C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594" w:type="pct"/>
            <w:shd w:val="clear" w:color="auto" w:fill="auto"/>
            <w:vAlign w:val="center"/>
          </w:tcPr>
          <w:p w14:paraId="77069759">
            <w:pPr>
              <w:pStyle w:val="21"/>
              <w:ind w:firstLine="0" w:firstLineChars="0"/>
              <w:rPr>
                <w:rFonts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22</w:t>
            </w:r>
          </w:p>
        </w:tc>
        <w:tc>
          <w:tcPr>
            <w:tcW w:w="782" w:type="pct"/>
            <w:shd w:val="clear" w:color="auto" w:fill="auto"/>
            <w:vAlign w:val="center"/>
          </w:tcPr>
          <w:p w14:paraId="043473E5">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其他补充</w:t>
            </w:r>
          </w:p>
          <w:p w14:paraId="4A1DD4F3">
            <w:pPr>
              <w:pStyle w:val="21"/>
              <w:ind w:firstLine="0" w:firstLineChars="0"/>
              <w:rPr>
                <w:rFonts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说明</w:t>
            </w:r>
          </w:p>
        </w:tc>
        <w:tc>
          <w:tcPr>
            <w:tcW w:w="3623" w:type="pct"/>
            <w:shd w:val="clear" w:color="auto" w:fill="auto"/>
            <w:vAlign w:val="center"/>
          </w:tcPr>
          <w:p w14:paraId="0A1F5E35">
            <w:pPr>
              <w:pStyle w:val="20"/>
              <w:ind w:firstLine="0" w:firstLineChars="0"/>
              <w:rPr>
                <w:rFonts w:ascii="宋体" w:hAnsi="宋体" w:eastAsia="宋体" w:cs="宋体"/>
                <w:b/>
                <w:bCs/>
                <w:color w:val="000000" w:themeColor="text1"/>
                <w:sz w:val="24"/>
                <w:szCs w:val="24"/>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供应商不得与</w:t>
            </w:r>
            <w:r>
              <w:rPr>
                <w:rFonts w:hint="eastAsia"/>
                <w:color w:val="000000" w:themeColor="text1"/>
                <w:highlight w:val="none"/>
                <w:lang w:val="zh-CN"/>
                <w14:textFill>
                  <w14:solidFill>
                    <w14:schemeClr w14:val="tx1"/>
                  </w14:solidFill>
                </w14:textFill>
              </w:rPr>
              <w:t>本</w:t>
            </w:r>
            <w:r>
              <w:rPr>
                <w:rFonts w:hint="eastAsia"/>
                <w:color w:val="000000" w:themeColor="text1"/>
                <w:highlight w:val="none"/>
                <w14:textFill>
                  <w14:solidFill>
                    <w14:schemeClr w14:val="tx1"/>
                  </w14:solidFill>
                </w14:textFill>
              </w:rPr>
              <w:t>包</w:t>
            </w:r>
            <w:r>
              <w:rPr>
                <w:rFonts w:hint="eastAsia"/>
                <w:color w:val="000000" w:themeColor="text1"/>
                <w:highlight w:val="none"/>
                <w:lang w:val="zh-CN"/>
                <w14:textFill>
                  <w14:solidFill>
                    <w14:schemeClr w14:val="tx1"/>
                  </w14:solidFill>
                </w14:textFill>
              </w:rPr>
              <w:t>的其他供应商存在</w:t>
            </w:r>
            <w:r>
              <w:rPr>
                <w:rFonts w:hint="eastAsia"/>
                <w:color w:val="000000" w:themeColor="text1"/>
                <w:highlight w:val="none"/>
                <w14:textFill>
                  <w14:solidFill>
                    <w14:schemeClr w14:val="tx1"/>
                  </w14:solidFill>
                </w14:textFill>
              </w:rPr>
              <w:t>单位负责人为同一人或者存在直接控股、管理关系的情形</w:t>
            </w:r>
            <w:r>
              <w:rPr>
                <w:rFonts w:hint="eastAsia"/>
                <w:color w:val="000000" w:themeColor="text1"/>
                <w:highlight w:val="none"/>
                <w:lang w:val="zh-CN"/>
                <w14:textFill>
                  <w14:solidFill>
                    <w14:schemeClr w14:val="tx1"/>
                  </w14:solidFill>
                </w14:textFill>
              </w:rPr>
              <w:t>。</w:t>
            </w:r>
          </w:p>
        </w:tc>
      </w:tr>
      <w:tr w14:paraId="75BC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shd w:val="clear" w:color="auto" w:fill="auto"/>
            <w:vAlign w:val="center"/>
          </w:tcPr>
          <w:p w14:paraId="59B132E2">
            <w:pPr>
              <w:pStyle w:val="21"/>
              <w:ind w:firstLine="0" w:firstLineChars="0"/>
              <w:rPr>
                <w:rFonts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23</w:t>
            </w:r>
          </w:p>
        </w:tc>
        <w:tc>
          <w:tcPr>
            <w:tcW w:w="782" w:type="pct"/>
            <w:shd w:val="clear" w:color="auto" w:fill="auto"/>
            <w:vAlign w:val="center"/>
          </w:tcPr>
          <w:p w14:paraId="420DFF6B">
            <w:pPr>
              <w:pStyle w:val="21"/>
              <w:ind w:firstLine="0" w:firstLineChars="0"/>
              <w:rPr>
                <w:rFonts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同义词语</w:t>
            </w:r>
          </w:p>
        </w:tc>
        <w:tc>
          <w:tcPr>
            <w:tcW w:w="3623" w:type="pct"/>
            <w:shd w:val="clear" w:color="auto" w:fill="auto"/>
            <w:vAlign w:val="center"/>
          </w:tcPr>
          <w:p w14:paraId="1C429C40">
            <w:pPr>
              <w:pStyle w:val="20"/>
              <w:ind w:firstLine="0" w:firstLineChars="0"/>
              <w:rPr>
                <w:rFonts w:ascii="宋体" w:hAnsi="宋体" w:eastAsia="宋体" w:cs="宋体"/>
                <w:b/>
                <w:bCs/>
                <w:color w:val="000000" w:themeColor="text1"/>
                <w:sz w:val="24"/>
                <w:szCs w:val="24"/>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构成磋商文件组成部分的“供应商须知”、“评审方法和标准”、“响应文件格式”等章节中的“供应商”，等同于磋商阶段的“供应商”。</w:t>
            </w:r>
          </w:p>
        </w:tc>
      </w:tr>
      <w:tr w14:paraId="04FC1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4" w:type="pct"/>
            <w:shd w:val="clear" w:color="auto" w:fill="auto"/>
            <w:vAlign w:val="center"/>
          </w:tcPr>
          <w:p w14:paraId="065E442A">
            <w:pPr>
              <w:pStyle w:val="21"/>
              <w:ind w:firstLine="0" w:firstLineChars="0"/>
              <w:rPr>
                <w:rFonts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24</w:t>
            </w:r>
          </w:p>
        </w:tc>
        <w:tc>
          <w:tcPr>
            <w:tcW w:w="782" w:type="pct"/>
            <w:shd w:val="clear" w:color="auto" w:fill="auto"/>
            <w:vAlign w:val="center"/>
          </w:tcPr>
          <w:p w14:paraId="47496652">
            <w:pPr>
              <w:pStyle w:val="21"/>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磋商</w:t>
            </w:r>
          </w:p>
          <w:p w14:paraId="60A7D2D3">
            <w:pPr>
              <w:pStyle w:val="21"/>
              <w:ind w:firstLine="0" w:firstLineChars="0"/>
              <w:rPr>
                <w:rFonts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有效期</w:t>
            </w:r>
          </w:p>
        </w:tc>
        <w:tc>
          <w:tcPr>
            <w:tcW w:w="3623" w:type="pct"/>
            <w:shd w:val="clear" w:color="auto" w:fill="auto"/>
            <w:vAlign w:val="center"/>
          </w:tcPr>
          <w:p w14:paraId="654D8171">
            <w:pPr>
              <w:pStyle w:val="20"/>
              <w:ind w:firstLine="0" w:firstLineChars="0"/>
              <w:rPr>
                <w:rFonts w:ascii="宋体" w:hAnsi="宋体" w:eastAsia="宋体" w:cs="宋体"/>
                <w:bCs/>
                <w:color w:val="000000" w:themeColor="text1"/>
                <w:sz w:val="24"/>
                <w:szCs w:val="24"/>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120天</w:t>
            </w:r>
          </w:p>
        </w:tc>
      </w:tr>
    </w:tbl>
    <w:p w14:paraId="698A32A2">
      <w:pPr>
        <w:pStyle w:val="18"/>
        <w:ind w:left="360" w:firstLine="480"/>
        <w:rPr>
          <w:highlight w:val="none"/>
        </w:rPr>
      </w:pPr>
      <w:bookmarkStart w:id="4" w:name="_Toc14925"/>
      <w:bookmarkStart w:id="5" w:name="_Toc4558"/>
      <w:r>
        <w:rPr>
          <w:rFonts w:hint="eastAsia"/>
          <w:highlight w:val="none"/>
        </w:rPr>
        <w:br w:type="page"/>
      </w:r>
    </w:p>
    <w:p w14:paraId="1FC98D31">
      <w:pPr>
        <w:ind w:firstLine="482"/>
        <w:jc w:val="center"/>
        <w:outlineLvl w:val="2"/>
        <w:rPr>
          <w:rFonts w:asciiTheme="minorEastAsia" w:hAnsiTheme="minorEastAsia" w:eastAsiaTheme="minorEastAsia"/>
          <w:b/>
          <w:highlight w:val="none"/>
        </w:rPr>
      </w:pPr>
      <w:r>
        <w:rPr>
          <w:rFonts w:hint="eastAsia" w:asciiTheme="minorEastAsia" w:hAnsiTheme="minorEastAsia" w:eastAsiaTheme="minorEastAsia"/>
          <w:b/>
          <w:highlight w:val="none"/>
        </w:rPr>
        <w:t>附件1 代理服务费</w:t>
      </w:r>
      <w:bookmarkEnd w:id="4"/>
      <w:r>
        <w:rPr>
          <w:rFonts w:hint="eastAsia" w:asciiTheme="minorEastAsia" w:hAnsiTheme="minorEastAsia" w:eastAsiaTheme="minorEastAsia"/>
          <w:b/>
          <w:highlight w:val="none"/>
        </w:rPr>
        <w:t xml:space="preserve">收费标准 </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F8B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129EDAF0">
            <w:pPr>
              <w:spacing w:line="460" w:lineRule="exact"/>
              <w:ind w:firstLine="480"/>
              <w:rPr>
                <w:rFonts w:asciiTheme="minorEastAsia" w:hAnsiTheme="minorEastAsia" w:eastAsiaTheme="minorEastAsia" w:cstheme="minorEastAsia"/>
                <w:color w:val="000000"/>
                <w:szCs w:val="24"/>
                <w:highlight w:val="none"/>
              </w:rPr>
            </w:pPr>
          </w:p>
          <w:tbl>
            <w:tblPr>
              <w:tblStyle w:val="13"/>
              <w:tblpPr w:leftFromText="180" w:rightFromText="180" w:vertAnchor="text" w:horzAnchor="page" w:tblpX="207" w:tblpY="62"/>
              <w:tblOverlap w:val="never"/>
              <w:tblW w:w="85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0"/>
              <w:gridCol w:w="2025"/>
              <w:gridCol w:w="1888"/>
              <w:gridCol w:w="2287"/>
            </w:tblGrid>
            <w:tr w14:paraId="70CA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vAlign w:val="center"/>
                </w:tcPr>
                <w:p w14:paraId="2A74BDCB">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成交金额（万元）</w:t>
                  </w:r>
                </w:p>
              </w:tc>
              <w:tc>
                <w:tcPr>
                  <w:tcW w:w="2025" w:type="dxa"/>
                  <w:vAlign w:val="center"/>
                </w:tcPr>
                <w:p w14:paraId="4466AE28">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货物</w:t>
                  </w:r>
                </w:p>
              </w:tc>
              <w:tc>
                <w:tcPr>
                  <w:tcW w:w="1888" w:type="dxa"/>
                  <w:vAlign w:val="center"/>
                </w:tcPr>
                <w:p w14:paraId="1143AFB8">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服务</w:t>
                  </w:r>
                </w:p>
              </w:tc>
              <w:tc>
                <w:tcPr>
                  <w:tcW w:w="2287" w:type="dxa"/>
                  <w:vAlign w:val="center"/>
                </w:tcPr>
                <w:p w14:paraId="6077240F">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工程施工/总承包</w:t>
                  </w:r>
                </w:p>
              </w:tc>
            </w:tr>
            <w:tr w14:paraId="03FC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vAlign w:val="center"/>
                </w:tcPr>
                <w:p w14:paraId="0CF4AF8C">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100以下</w:t>
                  </w:r>
                </w:p>
              </w:tc>
              <w:tc>
                <w:tcPr>
                  <w:tcW w:w="2025" w:type="dxa"/>
                  <w:vAlign w:val="center"/>
                </w:tcPr>
                <w:p w14:paraId="552F4A72">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1.5%</w:t>
                  </w:r>
                </w:p>
              </w:tc>
              <w:tc>
                <w:tcPr>
                  <w:tcW w:w="1888" w:type="dxa"/>
                  <w:vAlign w:val="center"/>
                </w:tcPr>
                <w:p w14:paraId="38390DB8">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1.5%</w:t>
                  </w:r>
                </w:p>
              </w:tc>
              <w:tc>
                <w:tcPr>
                  <w:tcW w:w="2287" w:type="dxa"/>
                  <w:vAlign w:val="center"/>
                </w:tcPr>
                <w:p w14:paraId="58C615D1">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1.0%</w:t>
                  </w:r>
                </w:p>
              </w:tc>
            </w:tr>
            <w:tr w14:paraId="6A29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vAlign w:val="center"/>
                </w:tcPr>
                <w:p w14:paraId="2973E816">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100-500</w:t>
                  </w:r>
                </w:p>
              </w:tc>
              <w:tc>
                <w:tcPr>
                  <w:tcW w:w="2025" w:type="dxa"/>
                  <w:vAlign w:val="center"/>
                </w:tcPr>
                <w:p w14:paraId="6A486654">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1.1%</w:t>
                  </w:r>
                </w:p>
              </w:tc>
              <w:tc>
                <w:tcPr>
                  <w:tcW w:w="1888" w:type="dxa"/>
                  <w:vAlign w:val="center"/>
                </w:tcPr>
                <w:p w14:paraId="41A81CE0">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0.8%</w:t>
                  </w:r>
                </w:p>
              </w:tc>
              <w:tc>
                <w:tcPr>
                  <w:tcW w:w="2287" w:type="dxa"/>
                  <w:vAlign w:val="center"/>
                </w:tcPr>
                <w:p w14:paraId="2445D045">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0.7%</w:t>
                  </w:r>
                </w:p>
              </w:tc>
            </w:tr>
            <w:tr w14:paraId="42CA2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vAlign w:val="center"/>
                </w:tcPr>
                <w:p w14:paraId="0044C5EB">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500-1000</w:t>
                  </w:r>
                </w:p>
              </w:tc>
              <w:tc>
                <w:tcPr>
                  <w:tcW w:w="2025" w:type="dxa"/>
                  <w:vAlign w:val="center"/>
                </w:tcPr>
                <w:p w14:paraId="078CE5F3">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0.8%</w:t>
                  </w:r>
                </w:p>
              </w:tc>
              <w:tc>
                <w:tcPr>
                  <w:tcW w:w="1888" w:type="dxa"/>
                  <w:vAlign w:val="center"/>
                </w:tcPr>
                <w:p w14:paraId="192FDE8C">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0.45%</w:t>
                  </w:r>
                </w:p>
              </w:tc>
              <w:tc>
                <w:tcPr>
                  <w:tcW w:w="2287" w:type="dxa"/>
                  <w:vAlign w:val="center"/>
                </w:tcPr>
                <w:p w14:paraId="02DCE72A">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0.55%</w:t>
                  </w:r>
                </w:p>
              </w:tc>
            </w:tr>
            <w:tr w14:paraId="42E7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vAlign w:val="center"/>
                </w:tcPr>
                <w:p w14:paraId="4F0CA411">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1000-5000</w:t>
                  </w:r>
                </w:p>
              </w:tc>
              <w:tc>
                <w:tcPr>
                  <w:tcW w:w="2025" w:type="dxa"/>
                  <w:vAlign w:val="center"/>
                </w:tcPr>
                <w:p w14:paraId="434B4302">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0.5%</w:t>
                  </w:r>
                </w:p>
              </w:tc>
              <w:tc>
                <w:tcPr>
                  <w:tcW w:w="1888" w:type="dxa"/>
                  <w:vAlign w:val="center"/>
                </w:tcPr>
                <w:p w14:paraId="2E2DCBC2">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0.25%</w:t>
                  </w:r>
                </w:p>
              </w:tc>
              <w:tc>
                <w:tcPr>
                  <w:tcW w:w="2287" w:type="dxa"/>
                  <w:vAlign w:val="center"/>
                </w:tcPr>
                <w:p w14:paraId="39021047">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0.35%</w:t>
                  </w:r>
                </w:p>
              </w:tc>
            </w:tr>
            <w:tr w14:paraId="677A2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vAlign w:val="center"/>
                </w:tcPr>
                <w:p w14:paraId="17EF9876">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5000-10000</w:t>
                  </w:r>
                </w:p>
              </w:tc>
              <w:tc>
                <w:tcPr>
                  <w:tcW w:w="2025" w:type="dxa"/>
                  <w:vAlign w:val="center"/>
                </w:tcPr>
                <w:p w14:paraId="6CAF649A">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0.25%</w:t>
                  </w:r>
                </w:p>
              </w:tc>
              <w:tc>
                <w:tcPr>
                  <w:tcW w:w="1888" w:type="dxa"/>
                  <w:vAlign w:val="center"/>
                </w:tcPr>
                <w:p w14:paraId="5F1B62A0">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0.1%</w:t>
                  </w:r>
                </w:p>
              </w:tc>
              <w:tc>
                <w:tcPr>
                  <w:tcW w:w="2287" w:type="dxa"/>
                  <w:vAlign w:val="center"/>
                </w:tcPr>
                <w:p w14:paraId="5397680E">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0.2%</w:t>
                  </w:r>
                </w:p>
              </w:tc>
            </w:tr>
            <w:tr w14:paraId="203E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vAlign w:val="center"/>
                </w:tcPr>
                <w:p w14:paraId="239FEB80">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10000-100000</w:t>
                  </w:r>
                </w:p>
              </w:tc>
              <w:tc>
                <w:tcPr>
                  <w:tcW w:w="2025" w:type="dxa"/>
                  <w:vAlign w:val="center"/>
                </w:tcPr>
                <w:p w14:paraId="4A2252FB">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0.05%</w:t>
                  </w:r>
                </w:p>
              </w:tc>
              <w:tc>
                <w:tcPr>
                  <w:tcW w:w="1888" w:type="dxa"/>
                  <w:vAlign w:val="center"/>
                </w:tcPr>
                <w:p w14:paraId="7ECCA30E">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0.05%</w:t>
                  </w:r>
                </w:p>
              </w:tc>
              <w:tc>
                <w:tcPr>
                  <w:tcW w:w="2287" w:type="dxa"/>
                  <w:vAlign w:val="center"/>
                </w:tcPr>
                <w:p w14:paraId="6713DDF5">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0.05%</w:t>
                  </w:r>
                </w:p>
              </w:tc>
            </w:tr>
            <w:tr w14:paraId="3B52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vAlign w:val="center"/>
                </w:tcPr>
                <w:p w14:paraId="58A33A1A">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100000以上</w:t>
                  </w:r>
                </w:p>
              </w:tc>
              <w:tc>
                <w:tcPr>
                  <w:tcW w:w="2025" w:type="dxa"/>
                  <w:vAlign w:val="center"/>
                </w:tcPr>
                <w:p w14:paraId="1CAC1E82">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0.01%</w:t>
                  </w:r>
                </w:p>
              </w:tc>
              <w:tc>
                <w:tcPr>
                  <w:tcW w:w="1888" w:type="dxa"/>
                  <w:vAlign w:val="center"/>
                </w:tcPr>
                <w:p w14:paraId="7E89BFED">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0.01%</w:t>
                  </w:r>
                </w:p>
              </w:tc>
              <w:tc>
                <w:tcPr>
                  <w:tcW w:w="2287" w:type="dxa"/>
                  <w:vAlign w:val="center"/>
                </w:tcPr>
                <w:p w14:paraId="203F07AC">
                  <w:pPr>
                    <w:spacing w:line="460" w:lineRule="exact"/>
                    <w:ind w:firstLine="480"/>
                    <w:jc w:val="center"/>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0.01%</w:t>
                  </w:r>
                </w:p>
              </w:tc>
            </w:tr>
          </w:tbl>
          <w:p w14:paraId="207959D2">
            <w:pPr>
              <w:spacing w:line="460" w:lineRule="exact"/>
              <w:ind w:firstLine="480"/>
              <w:rPr>
                <w:rFonts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szCs w:val="24"/>
                <w:highlight w:val="none"/>
              </w:rPr>
              <w:t>注：代理服务收费按差额定率累进法计算，成交金额含本数。例如：某服务项目代理业务成交金额为6000万元，</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具体收取金额为上表（代理服务费收费标准）相应项目类别收费标准*100%，</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计算代理服务费收取金额如下：</w:t>
            </w:r>
          </w:p>
          <w:p w14:paraId="0E8B5C8C">
            <w:pPr>
              <w:spacing w:line="460" w:lineRule="exact"/>
              <w:ind w:firstLine="480"/>
              <w:rPr>
                <w:rFonts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100万元×1.5％＝1.5万元</w:t>
            </w:r>
          </w:p>
          <w:p w14:paraId="55B92E55">
            <w:pPr>
              <w:spacing w:line="460" w:lineRule="exact"/>
              <w:ind w:firstLine="480"/>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（500－100）万元×0.8％＝3.2万元</w:t>
            </w:r>
          </w:p>
          <w:p w14:paraId="2F60E469">
            <w:pPr>
              <w:spacing w:line="460" w:lineRule="exact"/>
              <w:ind w:firstLine="480"/>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（1000－500）万元×0.45％＝2.25万元</w:t>
            </w:r>
          </w:p>
          <w:p w14:paraId="37944EC5">
            <w:pPr>
              <w:spacing w:line="460" w:lineRule="exact"/>
              <w:ind w:firstLine="480"/>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（5000－1000）万元×0.25％＝10万元</w:t>
            </w:r>
          </w:p>
          <w:p w14:paraId="6F0476B8">
            <w:pPr>
              <w:spacing w:line="460" w:lineRule="exact"/>
              <w:ind w:firstLine="480"/>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（6000－5000）万元×0.1％＝1万元</w:t>
            </w:r>
          </w:p>
          <w:p w14:paraId="011024D6">
            <w:pPr>
              <w:spacing w:line="460" w:lineRule="exact"/>
              <w:ind w:firstLine="480"/>
              <w:rPr>
                <w:rFonts w:asciiTheme="minorEastAsia" w:hAnsiTheme="minorEastAsia" w:eastAsiaTheme="minorEastAsia" w:cstheme="minorEastAsia"/>
                <w:color w:val="000000"/>
                <w:szCs w:val="24"/>
                <w:highlight w:val="none"/>
              </w:rPr>
            </w:pPr>
            <w:r>
              <w:rPr>
                <w:rFonts w:hint="eastAsia" w:asciiTheme="minorEastAsia" w:hAnsiTheme="minorEastAsia" w:eastAsiaTheme="minorEastAsia" w:cstheme="minorEastAsia"/>
                <w:color w:val="000000"/>
                <w:szCs w:val="24"/>
                <w:highlight w:val="none"/>
              </w:rPr>
              <w:t>合计收费＝1.5＋3.2＋2.25＋10＋1＝17.95(万元)</w:t>
            </w:r>
          </w:p>
          <w:p w14:paraId="1307497A">
            <w:pPr>
              <w:pStyle w:val="23"/>
              <w:adjustRightInd w:val="0"/>
              <w:snapToGrid w:val="0"/>
              <w:rPr>
                <w:rFonts w:asciiTheme="minorEastAsia" w:hAnsiTheme="minorEastAsia" w:eastAsiaTheme="minorEastAsia" w:cstheme="minorEastAsia"/>
                <w:sz w:val="24"/>
                <w:szCs w:val="24"/>
                <w:highlight w:val="none"/>
              </w:rPr>
            </w:pPr>
          </w:p>
        </w:tc>
      </w:tr>
    </w:tbl>
    <w:p w14:paraId="7B321B1C">
      <w:pPr>
        <w:ind w:firstLine="482"/>
        <w:jc w:val="center"/>
        <w:rPr>
          <w:rFonts w:asciiTheme="minorEastAsia" w:hAnsiTheme="minorEastAsia" w:eastAsiaTheme="minorEastAsia"/>
          <w:b/>
          <w:highlight w:val="none"/>
        </w:rPr>
      </w:pPr>
      <w:r>
        <w:rPr>
          <w:rFonts w:hint="eastAsia"/>
          <w:b/>
          <w:szCs w:val="24"/>
          <w:highlight w:val="none"/>
        </w:rPr>
        <w:br w:type="page"/>
      </w:r>
      <w:bookmarkEnd w:id="5"/>
      <w:r>
        <w:rPr>
          <w:rFonts w:hint="eastAsia" w:asciiTheme="minorEastAsia" w:hAnsiTheme="minorEastAsia" w:eastAsiaTheme="minorEastAsia"/>
          <w:b/>
          <w:highlight w:val="none"/>
        </w:rPr>
        <w:t>供应商</w:t>
      </w:r>
      <w:r>
        <w:rPr>
          <w:rFonts w:asciiTheme="minorEastAsia" w:hAnsiTheme="minorEastAsia" w:eastAsiaTheme="minorEastAsia"/>
          <w:b/>
          <w:highlight w:val="none"/>
        </w:rPr>
        <w:t>须知</w:t>
      </w:r>
      <w:r>
        <w:rPr>
          <w:rFonts w:hint="eastAsia" w:asciiTheme="minorEastAsia" w:hAnsiTheme="minorEastAsia" w:eastAsiaTheme="minorEastAsia"/>
          <w:b/>
          <w:highlight w:val="none"/>
        </w:rPr>
        <w:t>正文</w:t>
      </w:r>
    </w:p>
    <w:p w14:paraId="64A0EB64">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1.有关定义</w:t>
      </w:r>
    </w:p>
    <w:p w14:paraId="5F6EEA79">
      <w:pPr>
        <w:ind w:firstLine="480"/>
        <w:outlineLvl w:val="3"/>
        <w:rPr>
          <w:rFonts w:asciiTheme="minorEastAsia" w:hAnsiTheme="minorEastAsia" w:eastAsiaTheme="minorEastAsia" w:cstheme="minorEastAsia"/>
          <w:bCs/>
          <w:color w:val="000000" w:themeColor="text1"/>
          <w:szCs w:val="22"/>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2"/>
          <w:highlight w:val="none"/>
          <w14:textFill>
            <w14:solidFill>
              <w14:schemeClr w14:val="tx1"/>
            </w14:solidFill>
          </w14:textFill>
        </w:rPr>
        <w:t>本项目的交易方式为磋商，业主单位为项目实施建设的发包人（甲方），供应商为参与磋商的主体，成交人为参与磋商，并获得项目实施的承包人（乙方）。</w:t>
      </w:r>
    </w:p>
    <w:p w14:paraId="382CF152">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2.资金来源</w:t>
      </w:r>
    </w:p>
    <w:p w14:paraId="3879BB27">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本项目的业主单位已获得足以支付本次磋商后所签订的合同项下的资金。</w:t>
      </w:r>
    </w:p>
    <w:p w14:paraId="644F34CE">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3.磋商费用</w:t>
      </w:r>
    </w:p>
    <w:p w14:paraId="2E6C2FA5">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不论磋商的结果如何，供应商应承担其所有与准备和参加磋商有关的费用。</w:t>
      </w:r>
    </w:p>
    <w:p w14:paraId="771641D7">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4.磋商文件的澄清与修改</w:t>
      </w:r>
    </w:p>
    <w:p w14:paraId="2C7A6412">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4.1供应商如对磋商文件内容有疑问，按供应商须知前附表规定提出。</w:t>
      </w:r>
    </w:p>
    <w:p w14:paraId="40F2BFFA">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4.2业主单位可主动或在解答供应商提出的问题时对磋商文件进行澄清或者修改。代理机构将在优质采云采购平台</w:t>
      </w:r>
      <w:r>
        <w:rPr>
          <w:rFonts w:hint="eastAsia" w:cs="宋体"/>
          <w:color w:val="000000" w:themeColor="text1"/>
          <w:szCs w:val="18"/>
          <w:highlight w:val="none"/>
          <w14:textFill>
            <w14:solidFill>
              <w14:schemeClr w14:val="tx1"/>
            </w14:solidFill>
          </w14:textFill>
        </w:rPr>
        <w:t>（http://www.youzhicai.com/）</w:t>
      </w:r>
      <w:r>
        <w:rPr>
          <w:rFonts w:hint="eastAsia" w:asciiTheme="minorEastAsia" w:hAnsiTheme="minorEastAsia" w:eastAsiaTheme="minorEastAsia" w:cstheme="minorEastAsia"/>
          <w:color w:val="000000" w:themeColor="text1"/>
          <w:highlight w:val="none"/>
          <w14:textFill>
            <w14:solidFill>
              <w14:schemeClr w14:val="tx1"/>
            </w14:solidFill>
          </w14:textFill>
        </w:rPr>
        <w:t>澄清或修改磋商文件，供应商应主动上网查询。代理机构和业主单位不承担供应商未及时关注相关信息引发的相关责任。</w:t>
      </w:r>
    </w:p>
    <w:p w14:paraId="214B64C0">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4.3任何人或任何组织向供应商提供的任何书面或口头资料，未经代理机构在网上发布或书面通知，均作无效处理，不得作为磋商文件的组成部分。代理机构对供应商由此而做出的推论、理解和结论概不负责。</w:t>
      </w:r>
    </w:p>
    <w:p w14:paraId="6D4E8055">
      <w:pPr>
        <w:ind w:firstLine="480"/>
        <w:rPr>
          <w:rFonts w:asciiTheme="minorEastAsia" w:hAnsiTheme="minorEastAsia" w:eastAsiaTheme="minorEastAsia" w:cstheme="minorEastAsia"/>
          <w:iCs/>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4.4对于没有提出疑问又参与了本项目磋商的供应商将被视为完全认同本磋商文件（含澄清、修改等内容）</w:t>
      </w:r>
      <w:r>
        <w:rPr>
          <w:rFonts w:hint="eastAsia" w:asciiTheme="minorEastAsia" w:hAnsiTheme="minorEastAsia" w:eastAsiaTheme="minorEastAsia" w:cstheme="minorEastAsia"/>
          <w:iCs/>
          <w:color w:val="000000" w:themeColor="text1"/>
          <w:highlight w:val="none"/>
          <w14:textFill>
            <w14:solidFill>
              <w14:schemeClr w14:val="tx1"/>
            </w14:solidFill>
          </w14:textFill>
        </w:rPr>
        <w:t>。</w:t>
      </w:r>
    </w:p>
    <w:p w14:paraId="760B7D7B">
      <w:pPr>
        <w:numPr>
          <w:ilvl w:val="0"/>
          <w:numId w:val="2"/>
        </w:num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磋商范围及响应文件中标准和计量单位的使用</w:t>
      </w:r>
    </w:p>
    <w:p w14:paraId="4EB76D0B">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5.1项目有分包的，供应商可参与其中某一个或多个分包的磋商，成交包数详见供应商须知前附表中规定。</w:t>
      </w:r>
    </w:p>
    <w:p w14:paraId="3A9AEA35">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5.2无论磋商文件中是否要求，供应商所承担项目及伴随的货物和服务均应符合国家强制性标准。</w:t>
      </w:r>
    </w:p>
    <w:p w14:paraId="48A565A2">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5.3供应商与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452097D0">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5.4除磋商文件中有特殊要求外，响应文件中所使用的计量单位，应采用中华人民共和国法定计量单位。</w:t>
      </w:r>
    </w:p>
    <w:p w14:paraId="70904342">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6.响应文件构成</w:t>
      </w:r>
    </w:p>
    <w:p w14:paraId="3F4189CF">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6.1供应商应完整地按磋商文件提供的响应文件格式及磋商文件评审要求编写响应文件，具体内容详见第六章响应文件格式的相关内容。</w:t>
      </w:r>
    </w:p>
    <w:p w14:paraId="720722F9">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6.2上述文件应按照磋商文件规定的格式填写、签署和盖章。</w:t>
      </w:r>
    </w:p>
    <w:p w14:paraId="22DCE924">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7.报价</w:t>
      </w:r>
    </w:p>
    <w:p w14:paraId="183B4F10">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t>.1</w:t>
      </w:r>
      <w:r>
        <w:rPr>
          <w:rFonts w:hint="eastAsia"/>
          <w:color w:val="000000" w:themeColor="text1"/>
          <w:szCs w:val="18"/>
          <w:highlight w:val="none"/>
          <w14:textFill>
            <w14:solidFill>
              <w14:schemeClr w14:val="tx1"/>
            </w14:solidFill>
          </w14:textFill>
        </w:rPr>
        <w:t>供应商</w:t>
      </w:r>
      <w:r>
        <w:rPr>
          <w:color w:val="000000" w:themeColor="text1"/>
          <w:highlight w:val="none"/>
          <w14:textFill>
            <w14:solidFill>
              <w14:schemeClr w14:val="tx1"/>
            </w14:solidFill>
          </w14:textFill>
        </w:rPr>
        <w:t>的报价应当包括满足本次</w:t>
      </w:r>
      <w:r>
        <w:rPr>
          <w:rFonts w:hint="eastAsia"/>
          <w:color w:val="000000" w:themeColor="text1"/>
          <w:highlight w:val="none"/>
          <w14:textFill>
            <w14:solidFill>
              <w14:schemeClr w14:val="tx1"/>
            </w14:solidFill>
          </w14:textFill>
        </w:rPr>
        <w:t>磋商</w:t>
      </w:r>
      <w:r>
        <w:rPr>
          <w:color w:val="000000" w:themeColor="text1"/>
          <w:highlight w:val="none"/>
          <w14:textFill>
            <w14:solidFill>
              <w14:schemeClr w14:val="tx1"/>
            </w14:solidFill>
          </w14:textFill>
        </w:rPr>
        <w:t>全部</w:t>
      </w:r>
      <w:r>
        <w:rPr>
          <w:rFonts w:hint="eastAsia"/>
          <w:color w:val="000000" w:themeColor="text1"/>
          <w:highlight w:val="none"/>
          <w14:textFill>
            <w14:solidFill>
              <w14:schemeClr w14:val="tx1"/>
            </w14:solidFill>
          </w14:textFill>
        </w:rPr>
        <w:t>内容。所有报价均应以人民币报价，</w:t>
      </w:r>
      <w:r>
        <w:rPr>
          <w:rFonts w:hint="eastAsia"/>
          <w:color w:val="000000" w:themeColor="text1"/>
          <w:szCs w:val="18"/>
          <w:highlight w:val="none"/>
          <w14:textFill>
            <w14:solidFill>
              <w14:schemeClr w14:val="tx1"/>
            </w14:solidFill>
          </w14:textFill>
        </w:rPr>
        <w:t>供应商</w:t>
      </w:r>
      <w:r>
        <w:rPr>
          <w:rFonts w:hint="eastAsia"/>
          <w:color w:val="000000" w:themeColor="text1"/>
          <w:highlight w:val="none"/>
          <w14:textFill>
            <w14:solidFill>
              <w14:schemeClr w14:val="tx1"/>
            </w14:solidFill>
          </w14:textFill>
        </w:rPr>
        <w:t>的磋商报价应遵守《中华人民共和国价格法》。</w:t>
      </w:r>
    </w:p>
    <w:p w14:paraId="235031E9">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2</w:t>
      </w:r>
      <w:r>
        <w:rPr>
          <w:rFonts w:hint="eastAsia"/>
          <w:color w:val="000000" w:themeColor="text1"/>
          <w:szCs w:val="18"/>
          <w:highlight w:val="none"/>
          <w14:textFill>
            <w14:solidFill>
              <w14:schemeClr w14:val="tx1"/>
            </w14:solidFill>
          </w14:textFill>
        </w:rPr>
        <w:t>供应商</w:t>
      </w:r>
      <w:r>
        <w:rPr>
          <w:rFonts w:hint="eastAsia"/>
          <w:color w:val="000000" w:themeColor="text1"/>
          <w:highlight w:val="none"/>
          <w14:textFill>
            <w14:solidFill>
              <w14:schemeClr w14:val="tx1"/>
            </w14:solidFill>
          </w14:textFill>
        </w:rPr>
        <w:t>应在分项报价表上标明磋商工程的单价（如适用）和总价，未标明的视同包含在磋商报价中。</w:t>
      </w:r>
    </w:p>
    <w:p w14:paraId="48E1D5C3">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t>报价不得高于磋商文件（公告）列明的项目预算</w:t>
      </w:r>
      <w:r>
        <w:rPr>
          <w:rFonts w:hint="eastAsia"/>
          <w:color w:val="000000" w:themeColor="text1"/>
          <w:highlight w:val="none"/>
          <w14:textFill>
            <w14:solidFill>
              <w14:schemeClr w14:val="tx1"/>
            </w14:solidFill>
          </w14:textFill>
        </w:rPr>
        <w:t>、最高限价（控制价）</w:t>
      </w:r>
      <w:r>
        <w:rPr>
          <w:color w:val="000000" w:themeColor="text1"/>
          <w:highlight w:val="none"/>
          <w14:textFill>
            <w14:solidFill>
              <w14:schemeClr w14:val="tx1"/>
            </w14:solidFill>
          </w14:textFill>
        </w:rPr>
        <w:t>，否则其响应文件将被认定为</w:t>
      </w:r>
      <w:r>
        <w:rPr>
          <w:b/>
          <w:color w:val="000000" w:themeColor="text1"/>
          <w:highlight w:val="none"/>
          <w14:textFill>
            <w14:solidFill>
              <w14:schemeClr w14:val="tx1"/>
            </w14:solidFill>
          </w14:textFill>
        </w:rPr>
        <w:t>响应无效</w:t>
      </w:r>
      <w:r>
        <w:rPr>
          <w:color w:val="000000" w:themeColor="text1"/>
          <w:highlight w:val="none"/>
          <w14:textFill>
            <w14:solidFill>
              <w14:schemeClr w14:val="tx1"/>
            </w14:solidFill>
          </w14:textFill>
        </w:rPr>
        <w:t>。</w:t>
      </w:r>
    </w:p>
    <w:p w14:paraId="42633170">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4报价</w:t>
      </w:r>
      <w:r>
        <w:rPr>
          <w:color w:val="000000" w:themeColor="text1"/>
          <w:highlight w:val="none"/>
          <w14:textFill>
            <w14:solidFill>
              <w14:schemeClr w14:val="tx1"/>
            </w14:solidFill>
          </w14:textFill>
        </w:rPr>
        <w:t>在合同履行过程中是固定不变的，不得以任何理由予以变更。任何包含价格调整要求的</w:t>
      </w:r>
      <w:r>
        <w:rPr>
          <w:rFonts w:hint="eastAsia"/>
          <w:color w:val="000000" w:themeColor="text1"/>
          <w:highlight w:val="none"/>
          <w14:textFill>
            <w14:solidFill>
              <w14:schemeClr w14:val="tx1"/>
            </w14:solidFill>
          </w14:textFill>
        </w:rPr>
        <w:t>磋商</w:t>
      </w:r>
      <w:r>
        <w:rPr>
          <w:color w:val="000000" w:themeColor="text1"/>
          <w:highlight w:val="none"/>
          <w14:textFill>
            <w14:solidFill>
              <w14:schemeClr w14:val="tx1"/>
            </w14:solidFill>
          </w14:textFill>
        </w:rPr>
        <w:t>，其</w:t>
      </w:r>
      <w:r>
        <w:rPr>
          <w:rFonts w:hint="eastAsia"/>
          <w:color w:val="000000" w:themeColor="text1"/>
          <w:highlight w:val="none"/>
          <w14:textFill>
            <w14:solidFill>
              <w14:schemeClr w14:val="tx1"/>
            </w14:solidFill>
          </w14:textFill>
        </w:rPr>
        <w:t>响应文件将被认定为</w:t>
      </w:r>
      <w:r>
        <w:rPr>
          <w:rFonts w:hint="eastAsia"/>
          <w:b/>
          <w:color w:val="000000" w:themeColor="text1"/>
          <w:highlight w:val="none"/>
          <w14:textFill>
            <w14:solidFill>
              <w14:schemeClr w14:val="tx1"/>
            </w14:solidFill>
          </w14:textFill>
        </w:rPr>
        <w:t>响应无效</w:t>
      </w:r>
      <w:r>
        <w:rPr>
          <w:color w:val="000000" w:themeColor="text1"/>
          <w:highlight w:val="none"/>
          <w14:textFill>
            <w14:solidFill>
              <w14:schemeClr w14:val="tx1"/>
            </w14:solidFill>
          </w14:textFill>
        </w:rPr>
        <w:t>。</w:t>
      </w:r>
    </w:p>
    <w:p w14:paraId="3E38727E">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5</w:t>
      </w:r>
      <w:r>
        <w:rPr>
          <w:rFonts w:hint="eastAsia"/>
          <w:color w:val="000000" w:themeColor="text1"/>
          <w:szCs w:val="18"/>
          <w:highlight w:val="none"/>
          <w14:textFill>
            <w14:solidFill>
              <w14:schemeClr w14:val="tx1"/>
            </w14:solidFill>
          </w14:textFill>
        </w:rPr>
        <w:t>业主单位</w:t>
      </w:r>
      <w:r>
        <w:rPr>
          <w:color w:val="000000" w:themeColor="text1"/>
          <w:highlight w:val="none"/>
          <w14:textFill>
            <w14:solidFill>
              <w14:schemeClr w14:val="tx1"/>
            </w14:solidFill>
          </w14:textFill>
        </w:rPr>
        <w:t>不接受具有附加条件的报价。</w:t>
      </w:r>
    </w:p>
    <w:p w14:paraId="0A5795A5">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8.磋商有效期</w:t>
      </w:r>
    </w:p>
    <w:p w14:paraId="203E88CB">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w:t>
      </w:r>
      <w:r>
        <w:rPr>
          <w:color w:val="000000" w:themeColor="text1"/>
          <w:highlight w:val="none"/>
          <w14:textFill>
            <w14:solidFill>
              <w14:schemeClr w14:val="tx1"/>
            </w14:solidFill>
          </w14:textFill>
        </w:rPr>
        <w:t>.1磋商有效期为从响应文件提交截止之日算起的日历天数，磋商有效期详见</w:t>
      </w:r>
      <w:r>
        <w:rPr>
          <w:rFonts w:hint="eastAsia"/>
          <w:color w:val="000000" w:themeColor="text1"/>
          <w:szCs w:val="18"/>
          <w:highlight w:val="none"/>
          <w14:textFill>
            <w14:solidFill>
              <w14:schemeClr w14:val="tx1"/>
            </w14:solidFill>
          </w14:textFill>
        </w:rPr>
        <w:t>供应商</w:t>
      </w:r>
      <w:r>
        <w:rPr>
          <w:color w:val="000000" w:themeColor="text1"/>
          <w:highlight w:val="none"/>
          <w14:textFill>
            <w14:solidFill>
              <w14:schemeClr w14:val="tx1"/>
            </w14:solidFill>
          </w14:textFill>
        </w:rPr>
        <w:t>须知前附表。</w:t>
      </w:r>
    </w:p>
    <w:p w14:paraId="0126EF97">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w:t>
      </w:r>
      <w:r>
        <w:rPr>
          <w:color w:val="000000" w:themeColor="text1"/>
          <w:highlight w:val="none"/>
          <w14:textFill>
            <w14:solidFill>
              <w14:schemeClr w14:val="tx1"/>
            </w14:solidFill>
          </w14:textFill>
        </w:rPr>
        <w:t>.2在磋商有效期内，</w:t>
      </w:r>
      <w:r>
        <w:rPr>
          <w:rFonts w:hint="eastAsia"/>
          <w:color w:val="000000" w:themeColor="text1"/>
          <w:szCs w:val="18"/>
          <w:highlight w:val="none"/>
          <w14:textFill>
            <w14:solidFill>
              <w14:schemeClr w14:val="tx1"/>
            </w14:solidFill>
          </w14:textFill>
        </w:rPr>
        <w:t>供应商</w:t>
      </w:r>
      <w:r>
        <w:rPr>
          <w:color w:val="000000" w:themeColor="text1"/>
          <w:highlight w:val="none"/>
          <w14:textFill>
            <w14:solidFill>
              <w14:schemeClr w14:val="tx1"/>
            </w14:solidFill>
          </w14:textFill>
        </w:rPr>
        <w:t>的磋商保持有效，</w:t>
      </w:r>
      <w:r>
        <w:rPr>
          <w:rFonts w:hint="eastAsia"/>
          <w:color w:val="000000" w:themeColor="text1"/>
          <w:szCs w:val="18"/>
          <w:highlight w:val="none"/>
          <w14:textFill>
            <w14:solidFill>
              <w14:schemeClr w14:val="tx1"/>
            </w14:solidFill>
          </w14:textFill>
        </w:rPr>
        <w:t>供应商</w:t>
      </w:r>
      <w:r>
        <w:rPr>
          <w:color w:val="000000" w:themeColor="text1"/>
          <w:highlight w:val="none"/>
          <w14:textFill>
            <w14:solidFill>
              <w14:schemeClr w14:val="tx1"/>
            </w14:solidFill>
          </w14:textFill>
        </w:rPr>
        <w:t>不得要求撤销或修改其响应文件。磋商有效期不满足要求的响应，其响应文件将被认定为</w:t>
      </w:r>
      <w:r>
        <w:rPr>
          <w:b/>
          <w:color w:val="000000" w:themeColor="text1"/>
          <w:highlight w:val="none"/>
          <w14:textFill>
            <w14:solidFill>
              <w14:schemeClr w14:val="tx1"/>
            </w14:solidFill>
          </w14:textFill>
        </w:rPr>
        <w:t>响应无效</w:t>
      </w:r>
      <w:r>
        <w:rPr>
          <w:color w:val="000000" w:themeColor="text1"/>
          <w:highlight w:val="none"/>
          <w14:textFill>
            <w14:solidFill>
              <w14:schemeClr w14:val="tx1"/>
            </w14:solidFill>
          </w14:textFill>
        </w:rPr>
        <w:t>。</w:t>
      </w:r>
    </w:p>
    <w:p w14:paraId="2DF25148">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w:t>
      </w:r>
      <w:r>
        <w:rPr>
          <w:color w:val="000000" w:themeColor="text1"/>
          <w:highlight w:val="none"/>
          <w14:textFill>
            <w14:solidFill>
              <w14:schemeClr w14:val="tx1"/>
            </w14:solidFill>
          </w14:textFill>
        </w:rPr>
        <w:t>.3为保证有充分时间签订合同，</w:t>
      </w:r>
      <w:r>
        <w:rPr>
          <w:rFonts w:hint="eastAsia"/>
          <w:color w:val="000000" w:themeColor="text1"/>
          <w:szCs w:val="18"/>
          <w:highlight w:val="none"/>
          <w14:textFill>
            <w14:solidFill>
              <w14:schemeClr w14:val="tx1"/>
            </w14:solidFill>
          </w14:textFill>
        </w:rPr>
        <w:t>业主单位</w:t>
      </w:r>
      <w:r>
        <w:rPr>
          <w:color w:val="000000" w:themeColor="text1"/>
          <w:highlight w:val="none"/>
          <w14:textFill>
            <w14:solidFill>
              <w14:schemeClr w14:val="tx1"/>
            </w14:solidFill>
          </w14:textFill>
        </w:rPr>
        <w:t>或</w:t>
      </w:r>
      <w:r>
        <w:rPr>
          <w:rFonts w:hint="eastAsia"/>
          <w:color w:val="000000" w:themeColor="text1"/>
          <w:highlight w:val="none"/>
          <w14:textFill>
            <w14:solidFill>
              <w14:schemeClr w14:val="tx1"/>
            </w14:solidFill>
          </w14:textFill>
        </w:rPr>
        <w:t>代理机构</w:t>
      </w:r>
      <w:r>
        <w:rPr>
          <w:color w:val="000000" w:themeColor="text1"/>
          <w:highlight w:val="none"/>
          <w14:textFill>
            <w14:solidFill>
              <w14:schemeClr w14:val="tx1"/>
            </w14:solidFill>
          </w14:textFill>
        </w:rPr>
        <w:t>可根据实际情况，在原磋商有效期截止之前，要求</w:t>
      </w:r>
      <w:r>
        <w:rPr>
          <w:rFonts w:hint="eastAsia"/>
          <w:color w:val="000000" w:themeColor="text1"/>
          <w:szCs w:val="18"/>
          <w:highlight w:val="none"/>
          <w14:textFill>
            <w14:solidFill>
              <w14:schemeClr w14:val="tx1"/>
            </w14:solidFill>
          </w14:textFill>
        </w:rPr>
        <w:t>供应商</w:t>
      </w:r>
      <w:r>
        <w:rPr>
          <w:color w:val="000000" w:themeColor="text1"/>
          <w:highlight w:val="none"/>
          <w14:textFill>
            <w14:solidFill>
              <w14:schemeClr w14:val="tx1"/>
            </w14:solidFill>
          </w14:textFill>
        </w:rPr>
        <w:t>延长磋商有效期。接受该要求的</w:t>
      </w:r>
      <w:r>
        <w:rPr>
          <w:rFonts w:hint="eastAsia"/>
          <w:color w:val="000000" w:themeColor="text1"/>
          <w:szCs w:val="18"/>
          <w:highlight w:val="none"/>
          <w14:textFill>
            <w14:solidFill>
              <w14:schemeClr w14:val="tx1"/>
            </w14:solidFill>
          </w14:textFill>
        </w:rPr>
        <w:t>供应商</w:t>
      </w:r>
      <w:r>
        <w:rPr>
          <w:color w:val="000000" w:themeColor="text1"/>
          <w:highlight w:val="none"/>
          <w14:textFill>
            <w14:solidFill>
              <w14:schemeClr w14:val="tx1"/>
            </w14:solidFill>
          </w14:textFill>
        </w:rPr>
        <w:t>将不会被要求和允许修正其响应文件。</w:t>
      </w:r>
      <w:r>
        <w:rPr>
          <w:rFonts w:hint="eastAsia"/>
          <w:color w:val="000000" w:themeColor="text1"/>
          <w:szCs w:val="18"/>
          <w:highlight w:val="none"/>
          <w14:textFill>
            <w14:solidFill>
              <w14:schemeClr w14:val="tx1"/>
            </w14:solidFill>
          </w14:textFill>
        </w:rPr>
        <w:t>供应商</w:t>
      </w:r>
      <w:r>
        <w:rPr>
          <w:color w:val="000000" w:themeColor="text1"/>
          <w:highlight w:val="none"/>
          <w14:textFill>
            <w14:solidFill>
              <w14:schemeClr w14:val="tx1"/>
            </w14:solidFill>
          </w14:textFill>
        </w:rPr>
        <w:t>可以拒绝延长磋商有效期的要求，且不承担任何责任。上述要求和答复都应以书面形式提交。</w:t>
      </w:r>
    </w:p>
    <w:p w14:paraId="3DE10EE7">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9.响应文件的制作</w:t>
      </w:r>
    </w:p>
    <w:p w14:paraId="7CC65233">
      <w:pPr>
        <w:ind w:firstLine="48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9.1.本项目采用全流程电子化方式，</w:t>
      </w:r>
      <w:r>
        <w:rPr>
          <w:rFonts w:hint="eastAsia"/>
          <w:color w:val="000000" w:themeColor="text1"/>
          <w:szCs w:val="18"/>
          <w:highlight w:val="none"/>
          <w14:textFill>
            <w14:solidFill>
              <w14:schemeClr w14:val="tx1"/>
            </w14:solidFill>
          </w14:textFill>
        </w:rPr>
        <w:t>供应商</w:t>
      </w:r>
      <w:r>
        <w:rPr>
          <w:rFonts w:hint="eastAsia" w:cs="宋体"/>
          <w:color w:val="000000" w:themeColor="text1"/>
          <w:highlight w:val="none"/>
          <w14:textFill>
            <w14:solidFill>
              <w14:schemeClr w14:val="tx1"/>
            </w14:solidFill>
          </w14:textFill>
        </w:rPr>
        <w:t>必须递交电子响应文件，并对电子响应文件进行电子签章并使用CA锁进行加密，在磋商文件规定的响应截止时间前使用“优质采投标工具客户端”完成上传。</w:t>
      </w:r>
    </w:p>
    <w:p w14:paraId="59C78E02">
      <w:pPr>
        <w:ind w:firstLine="48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9.2.全流程电磋商项目</w:t>
      </w:r>
      <w:r>
        <w:rPr>
          <w:rFonts w:hint="eastAsia"/>
          <w:color w:val="000000" w:themeColor="text1"/>
          <w:szCs w:val="18"/>
          <w:highlight w:val="none"/>
          <w14:textFill>
            <w14:solidFill>
              <w14:schemeClr w14:val="tx1"/>
            </w14:solidFill>
          </w14:textFill>
        </w:rPr>
        <w:t>供应商</w:t>
      </w:r>
      <w:r>
        <w:rPr>
          <w:rFonts w:hint="eastAsia" w:cs="宋体"/>
          <w:color w:val="000000" w:themeColor="text1"/>
          <w:highlight w:val="none"/>
          <w14:textFill>
            <w14:solidFill>
              <w14:schemeClr w14:val="tx1"/>
            </w14:solidFill>
          </w14:textFill>
        </w:rPr>
        <w:t>必须上传CA锁加密的电子响应文件，</w:t>
      </w:r>
      <w:r>
        <w:rPr>
          <w:rFonts w:hint="eastAsia"/>
          <w:color w:val="000000" w:themeColor="text1"/>
          <w:szCs w:val="18"/>
          <w:highlight w:val="none"/>
          <w14:textFill>
            <w14:solidFill>
              <w14:schemeClr w14:val="tx1"/>
            </w14:solidFill>
          </w14:textFill>
        </w:rPr>
        <w:t>供应商</w:t>
      </w:r>
      <w:r>
        <w:rPr>
          <w:rFonts w:hint="eastAsia" w:cs="宋体"/>
          <w:color w:val="000000" w:themeColor="text1"/>
          <w:highlight w:val="none"/>
          <w14:textFill>
            <w14:solidFill>
              <w14:schemeClr w14:val="tx1"/>
            </w14:solidFill>
          </w14:textFill>
        </w:rPr>
        <w:t>下载磋商文件后，如未在磋商文件规定的响应文件递交截止时间前上传电子响应文件，视为无效；</w:t>
      </w:r>
      <w:r>
        <w:rPr>
          <w:rFonts w:hint="eastAsia"/>
          <w:color w:val="000000" w:themeColor="text1"/>
          <w:szCs w:val="18"/>
          <w:highlight w:val="none"/>
          <w14:textFill>
            <w14:solidFill>
              <w14:schemeClr w14:val="tx1"/>
            </w14:solidFill>
          </w14:textFill>
        </w:rPr>
        <w:t>供应商</w:t>
      </w:r>
      <w:r>
        <w:rPr>
          <w:rFonts w:hint="eastAsia" w:cs="宋体"/>
          <w:color w:val="000000" w:themeColor="text1"/>
          <w:highlight w:val="none"/>
          <w14:textFill>
            <w14:solidFill>
              <w14:schemeClr w14:val="tx1"/>
            </w14:solidFill>
          </w14:textFill>
        </w:rPr>
        <w:t>在响应文件递交截止时间前，可以对其所递交的电子响应文件进行撤回，修改后重新上传（具体操作详见教程）；</w:t>
      </w:r>
    </w:p>
    <w:p w14:paraId="026BFF15">
      <w:pPr>
        <w:ind w:firstLine="48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9.3.响应文件递交截止时间以优质采云采购平台（</w:t>
      </w:r>
      <w:r>
        <w:rPr>
          <w:rFonts w:hint="eastAsia" w:cs="宋体"/>
          <w:color w:val="000000" w:themeColor="text1"/>
          <w:szCs w:val="18"/>
          <w:highlight w:val="none"/>
          <w14:textFill>
            <w14:solidFill>
              <w14:schemeClr w14:val="tx1"/>
            </w14:solidFill>
          </w14:textFill>
        </w:rPr>
        <w:t>http://www.youzhicai.com/</w:t>
      </w:r>
      <w:r>
        <w:rPr>
          <w:rFonts w:hint="eastAsia" w:cs="宋体"/>
          <w:color w:val="000000" w:themeColor="text1"/>
          <w:highlight w:val="none"/>
          <w14:textFill>
            <w14:solidFill>
              <w14:schemeClr w14:val="tx1"/>
            </w14:solidFill>
          </w14:textFill>
        </w:rPr>
        <w:t>）系统的时间为准，逾期系统将自动关闭，电子响应文件未完成上传的，视为没有递交响应文件；</w:t>
      </w:r>
    </w:p>
    <w:p w14:paraId="6DE89BCF">
      <w:pPr>
        <w:ind w:firstLine="48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9.4.响应文件可远程解密，</w:t>
      </w:r>
      <w:r>
        <w:rPr>
          <w:rFonts w:hint="eastAsia"/>
          <w:color w:val="000000" w:themeColor="text1"/>
          <w:szCs w:val="18"/>
          <w:highlight w:val="none"/>
          <w14:textFill>
            <w14:solidFill>
              <w14:schemeClr w14:val="tx1"/>
            </w14:solidFill>
          </w14:textFill>
        </w:rPr>
        <w:t>供应商</w:t>
      </w:r>
      <w:r>
        <w:rPr>
          <w:rFonts w:hint="eastAsia" w:cs="宋体"/>
          <w:color w:val="000000" w:themeColor="text1"/>
          <w:highlight w:val="none"/>
          <w14:textFill>
            <w14:solidFill>
              <w14:schemeClr w14:val="tx1"/>
            </w14:solidFill>
          </w14:textFill>
        </w:rPr>
        <w:t>无需到达磋商现场。磋商文件“</w:t>
      </w:r>
      <w:r>
        <w:rPr>
          <w:rFonts w:hint="eastAsia"/>
          <w:color w:val="000000" w:themeColor="text1"/>
          <w:szCs w:val="18"/>
          <w:highlight w:val="none"/>
          <w14:textFill>
            <w14:solidFill>
              <w14:schemeClr w14:val="tx1"/>
            </w14:solidFill>
          </w14:textFill>
        </w:rPr>
        <w:t>供应商</w:t>
      </w:r>
      <w:r>
        <w:rPr>
          <w:rFonts w:hint="eastAsia" w:cs="宋体"/>
          <w:color w:val="000000" w:themeColor="text1"/>
          <w:highlight w:val="none"/>
          <w14:textFill>
            <w14:solidFill>
              <w14:schemeClr w14:val="tx1"/>
            </w14:solidFill>
          </w14:textFill>
        </w:rPr>
        <w:t>须知”中另有规定的，从其规定。</w:t>
      </w:r>
    </w:p>
    <w:p w14:paraId="7614DDFD">
      <w:pPr>
        <w:ind w:firstLine="48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9.5.</w:t>
      </w:r>
      <w:r>
        <w:rPr>
          <w:rFonts w:hint="eastAsia"/>
          <w:color w:val="000000" w:themeColor="text1"/>
          <w:szCs w:val="18"/>
          <w:highlight w:val="none"/>
          <w14:textFill>
            <w14:solidFill>
              <w14:schemeClr w14:val="tx1"/>
            </w14:solidFill>
          </w14:textFill>
        </w:rPr>
        <w:t xml:space="preserve"> 供应商</w:t>
      </w:r>
      <w:r>
        <w:rPr>
          <w:rFonts w:hint="eastAsia" w:cs="宋体"/>
          <w:color w:val="000000" w:themeColor="text1"/>
          <w:highlight w:val="none"/>
          <w14:textFill>
            <w14:solidFill>
              <w14:schemeClr w14:val="tx1"/>
            </w14:solidFill>
          </w14:textFill>
        </w:rPr>
        <w:t>在制作、上传电子响应文件过程中，若存在技术操作问题，请及时联系优质采云采购平台客服人员，客服电话：400-0099-555，0551-62220164，0551-62220012。</w:t>
      </w:r>
    </w:p>
    <w:p w14:paraId="47FFD4A7">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10.响应文件提交截止时间</w:t>
      </w:r>
    </w:p>
    <w:p w14:paraId="7C53CD98">
      <w:pPr>
        <w:ind w:firstLine="480"/>
        <w:outlineLvl w:val="3"/>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10.1供应商应在供应商须知前附表中规定的响应文件提交截止时间前，在网上提交加密电子响应文件。</w:t>
      </w:r>
    </w:p>
    <w:p w14:paraId="256CB6EB">
      <w:pPr>
        <w:ind w:firstLine="480"/>
        <w:outlineLvl w:val="3"/>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10.2供应商在磋商文件规定的响应文件提交截止时间前上传了网上加密电子响应文件，但未在规定时间内进行解密的，响应无效。</w:t>
      </w:r>
    </w:p>
    <w:p w14:paraId="0375BA26">
      <w:pPr>
        <w:ind w:firstLine="480"/>
        <w:outlineLvl w:val="3"/>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10.3业主单位和代理机构延迟响应文件提交截止时间的，在此情况下，业主单位、代理机构和供应商受响应文件提交截止时间制约的所有权利和义务均应延长至新的截止时间。</w:t>
      </w:r>
    </w:p>
    <w:p w14:paraId="6E18E87D">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11.响应文件的提交、修改与撤回</w:t>
      </w:r>
    </w:p>
    <w:p w14:paraId="3AA3DFBB">
      <w:pPr>
        <w:ind w:firstLine="480"/>
        <w:outlineLvl w:val="3"/>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11.1供应商应当在第一章“磋商</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公告</w:t>
      </w:r>
      <w:r>
        <w:rPr>
          <w:rFonts w:hint="eastAsia" w:asciiTheme="minorEastAsia" w:hAnsiTheme="minorEastAsia" w:eastAsiaTheme="minorEastAsia" w:cstheme="minorEastAsia"/>
          <w:color w:val="000000" w:themeColor="text1"/>
          <w:highlight w:val="none"/>
          <w14:textFill>
            <w14:solidFill>
              <w14:schemeClr w14:val="tx1"/>
            </w14:solidFill>
          </w14:textFill>
        </w:rPr>
        <w:t>”规定的响应文件提交截止时间前，将加密的响应文件在优质采云采购平台（http://www.youzhicai.com/）上传。</w:t>
      </w:r>
    </w:p>
    <w:p w14:paraId="4E2801B6">
      <w:pPr>
        <w:ind w:firstLine="480"/>
        <w:outlineLvl w:val="3"/>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11.2供应商应当在响应文件提交截止时间前完成响应文件的传输提交，并可以补充、修改或者撤回响应文件。响应文件提交截止时间前未完成响应文件传输的，视为撤回响应文件。未按规定加密或响应文件提交截止时间后送达的响应文件，电子交易系统应当拒收。</w:t>
      </w:r>
    </w:p>
    <w:p w14:paraId="1B7B9AD9">
      <w:pPr>
        <w:ind w:firstLine="480"/>
        <w:outlineLvl w:val="3"/>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11.3供应商应在供应商须知前附表规定的解密时间前（以优质采云采购平台（http://www.youzhicai.com/）系统的解密倒计时为准）对本单位的响应文件进行解密，代理机构工作人员解密所有响应文件。</w:t>
      </w:r>
    </w:p>
    <w:p w14:paraId="721ED344">
      <w:pPr>
        <w:ind w:firstLine="480"/>
        <w:outlineLvl w:val="3"/>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11.4在响应文件提交截止时间之后，供应商不得对其响应文件做任何修改。但属于评审委员会在评审中发现的计算错误并进行核实的修改、按照磋商文件的变动情况和评审委员会的要求重新提交响应文件的，不在此列。</w:t>
      </w:r>
    </w:p>
    <w:p w14:paraId="1F496D18">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12.评审委员会</w:t>
      </w:r>
    </w:p>
    <w:p w14:paraId="566760D2">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12.1由业主单位委派或业主单位委托代理机构依法抽取经济技术专家等方式组建的评审委员会，负责本项目评审工作。评审委员会成员由3人以上单数组成，评审委员会及其成员应当依照有关规定履行相关职责和义务。</w:t>
      </w:r>
    </w:p>
    <w:p w14:paraId="4F017F14">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12.2评审委员会根据磋商文件规定的评审方法和标准对供应商提交的响应文件进行评审，从质量和服务均能满足磋商文件实质性响应要求的供应商中推荐成交候选人，并编写评审报告。</w:t>
      </w:r>
    </w:p>
    <w:p w14:paraId="371F63E5">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13</w:t>
      </w:r>
      <w:r>
        <w:rPr>
          <w:rFonts w:asciiTheme="minorEastAsia" w:hAnsiTheme="minorEastAsia" w:eastAsiaTheme="minorEastAsia" w:cstheme="minorEastAsia"/>
          <w:b/>
          <w:color w:val="000000" w:themeColor="text1"/>
          <w:highlight w:val="none"/>
          <w14:textFill>
            <w14:solidFill>
              <w14:schemeClr w14:val="tx1"/>
            </w14:solidFill>
          </w14:textFill>
        </w:rPr>
        <w:t>.响应文件的评审与磋商</w:t>
      </w:r>
    </w:p>
    <w:p w14:paraId="06186D48">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1</w:t>
      </w:r>
      <w:r>
        <w:rPr>
          <w:rFonts w:hint="eastAsia"/>
          <w:color w:val="000000" w:themeColor="text1"/>
          <w:szCs w:val="18"/>
          <w:highlight w:val="none"/>
          <w14:textFill>
            <w14:solidFill>
              <w14:schemeClr w14:val="tx1"/>
            </w14:solidFill>
          </w14:textFill>
        </w:rPr>
        <w:t>业主单位</w:t>
      </w:r>
      <w:r>
        <w:rPr>
          <w:rFonts w:hint="eastAsia"/>
          <w:color w:val="000000" w:themeColor="text1"/>
          <w:highlight w:val="none"/>
          <w14:textFill>
            <w14:solidFill>
              <w14:schemeClr w14:val="tx1"/>
            </w14:solidFill>
          </w14:textFill>
        </w:rPr>
        <w:t>和代理机构将在</w:t>
      </w:r>
      <w:r>
        <w:rPr>
          <w:rFonts w:hint="eastAsia"/>
          <w:color w:val="000000" w:themeColor="text1"/>
          <w:szCs w:val="18"/>
          <w:highlight w:val="none"/>
          <w:u w:val="single"/>
          <w14:textFill>
            <w14:solidFill>
              <w14:schemeClr w14:val="tx1"/>
            </w14:solidFill>
          </w14:textFill>
        </w:rPr>
        <w:t>参审单位</w:t>
      </w:r>
      <w:r>
        <w:rPr>
          <w:color w:val="000000" w:themeColor="text1"/>
          <w:highlight w:val="none"/>
          <w:u w:val="single"/>
          <w14:textFill>
            <w14:solidFill>
              <w14:schemeClr w14:val="tx1"/>
            </w14:solidFill>
          </w14:textFill>
        </w:rPr>
        <w:t>须知前附表</w:t>
      </w:r>
      <w:r>
        <w:rPr>
          <w:rFonts w:hint="eastAsia"/>
          <w:color w:val="000000" w:themeColor="text1"/>
          <w:highlight w:val="none"/>
          <w14:textFill>
            <w14:solidFill>
              <w14:schemeClr w14:val="tx1"/>
            </w14:solidFill>
          </w14:textFill>
        </w:rPr>
        <w:t>规定的时间和地点组织磋商。</w:t>
      </w:r>
    </w:p>
    <w:p w14:paraId="5C0139E7">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13.2磋商活动采用综合评分法评审。</w:t>
      </w:r>
    </w:p>
    <w:p w14:paraId="7D1556F6">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综合评分法，是指响应文件满足磋商文件全部实质性要求且按评审因素的量化指标评审得分最高的</w:t>
      </w:r>
      <w:r>
        <w:rPr>
          <w:rFonts w:hint="eastAsia"/>
          <w:color w:val="000000" w:themeColor="text1"/>
          <w:szCs w:val="18"/>
          <w:highlight w:val="none"/>
          <w14:textFill>
            <w14:solidFill>
              <w14:schemeClr w14:val="tx1"/>
            </w14:solidFill>
          </w14:textFill>
        </w:rPr>
        <w:t>参审单位</w:t>
      </w:r>
      <w:r>
        <w:rPr>
          <w:rFonts w:hint="eastAsia"/>
          <w:color w:val="000000" w:themeColor="text1"/>
          <w:highlight w:val="none"/>
          <w14:textFill>
            <w14:solidFill>
              <w14:schemeClr w14:val="tx1"/>
            </w14:solidFill>
          </w14:textFill>
        </w:rPr>
        <w:t>为成交候选</w:t>
      </w:r>
      <w:r>
        <w:rPr>
          <w:rFonts w:hint="eastAsia"/>
          <w:color w:val="000000" w:themeColor="text1"/>
          <w:szCs w:val="18"/>
          <w:highlight w:val="none"/>
          <w14:textFill>
            <w14:solidFill>
              <w14:schemeClr w14:val="tx1"/>
            </w14:solidFill>
          </w14:textFill>
        </w:rPr>
        <w:t>人</w:t>
      </w:r>
      <w:r>
        <w:rPr>
          <w:rFonts w:hint="eastAsia"/>
          <w:color w:val="000000" w:themeColor="text1"/>
          <w:highlight w:val="none"/>
          <w14:textFill>
            <w14:solidFill>
              <w14:schemeClr w14:val="tx1"/>
            </w14:solidFill>
          </w14:textFill>
        </w:rPr>
        <w:t>的评审方法。</w:t>
      </w:r>
    </w:p>
    <w:p w14:paraId="6A4A97F1">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13.3磋商小组将按照磋商文件规定的</w:t>
      </w:r>
      <w:r>
        <w:rPr>
          <w:color w:val="000000" w:themeColor="text1"/>
          <w:highlight w:val="none"/>
          <w14:textFill>
            <w14:solidFill>
              <w14:schemeClr w14:val="tx1"/>
            </w14:solidFill>
          </w14:textFill>
        </w:rPr>
        <w:t>评审</w:t>
      </w:r>
      <w:r>
        <w:rPr>
          <w:rFonts w:hint="eastAsia"/>
          <w:color w:val="000000" w:themeColor="text1"/>
          <w:highlight w:val="none"/>
          <w14:textFill>
            <w14:solidFill>
              <w14:schemeClr w14:val="tx1"/>
            </w14:solidFill>
          </w14:textFill>
        </w:rPr>
        <w:t>方</w:t>
      </w:r>
      <w:r>
        <w:rPr>
          <w:color w:val="000000" w:themeColor="text1"/>
          <w:highlight w:val="none"/>
          <w14:textFill>
            <w14:solidFill>
              <w14:schemeClr w14:val="tx1"/>
            </w14:solidFill>
          </w14:textFill>
        </w:rPr>
        <w:t>法</w:t>
      </w:r>
      <w:r>
        <w:rPr>
          <w:rFonts w:hint="eastAsia"/>
          <w:color w:val="000000" w:themeColor="text1"/>
          <w:highlight w:val="none"/>
          <w14:textFill>
            <w14:solidFill>
              <w14:schemeClr w14:val="tx1"/>
            </w14:solidFill>
          </w14:textFill>
        </w:rPr>
        <w:t>和标准对</w:t>
      </w:r>
      <w:r>
        <w:rPr>
          <w:rFonts w:hint="eastAsia"/>
          <w:color w:val="000000" w:themeColor="text1"/>
          <w:szCs w:val="18"/>
          <w:highlight w:val="none"/>
          <w14:textFill>
            <w14:solidFill>
              <w14:schemeClr w14:val="tx1"/>
            </w14:solidFill>
          </w14:textFill>
        </w:rPr>
        <w:t>参审单位</w:t>
      </w:r>
      <w:r>
        <w:rPr>
          <w:rFonts w:hint="eastAsia"/>
          <w:color w:val="000000" w:themeColor="text1"/>
          <w:highlight w:val="none"/>
          <w14:textFill>
            <w14:solidFill>
              <w14:schemeClr w14:val="tx1"/>
            </w14:solidFill>
          </w14:textFill>
        </w:rPr>
        <w:t>独立进行评审。评审程序如下：</w:t>
      </w:r>
    </w:p>
    <w:p w14:paraId="7D109C56">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13.3.1</w:t>
      </w:r>
      <w:r>
        <w:rPr>
          <w:rFonts w:hint="eastAsia"/>
          <w:b/>
          <w:color w:val="000000" w:themeColor="text1"/>
          <w:highlight w:val="none"/>
          <w14:textFill>
            <w14:solidFill>
              <w14:schemeClr w14:val="tx1"/>
            </w14:solidFill>
          </w14:textFill>
        </w:rPr>
        <w:t>初审</w:t>
      </w:r>
      <w:r>
        <w:rPr>
          <w:rFonts w:hint="eastAsia"/>
          <w:color w:val="000000" w:themeColor="text1"/>
          <w:highlight w:val="none"/>
          <w14:textFill>
            <w14:solidFill>
              <w14:schemeClr w14:val="tx1"/>
            </w14:solidFill>
          </w14:textFill>
        </w:rPr>
        <w:t>。磋商小组对</w:t>
      </w:r>
      <w:r>
        <w:rPr>
          <w:rFonts w:hint="eastAsia"/>
          <w:color w:val="000000" w:themeColor="text1"/>
          <w:szCs w:val="18"/>
          <w:highlight w:val="none"/>
          <w14:textFill>
            <w14:solidFill>
              <w14:schemeClr w14:val="tx1"/>
            </w14:solidFill>
          </w14:textFill>
        </w:rPr>
        <w:t>参审单位</w:t>
      </w:r>
      <w:r>
        <w:rPr>
          <w:rFonts w:hint="eastAsia"/>
          <w:color w:val="000000" w:themeColor="text1"/>
          <w:highlight w:val="none"/>
          <w14:textFill>
            <w14:solidFill>
              <w14:schemeClr w14:val="tx1"/>
            </w14:solidFill>
          </w14:textFill>
        </w:rPr>
        <w:t>必须满足和实质性响应的内容进行评审，</w:t>
      </w:r>
      <w:r>
        <w:rPr>
          <w:rFonts w:hint="eastAsia"/>
          <w:color w:val="000000" w:themeColor="text1"/>
          <w:szCs w:val="18"/>
          <w:highlight w:val="none"/>
          <w14:textFill>
            <w14:solidFill>
              <w14:schemeClr w14:val="tx1"/>
            </w14:solidFill>
          </w14:textFill>
        </w:rPr>
        <w:t>参审单位</w:t>
      </w:r>
      <w:r>
        <w:rPr>
          <w:rFonts w:hint="eastAsia"/>
          <w:color w:val="000000" w:themeColor="text1"/>
          <w:highlight w:val="none"/>
          <w14:textFill>
            <w14:solidFill>
              <w14:schemeClr w14:val="tx1"/>
            </w14:solidFill>
          </w14:textFill>
        </w:rPr>
        <w:t>未实质性响应磋商文件要求导致响应无效的，磋商小组将以书面询问的方式告知有关</w:t>
      </w:r>
      <w:r>
        <w:rPr>
          <w:rFonts w:hint="eastAsia"/>
          <w:color w:val="000000" w:themeColor="text1"/>
          <w:szCs w:val="18"/>
          <w:highlight w:val="none"/>
          <w14:textFill>
            <w14:solidFill>
              <w14:schemeClr w14:val="tx1"/>
            </w14:solidFill>
          </w14:textFill>
        </w:rPr>
        <w:t>参审单位</w:t>
      </w:r>
      <w:r>
        <w:rPr>
          <w:rFonts w:hint="eastAsia"/>
          <w:color w:val="000000" w:themeColor="text1"/>
          <w:highlight w:val="none"/>
          <w14:textFill>
            <w14:solidFill>
              <w14:schemeClr w14:val="tx1"/>
            </w14:solidFill>
          </w14:textFill>
        </w:rPr>
        <w:t>。</w:t>
      </w:r>
    </w:p>
    <w:p w14:paraId="45D23515">
      <w:pPr>
        <w:ind w:firstLine="470" w:firstLineChars="196"/>
        <w:rPr>
          <w:color w:val="000000" w:themeColor="text1"/>
          <w:highlight w:val="none"/>
          <w14:textFill>
            <w14:solidFill>
              <w14:schemeClr w14:val="tx1"/>
            </w14:solidFill>
          </w14:textFill>
        </w:rPr>
      </w:pPr>
      <w:r>
        <w:rPr>
          <w:rFonts w:hint="eastAsia"/>
          <w:color w:val="000000" w:themeColor="text1"/>
          <w:szCs w:val="18"/>
          <w:highlight w:val="none"/>
          <w14:textFill>
            <w14:solidFill>
              <w14:schemeClr w14:val="tx1"/>
            </w14:solidFill>
          </w14:textFill>
        </w:rPr>
        <w:t>参审单位</w:t>
      </w:r>
      <w:r>
        <w:rPr>
          <w:rFonts w:hint="eastAsia"/>
          <w:color w:val="000000" w:themeColor="text1"/>
          <w:highlight w:val="none"/>
          <w14:textFill>
            <w14:solidFill>
              <w14:schemeClr w14:val="tx1"/>
            </w14:solidFill>
          </w14:textFill>
        </w:rPr>
        <w:t>存在不良信用记录的，其响应文件将被认定为</w:t>
      </w:r>
      <w:r>
        <w:rPr>
          <w:rFonts w:hint="eastAsia"/>
          <w:b/>
          <w:color w:val="000000" w:themeColor="text1"/>
          <w:highlight w:val="none"/>
          <w14:textFill>
            <w14:solidFill>
              <w14:schemeClr w14:val="tx1"/>
            </w14:solidFill>
          </w14:textFill>
        </w:rPr>
        <w:t>响应无效</w:t>
      </w:r>
      <w:r>
        <w:rPr>
          <w:rFonts w:hint="eastAsia"/>
          <w:color w:val="000000" w:themeColor="text1"/>
          <w:highlight w:val="none"/>
          <w14:textFill>
            <w14:solidFill>
              <w14:schemeClr w14:val="tx1"/>
            </w14:solidFill>
          </w14:textFill>
        </w:rPr>
        <w:t>。</w:t>
      </w:r>
    </w:p>
    <w:p w14:paraId="115F3FE2">
      <w:pPr>
        <w:ind w:firstLine="470" w:firstLineChars="196"/>
        <w:rPr>
          <w:rFonts w:cs="宋体"/>
          <w:color w:val="000000" w:themeColor="text1"/>
          <w:kern w:val="21"/>
          <w:szCs w:val="24"/>
          <w:highlight w:val="none"/>
          <w:lang w:bidi="ar"/>
          <w14:textFill>
            <w14:solidFill>
              <w14:schemeClr w14:val="tx1"/>
            </w14:solidFill>
          </w14:textFill>
        </w:rPr>
      </w:pPr>
      <w:r>
        <w:rPr>
          <w:rFonts w:hint="eastAsia" w:cs="宋体"/>
          <w:color w:val="000000" w:themeColor="text1"/>
          <w:kern w:val="21"/>
          <w:szCs w:val="24"/>
          <w:highlight w:val="none"/>
          <w:lang w:bidi="ar"/>
          <w14:textFill>
            <w14:solidFill>
              <w14:schemeClr w14:val="tx1"/>
            </w14:solidFill>
          </w14:textFill>
        </w:rPr>
        <w:t>13.3.1.1信用信息查询渠道：“信用中国”网站（www.creditchina.gov.cn）、国家企业信用信息公示系统（</w:t>
      </w:r>
      <w:r>
        <w:rPr>
          <w:highlight w:val="none"/>
        </w:rPr>
        <w:fldChar w:fldCharType="begin"/>
      </w:r>
      <w:r>
        <w:rPr>
          <w:highlight w:val="none"/>
        </w:rPr>
        <w:instrText xml:space="preserve"> HYPERLINK "http://www.gsxt.gov.cn" </w:instrText>
      </w:r>
      <w:r>
        <w:rPr>
          <w:highlight w:val="none"/>
        </w:rPr>
        <w:fldChar w:fldCharType="separate"/>
      </w:r>
      <w:r>
        <w:rPr>
          <w:rStyle w:val="16"/>
          <w:rFonts w:hint="eastAsia" w:cs="宋体"/>
          <w:color w:val="000000" w:themeColor="text1"/>
          <w:kern w:val="21"/>
          <w:szCs w:val="24"/>
          <w:highlight w:val="none"/>
          <w:lang w:bidi="ar"/>
          <w14:textFill>
            <w14:solidFill>
              <w14:schemeClr w14:val="tx1"/>
            </w14:solidFill>
          </w14:textFill>
        </w:rPr>
        <w:t>www.gsxt.gov.cn</w:t>
      </w:r>
      <w:r>
        <w:rPr>
          <w:rStyle w:val="16"/>
          <w:rFonts w:hint="eastAsia" w:cs="宋体"/>
          <w:color w:val="000000" w:themeColor="text1"/>
          <w:kern w:val="21"/>
          <w:szCs w:val="24"/>
          <w:highlight w:val="none"/>
          <w:lang w:bidi="ar"/>
          <w14:textFill>
            <w14:solidFill>
              <w14:schemeClr w14:val="tx1"/>
            </w14:solidFill>
          </w14:textFill>
        </w:rPr>
        <w:fldChar w:fldCharType="end"/>
      </w:r>
      <w:r>
        <w:rPr>
          <w:rFonts w:hint="eastAsia" w:cs="宋体"/>
          <w:color w:val="000000" w:themeColor="text1"/>
          <w:kern w:val="21"/>
          <w:szCs w:val="24"/>
          <w:highlight w:val="none"/>
          <w:lang w:bidi="ar"/>
          <w14:textFill>
            <w14:solidFill>
              <w14:schemeClr w14:val="tx1"/>
            </w14:solidFill>
          </w14:textFill>
        </w:rPr>
        <w:t>）：</w:t>
      </w:r>
    </w:p>
    <w:p w14:paraId="3E737D67">
      <w:pPr>
        <w:ind w:firstLine="480"/>
        <w:rPr>
          <w:rFonts w:cs="宋体"/>
          <w:color w:val="000000" w:themeColor="text1"/>
          <w:szCs w:val="24"/>
          <w:highlight w:val="none"/>
          <w14:textFill>
            <w14:solidFill>
              <w14:schemeClr w14:val="tx1"/>
            </w14:solidFill>
          </w14:textFill>
        </w:rPr>
      </w:pPr>
      <w:bookmarkStart w:id="6" w:name="_Hlk192058264"/>
      <w:r>
        <w:rPr>
          <w:rFonts w:hint="eastAsia" w:cs="宋体"/>
          <w:color w:val="000000" w:themeColor="text1"/>
          <w:szCs w:val="24"/>
          <w:highlight w:val="none"/>
          <w14:textFill>
            <w14:solidFill>
              <w14:schemeClr w14:val="tx1"/>
            </w14:solidFill>
          </w14:textFill>
        </w:rPr>
        <w:t>（</w:t>
      </w:r>
      <w:r>
        <w:rPr>
          <w:rFonts w:cs="宋体"/>
          <w:color w:val="000000" w:themeColor="text1"/>
          <w:szCs w:val="24"/>
          <w:highlight w:val="none"/>
          <w14:textFill>
            <w14:solidFill>
              <w14:schemeClr w14:val="tx1"/>
            </w14:solidFill>
          </w14:textFill>
        </w:rPr>
        <w:t>1</w:t>
      </w:r>
      <w:r>
        <w:rPr>
          <w:rFonts w:hint="eastAsia" w:cs="宋体"/>
          <w:color w:val="000000" w:themeColor="text1"/>
          <w:szCs w:val="24"/>
          <w:highlight w:val="none"/>
          <w14:textFill>
            <w14:solidFill>
              <w14:schemeClr w14:val="tx1"/>
            </w14:solidFill>
          </w14:textFill>
        </w:rPr>
        <w:t>）在国家企业信用信息公示系统（http://www.gsxt.gov.cn/）中被列入严重违法失信企业名单；</w:t>
      </w:r>
    </w:p>
    <w:p w14:paraId="4D976028">
      <w:pPr>
        <w:ind w:firstLine="480"/>
        <w:rPr>
          <w:rFonts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w:t>
      </w:r>
      <w:r>
        <w:rPr>
          <w:rFonts w:cs="宋体"/>
          <w:color w:val="000000" w:themeColor="text1"/>
          <w:szCs w:val="24"/>
          <w:highlight w:val="none"/>
          <w14:textFill>
            <w14:solidFill>
              <w14:schemeClr w14:val="tx1"/>
            </w14:solidFill>
          </w14:textFill>
        </w:rPr>
        <w:t>2</w:t>
      </w:r>
      <w:r>
        <w:rPr>
          <w:rFonts w:hint="eastAsia" w:cs="宋体"/>
          <w:color w:val="000000" w:themeColor="text1"/>
          <w:szCs w:val="24"/>
          <w:highlight w:val="none"/>
          <w14:textFill>
            <w14:solidFill>
              <w14:schemeClr w14:val="tx1"/>
            </w14:solidFill>
          </w14:textFill>
        </w:rPr>
        <w:t>）在“信用中国”网站（http://www.creditchina.gov.cn/）中被列入失信被执行人名单；</w:t>
      </w:r>
    </w:p>
    <w:p w14:paraId="28D9AC66">
      <w:pPr>
        <w:ind w:firstLine="480"/>
        <w:rPr>
          <w:color w:val="000000" w:themeColor="text1"/>
          <w:highlight w:val="none"/>
          <w:lang w:bidi="ar"/>
          <w14:textFill>
            <w14:solidFill>
              <w14:schemeClr w14:val="tx1"/>
            </w14:solidFill>
          </w14:textFill>
        </w:rPr>
      </w:pPr>
      <w:r>
        <w:rPr>
          <w:rFonts w:hint="eastAsia" w:cs="宋体"/>
          <w:color w:val="000000" w:themeColor="text1"/>
          <w:szCs w:val="24"/>
          <w:highlight w:val="none"/>
          <w14:textFill>
            <w14:solidFill>
              <w14:schemeClr w14:val="tx1"/>
            </w14:solidFill>
          </w14:textFill>
        </w:rPr>
        <w:t>（3）在“信用中国”网站（http://www.creditchina.gov.cn/）中被列入重大税收违法案件当事人名单；</w:t>
      </w:r>
    </w:p>
    <w:bookmarkEnd w:id="6"/>
    <w:p w14:paraId="33707C8E">
      <w:pPr>
        <w:ind w:firstLine="360" w:firstLineChars="15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以联合体形式参加磋商的，联合体任何成员存在以上不良信用记录的，联合体磋商将被认定为</w:t>
      </w:r>
      <w:r>
        <w:rPr>
          <w:rFonts w:hint="eastAsia"/>
          <w:b/>
          <w:color w:val="000000" w:themeColor="text1"/>
          <w:highlight w:val="none"/>
          <w14:textFill>
            <w14:solidFill>
              <w14:schemeClr w14:val="tx1"/>
            </w14:solidFill>
          </w14:textFill>
        </w:rPr>
        <w:t>响应无效</w:t>
      </w:r>
      <w:r>
        <w:rPr>
          <w:rFonts w:hint="eastAsia"/>
          <w:color w:val="000000" w:themeColor="text1"/>
          <w:highlight w:val="none"/>
          <w14:textFill>
            <w14:solidFill>
              <w14:schemeClr w14:val="tx1"/>
            </w14:solidFill>
          </w14:textFill>
        </w:rPr>
        <w:t>。</w:t>
      </w:r>
    </w:p>
    <w:p w14:paraId="3C5F54A9">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13.3.2</w:t>
      </w:r>
      <w:r>
        <w:rPr>
          <w:rFonts w:hint="eastAsia"/>
          <w:b/>
          <w:color w:val="000000" w:themeColor="text1"/>
          <w:highlight w:val="none"/>
          <w14:textFill>
            <w14:solidFill>
              <w14:schemeClr w14:val="tx1"/>
            </w14:solidFill>
          </w14:textFill>
        </w:rPr>
        <w:t>磋商</w:t>
      </w:r>
      <w:r>
        <w:rPr>
          <w:rFonts w:hint="eastAsia"/>
          <w:color w:val="000000" w:themeColor="text1"/>
          <w:highlight w:val="none"/>
          <w14:textFill>
            <w14:solidFill>
              <w14:schemeClr w14:val="tx1"/>
            </w14:solidFill>
          </w14:textFill>
        </w:rPr>
        <w:t>。初审合格后，磋商小组将按网上加密电子响应文件提交顺序集中与单一</w:t>
      </w:r>
      <w:r>
        <w:rPr>
          <w:rFonts w:hint="eastAsia"/>
          <w:color w:val="000000" w:themeColor="text1"/>
          <w:szCs w:val="18"/>
          <w:highlight w:val="none"/>
          <w14:textFill>
            <w14:solidFill>
              <w14:schemeClr w14:val="tx1"/>
            </w14:solidFill>
          </w14:textFill>
        </w:rPr>
        <w:t>参审单位</w:t>
      </w:r>
      <w:r>
        <w:rPr>
          <w:rFonts w:hint="eastAsia"/>
          <w:color w:val="000000" w:themeColor="text1"/>
          <w:highlight w:val="none"/>
          <w14:textFill>
            <w14:solidFill>
              <w14:schemeClr w14:val="tx1"/>
            </w14:solidFill>
          </w14:textFill>
        </w:rPr>
        <w:t>分别进行磋商，并给予所有参加磋商的</w:t>
      </w:r>
      <w:r>
        <w:rPr>
          <w:rFonts w:hint="eastAsia"/>
          <w:color w:val="000000" w:themeColor="text1"/>
          <w:szCs w:val="18"/>
          <w:highlight w:val="none"/>
          <w14:textFill>
            <w14:solidFill>
              <w14:schemeClr w14:val="tx1"/>
            </w14:solidFill>
          </w14:textFill>
        </w:rPr>
        <w:t>参审单位</w:t>
      </w:r>
      <w:r>
        <w:rPr>
          <w:rFonts w:hint="eastAsia"/>
          <w:color w:val="000000" w:themeColor="text1"/>
          <w:highlight w:val="none"/>
          <w14:textFill>
            <w14:solidFill>
              <w14:schemeClr w14:val="tx1"/>
            </w14:solidFill>
          </w14:textFill>
        </w:rPr>
        <w:t>平等的磋商机会。</w:t>
      </w:r>
    </w:p>
    <w:p w14:paraId="4652F84D">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13.3.3</w:t>
      </w:r>
      <w:r>
        <w:rPr>
          <w:b/>
          <w:color w:val="000000" w:themeColor="text1"/>
          <w:highlight w:val="none"/>
          <w14:textFill>
            <w14:solidFill>
              <w14:schemeClr w14:val="tx1"/>
            </w14:solidFill>
          </w14:textFill>
        </w:rPr>
        <w:t>报价</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磋商结束后，磋商小组应当要求所有</w:t>
      </w:r>
      <w:r>
        <w:rPr>
          <w:rFonts w:hint="eastAsia"/>
          <w:color w:val="000000" w:themeColor="text1"/>
          <w:highlight w:val="none"/>
          <w14:textFill>
            <w14:solidFill>
              <w14:schemeClr w14:val="tx1"/>
            </w14:solidFill>
          </w14:textFill>
        </w:rPr>
        <w:t>实质性响应</w:t>
      </w:r>
      <w:r>
        <w:rPr>
          <w:color w:val="000000" w:themeColor="text1"/>
          <w:highlight w:val="none"/>
          <w14:textFill>
            <w14:solidFill>
              <w14:schemeClr w14:val="tx1"/>
            </w14:solidFill>
          </w14:textFill>
        </w:rPr>
        <w:t>的</w:t>
      </w:r>
      <w:r>
        <w:rPr>
          <w:rFonts w:hint="eastAsia"/>
          <w:color w:val="000000" w:themeColor="text1"/>
          <w:szCs w:val="18"/>
          <w:highlight w:val="none"/>
          <w14:textFill>
            <w14:solidFill>
              <w14:schemeClr w14:val="tx1"/>
            </w14:solidFill>
          </w14:textFill>
        </w:rPr>
        <w:t>参审单位</w:t>
      </w:r>
      <w:r>
        <w:rPr>
          <w:color w:val="000000" w:themeColor="text1"/>
          <w:highlight w:val="none"/>
          <w14:textFill>
            <w14:solidFill>
              <w14:schemeClr w14:val="tx1"/>
            </w14:solidFill>
          </w14:textFill>
        </w:rPr>
        <w:t>在规定时间内提交最后报价</w:t>
      </w:r>
      <w:r>
        <w:rPr>
          <w:rFonts w:hint="eastAsia"/>
          <w:color w:val="000000" w:themeColor="text1"/>
          <w:highlight w:val="none"/>
          <w14:textFill>
            <w14:solidFill>
              <w14:schemeClr w14:val="tx1"/>
            </w14:solidFill>
          </w14:textFill>
        </w:rPr>
        <w:t>。</w:t>
      </w:r>
      <w:r>
        <w:rPr>
          <w:rFonts w:hint="eastAsia" w:cs="宋体"/>
          <w:b/>
          <w:bCs/>
          <w:color w:val="000000" w:themeColor="text1"/>
          <w:szCs w:val="24"/>
          <w:highlight w:val="none"/>
          <w14:textFill>
            <w14:solidFill>
              <w14:schemeClr w14:val="tx1"/>
            </w14:solidFill>
          </w14:textFill>
        </w:rPr>
        <w:t>磋商</w:t>
      </w:r>
      <w:r>
        <w:rPr>
          <w:rFonts w:cs="宋体"/>
          <w:b/>
          <w:bCs/>
          <w:color w:val="000000" w:themeColor="text1"/>
          <w:szCs w:val="24"/>
          <w:highlight w:val="none"/>
          <w14:textFill>
            <w14:solidFill>
              <w14:schemeClr w14:val="tx1"/>
            </w14:solidFill>
          </w14:textFill>
        </w:rPr>
        <w:t>文件中另有特殊规定的除外</w:t>
      </w:r>
      <w:r>
        <w:rPr>
          <w:rFonts w:hint="eastAsia" w:cs="宋体"/>
          <w:b/>
          <w:bCs/>
          <w:color w:val="000000" w:themeColor="text1"/>
          <w:szCs w:val="24"/>
          <w:highlight w:val="none"/>
          <w14:textFill>
            <w14:solidFill>
              <w14:schemeClr w14:val="tx1"/>
            </w14:solidFill>
          </w14:textFill>
        </w:rPr>
        <w:t>。</w:t>
      </w:r>
    </w:p>
    <w:p w14:paraId="5516152A">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13.3.4</w:t>
      </w:r>
      <w:r>
        <w:rPr>
          <w:rFonts w:hint="eastAsia"/>
          <w:b/>
          <w:color w:val="000000" w:themeColor="text1"/>
          <w:highlight w:val="none"/>
          <w14:textFill>
            <w14:solidFill>
              <w14:schemeClr w14:val="tx1"/>
            </w14:solidFill>
          </w14:textFill>
        </w:rPr>
        <w:t>综合评分</w:t>
      </w:r>
      <w:r>
        <w:rPr>
          <w:rFonts w:hint="eastAsia"/>
          <w:color w:val="000000" w:themeColor="text1"/>
          <w:highlight w:val="none"/>
          <w14:textFill>
            <w14:solidFill>
              <w14:schemeClr w14:val="tx1"/>
            </w14:solidFill>
          </w14:textFill>
        </w:rPr>
        <w:t>。磋商小组只对通过初审，实质上响应磋商要求的响应文件进行综合评分。经磋商确定最终项目需求和提交最后报价的</w:t>
      </w:r>
      <w:r>
        <w:rPr>
          <w:rFonts w:hint="eastAsia"/>
          <w:color w:val="000000" w:themeColor="text1"/>
          <w:szCs w:val="18"/>
          <w:highlight w:val="none"/>
          <w14:textFill>
            <w14:solidFill>
              <w14:schemeClr w14:val="tx1"/>
            </w14:solidFill>
          </w14:textFill>
        </w:rPr>
        <w:t>参审单位</w:t>
      </w:r>
      <w:r>
        <w:rPr>
          <w:rFonts w:hint="eastAsia"/>
          <w:color w:val="000000" w:themeColor="text1"/>
          <w:highlight w:val="none"/>
          <w14:textFill>
            <w14:solidFill>
              <w14:schemeClr w14:val="tx1"/>
            </w14:solidFill>
          </w14:textFill>
        </w:rPr>
        <w:t>后，由磋商小组采用综合评分法对提交最后报价的</w:t>
      </w:r>
      <w:r>
        <w:rPr>
          <w:rFonts w:hint="eastAsia"/>
          <w:color w:val="000000" w:themeColor="text1"/>
          <w:szCs w:val="18"/>
          <w:highlight w:val="none"/>
          <w14:textFill>
            <w14:solidFill>
              <w14:schemeClr w14:val="tx1"/>
            </w14:solidFill>
          </w14:textFill>
        </w:rPr>
        <w:t>参审单位</w:t>
      </w:r>
      <w:r>
        <w:rPr>
          <w:rFonts w:hint="eastAsia"/>
          <w:color w:val="000000" w:themeColor="text1"/>
          <w:highlight w:val="none"/>
          <w14:textFill>
            <w14:solidFill>
              <w14:schemeClr w14:val="tx1"/>
            </w14:solidFill>
          </w14:textFill>
        </w:rPr>
        <w:t>的响应文件和最后报价进行综合评分。</w:t>
      </w:r>
    </w:p>
    <w:p w14:paraId="7BC75F6E">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13.4相关说明。</w:t>
      </w:r>
    </w:p>
    <w:p w14:paraId="5C202C26">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13.4.1为保证磋商活动顺利进行，</w:t>
      </w:r>
      <w:r>
        <w:rPr>
          <w:rFonts w:hint="eastAsia"/>
          <w:color w:val="000000" w:themeColor="text1"/>
          <w:szCs w:val="18"/>
          <w:highlight w:val="none"/>
          <w14:textFill>
            <w14:solidFill>
              <w14:schemeClr w14:val="tx1"/>
            </w14:solidFill>
          </w14:textFill>
        </w:rPr>
        <w:t>参审单位</w:t>
      </w:r>
      <w:r>
        <w:rPr>
          <w:rFonts w:hint="eastAsia"/>
          <w:color w:val="000000" w:themeColor="text1"/>
          <w:highlight w:val="none"/>
          <w14:textFill>
            <w14:solidFill>
              <w14:schemeClr w14:val="tx1"/>
            </w14:solidFill>
          </w14:textFill>
        </w:rPr>
        <w:t xml:space="preserve">可派相关技术人员进行网上答疑； </w:t>
      </w:r>
    </w:p>
    <w:p w14:paraId="43B63999">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13.4.2磋</w:t>
      </w:r>
      <w:r>
        <w:rPr>
          <w:color w:val="000000" w:themeColor="text1"/>
          <w:highlight w:val="none"/>
          <w14:textFill>
            <w14:solidFill>
              <w14:schemeClr w14:val="tx1"/>
            </w14:solidFill>
          </w14:textFill>
        </w:rPr>
        <w:t>商小组根据与</w:t>
      </w:r>
      <w:r>
        <w:rPr>
          <w:rFonts w:hint="eastAsia"/>
          <w:color w:val="000000" w:themeColor="text1"/>
          <w:szCs w:val="18"/>
          <w:highlight w:val="none"/>
          <w14:textFill>
            <w14:solidFill>
              <w14:schemeClr w14:val="tx1"/>
            </w14:solidFill>
          </w14:textFill>
        </w:rPr>
        <w:t>参审单位</w:t>
      </w:r>
      <w:r>
        <w:rPr>
          <w:color w:val="000000" w:themeColor="text1"/>
          <w:highlight w:val="none"/>
          <w14:textFill>
            <w14:solidFill>
              <w14:schemeClr w14:val="tx1"/>
            </w14:solidFill>
          </w14:textFill>
        </w:rPr>
        <w:t>磋商情况可能实质性变动</w:t>
      </w:r>
      <w:r>
        <w:rPr>
          <w:rFonts w:hint="eastAsia"/>
          <w:color w:val="000000" w:themeColor="text1"/>
          <w:highlight w:val="none"/>
          <w14:textFill>
            <w14:solidFill>
              <w14:schemeClr w14:val="tx1"/>
            </w14:solidFill>
          </w14:textFill>
        </w:rPr>
        <w:t>磋商文件</w:t>
      </w:r>
      <w:r>
        <w:rPr>
          <w:color w:val="000000" w:themeColor="text1"/>
          <w:highlight w:val="none"/>
          <w14:textFill>
            <w14:solidFill>
              <w14:schemeClr w14:val="tx1"/>
            </w14:solidFill>
          </w14:textFill>
        </w:rPr>
        <w:t>的内容，包括</w:t>
      </w:r>
      <w:r>
        <w:rPr>
          <w:rFonts w:hint="eastAsia"/>
          <w:color w:val="000000" w:themeColor="text1"/>
          <w:highlight w:val="none"/>
          <w14:textFill>
            <w14:solidFill>
              <w14:schemeClr w14:val="tx1"/>
            </w14:solidFill>
          </w14:textFill>
        </w:rPr>
        <w:t>项目需求</w:t>
      </w:r>
      <w:r>
        <w:rPr>
          <w:color w:val="000000" w:themeColor="text1"/>
          <w:highlight w:val="none"/>
          <w14:textFill>
            <w14:solidFill>
              <w14:schemeClr w14:val="tx1"/>
            </w14:solidFill>
          </w14:textFill>
        </w:rPr>
        <w:t>中的技术、服务要求以及合同草案条款。磋商文件有实质性变动的，</w:t>
      </w:r>
      <w:r>
        <w:rPr>
          <w:rFonts w:hint="eastAsia"/>
          <w:color w:val="000000" w:themeColor="text1"/>
          <w:highlight w:val="none"/>
          <w14:textFill>
            <w14:solidFill>
              <w14:schemeClr w14:val="tx1"/>
            </w14:solidFill>
          </w14:textFill>
        </w:rPr>
        <w:t>经</w:t>
      </w:r>
      <w:r>
        <w:rPr>
          <w:rFonts w:hint="eastAsia"/>
          <w:color w:val="000000" w:themeColor="text1"/>
          <w:szCs w:val="18"/>
          <w:highlight w:val="none"/>
          <w14:textFill>
            <w14:solidFill>
              <w14:schemeClr w14:val="tx1"/>
            </w14:solidFill>
          </w14:textFill>
        </w:rPr>
        <w:t>业主单位</w:t>
      </w:r>
      <w:r>
        <w:rPr>
          <w:rFonts w:hint="eastAsia"/>
          <w:color w:val="000000" w:themeColor="text1"/>
          <w:highlight w:val="none"/>
          <w14:textFill>
            <w14:solidFill>
              <w14:schemeClr w14:val="tx1"/>
            </w14:solidFill>
          </w14:textFill>
        </w:rPr>
        <w:t>代表确认作为磋商文件的有效组成部分，</w:t>
      </w:r>
      <w:r>
        <w:rPr>
          <w:color w:val="000000" w:themeColor="text1"/>
          <w:highlight w:val="none"/>
          <w14:textFill>
            <w14:solidFill>
              <w14:schemeClr w14:val="tx1"/>
            </w14:solidFill>
          </w14:textFill>
        </w:rPr>
        <w:t>磋商小组</w:t>
      </w:r>
      <w:r>
        <w:rPr>
          <w:rFonts w:hint="eastAsia"/>
          <w:color w:val="000000" w:themeColor="text1"/>
          <w:highlight w:val="none"/>
          <w14:textFill>
            <w14:solidFill>
              <w14:schemeClr w14:val="tx1"/>
            </w14:solidFill>
          </w14:textFill>
        </w:rPr>
        <w:t>将</w:t>
      </w:r>
      <w:r>
        <w:rPr>
          <w:color w:val="000000" w:themeColor="text1"/>
          <w:highlight w:val="none"/>
          <w14:textFill>
            <w14:solidFill>
              <w14:schemeClr w14:val="tx1"/>
            </w14:solidFill>
          </w14:textFill>
        </w:rPr>
        <w:t>以书面形式通知所有参加磋商的</w:t>
      </w:r>
      <w:r>
        <w:rPr>
          <w:rFonts w:hint="eastAsia"/>
          <w:color w:val="000000" w:themeColor="text1"/>
          <w:szCs w:val="18"/>
          <w:highlight w:val="none"/>
          <w14:textFill>
            <w14:solidFill>
              <w14:schemeClr w14:val="tx1"/>
            </w14:solidFill>
          </w14:textFill>
        </w:rPr>
        <w:t>参审单位</w:t>
      </w:r>
      <w:r>
        <w:rPr>
          <w:color w:val="000000" w:themeColor="text1"/>
          <w:highlight w:val="none"/>
          <w14:textFill>
            <w14:solidFill>
              <w14:schemeClr w14:val="tx1"/>
            </w14:solidFill>
          </w14:textFill>
        </w:rPr>
        <w:t>。</w:t>
      </w:r>
    </w:p>
    <w:p w14:paraId="35797865">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13.4.3磋商小组发现</w:t>
      </w:r>
      <w:r>
        <w:rPr>
          <w:rFonts w:hint="eastAsia"/>
          <w:color w:val="000000" w:themeColor="text1"/>
          <w:szCs w:val="18"/>
          <w:highlight w:val="none"/>
          <w14:textFill>
            <w14:solidFill>
              <w14:schemeClr w14:val="tx1"/>
            </w14:solidFill>
          </w14:textFill>
        </w:rPr>
        <w:t>参审单位</w:t>
      </w:r>
      <w:r>
        <w:rPr>
          <w:rFonts w:hint="eastAsia"/>
          <w:color w:val="000000" w:themeColor="text1"/>
          <w:highlight w:val="none"/>
          <w14:textFill>
            <w14:solidFill>
              <w14:schemeClr w14:val="tx1"/>
            </w14:solidFill>
          </w14:textFill>
        </w:rPr>
        <w:t>的报价或者某些分项报价明显低于其他通过初审的</w:t>
      </w:r>
      <w:r>
        <w:rPr>
          <w:rFonts w:hint="eastAsia"/>
          <w:color w:val="000000" w:themeColor="text1"/>
          <w:szCs w:val="18"/>
          <w:highlight w:val="none"/>
          <w14:textFill>
            <w14:solidFill>
              <w14:schemeClr w14:val="tx1"/>
            </w14:solidFill>
          </w14:textFill>
        </w:rPr>
        <w:t>参审单位</w:t>
      </w:r>
      <w:r>
        <w:rPr>
          <w:rFonts w:hint="eastAsia"/>
          <w:color w:val="000000" w:themeColor="text1"/>
          <w:highlight w:val="none"/>
          <w14:textFill>
            <w14:solidFill>
              <w14:schemeClr w14:val="tx1"/>
            </w14:solidFill>
          </w14:textFill>
        </w:rPr>
        <w:t>的报价，有可能影响产品质量和不能诚信履约的，应当要求其在合理的时间内提供书面说明，必要时提交相关证明材料；</w:t>
      </w:r>
      <w:r>
        <w:rPr>
          <w:rFonts w:hint="eastAsia"/>
          <w:color w:val="000000" w:themeColor="text1"/>
          <w:szCs w:val="18"/>
          <w:highlight w:val="none"/>
          <w14:textFill>
            <w14:solidFill>
              <w14:schemeClr w14:val="tx1"/>
            </w14:solidFill>
          </w14:textFill>
        </w:rPr>
        <w:t>参审单位</w:t>
      </w:r>
      <w:r>
        <w:rPr>
          <w:rFonts w:hint="eastAsia"/>
          <w:color w:val="000000" w:themeColor="text1"/>
          <w:highlight w:val="none"/>
          <w14:textFill>
            <w14:solidFill>
              <w14:schemeClr w14:val="tx1"/>
            </w14:solidFill>
          </w14:textFill>
        </w:rPr>
        <w:t>不能证明其报价合理性的，其响应文件将被认定为响应无效。</w:t>
      </w:r>
    </w:p>
    <w:p w14:paraId="1E771143">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13.4.4</w:t>
      </w:r>
      <w:r>
        <w:rPr>
          <w:color w:val="000000" w:themeColor="text1"/>
          <w:highlight w:val="none"/>
          <w14:textFill>
            <w14:solidFill>
              <w14:schemeClr w14:val="tx1"/>
            </w14:solidFill>
          </w14:textFill>
        </w:rPr>
        <w:t>无论何种原因，即使</w:t>
      </w:r>
      <w:r>
        <w:rPr>
          <w:rFonts w:hint="eastAsia"/>
          <w:color w:val="000000" w:themeColor="text1"/>
          <w:szCs w:val="18"/>
          <w:highlight w:val="none"/>
          <w14:textFill>
            <w14:solidFill>
              <w14:schemeClr w14:val="tx1"/>
            </w14:solidFill>
          </w14:textFill>
        </w:rPr>
        <w:t>参审单位</w:t>
      </w:r>
      <w:r>
        <w:rPr>
          <w:rFonts w:hint="eastAsia"/>
          <w:color w:val="000000" w:themeColor="text1"/>
          <w:highlight w:val="none"/>
          <w14:textFill>
            <w14:solidFill>
              <w14:schemeClr w14:val="tx1"/>
            </w14:solidFill>
          </w14:textFill>
        </w:rPr>
        <w:t>磋商</w:t>
      </w:r>
      <w:r>
        <w:rPr>
          <w:color w:val="000000" w:themeColor="text1"/>
          <w:highlight w:val="none"/>
          <w14:textFill>
            <w14:solidFill>
              <w14:schemeClr w14:val="tx1"/>
            </w14:solidFill>
          </w14:textFill>
        </w:rPr>
        <w:t>时携带了证书材料的原件，但响应文件中未提供与之内容完全一致的</w:t>
      </w:r>
      <w:r>
        <w:rPr>
          <w:rFonts w:hint="eastAsia"/>
          <w:color w:val="000000" w:themeColor="text1"/>
          <w:highlight w:val="none"/>
          <w14:textFill>
            <w14:solidFill>
              <w14:schemeClr w14:val="tx1"/>
            </w14:solidFill>
          </w14:textFill>
        </w:rPr>
        <w:t>扫描件</w:t>
      </w:r>
      <w:r>
        <w:rPr>
          <w:color w:val="000000" w:themeColor="text1"/>
          <w:highlight w:val="none"/>
          <w14:textFill>
            <w14:solidFill>
              <w14:schemeClr w14:val="tx1"/>
            </w14:solidFill>
          </w14:textFill>
        </w:rPr>
        <w:t>或影印件的，</w:t>
      </w:r>
      <w:r>
        <w:rPr>
          <w:rFonts w:hint="eastAsia"/>
          <w:color w:val="000000" w:themeColor="text1"/>
          <w:highlight w:val="none"/>
          <w14:textFill>
            <w14:solidFill>
              <w14:schemeClr w14:val="tx1"/>
            </w14:solidFill>
          </w14:textFill>
        </w:rPr>
        <w:t>磋商</w:t>
      </w:r>
      <w:r>
        <w:rPr>
          <w:color w:val="000000" w:themeColor="text1"/>
          <w:highlight w:val="none"/>
          <w14:textFill>
            <w14:solidFill>
              <w14:schemeClr w14:val="tx1"/>
            </w14:solidFill>
          </w14:textFill>
        </w:rPr>
        <w:t>小组可以视同其未提供。</w:t>
      </w:r>
    </w:p>
    <w:p w14:paraId="7E3ABEA9">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13.4.5磋商</w:t>
      </w:r>
      <w:r>
        <w:rPr>
          <w:color w:val="000000" w:themeColor="text1"/>
          <w:highlight w:val="none"/>
          <w14:textFill>
            <w14:solidFill>
              <w14:schemeClr w14:val="tx1"/>
            </w14:solidFill>
          </w14:textFill>
        </w:rPr>
        <w:t>小组决定响应文件的响应性及符合性只根据响应文件本身的内容，而不寻求其他外部证据。</w:t>
      </w:r>
    </w:p>
    <w:p w14:paraId="1DBE44DC">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5</w:t>
      </w:r>
      <w:r>
        <w:rPr>
          <w:rFonts w:hint="eastAsia"/>
          <w:color w:val="000000" w:themeColor="text1"/>
          <w:szCs w:val="18"/>
          <w:highlight w:val="none"/>
          <w14:textFill>
            <w14:solidFill>
              <w14:schemeClr w14:val="tx1"/>
            </w14:solidFill>
          </w14:textFill>
        </w:rPr>
        <w:t>参审单位</w:t>
      </w:r>
      <w:r>
        <w:rPr>
          <w:rFonts w:hint="eastAsia"/>
          <w:color w:val="000000" w:themeColor="text1"/>
          <w:highlight w:val="none"/>
          <w14:textFill>
            <w14:solidFill>
              <w14:schemeClr w14:val="tx1"/>
            </w14:solidFill>
          </w14:textFill>
        </w:rPr>
        <w:t>授权</w:t>
      </w:r>
      <w:r>
        <w:rPr>
          <w:color w:val="000000" w:themeColor="text1"/>
          <w:highlight w:val="none"/>
          <w14:textFill>
            <w14:solidFill>
              <w14:schemeClr w14:val="tx1"/>
            </w14:solidFill>
          </w14:textFill>
        </w:rPr>
        <w:t>代表对</w:t>
      </w:r>
      <w:r>
        <w:rPr>
          <w:rFonts w:hint="eastAsia"/>
          <w:color w:val="000000" w:themeColor="text1"/>
          <w:highlight w:val="none"/>
          <w14:textFill>
            <w14:solidFill>
              <w14:schemeClr w14:val="tx1"/>
            </w14:solidFill>
          </w14:textFill>
        </w:rPr>
        <w:t>磋商过程</w:t>
      </w:r>
      <w:r>
        <w:rPr>
          <w:color w:val="000000" w:themeColor="text1"/>
          <w:highlight w:val="none"/>
          <w14:textFill>
            <w14:solidFill>
              <w14:schemeClr w14:val="tx1"/>
            </w14:solidFill>
          </w14:textFill>
        </w:rPr>
        <w:t>有疑义，以及认为</w:t>
      </w:r>
      <w:r>
        <w:rPr>
          <w:rFonts w:hint="eastAsia"/>
          <w:color w:val="000000" w:themeColor="text1"/>
          <w:szCs w:val="18"/>
          <w:highlight w:val="none"/>
          <w14:textFill>
            <w14:solidFill>
              <w14:schemeClr w14:val="tx1"/>
            </w14:solidFill>
          </w14:textFill>
        </w:rPr>
        <w:t>业主单位</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代理机构</w:t>
      </w:r>
      <w:r>
        <w:rPr>
          <w:color w:val="000000" w:themeColor="text1"/>
          <w:highlight w:val="none"/>
          <w14:textFill>
            <w14:solidFill>
              <w14:schemeClr w14:val="tx1"/>
            </w14:solidFill>
          </w14:textFill>
        </w:rPr>
        <w:t>相关工作人员有需要回避的情形的，应当场提出询问或者回避申请</w:t>
      </w:r>
      <w:r>
        <w:rPr>
          <w:rFonts w:hint="eastAsia"/>
          <w:color w:val="000000" w:themeColor="text1"/>
          <w:highlight w:val="none"/>
          <w14:textFill>
            <w14:solidFill>
              <w14:schemeClr w14:val="tx1"/>
            </w14:solidFill>
          </w14:textFill>
        </w:rPr>
        <w:t>，并说明理由。</w:t>
      </w:r>
      <w:r>
        <w:rPr>
          <w:color w:val="000000" w:themeColor="text1"/>
          <w:highlight w:val="none"/>
          <w14:textFill>
            <w14:solidFill>
              <w14:schemeClr w14:val="tx1"/>
            </w14:solidFill>
          </w14:textFill>
        </w:rPr>
        <w:t xml:space="preserve"> </w:t>
      </w:r>
    </w:p>
    <w:p w14:paraId="1858C5F6">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14.终止磋商</w:t>
      </w:r>
    </w:p>
    <w:p w14:paraId="1342CB8C">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出现下列情况之一时，业主单位和代理机构有权宣布终止磋商，并将理由通知所有供应商：</w:t>
      </w:r>
    </w:p>
    <w:p w14:paraId="20895902">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14.1</w:t>
      </w:r>
      <w:r>
        <w:rPr>
          <w:rFonts w:hint="eastAsia" w:cs="@仿宋_GB2312" w:asciiTheme="minorEastAsia" w:hAnsiTheme="minorEastAsia" w:eastAsiaTheme="minorEastAsia"/>
          <w:color w:val="000000" w:themeColor="text1"/>
          <w:kern w:val="2"/>
          <w:szCs w:val="24"/>
          <w:highlight w:val="none"/>
          <w14:textFill>
            <w14:solidFill>
              <w14:schemeClr w14:val="tx1"/>
            </w14:solidFill>
          </w14:textFill>
        </w:rPr>
        <w:t>通过初审的供应商</w:t>
      </w:r>
      <w:r>
        <w:rPr>
          <w:rFonts w:hint="eastAsia" w:asciiTheme="minorEastAsia" w:hAnsiTheme="minorEastAsia" w:eastAsiaTheme="minorEastAsia" w:cstheme="minorEastAsia"/>
          <w:color w:val="000000" w:themeColor="text1"/>
          <w:highlight w:val="none"/>
          <w14:textFill>
            <w14:solidFill>
              <w14:schemeClr w14:val="tx1"/>
            </w14:solidFill>
          </w14:textFill>
        </w:rPr>
        <w:t>不足规定数量，导致本次磋商缺乏竞争的；</w:t>
      </w:r>
    </w:p>
    <w:p w14:paraId="1C1507D0">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14.2出现影响公正的违法、违规行为的；</w:t>
      </w:r>
    </w:p>
    <w:p w14:paraId="2B271749">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14.3因重大变故，交易任务取消的；</w:t>
      </w:r>
    </w:p>
    <w:p w14:paraId="5C0CFC02">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14.4磋商文件有重大漏洞，导致无法继续评审的；</w:t>
      </w:r>
    </w:p>
    <w:p w14:paraId="215C5DEB">
      <w:pPr>
        <w:ind w:firstLine="480"/>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14.5法律法规规定的其他情形。</w:t>
      </w:r>
    </w:p>
    <w:p w14:paraId="76F8E9E9">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15.响应文件的澄清、说明或更正</w:t>
      </w:r>
    </w:p>
    <w:p w14:paraId="1113C841">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15.1评审委员会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6F653548">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15.2评审委员会通过优质采电子工具将需要澄清、说明或补正的内容以询问函的形式发送给供应商，供应商应登录优质采客户端并保持在线状态，以便及时接收评审委员会可能发出的询问函，并在询问函载明的时间内回复，若供应商未及时回复，视为放弃澄清。</w:t>
      </w:r>
    </w:p>
    <w:p w14:paraId="592D513A">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15.3如有询问，授权代表（或法定代表人）可通过远程登录的方式接受网上询问，也可凭本人有效身份证明参加询问。因授权代表联系不上、没有及时登录系统等情形而无法接受评审委员会询问的，供应商自行承担相关风险。</w:t>
      </w:r>
    </w:p>
    <w:p w14:paraId="399A6FB2">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16.最终报价</w:t>
      </w:r>
    </w:p>
    <w:p w14:paraId="41974604">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16.1本次磋商一次性报价。</w:t>
      </w:r>
    </w:p>
    <w:p w14:paraId="5E7509D5">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16.2最终报价是供应商响应文件的有效组成部分，最终报价也是签订合同的依据。</w:t>
      </w:r>
    </w:p>
    <w:p w14:paraId="378C6472">
      <w:pPr>
        <w:ind w:firstLine="480"/>
        <w:rPr>
          <w:rFonts w:asciiTheme="minorEastAsia" w:hAnsiTheme="minorEastAsia" w:eastAsiaTheme="minorEastAsia" w:cstheme="minorEastAsia"/>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highlight w:val="none"/>
          <w14:textFill>
            <w14:solidFill>
              <w14:schemeClr w14:val="tx1"/>
            </w14:solidFill>
          </w14:textFill>
        </w:rPr>
        <w:t>16.4本项目的服务地点为本须知前附表所述，供应商可到项目现场踏勘以充分了解项目位置、情况及任何其他足以影响磋商报价的情况，任何因忽视或误解项目场地情况而导致的索赔或服务期限延长申请将不被批准。对于受项目现场场地限制，如需要另外寻找场地解决临时住宿，由此所产生的费用应包含在磋商报价范围内，业主单位不再承担该费用。</w:t>
      </w:r>
    </w:p>
    <w:p w14:paraId="6651BC1B">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highlight w:val="none"/>
          <w14:textFill>
            <w14:solidFill>
              <w14:schemeClr w14:val="tx1"/>
            </w14:solidFill>
          </w14:textFill>
        </w:rPr>
        <w:t>16.5本项目不接受恶意不平衡报价，不保证最低价成交。</w:t>
      </w:r>
    </w:p>
    <w:p w14:paraId="60072EF3">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17.成交候选人的推荐原则</w:t>
      </w:r>
    </w:p>
    <w:p w14:paraId="682AFA2A">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评审委员会</w:t>
      </w:r>
      <w:r>
        <w:rPr>
          <w:color w:val="000000" w:themeColor="text1"/>
          <w:highlight w:val="none"/>
          <w14:textFill>
            <w14:solidFill>
              <w14:schemeClr w14:val="tx1"/>
            </w14:solidFill>
          </w14:textFill>
        </w:rPr>
        <w:t>依据本项目</w:t>
      </w:r>
      <w:r>
        <w:rPr>
          <w:rFonts w:hint="eastAsia"/>
          <w:color w:val="000000" w:themeColor="text1"/>
          <w:highlight w:val="none"/>
          <w14:textFill>
            <w14:solidFill>
              <w14:schemeClr w14:val="tx1"/>
            </w14:solidFill>
          </w14:textFill>
        </w:rPr>
        <w:t>磋商</w:t>
      </w:r>
      <w:r>
        <w:rPr>
          <w:color w:val="000000" w:themeColor="text1"/>
          <w:highlight w:val="none"/>
          <w14:textFill>
            <w14:solidFill>
              <w14:schemeClr w14:val="tx1"/>
            </w14:solidFill>
          </w14:textFill>
        </w:rPr>
        <w:t>文件所约定的</w:t>
      </w:r>
      <w:r>
        <w:rPr>
          <w:rFonts w:hint="eastAsia"/>
          <w:color w:val="000000" w:themeColor="text1"/>
          <w:highlight w:val="none"/>
          <w14:textFill>
            <w14:solidFill>
              <w14:schemeClr w14:val="tx1"/>
            </w14:solidFill>
          </w14:textFill>
        </w:rPr>
        <w:t>评审</w:t>
      </w:r>
      <w:r>
        <w:rPr>
          <w:color w:val="000000" w:themeColor="text1"/>
          <w:highlight w:val="none"/>
          <w14:textFill>
            <w14:solidFill>
              <w14:schemeClr w14:val="tx1"/>
            </w14:solidFill>
          </w14:textFill>
        </w:rPr>
        <w:t>方法</w:t>
      </w:r>
      <w:r>
        <w:rPr>
          <w:rFonts w:hint="eastAsia"/>
          <w:color w:val="000000" w:themeColor="text1"/>
          <w:highlight w:val="none"/>
          <w14:textFill>
            <w14:solidFill>
              <w14:schemeClr w14:val="tx1"/>
            </w14:solidFill>
          </w14:textFill>
        </w:rPr>
        <w:t>和标准</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按照有效</w:t>
      </w:r>
      <w:r>
        <w:rPr>
          <w:rFonts w:hint="eastAsia"/>
          <w:color w:val="000000" w:themeColor="text1"/>
          <w:szCs w:val="18"/>
          <w:highlight w:val="none"/>
          <w14:textFill>
            <w14:solidFill>
              <w14:schemeClr w14:val="tx1"/>
            </w14:solidFill>
          </w14:textFill>
        </w:rPr>
        <w:t>供应商</w:t>
      </w:r>
      <w:r>
        <w:rPr>
          <w:rFonts w:hint="eastAsia"/>
          <w:color w:val="000000" w:themeColor="text1"/>
          <w:highlight w:val="none"/>
          <w14:textFill>
            <w14:solidFill>
              <w14:schemeClr w14:val="tx1"/>
            </w14:solidFill>
          </w14:textFill>
        </w:rPr>
        <w:t>综合总得分由高到低依次推荐成交候选</w:t>
      </w:r>
      <w:r>
        <w:rPr>
          <w:rFonts w:hint="eastAsia"/>
          <w:color w:val="000000" w:themeColor="text1"/>
          <w:szCs w:val="18"/>
          <w:highlight w:val="none"/>
          <w14:textFill>
            <w14:solidFill>
              <w14:schemeClr w14:val="tx1"/>
            </w14:solidFill>
          </w14:textFill>
        </w:rPr>
        <w:t>人</w:t>
      </w:r>
      <w:r>
        <w:rPr>
          <w:rFonts w:hint="eastAsia"/>
          <w:color w:val="000000" w:themeColor="text1"/>
          <w:highlight w:val="none"/>
          <w14:textFill>
            <w14:solidFill>
              <w14:schemeClr w14:val="tx1"/>
            </w14:solidFill>
          </w14:textFill>
        </w:rPr>
        <w:t>。综合总得分出现两家或两家以上相同者，按最后报价由低到高排序推荐成交候选</w:t>
      </w:r>
      <w:r>
        <w:rPr>
          <w:rFonts w:hint="eastAsia"/>
          <w:color w:val="000000" w:themeColor="text1"/>
          <w:szCs w:val="18"/>
          <w:highlight w:val="none"/>
          <w14:textFill>
            <w14:solidFill>
              <w14:schemeClr w14:val="tx1"/>
            </w14:solidFill>
          </w14:textFill>
        </w:rPr>
        <w:t>人</w:t>
      </w:r>
      <w:r>
        <w:rPr>
          <w:rFonts w:hint="eastAsia"/>
          <w:color w:val="000000" w:themeColor="text1"/>
          <w:highlight w:val="none"/>
          <w14:textFill>
            <w14:solidFill>
              <w14:schemeClr w14:val="tx1"/>
            </w14:solidFill>
          </w14:textFill>
        </w:rPr>
        <w:t>；综合总得分且最后报价均相同的，由评审委员会按照技术指标优劣顺序推荐成交候选</w:t>
      </w:r>
      <w:r>
        <w:rPr>
          <w:rFonts w:hint="eastAsia"/>
          <w:color w:val="000000" w:themeColor="text1"/>
          <w:szCs w:val="18"/>
          <w:highlight w:val="none"/>
          <w14:textFill>
            <w14:solidFill>
              <w14:schemeClr w14:val="tx1"/>
            </w14:solidFill>
          </w14:textFill>
        </w:rPr>
        <w:t>人</w:t>
      </w:r>
      <w:r>
        <w:rPr>
          <w:rFonts w:hint="eastAsia"/>
          <w:color w:val="000000" w:themeColor="text1"/>
          <w:highlight w:val="none"/>
          <w14:textFill>
            <w14:solidFill>
              <w14:schemeClr w14:val="tx1"/>
            </w14:solidFill>
          </w14:textFill>
        </w:rPr>
        <w:t>。</w:t>
      </w:r>
    </w:p>
    <w:p w14:paraId="16846D0B">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17.2凡发现成交候选人有下列行为之一的，成交无效，并移交监管部门依法处理：</w:t>
      </w:r>
    </w:p>
    <w:p w14:paraId="74A2A761">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17.2.1有下列情形之一的，属于</w:t>
      </w:r>
      <w:r>
        <w:rPr>
          <w:rFonts w:hint="eastAsia"/>
          <w:color w:val="000000" w:themeColor="text1"/>
          <w:szCs w:val="18"/>
          <w:highlight w:val="none"/>
          <w14:textFill>
            <w14:solidFill>
              <w14:schemeClr w14:val="tx1"/>
            </w14:solidFill>
          </w14:textFill>
        </w:rPr>
        <w:t>供应商间</w:t>
      </w:r>
      <w:r>
        <w:rPr>
          <w:rFonts w:hint="eastAsia" w:cs="宋体"/>
          <w:color w:val="000000" w:themeColor="text1"/>
          <w:szCs w:val="24"/>
          <w:highlight w:val="none"/>
          <w:lang w:bidi="ar"/>
          <w14:textFill>
            <w14:solidFill>
              <w14:schemeClr w14:val="tx1"/>
            </w14:solidFill>
          </w14:textFill>
        </w:rPr>
        <w:t>相互串通：</w:t>
      </w:r>
    </w:p>
    <w:p w14:paraId="796CC5C8">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17.2.1.1</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之间协商报价等响应文件的实质性内容；</w:t>
      </w:r>
    </w:p>
    <w:p w14:paraId="22252354">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17.2.1.2</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之间约定成交人；</w:t>
      </w:r>
    </w:p>
    <w:p w14:paraId="458C73C8">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17.2.1.3</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之间约定部分</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放弃磋商或者成交；</w:t>
      </w:r>
    </w:p>
    <w:p w14:paraId="6B50B79A">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17.2.1.4属于同一集团、协会、商会等组织成员的</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按照该组织要求协同磋商；</w:t>
      </w:r>
    </w:p>
    <w:p w14:paraId="1B17AD41">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17.2.1.5</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之间为谋取成交或者排斥特定</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而采取的其他联合行动。</w:t>
      </w:r>
    </w:p>
    <w:p w14:paraId="72BCC044">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17.2.2有下列情形之一的，视为</w:t>
      </w:r>
      <w:r>
        <w:rPr>
          <w:rFonts w:hint="eastAsia"/>
          <w:color w:val="000000" w:themeColor="text1"/>
          <w:szCs w:val="18"/>
          <w:highlight w:val="none"/>
          <w14:textFill>
            <w14:solidFill>
              <w14:schemeClr w14:val="tx1"/>
            </w14:solidFill>
          </w14:textFill>
        </w:rPr>
        <w:t>供应商间</w:t>
      </w:r>
      <w:r>
        <w:rPr>
          <w:rFonts w:hint="eastAsia" w:cs="宋体"/>
          <w:color w:val="000000" w:themeColor="text1"/>
          <w:szCs w:val="24"/>
          <w:highlight w:val="none"/>
          <w:lang w:bidi="ar"/>
          <w14:textFill>
            <w14:solidFill>
              <w14:schemeClr w14:val="tx1"/>
            </w14:solidFill>
          </w14:textFill>
        </w:rPr>
        <w:t>相互串通：</w:t>
      </w:r>
    </w:p>
    <w:p w14:paraId="62284D64">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17.2.2.1不同</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的响应文件由同一单位或者个人编制；</w:t>
      </w:r>
    </w:p>
    <w:p w14:paraId="194CF605">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17.2.2.2不同</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委托同一单位或者个人办理磋商事宜；</w:t>
      </w:r>
    </w:p>
    <w:p w14:paraId="6FA0D5E2">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17.2.2.3不同</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的响应文件载明的项目管理成员为同一人；</w:t>
      </w:r>
    </w:p>
    <w:p w14:paraId="3CE069AA">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17.2.2.4不同</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的响应文件异常一致或者报价呈规律性差异；</w:t>
      </w:r>
    </w:p>
    <w:p w14:paraId="1B48E0B5">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17.2.2.5不同</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的响应文件相互混装；</w:t>
      </w:r>
    </w:p>
    <w:p w14:paraId="73E2C3C0">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17.2.2.6不同</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的磋商保证金从同一单位或者个人的账户转出。</w:t>
      </w:r>
    </w:p>
    <w:p w14:paraId="7BEC64D1">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17.2.3有下列情形之一的，属于</w:t>
      </w:r>
      <w:r>
        <w:rPr>
          <w:rFonts w:hint="eastAsia"/>
          <w:color w:val="000000" w:themeColor="text1"/>
          <w:szCs w:val="18"/>
          <w:highlight w:val="none"/>
          <w14:textFill>
            <w14:solidFill>
              <w14:schemeClr w14:val="tx1"/>
            </w14:solidFill>
          </w14:textFill>
        </w:rPr>
        <w:t>业主单位</w:t>
      </w:r>
      <w:r>
        <w:rPr>
          <w:rFonts w:hint="eastAsia" w:cs="宋体"/>
          <w:color w:val="000000" w:themeColor="text1"/>
          <w:szCs w:val="24"/>
          <w:highlight w:val="none"/>
          <w:lang w:bidi="ar"/>
          <w14:textFill>
            <w14:solidFill>
              <w14:schemeClr w14:val="tx1"/>
            </w14:solidFill>
          </w14:textFill>
        </w:rPr>
        <w:t>与</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串通：</w:t>
      </w:r>
    </w:p>
    <w:p w14:paraId="78E20B24">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17.2.3.1</w:t>
      </w:r>
      <w:r>
        <w:rPr>
          <w:rFonts w:hint="eastAsia"/>
          <w:color w:val="000000" w:themeColor="text1"/>
          <w:szCs w:val="18"/>
          <w:highlight w:val="none"/>
          <w14:textFill>
            <w14:solidFill>
              <w14:schemeClr w14:val="tx1"/>
            </w14:solidFill>
          </w14:textFill>
        </w:rPr>
        <w:t>业主单位</w:t>
      </w:r>
      <w:r>
        <w:rPr>
          <w:rFonts w:hint="eastAsia" w:cs="宋体"/>
          <w:color w:val="000000" w:themeColor="text1"/>
          <w:szCs w:val="24"/>
          <w:highlight w:val="none"/>
          <w:lang w:bidi="ar"/>
          <w14:textFill>
            <w14:solidFill>
              <w14:schemeClr w14:val="tx1"/>
            </w14:solidFill>
          </w14:textFill>
        </w:rPr>
        <w:t>在磋商前开启响应文件并将有关信息泄露给其他</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w:t>
      </w:r>
    </w:p>
    <w:p w14:paraId="17FF64A3">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17.2.3.2</w:t>
      </w:r>
      <w:r>
        <w:rPr>
          <w:rFonts w:hint="eastAsia"/>
          <w:color w:val="000000" w:themeColor="text1"/>
          <w:szCs w:val="18"/>
          <w:highlight w:val="none"/>
          <w14:textFill>
            <w14:solidFill>
              <w14:schemeClr w14:val="tx1"/>
            </w14:solidFill>
          </w14:textFill>
        </w:rPr>
        <w:t>业主单位</w:t>
      </w:r>
      <w:r>
        <w:rPr>
          <w:rFonts w:hint="eastAsia" w:cs="宋体"/>
          <w:color w:val="000000" w:themeColor="text1"/>
          <w:szCs w:val="24"/>
          <w:highlight w:val="none"/>
          <w:lang w:bidi="ar"/>
          <w14:textFill>
            <w14:solidFill>
              <w14:schemeClr w14:val="tx1"/>
            </w14:solidFill>
          </w14:textFill>
        </w:rPr>
        <w:t>直接或者间接向</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泄露标底、评审委员会成员等信息；</w:t>
      </w:r>
    </w:p>
    <w:p w14:paraId="45BE82F6">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17.2.3.3</w:t>
      </w:r>
      <w:r>
        <w:rPr>
          <w:rFonts w:hint="eastAsia"/>
          <w:color w:val="000000" w:themeColor="text1"/>
          <w:szCs w:val="18"/>
          <w:highlight w:val="none"/>
          <w14:textFill>
            <w14:solidFill>
              <w14:schemeClr w14:val="tx1"/>
            </w14:solidFill>
          </w14:textFill>
        </w:rPr>
        <w:t>业主单位</w:t>
      </w:r>
      <w:r>
        <w:rPr>
          <w:rFonts w:hint="eastAsia" w:cs="宋体"/>
          <w:color w:val="000000" w:themeColor="text1"/>
          <w:szCs w:val="24"/>
          <w:highlight w:val="none"/>
          <w:lang w:bidi="ar"/>
          <w14:textFill>
            <w14:solidFill>
              <w14:schemeClr w14:val="tx1"/>
            </w14:solidFill>
          </w14:textFill>
        </w:rPr>
        <w:t>明示或者暗示</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压低或者抬高报价；</w:t>
      </w:r>
    </w:p>
    <w:p w14:paraId="6854B8AA">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17.2.3.4</w:t>
      </w:r>
      <w:r>
        <w:rPr>
          <w:rFonts w:hint="eastAsia"/>
          <w:color w:val="000000" w:themeColor="text1"/>
          <w:szCs w:val="18"/>
          <w:highlight w:val="none"/>
          <w14:textFill>
            <w14:solidFill>
              <w14:schemeClr w14:val="tx1"/>
            </w14:solidFill>
          </w14:textFill>
        </w:rPr>
        <w:t>业主单位</w:t>
      </w:r>
      <w:r>
        <w:rPr>
          <w:rFonts w:hint="eastAsia" w:cs="宋体"/>
          <w:color w:val="000000" w:themeColor="text1"/>
          <w:szCs w:val="24"/>
          <w:highlight w:val="none"/>
          <w:lang w:bidi="ar"/>
          <w14:textFill>
            <w14:solidFill>
              <w14:schemeClr w14:val="tx1"/>
            </w14:solidFill>
          </w14:textFill>
        </w:rPr>
        <w:t>授意</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撤换、修改响应文件；</w:t>
      </w:r>
    </w:p>
    <w:p w14:paraId="53DC6E8F">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17.2.3.5</w:t>
      </w:r>
      <w:r>
        <w:rPr>
          <w:rFonts w:hint="eastAsia"/>
          <w:color w:val="000000" w:themeColor="text1"/>
          <w:szCs w:val="18"/>
          <w:highlight w:val="none"/>
          <w14:textFill>
            <w14:solidFill>
              <w14:schemeClr w14:val="tx1"/>
            </w14:solidFill>
          </w14:textFill>
        </w:rPr>
        <w:t>业主单位</w:t>
      </w:r>
      <w:r>
        <w:rPr>
          <w:rFonts w:hint="eastAsia" w:cs="宋体"/>
          <w:color w:val="000000" w:themeColor="text1"/>
          <w:szCs w:val="24"/>
          <w:highlight w:val="none"/>
          <w:lang w:bidi="ar"/>
          <w14:textFill>
            <w14:solidFill>
              <w14:schemeClr w14:val="tx1"/>
            </w14:solidFill>
          </w14:textFill>
        </w:rPr>
        <w:t>明示或者暗示</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为特定</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成交提供方便；</w:t>
      </w:r>
    </w:p>
    <w:p w14:paraId="159F2018">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17.2.3.6</w:t>
      </w:r>
      <w:r>
        <w:rPr>
          <w:rFonts w:hint="eastAsia"/>
          <w:color w:val="000000" w:themeColor="text1"/>
          <w:szCs w:val="18"/>
          <w:highlight w:val="none"/>
          <w14:textFill>
            <w14:solidFill>
              <w14:schemeClr w14:val="tx1"/>
            </w14:solidFill>
          </w14:textFill>
        </w:rPr>
        <w:t>业主单位</w:t>
      </w:r>
      <w:r>
        <w:rPr>
          <w:rFonts w:hint="eastAsia" w:cs="宋体"/>
          <w:color w:val="000000" w:themeColor="text1"/>
          <w:szCs w:val="24"/>
          <w:highlight w:val="none"/>
          <w:lang w:bidi="ar"/>
          <w14:textFill>
            <w14:solidFill>
              <w14:schemeClr w14:val="tx1"/>
            </w14:solidFill>
          </w14:textFill>
        </w:rPr>
        <w:t>与</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为谋求特定</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成交而采取的其他串通行为。</w:t>
      </w:r>
    </w:p>
    <w:p w14:paraId="619BAF16">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17.2.4使用通过受让或者租借等方式获取的资格、资质证书参与磋商的，</w:t>
      </w:r>
    </w:p>
    <w:p w14:paraId="047ACCC4">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17.2.5</w:t>
      </w:r>
      <w:r>
        <w:rPr>
          <w:rFonts w:hint="eastAsia"/>
          <w:color w:val="000000" w:themeColor="text1"/>
          <w:szCs w:val="18"/>
          <w:highlight w:val="none"/>
          <w14:textFill>
            <w14:solidFill>
              <w14:schemeClr w14:val="tx1"/>
            </w14:solidFill>
          </w14:textFill>
        </w:rPr>
        <w:t>供应商</w:t>
      </w:r>
      <w:r>
        <w:rPr>
          <w:rFonts w:hint="eastAsia" w:cs="宋体"/>
          <w:color w:val="000000" w:themeColor="text1"/>
          <w:szCs w:val="24"/>
          <w:highlight w:val="none"/>
          <w:lang w:bidi="ar"/>
          <w14:textFill>
            <w14:solidFill>
              <w14:schemeClr w14:val="tx1"/>
            </w14:solidFill>
          </w14:textFill>
        </w:rPr>
        <w:t>有下列情形之一的，属于以其他方式弄虚作假的行为：</w:t>
      </w:r>
    </w:p>
    <w:p w14:paraId="1517C503">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17.2.5.1使用伪造、变造的许可证件；</w:t>
      </w:r>
    </w:p>
    <w:p w14:paraId="63551CB1">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17.2.5.2提供虚假的财务状况或者业绩；</w:t>
      </w:r>
    </w:p>
    <w:p w14:paraId="433C00FD">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17.2.5.3提供虚假的项目负责人或者主要技术人员简历、劳动关系证明；</w:t>
      </w:r>
    </w:p>
    <w:p w14:paraId="6CBAEFF1">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17.2.5.4提供虚假的信用状况；</w:t>
      </w:r>
    </w:p>
    <w:p w14:paraId="607EDDFD">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17.2.5.5其他弄虚作假的行为。</w:t>
      </w:r>
    </w:p>
    <w:p w14:paraId="6FC28BCF">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17.2.6其他违反法规和规章强制性规定的行为。</w:t>
      </w:r>
    </w:p>
    <w:p w14:paraId="027D0B1A">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18.确定成交候选人和成交人</w:t>
      </w:r>
    </w:p>
    <w:p w14:paraId="6058C87C">
      <w:pPr>
        <w:ind w:firstLine="470" w:firstLineChars="196"/>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评审委员会根据综合评分的结果和供应商须知前附表中规定确定成交候选人，并标明排列顺序。排名第一的成交候选人经业主单位或业主单位授权的评审委员会确定为成交人后，由代理机构在指定媒体上予以公告。</w:t>
      </w:r>
    </w:p>
    <w:p w14:paraId="0387EB76">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19.编写评审报告</w:t>
      </w:r>
    </w:p>
    <w:p w14:paraId="2F5791C9">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评审报告是根据全体评审委员会成员签字的原始评审记录和评审结果编写的报告，评审报告由评审委员会全体成员签字。对评审结论持有异议的评审委员会成员可以阐述其不同意见和理由。评审委员会成员拒绝在评审报告上签字且不陈述其不同意见和理由的，视为同意评审结论。</w:t>
      </w:r>
    </w:p>
    <w:p w14:paraId="504B2B0F">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20.保密要求</w:t>
      </w:r>
    </w:p>
    <w:p w14:paraId="2E9578B5">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20.1评审将在严格保密的情况下进行。</w:t>
      </w:r>
    </w:p>
    <w:p w14:paraId="796E07A1">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20.2有关人员应当遵守评审工作纪律，不得泄露评审文件、评审情况和评审中获悉的国家秘密、商业秘密等。</w:t>
      </w:r>
    </w:p>
    <w:p w14:paraId="22E22E9C">
      <w:pPr>
        <w:ind w:firstLine="482"/>
        <w:outlineLvl w:val="3"/>
        <w:rPr>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21.成交候选人和成交结果公示</w:t>
      </w:r>
    </w:p>
    <w:p w14:paraId="0B1B3089">
      <w:pPr>
        <w:ind w:firstLine="480"/>
        <w:rPr>
          <w:rFonts w:cs="宋体"/>
          <w:color w:val="000000" w:themeColor="text1"/>
          <w:szCs w:val="24"/>
          <w:highlight w:val="none"/>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21.1磋商结束后，代理机构将在</w:t>
      </w:r>
      <w:r>
        <w:rPr>
          <w:rFonts w:hint="eastAsia"/>
          <w:color w:val="000000" w:themeColor="text1"/>
          <w:highlight w:val="none"/>
          <w14:textFill>
            <w14:solidFill>
              <w14:schemeClr w14:val="tx1"/>
            </w14:solidFill>
          </w14:textFill>
        </w:rPr>
        <w:t>发布磋商公告的媒介上</w:t>
      </w:r>
      <w:r>
        <w:rPr>
          <w:rFonts w:hint="eastAsia" w:cs="宋体"/>
          <w:color w:val="000000" w:themeColor="text1"/>
          <w:szCs w:val="24"/>
          <w:highlight w:val="none"/>
          <w:lang w:bidi="ar"/>
          <w14:textFill>
            <w14:solidFill>
              <w14:schemeClr w14:val="tx1"/>
            </w14:solidFill>
          </w14:textFill>
        </w:rPr>
        <w:t>发布成交候选人公示和成交结果公示。</w:t>
      </w:r>
    </w:p>
    <w:p w14:paraId="180484EA">
      <w:pPr>
        <w:ind w:firstLine="480"/>
        <w:rPr>
          <w:rFonts w:asciiTheme="minorEastAsia" w:hAnsiTheme="minorEastAsia" w:eastAsiaTheme="minorEastAsia" w:cstheme="minorEastAsia"/>
          <w:color w:val="000000" w:themeColor="text1"/>
          <w:kern w:val="2"/>
          <w:highlight w:val="none"/>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21.2</w:t>
      </w:r>
      <w:r>
        <w:rPr>
          <w:rFonts w:hint="eastAsia"/>
          <w:color w:val="000000" w:themeColor="text1"/>
          <w:szCs w:val="18"/>
          <w:highlight w:val="none"/>
          <w14:textFill>
            <w14:solidFill>
              <w14:schemeClr w14:val="tx1"/>
            </w14:solidFill>
          </w14:textFill>
        </w:rPr>
        <w:t>业主单位</w:t>
      </w:r>
      <w:r>
        <w:rPr>
          <w:rFonts w:hint="eastAsia" w:cs="宋体"/>
          <w:color w:val="000000" w:themeColor="text1"/>
          <w:szCs w:val="24"/>
          <w:highlight w:val="none"/>
          <w:lang w:bidi="ar"/>
          <w14:textFill>
            <w14:solidFill>
              <w14:schemeClr w14:val="tx1"/>
            </w14:solidFill>
          </w14:textFill>
        </w:rPr>
        <w:t>在收到评审报告之日起3日内，依法公示成交候选人。</w:t>
      </w:r>
      <w:r>
        <w:rPr>
          <w:rFonts w:hint="eastAsia"/>
          <w:color w:val="000000" w:themeColor="text1"/>
          <w:szCs w:val="18"/>
          <w:highlight w:val="none"/>
          <w14:textFill>
            <w14:solidFill>
              <w14:schemeClr w14:val="tx1"/>
            </w14:solidFill>
          </w14:textFill>
        </w:rPr>
        <w:t>业主单位</w:t>
      </w:r>
      <w:r>
        <w:rPr>
          <w:rFonts w:hint="eastAsia" w:cs="宋体"/>
          <w:color w:val="000000" w:themeColor="text1"/>
          <w:szCs w:val="24"/>
          <w:highlight w:val="none"/>
          <w:lang w:bidi="ar"/>
          <w14:textFill>
            <w14:solidFill>
              <w14:schemeClr w14:val="tx1"/>
            </w14:solidFill>
          </w14:textFill>
        </w:rPr>
        <w:t>在确定成交人之日起3日内，依法公示成交结果。</w:t>
      </w:r>
    </w:p>
    <w:p w14:paraId="1CCCB590">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22.磋商结果的异议、投诉</w:t>
      </w:r>
    </w:p>
    <w:p w14:paraId="4568857F">
      <w:pPr>
        <w:ind w:firstLine="480"/>
        <w:rPr>
          <w:rFonts w:cs="宋体"/>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22.1对于磋商结果有异议的，应在成交结果公告规定的时间内向业主单位或代理机构提出。</w:t>
      </w:r>
    </w:p>
    <w:p w14:paraId="284195E7">
      <w:pPr>
        <w:ind w:firstLine="480"/>
        <w:rPr>
          <w:color w:val="000000" w:themeColor="text1"/>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22.2对于异议答复不满意的，应在收到异议答复之日起3日内向磋商公告载明的监督管理部门提出。</w:t>
      </w:r>
    </w:p>
    <w:p w14:paraId="75188AD6">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23.成交通知书</w:t>
      </w:r>
    </w:p>
    <w:p w14:paraId="38AC840D">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23.1代理机构发布成交结果公告的同时以供应商须知前附表规定的形式向成交人发出成交通知书。</w:t>
      </w:r>
    </w:p>
    <w:p w14:paraId="1937379B">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23.2成交通知书对业主单位和成交人具有同等法律效力。成交通知书发出以后，业主单位改变成交结果或者成交人放弃成交资格，应当承担相应的法律责任。</w:t>
      </w:r>
    </w:p>
    <w:p w14:paraId="09E8DE2E">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23.3成交通知书是合同的组成部分。</w:t>
      </w:r>
    </w:p>
    <w:p w14:paraId="5829E258">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24.告知磋商结果</w:t>
      </w:r>
    </w:p>
    <w:p w14:paraId="5AAB6836">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24.1成交结果公告发布后，供应商自行登录系统查询结果信息。</w:t>
      </w:r>
    </w:p>
    <w:p w14:paraId="0598914B">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24.2代理机构对未成交的供应商不做未成交原因的解释。</w:t>
      </w:r>
    </w:p>
    <w:p w14:paraId="05FA656E">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25.履约保证金</w:t>
      </w:r>
    </w:p>
    <w:p w14:paraId="4523BBF2">
      <w:pPr>
        <w:ind w:firstLine="480"/>
        <w:rPr>
          <w:rFonts w:cs="宋体"/>
          <w:color w:val="000000" w:themeColor="text1"/>
          <w:szCs w:val="24"/>
          <w:highlight w:val="none"/>
          <w:lang w:bidi="ar"/>
          <w14:textFill>
            <w14:solidFill>
              <w14:schemeClr w14:val="tx1"/>
            </w14:solidFill>
          </w14:textFill>
        </w:rPr>
      </w:pPr>
      <w:r>
        <w:rPr>
          <w:rFonts w:hint="eastAsia" w:cs="宋体"/>
          <w:color w:val="000000" w:themeColor="text1"/>
          <w:szCs w:val="24"/>
          <w:highlight w:val="none"/>
          <w:lang w:bidi="ar"/>
          <w14:textFill>
            <w14:solidFill>
              <w14:schemeClr w14:val="tx1"/>
            </w14:solidFill>
          </w14:textFill>
        </w:rPr>
        <w:t>25.1成交人应按照</w:t>
      </w:r>
      <w:r>
        <w:rPr>
          <w:rFonts w:hint="eastAsia"/>
          <w:color w:val="000000" w:themeColor="text1"/>
          <w:szCs w:val="18"/>
          <w:highlight w:val="none"/>
          <w14:textFill>
            <w14:solidFill>
              <w14:schemeClr w14:val="tx1"/>
            </w14:solidFill>
          </w14:textFill>
        </w:rPr>
        <w:t>参审单位</w:t>
      </w:r>
      <w:r>
        <w:rPr>
          <w:rFonts w:hint="eastAsia" w:cs="宋体"/>
          <w:color w:val="000000" w:themeColor="text1"/>
          <w:szCs w:val="24"/>
          <w:highlight w:val="none"/>
          <w:lang w:bidi="ar"/>
          <w14:textFill>
            <w14:solidFill>
              <w14:schemeClr w14:val="tx1"/>
            </w14:solidFill>
          </w14:textFill>
        </w:rPr>
        <w:t>须知前附表规定缴纳履约保证金。</w:t>
      </w:r>
    </w:p>
    <w:p w14:paraId="659F2544">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cs="宋体" w:eastAsiaTheme="minorEastAsia"/>
          <w:color w:val="000000" w:themeColor="text1"/>
          <w:szCs w:val="24"/>
          <w:highlight w:val="none"/>
          <w:lang w:bidi="ar"/>
          <w14:textFill>
            <w14:solidFill>
              <w14:schemeClr w14:val="tx1"/>
            </w14:solidFill>
          </w14:textFill>
        </w:rPr>
        <w:t>25.2</w:t>
      </w:r>
      <w:r>
        <w:rPr>
          <w:rFonts w:hint="eastAsia" w:asciiTheme="minorEastAsia" w:hAnsiTheme="minorEastAsia" w:eastAsiaTheme="minorEastAsia" w:cstheme="minorEastAsia"/>
          <w:color w:val="000000" w:themeColor="text1"/>
          <w:highlight w:val="none"/>
          <w14:textFill>
            <w14:solidFill>
              <w14:schemeClr w14:val="tx1"/>
            </w14:solidFill>
          </w14:textFill>
        </w:rPr>
        <w:t>如果成交人没有按照供应商须知前附表中履约保证金的规定执行，将视为放弃成交资格。在此情况下，业主单位可确定下一成交候选人为成交人，也可以重新开展磋商。</w:t>
      </w:r>
    </w:p>
    <w:p w14:paraId="29C68529">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26.代理费用</w:t>
      </w:r>
    </w:p>
    <w:p w14:paraId="485EE819">
      <w:pPr>
        <w:ind w:firstLine="480"/>
        <w:rPr>
          <w:rFonts w:asciiTheme="minorEastAsia" w:hAnsiTheme="minorEastAsia" w:eastAsiaTheme="minorEastAsia" w:cstheme="minorEastAsia"/>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highlight w:val="none"/>
          <w14:textFill>
            <w14:solidFill>
              <w14:schemeClr w14:val="tx1"/>
            </w14:solidFill>
          </w14:textFill>
        </w:rPr>
        <w:t>成交人放弃成交资格的，</w:t>
      </w:r>
      <w:r>
        <w:rPr>
          <w:rFonts w:hint="eastAsia" w:asciiTheme="minorEastAsia" w:hAnsiTheme="minorEastAsia" w:eastAsiaTheme="minorEastAsia" w:cstheme="minorEastAsia"/>
          <w:color w:val="000000" w:themeColor="text1"/>
          <w:highlight w:val="none"/>
          <w14:textFill>
            <w14:solidFill>
              <w14:schemeClr w14:val="tx1"/>
            </w14:solidFill>
          </w14:textFill>
        </w:rPr>
        <w:t>本磋商项目应收取的</w:t>
      </w:r>
      <w:r>
        <w:rPr>
          <w:rFonts w:hint="eastAsia"/>
          <w:color w:val="000000" w:themeColor="text1"/>
          <w:szCs w:val="24"/>
          <w:highlight w:val="none"/>
          <w14:textFill>
            <w14:solidFill>
              <w14:schemeClr w14:val="tx1"/>
            </w14:solidFill>
          </w14:textFill>
        </w:rPr>
        <w:t>代理服务费</w:t>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由其承担。</w:t>
      </w:r>
    </w:p>
    <w:p w14:paraId="3C9BC583">
      <w:pPr>
        <w:ind w:firstLine="482"/>
        <w:rPr>
          <w:rFonts w:asciiTheme="minorEastAsia" w:hAnsiTheme="minorEastAsia" w:eastAsiaTheme="minorEastAsia" w:cstheme="minorEastAsia"/>
          <w:b/>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2"/>
          <w:highlight w:val="none"/>
          <w14:textFill>
            <w14:solidFill>
              <w14:schemeClr w14:val="tx1"/>
            </w14:solidFill>
          </w14:textFill>
        </w:rPr>
        <w:t>代理费用收取账户信息如下：</w:t>
      </w:r>
    </w:p>
    <w:p w14:paraId="46D2F272">
      <w:pPr>
        <w:ind w:firstLine="723" w:firstLineChars="300"/>
        <w:rPr>
          <w:b/>
          <w:highlight w:val="none"/>
        </w:rPr>
      </w:pPr>
      <w:r>
        <w:rPr>
          <w:rFonts w:hint="eastAsia"/>
          <w:b/>
          <w:highlight w:val="none"/>
        </w:rPr>
        <w:t>户名：肥西县公共资源交易有限责任公司</w:t>
      </w:r>
    </w:p>
    <w:p w14:paraId="7CB27270">
      <w:pPr>
        <w:ind w:firstLine="723" w:firstLineChars="300"/>
        <w:rPr>
          <w:b/>
          <w:highlight w:val="none"/>
        </w:rPr>
      </w:pPr>
      <w:r>
        <w:rPr>
          <w:rFonts w:hint="eastAsia"/>
          <w:b/>
          <w:highlight w:val="none"/>
        </w:rPr>
        <w:t>账号：179746801939</w:t>
      </w:r>
    </w:p>
    <w:p w14:paraId="58EB3799">
      <w:pPr>
        <w:ind w:firstLine="723" w:firstLineChars="300"/>
        <w:rPr>
          <w:rFonts w:asciiTheme="minorEastAsia" w:hAnsiTheme="minorEastAsia" w:eastAsiaTheme="minorEastAsia" w:cstheme="minorEastAsia"/>
          <w:color w:val="000000" w:themeColor="text1"/>
          <w:kern w:val="2"/>
          <w:highlight w:val="none"/>
          <w14:textFill>
            <w14:solidFill>
              <w14:schemeClr w14:val="tx1"/>
            </w14:solidFill>
          </w14:textFill>
        </w:rPr>
      </w:pPr>
      <w:r>
        <w:rPr>
          <w:rFonts w:hint="eastAsia"/>
          <w:b/>
          <w:highlight w:val="none"/>
        </w:rPr>
        <w:t>开户行：中国银行股份有限公司肥西支行</w:t>
      </w:r>
    </w:p>
    <w:p w14:paraId="7E962B9B">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27.签订合同</w:t>
      </w:r>
    </w:p>
    <w:p w14:paraId="21604F79">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27.1业主单位与成交人应当在成交通知书发出后及时签订合同。</w:t>
      </w:r>
    </w:p>
    <w:p w14:paraId="323CD5C4">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27.2磋商文件、成交人的响应文件及其澄清文件等，均为签订合同的依据。</w:t>
      </w:r>
    </w:p>
    <w:p w14:paraId="5BCE7115">
      <w:pPr>
        <w:ind w:firstLine="470" w:firstLineChars="196"/>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27.3成交人拒绝与业主单位签订合同的，业主单位可以按照评审报告推荐的成交候选人名单排序，确定下一成交候选人为成交人，也可以重新开展磋商活动。成交人拒绝签订合同的不得参加对该项目重新开展的磋商活动。</w:t>
      </w:r>
    </w:p>
    <w:p w14:paraId="647071D5">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28.廉洁自律规定</w:t>
      </w:r>
    </w:p>
    <w:p w14:paraId="49F006F2">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28.1代理机构工作人员不得以不正当手段获取代理业务，不得与业主单位、供应商恶意串通。</w:t>
      </w:r>
    </w:p>
    <w:p w14:paraId="1E7353C9">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28.2代理机构工作人员不得接受业主单位或者供应商组织的宴请、旅游、娱乐，不得收受礼品、现金、有价证券等，不得向业主单位或者供应商报销应当由个人承担的费用。</w:t>
      </w:r>
    </w:p>
    <w:p w14:paraId="1E2CEDF9">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29</w:t>
      </w:r>
      <w:r>
        <w:rPr>
          <w:rFonts w:asciiTheme="minorEastAsia" w:hAnsiTheme="minorEastAsia" w:eastAsiaTheme="minorEastAsia" w:cstheme="minorEastAsia"/>
          <w:b/>
          <w:color w:val="000000" w:themeColor="text1"/>
          <w:highlight w:val="none"/>
          <w14:textFill>
            <w14:solidFill>
              <w14:schemeClr w14:val="tx1"/>
            </w14:solidFill>
          </w14:textFill>
        </w:rPr>
        <w:t>.</w:t>
      </w:r>
      <w:r>
        <w:rPr>
          <w:rFonts w:hint="eastAsia" w:asciiTheme="minorEastAsia" w:hAnsiTheme="minorEastAsia" w:eastAsiaTheme="minorEastAsia" w:cstheme="minorEastAsia"/>
          <w:b/>
          <w:color w:val="000000" w:themeColor="text1"/>
          <w:highlight w:val="none"/>
          <w14:textFill>
            <w14:solidFill>
              <w14:schemeClr w14:val="tx1"/>
            </w14:solidFill>
          </w14:textFill>
        </w:rPr>
        <w:t>异议的提出与接收</w:t>
      </w:r>
    </w:p>
    <w:p w14:paraId="7D57A25F">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29.1参审单位认为磋商文件、磋商过程和成交结果使自己的权益受到损害的，可以在知道或者应知其权益受到损害之日起三日内，以书面形式向业主单位或其委托的代理机构提出异议。</w:t>
      </w:r>
    </w:p>
    <w:p w14:paraId="3E206402">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29.2异议应以书面形式实名提出，书面异议材料应当包括以下内容：</w:t>
      </w:r>
    </w:p>
    <w:p w14:paraId="3CBB7911">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29.3异议人的名称、地址、有效联系方式；</w:t>
      </w:r>
    </w:p>
    <w:p w14:paraId="73DB9B05">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29.5项目名称、项目编号、包别号（如有）；</w:t>
      </w:r>
    </w:p>
    <w:p w14:paraId="741471CC">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29.6被异议人名称；</w:t>
      </w:r>
    </w:p>
    <w:p w14:paraId="209F4C50">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29.7具体的异议事项、基本事实及必要的证明材料；</w:t>
      </w:r>
    </w:p>
    <w:p w14:paraId="00467A75">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29.8明确的请求及主张；</w:t>
      </w:r>
    </w:p>
    <w:p w14:paraId="68B7B8C4">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29.9提起异议的日期。</w:t>
      </w:r>
    </w:p>
    <w:p w14:paraId="55D8D29F">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异议人为法人或者其他组织的，应当由法定代表人或其委托代理人（需有委托授权书）签字并加盖公章。异议人需要修改、补充异议材料的，应当在异议期内提交修改或补充材料。</w:t>
      </w:r>
    </w:p>
    <w:p w14:paraId="0FB9A837">
      <w:pPr>
        <w:ind w:firstLine="48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29.10代理机构异议函接收部门、联系电话和通讯地址，见参审单位须知前附表。</w:t>
      </w:r>
    </w:p>
    <w:p w14:paraId="5F554D1F">
      <w:pPr>
        <w:ind w:firstLine="482"/>
        <w:outlineLvl w:val="3"/>
        <w:rPr>
          <w:rFonts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30.需要补充的其他内容</w:t>
      </w:r>
    </w:p>
    <w:p w14:paraId="538DC757">
      <w:pPr>
        <w:ind w:firstLine="480"/>
        <w:rPr>
          <w:rFonts w:asciiTheme="minorEastAsia" w:hAnsiTheme="minorEastAsia" w:eastAsiaTheme="minorEastAsia"/>
          <w:highlight w:val="none"/>
        </w:rPr>
      </w:pPr>
      <w:r>
        <w:rPr>
          <w:rFonts w:hint="eastAsia" w:asciiTheme="minorEastAsia" w:hAnsiTheme="minorEastAsia" w:eastAsiaTheme="minorEastAsia" w:cstheme="minorEastAsia"/>
          <w:color w:val="000000" w:themeColor="text1"/>
          <w:highlight w:val="none"/>
          <w14:textFill>
            <w14:solidFill>
              <w14:schemeClr w14:val="tx1"/>
            </w14:solidFill>
          </w14:textFill>
        </w:rPr>
        <w:t>需要补充的其他内容，见供应商须知前附表</w:t>
      </w:r>
      <w:r>
        <w:rPr>
          <w:rFonts w:hint="eastAsia"/>
          <w:color w:val="000000" w:themeColor="text1"/>
          <w:highlight w:val="none"/>
          <w14:textFill>
            <w14:solidFill>
              <w14:schemeClr w14:val="tx1"/>
            </w14:solidFill>
          </w14:textFill>
        </w:rPr>
        <w:t>。</w:t>
      </w:r>
    </w:p>
    <w:p w14:paraId="7E8CD354">
      <w:pPr>
        <w:ind w:firstLine="480"/>
        <w:rPr>
          <w:highlight w:val="none"/>
        </w:rPr>
      </w:pPr>
      <w:r>
        <w:rPr>
          <w:rFonts w:asciiTheme="minorEastAsia" w:hAnsiTheme="minorEastAsia" w:eastAsiaTheme="minorEastAsia"/>
          <w:highlight w:val="none"/>
        </w:rPr>
        <w:br w:type="page"/>
      </w:r>
    </w:p>
    <w:p w14:paraId="100C0F15">
      <w:pPr>
        <w:ind w:firstLine="562"/>
        <w:jc w:val="center"/>
        <w:outlineLvl w:val="1"/>
        <w:rPr>
          <w:rFonts w:hint="eastAsia" w:asciiTheme="minorEastAsia" w:hAnsiTheme="minorEastAsia" w:eastAsiaTheme="minorEastAsia"/>
          <w:b/>
          <w:sz w:val="28"/>
          <w:highlight w:val="green"/>
          <w:lang w:eastAsia="zh-CN"/>
        </w:rPr>
      </w:pPr>
      <w:bookmarkStart w:id="7" w:name="_Toc14866"/>
      <w:r>
        <w:rPr>
          <w:rFonts w:hint="eastAsia" w:asciiTheme="minorEastAsia" w:hAnsiTheme="minorEastAsia" w:eastAsiaTheme="minorEastAsia"/>
          <w:b/>
          <w:sz w:val="28"/>
          <w:highlight w:val="none"/>
        </w:rPr>
        <w:t>第三章  业主单位要求</w:t>
      </w:r>
      <w:bookmarkEnd w:id="7"/>
    </w:p>
    <w:p w14:paraId="57619E82">
      <w:pPr>
        <w:ind w:firstLine="480"/>
        <w:rPr>
          <w:rFonts w:ascii="Times New Roman" w:hAnsi="Times New Roman"/>
          <w:szCs w:val="24"/>
          <w:highlight w:val="none"/>
        </w:rPr>
      </w:pPr>
      <w:bookmarkStart w:id="8" w:name="_Toc482188637"/>
      <w:r>
        <w:rPr>
          <w:rFonts w:hint="eastAsia" w:ascii="Times New Roman" w:hAnsi="Times New Roman"/>
          <w:szCs w:val="24"/>
          <w:highlight w:val="none"/>
        </w:rPr>
        <w:t>本说明中提出的技术方案仅为参考，如无明确限制，供应商可以进行优化，提供满足用户实际需要的更优（或者性能实质上不低于的）服务方案，且此方案须经磋商小组评审认可。</w:t>
      </w:r>
    </w:p>
    <w:bookmarkEnd w:id="8"/>
    <w:p w14:paraId="704F8753">
      <w:pPr>
        <w:pStyle w:val="3"/>
        <w:ind w:left="0" w:leftChars="0" w:firstLine="482" w:firstLineChars="200"/>
        <w:rPr>
          <w:rFonts w:hint="eastAsia" w:ascii="宋体" w:hAnsi="宋体" w:eastAsia="宋体" w:cs="宋体"/>
          <w:b/>
          <w:color w:val="000000"/>
          <w:sz w:val="24"/>
          <w:szCs w:val="24"/>
        </w:rPr>
      </w:pPr>
      <w:bookmarkStart w:id="9" w:name="_Toc3273"/>
      <w:bookmarkStart w:id="10" w:name="_Toc482188638"/>
      <w:r>
        <w:rPr>
          <w:rFonts w:hint="eastAsia" w:ascii="宋体" w:hAnsi="宋体" w:eastAsia="宋体" w:cs="宋体"/>
          <w:b/>
          <w:color w:val="000000" w:themeColor="text1"/>
          <w:sz w:val="24"/>
          <w:szCs w:val="24"/>
          <w:highlight w:val="none"/>
          <w14:textFill>
            <w14:solidFill>
              <w14:schemeClr w14:val="tx1"/>
            </w14:solidFill>
          </w14:textFill>
        </w:rPr>
        <w:t>一、供应商须知前附表</w:t>
      </w:r>
    </w:p>
    <w:tbl>
      <w:tblPr>
        <w:tblStyle w:val="13"/>
        <w:tblW w:w="8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463"/>
        <w:gridCol w:w="6138"/>
      </w:tblGrid>
      <w:tr w14:paraId="39A2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98" w:type="dxa"/>
            <w:tcBorders>
              <w:top w:val="single" w:color="auto" w:sz="4" w:space="0"/>
              <w:left w:val="single" w:color="auto" w:sz="4" w:space="0"/>
              <w:bottom w:val="single" w:color="auto" w:sz="4" w:space="0"/>
              <w:right w:val="single" w:color="auto" w:sz="4" w:space="0"/>
            </w:tcBorders>
            <w:noWrap w:val="0"/>
            <w:vAlign w:val="center"/>
          </w:tcPr>
          <w:p w14:paraId="1158E987">
            <w:pPr>
              <w:pStyle w:val="20"/>
              <w:widowControl w:val="0"/>
              <w:spacing w:before="0" w:beforeAutospacing="0" w:after="0" w:afterAutospacing="0" w:line="360" w:lineRule="auto"/>
              <w:jc w:val="center"/>
              <w:rPr>
                <w:rFonts w:hint="eastAsia" w:ascii="宋体" w:hAnsi="宋体" w:eastAsia="宋体" w:cs="宋体"/>
                <w:b/>
                <w:bCs w:val="0"/>
                <w:color w:val="000000"/>
                <w:kern w:val="2"/>
                <w:sz w:val="24"/>
                <w:szCs w:val="24"/>
              </w:rPr>
            </w:pPr>
            <w:r>
              <w:rPr>
                <w:rFonts w:hint="eastAsia" w:ascii="宋体" w:hAnsi="宋体" w:eastAsia="宋体" w:cs="宋体"/>
                <w:b/>
                <w:bCs w:val="0"/>
                <w:color w:val="000000"/>
                <w:kern w:val="2"/>
                <w:sz w:val="24"/>
                <w:szCs w:val="24"/>
              </w:rPr>
              <w:t>序号</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01CEDC22">
            <w:pPr>
              <w:pStyle w:val="20"/>
              <w:widowControl w:val="0"/>
              <w:spacing w:before="0" w:beforeAutospacing="0" w:after="0" w:afterAutospacing="0" w:line="360" w:lineRule="auto"/>
              <w:jc w:val="center"/>
              <w:rPr>
                <w:rFonts w:hint="eastAsia" w:ascii="宋体" w:hAnsi="宋体" w:eastAsia="宋体" w:cs="宋体"/>
                <w:b/>
                <w:bCs w:val="0"/>
                <w:color w:val="000000"/>
                <w:kern w:val="2"/>
                <w:sz w:val="24"/>
                <w:szCs w:val="24"/>
              </w:rPr>
            </w:pPr>
            <w:r>
              <w:rPr>
                <w:rFonts w:hint="eastAsia" w:ascii="宋体" w:hAnsi="宋体" w:eastAsia="宋体" w:cs="宋体"/>
                <w:b/>
                <w:bCs w:val="0"/>
                <w:color w:val="000000"/>
                <w:kern w:val="2"/>
                <w:sz w:val="24"/>
                <w:szCs w:val="24"/>
              </w:rPr>
              <w:t>条款名称</w:t>
            </w:r>
          </w:p>
        </w:tc>
        <w:tc>
          <w:tcPr>
            <w:tcW w:w="6138" w:type="dxa"/>
            <w:tcBorders>
              <w:top w:val="single" w:color="auto" w:sz="4" w:space="0"/>
              <w:left w:val="single" w:color="auto" w:sz="4" w:space="0"/>
              <w:bottom w:val="single" w:color="auto" w:sz="4" w:space="0"/>
              <w:right w:val="single" w:color="auto" w:sz="4" w:space="0"/>
            </w:tcBorders>
            <w:noWrap w:val="0"/>
            <w:vAlign w:val="center"/>
          </w:tcPr>
          <w:p w14:paraId="25B343AD">
            <w:pPr>
              <w:pStyle w:val="20"/>
              <w:widowControl w:val="0"/>
              <w:spacing w:before="0" w:beforeAutospacing="0" w:after="0" w:afterAutospacing="0" w:line="360" w:lineRule="auto"/>
              <w:jc w:val="center"/>
              <w:rPr>
                <w:rFonts w:hint="eastAsia" w:ascii="宋体" w:hAnsi="宋体" w:eastAsia="宋体" w:cs="宋体"/>
                <w:b/>
                <w:bCs w:val="0"/>
                <w:color w:val="000000"/>
                <w:kern w:val="2"/>
                <w:sz w:val="24"/>
                <w:szCs w:val="24"/>
              </w:rPr>
            </w:pPr>
            <w:r>
              <w:rPr>
                <w:rFonts w:hint="eastAsia" w:ascii="宋体" w:hAnsi="宋体" w:eastAsia="宋体" w:cs="宋体"/>
                <w:b/>
                <w:bCs w:val="0"/>
                <w:color w:val="000000"/>
                <w:kern w:val="2"/>
                <w:sz w:val="24"/>
                <w:szCs w:val="24"/>
              </w:rPr>
              <w:t>内容、说明与要求</w:t>
            </w:r>
          </w:p>
        </w:tc>
      </w:tr>
      <w:tr w14:paraId="050BF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98" w:type="dxa"/>
            <w:tcBorders>
              <w:top w:val="single" w:color="auto" w:sz="4" w:space="0"/>
              <w:left w:val="single" w:color="auto" w:sz="4" w:space="0"/>
              <w:bottom w:val="single" w:color="auto" w:sz="4" w:space="0"/>
              <w:right w:val="single" w:color="auto" w:sz="4" w:space="0"/>
            </w:tcBorders>
            <w:noWrap w:val="0"/>
            <w:vAlign w:val="center"/>
          </w:tcPr>
          <w:p w14:paraId="56C74F07">
            <w:pPr>
              <w:pStyle w:val="20"/>
              <w:widowControl w:val="0"/>
              <w:spacing w:before="0" w:beforeAutospacing="0" w:after="0" w:afterAutospacing="0" w:line="360" w:lineRule="auto"/>
              <w:jc w:val="center"/>
              <w:rPr>
                <w:rFonts w:hint="eastAsia" w:ascii="宋体" w:hAnsi="宋体" w:eastAsia="宋体" w:cs="宋体"/>
                <w:b/>
                <w:bCs w:val="0"/>
                <w:color w:val="000000"/>
                <w:kern w:val="2"/>
                <w:sz w:val="24"/>
                <w:szCs w:val="24"/>
                <w:lang w:val="en-US" w:eastAsia="zh-CN"/>
              </w:rPr>
            </w:pPr>
            <w:r>
              <w:rPr>
                <w:rFonts w:hint="eastAsia" w:cs="宋体"/>
                <w:b w:val="0"/>
                <w:bCs/>
                <w:color w:val="000000"/>
                <w:kern w:val="2"/>
                <w:sz w:val="24"/>
                <w:szCs w:val="24"/>
                <w:lang w:val="en-US" w:eastAsia="zh-CN"/>
              </w:rPr>
              <w:t>1</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4F9A01D9">
            <w:pPr>
              <w:pStyle w:val="20"/>
              <w:widowControl w:val="0"/>
              <w:spacing w:before="0" w:beforeAutospacing="0" w:after="0" w:afterAutospacing="0" w:line="360" w:lineRule="auto"/>
              <w:jc w:val="center"/>
              <w:rPr>
                <w:rFonts w:hint="eastAsia" w:ascii="宋体" w:hAnsi="宋体" w:eastAsia="宋体" w:cs="宋体"/>
                <w:b/>
                <w:bCs w:val="0"/>
                <w:color w:val="000000"/>
                <w:kern w:val="2"/>
                <w:sz w:val="24"/>
                <w:szCs w:val="24"/>
                <w:lang w:val="en-US" w:eastAsia="zh-CN"/>
              </w:rPr>
            </w:pPr>
            <w:r>
              <w:rPr>
                <w:rFonts w:hint="eastAsia" w:cs="宋体"/>
                <w:b w:val="0"/>
                <w:bCs/>
                <w:color w:val="000000"/>
                <w:kern w:val="2"/>
                <w:sz w:val="24"/>
                <w:szCs w:val="24"/>
                <w:lang w:val="en-US" w:eastAsia="zh-CN"/>
              </w:rPr>
              <w:t>付款方式</w:t>
            </w:r>
          </w:p>
        </w:tc>
        <w:tc>
          <w:tcPr>
            <w:tcW w:w="6138" w:type="dxa"/>
            <w:tcBorders>
              <w:top w:val="single" w:color="auto" w:sz="4" w:space="0"/>
              <w:left w:val="single" w:color="auto" w:sz="4" w:space="0"/>
              <w:bottom w:val="single" w:color="auto" w:sz="4" w:space="0"/>
              <w:right w:val="single" w:color="auto" w:sz="4" w:space="0"/>
            </w:tcBorders>
            <w:noWrap w:val="0"/>
            <w:vAlign w:val="center"/>
          </w:tcPr>
          <w:p w14:paraId="434FB7D8">
            <w:pPr>
              <w:pStyle w:val="20"/>
              <w:widowControl w:val="0"/>
              <w:spacing w:before="0" w:beforeAutospacing="0" w:after="0" w:afterAutospacing="0" w:line="360" w:lineRule="auto"/>
              <w:jc w:val="left"/>
              <w:rPr>
                <w:rFonts w:hint="eastAsia" w:ascii="宋体" w:hAnsi="宋体" w:eastAsia="宋体" w:cs="宋体"/>
                <w:b/>
                <w:bCs w:val="0"/>
                <w:color w:val="000000"/>
                <w:kern w:val="2"/>
                <w:sz w:val="24"/>
                <w:szCs w:val="24"/>
                <w:highlight w:val="none"/>
              </w:rPr>
            </w:pPr>
            <w:r>
              <w:rPr>
                <w:rFonts w:hint="eastAsia" w:ascii="宋体" w:hAnsi="宋体" w:eastAsia="宋体" w:cs="宋体"/>
                <w:b w:val="0"/>
                <w:bCs/>
                <w:color w:val="000000"/>
                <w:kern w:val="2"/>
                <w:sz w:val="24"/>
                <w:szCs w:val="24"/>
                <w:lang w:val="en-US" w:eastAsia="zh-CN"/>
              </w:rPr>
              <w:t>按季度支付</w:t>
            </w:r>
          </w:p>
        </w:tc>
      </w:tr>
      <w:tr w14:paraId="2EA1A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98" w:type="dxa"/>
            <w:tcBorders>
              <w:top w:val="single" w:color="auto" w:sz="4" w:space="0"/>
              <w:left w:val="single" w:color="auto" w:sz="4" w:space="0"/>
              <w:bottom w:val="single" w:color="auto" w:sz="4" w:space="0"/>
              <w:right w:val="single" w:color="auto" w:sz="4" w:space="0"/>
            </w:tcBorders>
            <w:noWrap w:val="0"/>
            <w:vAlign w:val="center"/>
          </w:tcPr>
          <w:p w14:paraId="735945C9">
            <w:pPr>
              <w:pStyle w:val="20"/>
              <w:widowControl w:val="0"/>
              <w:spacing w:before="0" w:beforeAutospacing="0" w:after="0" w:afterAutospacing="0" w:line="360" w:lineRule="auto"/>
              <w:jc w:val="center"/>
              <w:rPr>
                <w:rFonts w:hint="eastAsia" w:ascii="宋体" w:hAnsi="宋体" w:eastAsia="宋体" w:cs="宋体"/>
                <w:b w:val="0"/>
                <w:color w:val="000000"/>
                <w:kern w:val="2"/>
                <w:sz w:val="24"/>
                <w:szCs w:val="24"/>
                <w:lang w:eastAsia="zh-CN"/>
              </w:rPr>
            </w:pPr>
            <w:r>
              <w:rPr>
                <w:rFonts w:hint="eastAsia" w:cs="宋体"/>
                <w:b w:val="0"/>
                <w:color w:val="000000"/>
                <w:kern w:val="2"/>
                <w:sz w:val="24"/>
                <w:szCs w:val="24"/>
                <w:lang w:val="en-US" w:eastAsia="zh-CN"/>
              </w:rPr>
              <w:t>2</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3A94254F">
            <w:pPr>
              <w:pStyle w:val="20"/>
              <w:widowControl w:val="0"/>
              <w:spacing w:before="0" w:beforeAutospacing="0" w:after="0" w:afterAutospacing="0" w:line="360" w:lineRule="auto"/>
              <w:jc w:val="center"/>
              <w:rPr>
                <w:rFonts w:hint="eastAsia" w:ascii="宋体" w:hAnsi="宋体" w:eastAsia="宋体" w:cs="宋体"/>
                <w:b w:val="0"/>
                <w:color w:val="000000"/>
                <w:kern w:val="2"/>
                <w:sz w:val="24"/>
                <w:szCs w:val="24"/>
                <w:lang w:eastAsia="zh-CN"/>
              </w:rPr>
            </w:pPr>
            <w:r>
              <w:rPr>
                <w:rFonts w:hint="eastAsia" w:ascii="宋体" w:hAnsi="宋体" w:eastAsia="宋体" w:cs="宋体"/>
                <w:b w:val="0"/>
                <w:color w:val="000000"/>
                <w:kern w:val="2"/>
                <w:sz w:val="24"/>
                <w:szCs w:val="24"/>
                <w:highlight w:val="none"/>
              </w:rPr>
              <w:t>服务地点</w:t>
            </w:r>
          </w:p>
        </w:tc>
        <w:tc>
          <w:tcPr>
            <w:tcW w:w="6138" w:type="dxa"/>
            <w:tcBorders>
              <w:top w:val="single" w:color="auto" w:sz="4" w:space="0"/>
              <w:left w:val="single" w:color="auto" w:sz="4" w:space="0"/>
              <w:bottom w:val="single" w:color="auto" w:sz="4" w:space="0"/>
              <w:right w:val="single" w:color="auto" w:sz="4" w:space="0"/>
            </w:tcBorders>
            <w:noWrap w:val="0"/>
            <w:vAlign w:val="center"/>
          </w:tcPr>
          <w:p w14:paraId="44E725CB">
            <w:pPr>
              <w:pStyle w:val="20"/>
              <w:widowControl w:val="0"/>
              <w:spacing w:before="0" w:beforeAutospacing="0" w:after="0" w:afterAutospacing="0" w:line="360" w:lineRule="auto"/>
              <w:jc w:val="both"/>
              <w:rPr>
                <w:rFonts w:hint="default"/>
                <w:lang w:val="en-US" w:eastAsia="zh-CN"/>
              </w:rPr>
            </w:pPr>
            <w:r>
              <w:rPr>
                <w:rFonts w:hint="default"/>
                <w:lang w:val="en-US" w:eastAsia="zh-CN"/>
              </w:rPr>
              <w:t>玉兰大道与明珠路交口东南角</w:t>
            </w:r>
          </w:p>
        </w:tc>
      </w:tr>
      <w:tr w14:paraId="4C6CC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jc w:val="center"/>
        </w:trPr>
        <w:tc>
          <w:tcPr>
            <w:tcW w:w="698" w:type="dxa"/>
            <w:tcBorders>
              <w:top w:val="single" w:color="auto" w:sz="4" w:space="0"/>
              <w:left w:val="single" w:color="auto" w:sz="4" w:space="0"/>
              <w:bottom w:val="single" w:color="auto" w:sz="4" w:space="0"/>
              <w:right w:val="single" w:color="auto" w:sz="4" w:space="0"/>
            </w:tcBorders>
            <w:noWrap w:val="0"/>
            <w:vAlign w:val="center"/>
          </w:tcPr>
          <w:p w14:paraId="6B224F36">
            <w:pPr>
              <w:pStyle w:val="20"/>
              <w:widowControl w:val="0"/>
              <w:spacing w:before="0" w:beforeAutospacing="0" w:after="0" w:afterAutospacing="0" w:line="360" w:lineRule="auto"/>
              <w:jc w:val="center"/>
              <w:rPr>
                <w:rFonts w:hint="eastAsia" w:ascii="宋体" w:hAnsi="宋体" w:eastAsia="宋体" w:cs="宋体"/>
                <w:b w:val="0"/>
                <w:color w:val="000000"/>
                <w:kern w:val="2"/>
                <w:sz w:val="24"/>
                <w:szCs w:val="24"/>
                <w:lang w:eastAsia="zh-CN"/>
              </w:rPr>
            </w:pPr>
            <w:r>
              <w:rPr>
                <w:rFonts w:hint="eastAsia" w:cs="宋体"/>
                <w:b w:val="0"/>
                <w:color w:val="000000"/>
                <w:kern w:val="2"/>
                <w:sz w:val="24"/>
                <w:szCs w:val="24"/>
                <w:lang w:val="en-US" w:eastAsia="zh-CN"/>
              </w:rPr>
              <w:t>3</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5044E2D0">
            <w:pPr>
              <w:pStyle w:val="20"/>
              <w:widowControl w:val="0"/>
              <w:spacing w:before="0" w:beforeAutospacing="0" w:after="0" w:afterAutospacing="0" w:line="360" w:lineRule="auto"/>
              <w:jc w:val="center"/>
              <w:rPr>
                <w:rFonts w:hint="eastAsia" w:ascii="宋体" w:hAnsi="宋体" w:eastAsia="宋体" w:cs="宋体"/>
                <w:b w:val="0"/>
                <w:color w:val="000000"/>
                <w:kern w:val="2"/>
                <w:sz w:val="24"/>
                <w:szCs w:val="24"/>
              </w:rPr>
            </w:pPr>
            <w:r>
              <w:rPr>
                <w:rFonts w:hint="eastAsia" w:ascii="宋体" w:hAnsi="宋体" w:eastAsia="宋体" w:cs="宋体"/>
                <w:b w:val="0"/>
                <w:color w:val="000000"/>
                <w:kern w:val="2"/>
                <w:sz w:val="24"/>
                <w:szCs w:val="24"/>
              </w:rPr>
              <w:t>服务期限</w:t>
            </w:r>
          </w:p>
        </w:tc>
        <w:tc>
          <w:tcPr>
            <w:tcW w:w="6138" w:type="dxa"/>
            <w:tcBorders>
              <w:top w:val="single" w:color="auto" w:sz="4" w:space="0"/>
              <w:left w:val="single" w:color="auto" w:sz="4" w:space="0"/>
              <w:bottom w:val="single" w:color="auto" w:sz="4" w:space="0"/>
              <w:right w:val="single" w:color="auto" w:sz="4" w:space="0"/>
            </w:tcBorders>
            <w:noWrap w:val="0"/>
            <w:vAlign w:val="center"/>
          </w:tcPr>
          <w:p w14:paraId="532FDBB9">
            <w:pPr>
              <w:pStyle w:val="20"/>
              <w:widowControl w:val="0"/>
              <w:spacing w:before="0" w:beforeAutospacing="0" w:after="0" w:afterAutospacing="0" w:line="360" w:lineRule="auto"/>
              <w:jc w:val="both"/>
              <w:rPr>
                <w:rFonts w:hint="default" w:ascii="宋体" w:hAnsi="宋体" w:eastAsia="宋体" w:cs="宋体"/>
                <w:b w:val="0"/>
                <w:color w:val="000000"/>
                <w:kern w:val="2"/>
                <w:sz w:val="24"/>
                <w:szCs w:val="24"/>
                <w:highlight w:val="none"/>
                <w:lang w:val="en-US" w:eastAsia="zh-CN"/>
              </w:rPr>
            </w:pPr>
            <w:r>
              <w:rPr>
                <w:rFonts w:hint="eastAsia" w:ascii="宋体" w:hAnsi="宋体" w:eastAsia="宋体" w:cs="宋体"/>
                <w:b w:val="0"/>
                <w:sz w:val="24"/>
                <w:highlight w:val="none"/>
                <w:lang w:val="en-US" w:eastAsia="zh-CN"/>
              </w:rPr>
              <w:t>合同签订后一年。服务期满后，如供应商履约良好</w:t>
            </w:r>
            <w:r>
              <w:rPr>
                <w:rFonts w:hint="eastAsia" w:ascii="宋体" w:hAnsi="宋体" w:eastAsia="宋体" w:cs="宋体"/>
                <w:b w:val="0"/>
                <w:sz w:val="24"/>
                <w:highlight w:val="none"/>
              </w:rPr>
              <w:t>，甲乙双方均同意续签，在项目年度预算能保障的前提下，可续签下</w:t>
            </w:r>
            <w:r>
              <w:rPr>
                <w:rFonts w:hint="eastAsia" w:ascii="宋体" w:hAnsi="宋体" w:eastAsia="宋体" w:cs="宋体"/>
                <w:b w:val="0"/>
                <w:sz w:val="24"/>
                <w:highlight w:val="none"/>
                <w:lang w:val="en-US" w:eastAsia="zh-CN"/>
              </w:rPr>
              <w:t>一</w:t>
            </w:r>
            <w:r>
              <w:rPr>
                <w:rFonts w:hint="eastAsia" w:ascii="宋体" w:hAnsi="宋体" w:eastAsia="宋体" w:cs="宋体"/>
                <w:b w:val="0"/>
                <w:sz w:val="24"/>
                <w:highlight w:val="none"/>
              </w:rPr>
              <w:t>年合同，</w:t>
            </w:r>
            <w:r>
              <w:rPr>
                <w:rFonts w:hint="eastAsia" w:ascii="宋体" w:hAnsi="宋体" w:eastAsia="宋体" w:cs="宋体"/>
                <w:b w:val="0"/>
                <w:sz w:val="24"/>
                <w:highlight w:val="none"/>
                <w:lang w:eastAsia="zh-CN"/>
              </w:rPr>
              <w:t>（</w:t>
            </w:r>
            <w:r>
              <w:rPr>
                <w:rFonts w:hint="eastAsia" w:ascii="宋体" w:hAnsi="宋体" w:eastAsia="宋体" w:cs="宋体"/>
                <w:b w:val="0"/>
                <w:sz w:val="24"/>
                <w:highlight w:val="none"/>
              </w:rPr>
              <w:t>合同一年一签，</w:t>
            </w:r>
            <w:r>
              <w:rPr>
                <w:rFonts w:hint="eastAsia" w:ascii="宋体" w:hAnsi="宋体" w:eastAsia="宋体" w:cs="宋体"/>
                <w:b w:val="0"/>
                <w:sz w:val="24"/>
                <w:highlight w:val="none"/>
                <w:lang w:val="en-US" w:eastAsia="zh-CN"/>
              </w:rPr>
              <w:t>续签不超过2年</w:t>
            </w:r>
            <w:r>
              <w:rPr>
                <w:rFonts w:hint="eastAsia" w:ascii="宋体" w:hAnsi="宋体" w:eastAsia="宋体" w:cs="宋体"/>
                <w:b w:val="0"/>
                <w:sz w:val="24"/>
                <w:highlight w:val="none"/>
                <w:lang w:eastAsia="zh-CN"/>
              </w:rPr>
              <w:t>），</w:t>
            </w:r>
            <w:r>
              <w:rPr>
                <w:rFonts w:hint="eastAsia" w:ascii="宋体" w:hAnsi="宋体" w:eastAsia="宋体" w:cs="宋体"/>
                <w:b w:val="0"/>
                <w:sz w:val="24"/>
                <w:highlight w:val="none"/>
              </w:rPr>
              <w:t>合同成交价不变。</w:t>
            </w:r>
          </w:p>
        </w:tc>
      </w:tr>
      <w:bookmarkEnd w:id="9"/>
    </w:tbl>
    <w:p w14:paraId="6D0FCCF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二、项目概况</w:t>
      </w:r>
    </w:p>
    <w:p w14:paraId="2AA97F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肥西县桃花镇机关办公区总占地面积29280平方米，其中机关办公楼九层，建筑面积约8590平方米，机关大院绿化景观面积约20424平方米等，项目设立一个总包，含对所有场所的物业服务。</w:t>
      </w:r>
    </w:p>
    <w:p w14:paraId="2E7B9C4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三、服务需求</w:t>
      </w:r>
    </w:p>
    <w:p w14:paraId="004046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(一)服务内容</w:t>
      </w:r>
    </w:p>
    <w:p w14:paraId="3DBFEF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1.负责肥西县</w:t>
      </w:r>
      <w:r>
        <w:rPr>
          <w:rFonts w:hint="eastAsia" w:ascii="宋体" w:hAnsi="宋体" w:eastAsia="宋体" w:cs="宋体"/>
          <w:color w:val="000000"/>
          <w:sz w:val="24"/>
          <w:szCs w:val="24"/>
          <w:lang w:val="en-US" w:eastAsia="zh-CN"/>
        </w:rPr>
        <w:t>桃花镇政府大楼</w:t>
      </w:r>
      <w:r>
        <w:rPr>
          <w:rFonts w:hint="eastAsia" w:ascii="宋体" w:hAnsi="宋体" w:eastAsia="宋体" w:cs="宋体"/>
          <w:color w:val="000000"/>
          <w:sz w:val="24"/>
          <w:szCs w:val="24"/>
        </w:rPr>
        <w:t>的秩序维护服务。</w:t>
      </w:r>
    </w:p>
    <w:p w14:paraId="180E59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2.负责肥西</w:t>
      </w:r>
      <w:r>
        <w:rPr>
          <w:rFonts w:hint="eastAsia" w:ascii="宋体" w:hAnsi="宋体" w:eastAsia="宋体" w:cs="宋体"/>
          <w:color w:val="000000"/>
          <w:sz w:val="24"/>
          <w:szCs w:val="24"/>
          <w:lang w:val="en-US" w:eastAsia="zh-CN"/>
        </w:rPr>
        <w:t>县桃花镇政府大楼</w:t>
      </w:r>
      <w:r>
        <w:rPr>
          <w:rFonts w:hint="eastAsia" w:ascii="宋体" w:hAnsi="宋体" w:eastAsia="宋体" w:cs="宋体"/>
          <w:color w:val="000000"/>
          <w:sz w:val="24"/>
          <w:szCs w:val="24"/>
        </w:rPr>
        <w:t>公共楼道、</w:t>
      </w:r>
      <w:r>
        <w:rPr>
          <w:rFonts w:hint="eastAsia" w:ascii="宋体" w:hAnsi="宋体" w:eastAsia="宋体" w:cs="宋体"/>
          <w:color w:val="000000"/>
          <w:sz w:val="24"/>
          <w:szCs w:val="24"/>
          <w:lang w:val="en-US" w:eastAsia="zh-CN"/>
        </w:rPr>
        <w:t>会议室、</w:t>
      </w:r>
      <w:r>
        <w:rPr>
          <w:rFonts w:hint="eastAsia" w:ascii="宋体" w:hAnsi="宋体" w:eastAsia="宋体" w:cs="宋体"/>
          <w:color w:val="000000"/>
          <w:sz w:val="24"/>
          <w:szCs w:val="24"/>
        </w:rPr>
        <w:t>卫生间</w:t>
      </w:r>
      <w:r>
        <w:rPr>
          <w:rFonts w:hint="eastAsia" w:ascii="宋体" w:hAnsi="宋体" w:eastAsia="宋体" w:cs="宋体"/>
          <w:color w:val="000000"/>
          <w:sz w:val="24"/>
          <w:szCs w:val="24"/>
          <w:lang w:eastAsia="zh-CN"/>
        </w:rPr>
        <w:t>、广场、停车场以及周边道路</w:t>
      </w:r>
      <w:r>
        <w:rPr>
          <w:rFonts w:hint="eastAsia" w:ascii="宋体" w:hAnsi="宋体" w:eastAsia="宋体" w:cs="宋体"/>
          <w:color w:val="000000"/>
          <w:sz w:val="24"/>
          <w:szCs w:val="24"/>
        </w:rPr>
        <w:t>等公共区域的日常保洁服务。</w:t>
      </w:r>
    </w:p>
    <w:p w14:paraId="4F0C8B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.负责</w:t>
      </w:r>
      <w:r>
        <w:rPr>
          <w:rFonts w:hint="eastAsia" w:ascii="宋体" w:hAnsi="宋体" w:eastAsia="宋体" w:cs="宋体"/>
          <w:color w:val="000000"/>
          <w:sz w:val="24"/>
          <w:szCs w:val="24"/>
          <w:highlight w:val="none"/>
          <w:lang w:val="en-US" w:eastAsia="zh-CN"/>
        </w:rPr>
        <w:t>肥西县桃花镇政府大楼物业服务项目的</w:t>
      </w:r>
      <w:r>
        <w:rPr>
          <w:rFonts w:hint="eastAsia" w:ascii="宋体" w:hAnsi="宋体" w:eastAsia="宋体" w:cs="宋体"/>
          <w:b w:val="0"/>
          <w:bCs w:val="0"/>
          <w:color w:val="000000"/>
          <w:sz w:val="24"/>
          <w:szCs w:val="24"/>
          <w:highlight w:val="none"/>
          <w:lang w:val="en-US" w:eastAsia="zh-CN"/>
        </w:rPr>
        <w:t>文件资料整理及临时性会议的综合服务</w:t>
      </w:r>
      <w:r>
        <w:rPr>
          <w:rFonts w:hint="eastAsia" w:ascii="宋体" w:hAnsi="宋体" w:eastAsia="宋体" w:cs="宋体"/>
          <w:color w:val="000000"/>
          <w:sz w:val="24"/>
          <w:szCs w:val="24"/>
          <w:highlight w:val="none"/>
        </w:rPr>
        <w:t>。</w:t>
      </w:r>
    </w:p>
    <w:p w14:paraId="0108A1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（二）人员配备（具体人员数以实际使用数为准）</w:t>
      </w:r>
      <w:r>
        <w:rPr>
          <w:rFonts w:hint="eastAsia" w:ascii="宋体" w:hAnsi="宋体" w:eastAsia="宋体" w:cs="宋体"/>
          <w:color w:val="000000"/>
          <w:sz w:val="24"/>
          <w:szCs w:val="24"/>
        </w:rPr>
        <w:tab/>
      </w:r>
    </w:p>
    <w:tbl>
      <w:tblPr>
        <w:tblStyle w:val="13"/>
        <w:tblW w:w="907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023"/>
        <w:gridCol w:w="4797"/>
        <w:gridCol w:w="3251"/>
      </w:tblGrid>
      <w:tr w14:paraId="5A57E3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39" w:hRule="atLeast"/>
          <w:jc w:val="center"/>
        </w:trPr>
        <w:tc>
          <w:tcPr>
            <w:tcW w:w="1023" w:type="dxa"/>
            <w:tcBorders>
              <w:tl2br w:val="nil"/>
              <w:tr2bl w:val="nil"/>
            </w:tcBorders>
            <w:noWrap w:val="0"/>
            <w:tcMar>
              <w:top w:w="15" w:type="dxa"/>
              <w:left w:w="15" w:type="dxa"/>
              <w:right w:w="15" w:type="dxa"/>
            </w:tcMar>
            <w:vAlign w:val="center"/>
          </w:tcPr>
          <w:p w14:paraId="338F859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序号</w:t>
            </w:r>
          </w:p>
        </w:tc>
        <w:tc>
          <w:tcPr>
            <w:tcW w:w="4797" w:type="dxa"/>
            <w:tcBorders>
              <w:tl2br w:val="nil"/>
              <w:tr2bl w:val="nil"/>
            </w:tcBorders>
            <w:noWrap w:val="0"/>
            <w:tcMar>
              <w:top w:w="15" w:type="dxa"/>
              <w:left w:w="15" w:type="dxa"/>
              <w:right w:w="15" w:type="dxa"/>
            </w:tcMar>
            <w:vAlign w:val="center"/>
          </w:tcPr>
          <w:p w14:paraId="746D192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配备职位</w:t>
            </w:r>
          </w:p>
        </w:tc>
        <w:tc>
          <w:tcPr>
            <w:tcW w:w="3251" w:type="dxa"/>
            <w:tcBorders>
              <w:tl2br w:val="nil"/>
              <w:tr2bl w:val="nil"/>
            </w:tcBorders>
            <w:noWrap w:val="0"/>
            <w:tcMar>
              <w:top w:w="15" w:type="dxa"/>
              <w:left w:w="15" w:type="dxa"/>
              <w:right w:w="15" w:type="dxa"/>
            </w:tcMar>
            <w:vAlign w:val="center"/>
          </w:tcPr>
          <w:p w14:paraId="603104D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配置人数</w:t>
            </w:r>
          </w:p>
        </w:tc>
      </w:tr>
      <w:tr w14:paraId="5D8837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44" w:hRule="atLeast"/>
          <w:jc w:val="center"/>
        </w:trPr>
        <w:tc>
          <w:tcPr>
            <w:tcW w:w="1023" w:type="dxa"/>
            <w:tcBorders>
              <w:tl2br w:val="nil"/>
              <w:tr2bl w:val="nil"/>
            </w:tcBorders>
            <w:noWrap w:val="0"/>
            <w:tcMar>
              <w:top w:w="15" w:type="dxa"/>
              <w:left w:w="15" w:type="dxa"/>
              <w:right w:w="15" w:type="dxa"/>
            </w:tcMar>
            <w:vAlign w:val="center"/>
          </w:tcPr>
          <w:p w14:paraId="4C3A11C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1</w:t>
            </w:r>
          </w:p>
        </w:tc>
        <w:tc>
          <w:tcPr>
            <w:tcW w:w="4797" w:type="dxa"/>
            <w:tcBorders>
              <w:tl2br w:val="nil"/>
              <w:tr2bl w:val="nil"/>
            </w:tcBorders>
            <w:noWrap w:val="0"/>
            <w:tcMar>
              <w:top w:w="15" w:type="dxa"/>
              <w:left w:w="15" w:type="dxa"/>
              <w:right w:w="15" w:type="dxa"/>
            </w:tcMar>
            <w:vAlign w:val="center"/>
          </w:tcPr>
          <w:p w14:paraId="2611C28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项目负责人</w:t>
            </w:r>
          </w:p>
        </w:tc>
        <w:tc>
          <w:tcPr>
            <w:tcW w:w="3251" w:type="dxa"/>
            <w:tcBorders>
              <w:tl2br w:val="nil"/>
              <w:tr2bl w:val="nil"/>
            </w:tcBorders>
            <w:noWrap w:val="0"/>
            <w:tcMar>
              <w:top w:w="15" w:type="dxa"/>
              <w:left w:w="15" w:type="dxa"/>
              <w:right w:w="15" w:type="dxa"/>
            </w:tcMar>
            <w:vAlign w:val="center"/>
          </w:tcPr>
          <w:p w14:paraId="099EE6E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p>
        </w:tc>
      </w:tr>
      <w:tr w14:paraId="6BF38A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44" w:hRule="atLeast"/>
          <w:jc w:val="center"/>
        </w:trPr>
        <w:tc>
          <w:tcPr>
            <w:tcW w:w="1023" w:type="dxa"/>
            <w:tcBorders>
              <w:tl2br w:val="nil"/>
              <w:tr2bl w:val="nil"/>
            </w:tcBorders>
            <w:noWrap w:val="0"/>
            <w:tcMar>
              <w:top w:w="15" w:type="dxa"/>
              <w:left w:w="15" w:type="dxa"/>
              <w:right w:w="15" w:type="dxa"/>
            </w:tcMar>
            <w:vAlign w:val="center"/>
          </w:tcPr>
          <w:p w14:paraId="62F4A57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p>
        </w:tc>
        <w:tc>
          <w:tcPr>
            <w:tcW w:w="4797" w:type="dxa"/>
            <w:tcBorders>
              <w:tl2br w:val="nil"/>
              <w:tr2bl w:val="nil"/>
            </w:tcBorders>
            <w:noWrap w:val="0"/>
            <w:tcMar>
              <w:top w:w="15" w:type="dxa"/>
              <w:left w:w="15" w:type="dxa"/>
              <w:right w:w="15" w:type="dxa"/>
            </w:tcMar>
            <w:vAlign w:val="center"/>
          </w:tcPr>
          <w:p w14:paraId="5C3B1D5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综合文员</w:t>
            </w:r>
          </w:p>
        </w:tc>
        <w:tc>
          <w:tcPr>
            <w:tcW w:w="3251" w:type="dxa"/>
            <w:tcBorders>
              <w:tl2br w:val="nil"/>
              <w:tr2bl w:val="nil"/>
            </w:tcBorders>
            <w:noWrap w:val="0"/>
            <w:tcMar>
              <w:top w:w="15" w:type="dxa"/>
              <w:left w:w="15" w:type="dxa"/>
              <w:right w:w="15" w:type="dxa"/>
            </w:tcMar>
            <w:vAlign w:val="center"/>
          </w:tcPr>
          <w:p w14:paraId="13AB112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p>
        </w:tc>
      </w:tr>
      <w:tr w14:paraId="57FF19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44" w:hRule="atLeast"/>
          <w:jc w:val="center"/>
        </w:trPr>
        <w:tc>
          <w:tcPr>
            <w:tcW w:w="1023" w:type="dxa"/>
            <w:tcBorders>
              <w:tl2br w:val="nil"/>
              <w:tr2bl w:val="nil"/>
            </w:tcBorders>
            <w:noWrap w:val="0"/>
            <w:tcMar>
              <w:top w:w="15" w:type="dxa"/>
              <w:left w:w="15" w:type="dxa"/>
              <w:right w:w="15" w:type="dxa"/>
            </w:tcMar>
            <w:vAlign w:val="center"/>
          </w:tcPr>
          <w:p w14:paraId="2E4E94A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w:t>
            </w:r>
          </w:p>
        </w:tc>
        <w:tc>
          <w:tcPr>
            <w:tcW w:w="4797" w:type="dxa"/>
            <w:tcBorders>
              <w:tl2br w:val="nil"/>
              <w:tr2bl w:val="nil"/>
            </w:tcBorders>
            <w:noWrap w:val="0"/>
            <w:tcMar>
              <w:top w:w="15" w:type="dxa"/>
              <w:left w:w="15" w:type="dxa"/>
              <w:right w:w="15" w:type="dxa"/>
            </w:tcMar>
            <w:vAlign w:val="center"/>
          </w:tcPr>
          <w:p w14:paraId="5C9011E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秩序员</w:t>
            </w:r>
          </w:p>
        </w:tc>
        <w:tc>
          <w:tcPr>
            <w:tcW w:w="3251" w:type="dxa"/>
            <w:tcBorders>
              <w:tl2br w:val="nil"/>
              <w:tr2bl w:val="nil"/>
            </w:tcBorders>
            <w:noWrap w:val="0"/>
            <w:tcMar>
              <w:top w:w="15" w:type="dxa"/>
              <w:left w:w="15" w:type="dxa"/>
              <w:right w:w="15" w:type="dxa"/>
            </w:tcMar>
            <w:vAlign w:val="center"/>
          </w:tcPr>
          <w:p w14:paraId="0F9871F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p>
        </w:tc>
      </w:tr>
      <w:tr w14:paraId="495146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0" w:hRule="atLeast"/>
          <w:jc w:val="center"/>
        </w:trPr>
        <w:tc>
          <w:tcPr>
            <w:tcW w:w="1023" w:type="dxa"/>
            <w:tcBorders>
              <w:tl2br w:val="nil"/>
              <w:tr2bl w:val="nil"/>
            </w:tcBorders>
            <w:noWrap w:val="0"/>
            <w:tcMar>
              <w:top w:w="15" w:type="dxa"/>
              <w:left w:w="15" w:type="dxa"/>
              <w:right w:w="15" w:type="dxa"/>
            </w:tcMar>
            <w:vAlign w:val="center"/>
          </w:tcPr>
          <w:p w14:paraId="698833C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4</w:t>
            </w:r>
          </w:p>
        </w:tc>
        <w:tc>
          <w:tcPr>
            <w:tcW w:w="4797" w:type="dxa"/>
            <w:tcBorders>
              <w:tl2br w:val="nil"/>
              <w:tr2bl w:val="nil"/>
            </w:tcBorders>
            <w:noWrap w:val="0"/>
            <w:tcMar>
              <w:top w:w="15" w:type="dxa"/>
              <w:left w:w="15" w:type="dxa"/>
              <w:right w:w="15" w:type="dxa"/>
            </w:tcMar>
            <w:vAlign w:val="center"/>
          </w:tcPr>
          <w:p w14:paraId="48FBDC3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保洁员</w:t>
            </w:r>
          </w:p>
        </w:tc>
        <w:tc>
          <w:tcPr>
            <w:tcW w:w="3251" w:type="dxa"/>
            <w:tcBorders>
              <w:tl2br w:val="nil"/>
              <w:tr2bl w:val="nil"/>
            </w:tcBorders>
            <w:noWrap w:val="0"/>
            <w:tcMar>
              <w:top w:w="15" w:type="dxa"/>
              <w:left w:w="15" w:type="dxa"/>
              <w:right w:w="15" w:type="dxa"/>
            </w:tcMar>
            <w:vAlign w:val="center"/>
          </w:tcPr>
          <w:p w14:paraId="2B0BFEC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p>
        </w:tc>
      </w:tr>
      <w:tr w14:paraId="1BA6D9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22" w:hRule="atLeast"/>
          <w:jc w:val="center"/>
        </w:trPr>
        <w:tc>
          <w:tcPr>
            <w:tcW w:w="1023" w:type="dxa"/>
            <w:tcBorders>
              <w:tl2br w:val="nil"/>
              <w:tr2bl w:val="nil"/>
            </w:tcBorders>
            <w:noWrap w:val="0"/>
            <w:tcMar>
              <w:top w:w="15" w:type="dxa"/>
              <w:left w:w="15" w:type="dxa"/>
              <w:right w:w="15" w:type="dxa"/>
            </w:tcMar>
            <w:vAlign w:val="center"/>
          </w:tcPr>
          <w:p w14:paraId="10B40F5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5</w:t>
            </w:r>
          </w:p>
        </w:tc>
        <w:tc>
          <w:tcPr>
            <w:tcW w:w="4797" w:type="dxa"/>
            <w:tcBorders>
              <w:tl2br w:val="nil"/>
              <w:tr2bl w:val="nil"/>
            </w:tcBorders>
            <w:noWrap w:val="0"/>
            <w:tcMar>
              <w:top w:w="15" w:type="dxa"/>
              <w:left w:w="15" w:type="dxa"/>
              <w:right w:w="15" w:type="dxa"/>
            </w:tcMar>
            <w:vAlign w:val="center"/>
          </w:tcPr>
          <w:p w14:paraId="1DE9025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合计</w:t>
            </w:r>
          </w:p>
        </w:tc>
        <w:tc>
          <w:tcPr>
            <w:tcW w:w="3251" w:type="dxa"/>
            <w:tcBorders>
              <w:tl2br w:val="nil"/>
              <w:tr2bl w:val="nil"/>
            </w:tcBorders>
            <w:noWrap w:val="0"/>
            <w:tcMar>
              <w:top w:w="15" w:type="dxa"/>
              <w:left w:w="15" w:type="dxa"/>
              <w:right w:w="15" w:type="dxa"/>
            </w:tcMar>
            <w:vAlign w:val="center"/>
          </w:tcPr>
          <w:p w14:paraId="628BA30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12</w:t>
            </w:r>
          </w:p>
        </w:tc>
      </w:tr>
    </w:tbl>
    <w:p w14:paraId="4F43FD4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（三）物业管理服务要求</w:t>
      </w:r>
    </w:p>
    <w:p w14:paraId="120B6D8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1.全权负责区域内公共场所及</w:t>
      </w:r>
      <w:r>
        <w:rPr>
          <w:rFonts w:hint="eastAsia" w:ascii="宋体" w:hAnsi="宋体" w:eastAsia="宋体" w:cs="宋体"/>
          <w:b w:val="0"/>
          <w:bCs w:val="0"/>
          <w:color w:val="000000"/>
          <w:sz w:val="24"/>
          <w:szCs w:val="24"/>
          <w:lang w:val="en-US" w:eastAsia="zh-CN"/>
        </w:rPr>
        <w:t>公共区域</w:t>
      </w:r>
      <w:r>
        <w:rPr>
          <w:rFonts w:hint="eastAsia" w:ascii="宋体" w:hAnsi="宋体" w:eastAsia="宋体" w:cs="宋体"/>
          <w:b w:val="0"/>
          <w:bCs w:val="0"/>
          <w:color w:val="000000"/>
          <w:sz w:val="24"/>
          <w:szCs w:val="24"/>
        </w:rPr>
        <w:t>的保洁服务</w:t>
      </w:r>
    </w:p>
    <w:p w14:paraId="4C528B9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办公楼道路、楼层走道、大厅、厕所、电梯、会议室以及</w:t>
      </w:r>
      <w:r>
        <w:rPr>
          <w:rFonts w:hint="eastAsia" w:ascii="宋体" w:hAnsi="宋体" w:eastAsia="宋体" w:cs="宋体"/>
          <w:color w:val="000000"/>
          <w:sz w:val="24"/>
          <w:szCs w:val="24"/>
          <w:lang w:val="en-US" w:eastAsia="zh-CN"/>
        </w:rPr>
        <w:t>会议室</w:t>
      </w:r>
      <w:r>
        <w:rPr>
          <w:rFonts w:hint="eastAsia" w:ascii="宋体" w:hAnsi="宋体" w:eastAsia="宋体" w:cs="宋体"/>
          <w:color w:val="000000"/>
          <w:sz w:val="24"/>
          <w:szCs w:val="24"/>
        </w:rPr>
        <w:t>等保洁；管理区域内公共区域道路、停车位、自行车停车棚的保洁，排水沟和窨井日常清理。</w:t>
      </w:r>
    </w:p>
    <w:p w14:paraId="49C6376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总体要求</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负责指定区域的每天卫生清洁工作和与卫生清洁工作相关的其他工作（如扫雪等），卫生保洁区内无纸屑和垃圾，无随意堆放杂物，不见废弃物、污渍；负责楼内</w:t>
      </w:r>
      <w:r>
        <w:rPr>
          <w:rFonts w:hint="eastAsia" w:ascii="宋体" w:hAnsi="宋体" w:eastAsia="宋体" w:cs="宋体"/>
          <w:color w:val="000000"/>
          <w:sz w:val="24"/>
          <w:szCs w:val="24"/>
          <w:lang w:val="en-US" w:eastAsia="zh-CN"/>
        </w:rPr>
        <w:t>洗手池台盆、台面</w:t>
      </w:r>
      <w:r>
        <w:rPr>
          <w:rFonts w:hint="eastAsia" w:ascii="宋体" w:hAnsi="宋体" w:eastAsia="宋体" w:cs="宋体"/>
          <w:color w:val="000000"/>
          <w:sz w:val="24"/>
          <w:szCs w:val="24"/>
        </w:rPr>
        <w:t>的清洗消毒、排水管道清掏、及时收集清运垃圾等。特殊部位要不间断循环保洁。</w:t>
      </w:r>
    </w:p>
    <w:p w14:paraId="29C7340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2</w:t>
      </w:r>
      <w:r>
        <w:rPr>
          <w:rFonts w:hint="eastAsia" w:ascii="宋体" w:hAnsi="宋体" w:eastAsia="宋体" w:cs="宋体"/>
          <w:b w:val="0"/>
          <w:bCs w:val="0"/>
          <w:color w:val="000000"/>
          <w:sz w:val="24"/>
          <w:szCs w:val="24"/>
        </w:rPr>
        <w:t>.全权负责管理区域内的秩序维护服务</w:t>
      </w:r>
    </w:p>
    <w:p w14:paraId="16234EF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日常值班和安全保卫，管理区域内的日常巡逻，区域内车辆停放管理、劝解疏导来访人员，突发事件的应急处理等。</w:t>
      </w:r>
    </w:p>
    <w:p w14:paraId="79105FB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总体要求</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确保安全和正常工作环境，环境秩序良好；物业管理区域内实行24小时监控、巡更执勤工作；对来访人员、车辆要及时询问、核实并登记</w:t>
      </w:r>
      <w:r>
        <w:rPr>
          <w:rFonts w:hint="eastAsia" w:ascii="宋体" w:hAnsi="宋体" w:eastAsia="宋体" w:cs="宋体"/>
          <w:color w:val="000000"/>
          <w:sz w:val="24"/>
          <w:szCs w:val="24"/>
          <w:lang w:eastAsia="zh-CN"/>
        </w:rPr>
        <w:t>。</w:t>
      </w:r>
    </w:p>
    <w:p w14:paraId="0DC7299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3.全权负责本物业服务项目的文件资料整理及临时性会议的综合服务</w:t>
      </w:r>
      <w:r>
        <w:rPr>
          <w:rFonts w:hint="eastAsia" w:ascii="宋体" w:hAnsi="宋体" w:eastAsia="宋体" w:cs="宋体"/>
          <w:color w:val="000000"/>
          <w:sz w:val="24"/>
          <w:szCs w:val="24"/>
        </w:rPr>
        <w:t>。</w:t>
      </w:r>
    </w:p>
    <w:p w14:paraId="05E7325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总体要求：负责本物业服务项目文件、档案、台账整理工作，并承担办公区内临时性会议的各项综合保障服务；要求沟通协调能力良好，具备较强的保密意识与服务意识。</w:t>
      </w:r>
    </w:p>
    <w:p w14:paraId="78DC9C8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color w:val="000000"/>
          <w:sz w:val="24"/>
          <w:szCs w:val="24"/>
          <w:highlight w:val="none"/>
          <w:lang w:val="en-US" w:eastAsia="zh-CN"/>
        </w:rPr>
        <w:t>供应商不负责采购人项目上的消防安全生产责任，不负责消防控制室和监控室持证人员配备和各种设施设备的维护及安全生产责任，由采购人自行负责。公共能耗、保洁耗材</w:t>
      </w:r>
      <w:r>
        <w:rPr>
          <w:rFonts w:hint="eastAsia" w:ascii="宋体" w:hAnsi="宋体" w:eastAsia="宋体" w:cs="宋体"/>
          <w:b w:val="0"/>
          <w:bCs/>
          <w:sz w:val="24"/>
          <w:szCs w:val="24"/>
          <w:highlight w:val="none"/>
          <w:lang w:val="en-US" w:eastAsia="zh-CN"/>
        </w:rPr>
        <w:t>及应急物资由采购人负责。</w:t>
      </w:r>
      <w:r>
        <w:rPr>
          <w:rFonts w:hint="eastAsia" w:ascii="宋体" w:hAnsi="宋体" w:eastAsia="宋体" w:cs="宋体"/>
          <w:kern w:val="2"/>
          <w:sz w:val="24"/>
          <w:szCs w:val="24"/>
          <w:lang w:val="en-US" w:eastAsia="zh-CN"/>
        </w:rPr>
        <w:t xml:space="preserve"> </w:t>
      </w:r>
    </w:p>
    <w:p w14:paraId="060F0A4C">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kern w:val="2"/>
          <w:sz w:val="24"/>
          <w:szCs w:val="24"/>
          <w:lang w:val="en-US" w:eastAsia="zh-CN"/>
        </w:rPr>
      </w:pPr>
      <w:r>
        <w:rPr>
          <w:rFonts w:hint="eastAsia" w:ascii="宋体" w:hAnsi="宋体" w:eastAsia="宋体" w:cs="宋体"/>
          <w:b/>
          <w:bCs/>
          <w:kern w:val="2"/>
          <w:sz w:val="24"/>
          <w:szCs w:val="24"/>
          <w:lang w:val="en-US" w:eastAsia="zh-CN"/>
        </w:rPr>
        <w:t>四、报价要求：</w:t>
      </w:r>
    </w:p>
    <w:p w14:paraId="40A17EDB">
      <w:pPr>
        <w:spacing w:line="360" w:lineRule="auto"/>
        <w:ind w:firstLine="480" w:firstLineChars="200"/>
        <w:jc w:val="left"/>
        <w:rPr>
          <w:rFonts w:hint="eastAsia" w:ascii="宋体" w:hAnsi="宋体" w:eastAsia="宋体" w:cs="宋体"/>
          <w:kern w:val="21"/>
          <w:sz w:val="24"/>
          <w:szCs w:val="24"/>
          <w:highlight w:val="none"/>
        </w:rPr>
      </w:pPr>
      <w:r>
        <w:rPr>
          <w:rFonts w:hint="eastAsia" w:ascii="宋体" w:hAnsi="宋体" w:eastAsia="宋体" w:cs="宋体"/>
          <w:kern w:val="21"/>
          <w:sz w:val="24"/>
          <w:szCs w:val="24"/>
          <w:highlight w:val="none"/>
        </w:rPr>
        <w:t>1、根据本项目物业管理全部范围，</w:t>
      </w:r>
      <w:r>
        <w:rPr>
          <w:rFonts w:hint="eastAsia" w:ascii="宋体" w:hAnsi="宋体" w:eastAsia="宋体" w:cs="宋体"/>
          <w:kern w:val="21"/>
          <w:sz w:val="24"/>
          <w:szCs w:val="24"/>
          <w:highlight w:val="none"/>
          <w:lang w:val="en-US" w:eastAsia="zh-CN"/>
        </w:rPr>
        <w:t>本项目</w:t>
      </w:r>
      <w:r>
        <w:rPr>
          <w:rFonts w:hint="eastAsia" w:ascii="宋体" w:hAnsi="宋体" w:eastAsia="宋体" w:cs="宋体"/>
          <w:kern w:val="21"/>
          <w:sz w:val="24"/>
          <w:szCs w:val="24"/>
          <w:highlight w:val="none"/>
        </w:rPr>
        <w:t>总价</w:t>
      </w:r>
      <w:r>
        <w:rPr>
          <w:rFonts w:hint="eastAsia" w:ascii="宋体" w:hAnsi="宋体" w:eastAsia="宋体" w:cs="宋体"/>
          <w:kern w:val="21"/>
          <w:sz w:val="24"/>
          <w:szCs w:val="24"/>
          <w:highlight w:val="none"/>
          <w:lang w:val="en-US" w:eastAsia="zh-CN"/>
        </w:rPr>
        <w:t>报价</w:t>
      </w:r>
      <w:r>
        <w:rPr>
          <w:rFonts w:hint="eastAsia" w:ascii="宋体" w:hAnsi="宋体" w:eastAsia="宋体" w:cs="宋体"/>
          <w:kern w:val="21"/>
          <w:sz w:val="24"/>
          <w:szCs w:val="24"/>
          <w:highlight w:val="none"/>
        </w:rPr>
        <w:t>(服务期内的人员工资应由</w:t>
      </w:r>
      <w:r>
        <w:rPr>
          <w:rFonts w:hint="eastAsia" w:ascii="宋体" w:hAnsi="宋体" w:eastAsia="宋体" w:cs="宋体"/>
          <w:kern w:val="21"/>
          <w:sz w:val="24"/>
          <w:szCs w:val="24"/>
          <w:highlight w:val="none"/>
          <w:lang w:eastAsia="zh-CN"/>
        </w:rPr>
        <w:t>成交供应商</w:t>
      </w:r>
      <w:r>
        <w:rPr>
          <w:rFonts w:hint="eastAsia" w:ascii="宋体" w:hAnsi="宋体" w:eastAsia="宋体" w:cs="宋体"/>
          <w:kern w:val="21"/>
          <w:sz w:val="24"/>
          <w:szCs w:val="24"/>
          <w:highlight w:val="none"/>
        </w:rPr>
        <w:t>依据肥西县最低工资标准进行调整，其风险由</w:t>
      </w:r>
      <w:r>
        <w:rPr>
          <w:rFonts w:hint="eastAsia" w:ascii="宋体" w:hAnsi="宋体" w:eastAsia="宋体" w:cs="宋体"/>
          <w:kern w:val="21"/>
          <w:sz w:val="24"/>
          <w:szCs w:val="24"/>
          <w:highlight w:val="none"/>
          <w:lang w:eastAsia="zh-CN"/>
        </w:rPr>
        <w:t>成交供应商</w:t>
      </w:r>
      <w:r>
        <w:rPr>
          <w:rFonts w:hint="eastAsia" w:ascii="宋体" w:hAnsi="宋体" w:eastAsia="宋体" w:cs="宋体"/>
          <w:kern w:val="21"/>
          <w:sz w:val="24"/>
          <w:szCs w:val="24"/>
          <w:highlight w:val="none"/>
        </w:rPr>
        <w:t>自行承担，采购人不再予以加价)。</w:t>
      </w:r>
    </w:p>
    <w:p w14:paraId="6FF861C9">
      <w:pPr>
        <w:pageBreakBefore w:val="0"/>
        <w:widowControl w:val="0"/>
        <w:wordWrap/>
        <w:topLinePunct w:val="0"/>
        <w:bidi w:val="0"/>
        <w:spacing w:after="0" w:line="360" w:lineRule="auto"/>
        <w:ind w:left="0" w:leftChars="0" w:right="0" w:rightChars="0" w:firstLine="480" w:firstLineChars="200"/>
        <w:jc w:val="both"/>
        <w:rPr>
          <w:rFonts w:hint="eastAsia" w:ascii="宋体" w:hAnsi="宋体" w:eastAsia="宋体" w:cs="宋体"/>
          <w:b/>
          <w:bCs/>
          <w:kern w:val="2"/>
          <w:sz w:val="24"/>
          <w:szCs w:val="24"/>
          <w:lang w:val="en-US" w:eastAsia="zh-CN" w:bidi="ar-SA"/>
        </w:rPr>
      </w:pPr>
      <w:r>
        <w:rPr>
          <w:rFonts w:hint="eastAsia" w:ascii="宋体" w:hAnsi="宋体" w:eastAsia="宋体" w:cs="宋体"/>
          <w:kern w:val="21"/>
          <w:sz w:val="24"/>
          <w:szCs w:val="24"/>
          <w:highlight w:val="none"/>
          <w:lang w:val="en-US" w:eastAsia="zh-CN" w:bidi="ar-SA"/>
        </w:rPr>
        <w:t>2、响应报价为完成本次采购项目的全费用价格，其组成包括但不限于人员工资、服装费、办公费、交通费、通讯费、培训费、劳动工具、清洁易耗品、外墙清洗、垃圾外运至就近中转站、消杀、税金、利润、劳动保险费、合同工期内的风险费用等为完成本次响应项目所发生的一切费用。成交供应商自行解决员工养老、失业、医疗、工伤、生育、纳税等保险及劳保、工资、福利、食宿、员工上下班交通、员工日常及节假日加班、成交供应商交通问题及成交供应商为完成服务所发生的一切费用等有关问题。</w:t>
      </w:r>
    </w:p>
    <w:p w14:paraId="5823F3B1">
      <w:pPr>
        <w:pageBreakBefore w:val="0"/>
        <w:widowControl w:val="0"/>
        <w:wordWrap/>
        <w:topLinePunct w:val="0"/>
        <w:bidi w:val="0"/>
        <w:spacing w:after="0" w:line="360" w:lineRule="auto"/>
        <w:ind w:left="0" w:leftChars="0" w:right="0" w:rightChars="0" w:firstLine="482" w:firstLineChars="200"/>
        <w:jc w:val="both"/>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3、政策性费用测算如下：（单位：元）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2820"/>
        <w:gridCol w:w="1125"/>
        <w:gridCol w:w="1290"/>
        <w:gridCol w:w="1005"/>
        <w:gridCol w:w="1516"/>
      </w:tblGrid>
      <w:tr w14:paraId="4DF5F4D5">
        <w:tblPrEx>
          <w:tblCellMar>
            <w:top w:w="0" w:type="dxa"/>
            <w:left w:w="108" w:type="dxa"/>
            <w:bottom w:w="0" w:type="dxa"/>
            <w:right w:w="108" w:type="dxa"/>
          </w:tblCellMar>
        </w:tblPrEx>
        <w:tc>
          <w:tcPr>
            <w:tcW w:w="8522" w:type="dxa"/>
            <w:gridSpan w:val="6"/>
            <w:vAlign w:val="center"/>
          </w:tcPr>
          <w:p w14:paraId="6D9ECD12">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b/>
                <w:bCs/>
                <w:sz w:val="24"/>
                <w:szCs w:val="24"/>
                <w:highlight w:val="none"/>
              </w:rPr>
              <w:t>一般纳税人政策性费用测算：</w:t>
            </w:r>
          </w:p>
        </w:tc>
      </w:tr>
      <w:tr w14:paraId="21BCF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vAlign w:val="center"/>
          </w:tcPr>
          <w:p w14:paraId="0597B9AF">
            <w:pPr>
              <w:spacing w:line="360" w:lineRule="auto"/>
              <w:ind w:firstLine="0" w:firstLineChars="0"/>
              <w:jc w:val="center"/>
              <w:rPr>
                <w:rFonts w:hint="eastAsia" w:ascii="宋体" w:hAnsi="宋体" w:eastAsia="宋体" w:cs="宋体"/>
                <w:sz w:val="24"/>
                <w:szCs w:val="24"/>
                <w:highlight w:val="none"/>
              </w:rPr>
            </w:pPr>
          </w:p>
        </w:tc>
        <w:tc>
          <w:tcPr>
            <w:tcW w:w="2820" w:type="dxa"/>
            <w:vAlign w:val="center"/>
          </w:tcPr>
          <w:p w14:paraId="2DCC748B">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缴费项目</w:t>
            </w:r>
          </w:p>
        </w:tc>
        <w:tc>
          <w:tcPr>
            <w:tcW w:w="1125" w:type="dxa"/>
            <w:vAlign w:val="center"/>
          </w:tcPr>
          <w:p w14:paraId="6DEA8AF1">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人数</w:t>
            </w:r>
          </w:p>
        </w:tc>
        <w:tc>
          <w:tcPr>
            <w:tcW w:w="1290" w:type="dxa"/>
            <w:vAlign w:val="center"/>
          </w:tcPr>
          <w:p w14:paraId="5701B587">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费用</w:t>
            </w:r>
          </w:p>
        </w:tc>
        <w:tc>
          <w:tcPr>
            <w:tcW w:w="1005" w:type="dxa"/>
            <w:vAlign w:val="center"/>
          </w:tcPr>
          <w:p w14:paraId="657EA654">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月</w:t>
            </w:r>
          </w:p>
        </w:tc>
        <w:tc>
          <w:tcPr>
            <w:tcW w:w="1516" w:type="dxa"/>
            <w:vAlign w:val="center"/>
          </w:tcPr>
          <w:p w14:paraId="426B8B22">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小计</w:t>
            </w:r>
          </w:p>
        </w:tc>
      </w:tr>
      <w:tr w14:paraId="09F5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vAlign w:val="center"/>
          </w:tcPr>
          <w:p w14:paraId="13770DDB">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A</w:t>
            </w:r>
          </w:p>
        </w:tc>
        <w:tc>
          <w:tcPr>
            <w:tcW w:w="2820" w:type="dxa"/>
            <w:vAlign w:val="center"/>
          </w:tcPr>
          <w:p w14:paraId="216B0980">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最低人员工资</w:t>
            </w:r>
          </w:p>
        </w:tc>
        <w:tc>
          <w:tcPr>
            <w:tcW w:w="1125" w:type="dxa"/>
            <w:vAlign w:val="center"/>
          </w:tcPr>
          <w:p w14:paraId="05467FC5">
            <w:pPr>
              <w:spacing w:line="360" w:lineRule="auto"/>
              <w:ind w:firstLine="0" w:firstLineChars="0"/>
              <w:jc w:val="center"/>
              <w:rPr>
                <w:rFonts w:hint="default" w:ascii="宋体" w:hAnsi="宋体" w:eastAsia="宋体" w:cs="宋体"/>
                <w:sz w:val="24"/>
                <w:szCs w:val="24"/>
                <w:highlight w:val="none"/>
                <w:lang w:val="en-US" w:eastAsia="zh-CN"/>
              </w:rPr>
            </w:pPr>
            <w:r>
              <w:rPr>
                <w:rFonts w:hint="eastAsia" w:cs="宋体"/>
                <w:sz w:val="24"/>
                <w:szCs w:val="24"/>
                <w:highlight w:val="none"/>
                <w:lang w:val="en-US" w:eastAsia="zh-CN"/>
              </w:rPr>
              <w:t>12</w:t>
            </w:r>
          </w:p>
        </w:tc>
        <w:tc>
          <w:tcPr>
            <w:tcW w:w="1290" w:type="dxa"/>
            <w:vAlign w:val="center"/>
          </w:tcPr>
          <w:p w14:paraId="7A7959A0">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2100</w:t>
            </w:r>
          </w:p>
        </w:tc>
        <w:tc>
          <w:tcPr>
            <w:tcW w:w="1005" w:type="dxa"/>
            <w:vAlign w:val="center"/>
          </w:tcPr>
          <w:p w14:paraId="13F5BBC7">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12</w:t>
            </w:r>
          </w:p>
        </w:tc>
        <w:tc>
          <w:tcPr>
            <w:tcW w:w="1516" w:type="dxa"/>
            <w:vAlign w:val="center"/>
          </w:tcPr>
          <w:p w14:paraId="41938D3D">
            <w:pPr>
              <w:keepNext w:val="0"/>
              <w:keepLines w:val="0"/>
              <w:widowControl/>
              <w:suppressLineNumbers w:val="0"/>
              <w:ind w:left="0" w:leftChars="0" w:firstLine="0" w:firstLineChars="0"/>
              <w:jc w:val="both"/>
              <w:textAlignment w:val="center"/>
              <w:rPr>
                <w:rFonts w:hint="eastAsia" w:ascii="宋体" w:hAnsi="宋体" w:eastAsia="宋体" w:cs="宋体"/>
                <w:sz w:val="24"/>
                <w:szCs w:val="24"/>
                <w:highlight w:val="none"/>
              </w:rPr>
            </w:pPr>
            <w:r>
              <w:rPr>
                <w:rFonts w:hint="eastAsia" w:ascii="宋体" w:hAnsi="宋体" w:eastAsia="宋体" w:cs="宋体"/>
                <w:i w:val="0"/>
                <w:iCs w:val="0"/>
                <w:color w:val="000000"/>
                <w:kern w:val="0"/>
                <w:sz w:val="24"/>
                <w:szCs w:val="24"/>
                <w:u w:val="none"/>
                <w:lang w:val="en-US" w:eastAsia="zh-CN" w:bidi="ar"/>
              </w:rPr>
              <w:t>302400.00</w:t>
            </w:r>
          </w:p>
        </w:tc>
      </w:tr>
      <w:tr w14:paraId="6B8BD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vAlign w:val="center"/>
          </w:tcPr>
          <w:p w14:paraId="5A804CC9">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B</w:t>
            </w:r>
          </w:p>
        </w:tc>
        <w:tc>
          <w:tcPr>
            <w:tcW w:w="2820" w:type="dxa"/>
            <w:vAlign w:val="center"/>
          </w:tcPr>
          <w:p w14:paraId="5ED75B66">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社会保险</w:t>
            </w:r>
          </w:p>
        </w:tc>
        <w:tc>
          <w:tcPr>
            <w:tcW w:w="1125" w:type="dxa"/>
            <w:vAlign w:val="center"/>
          </w:tcPr>
          <w:p w14:paraId="163A824D">
            <w:pPr>
              <w:spacing w:line="360" w:lineRule="auto"/>
              <w:ind w:firstLine="0" w:firstLineChars="0"/>
              <w:jc w:val="center"/>
              <w:rPr>
                <w:rFonts w:hint="default" w:ascii="宋体" w:hAnsi="宋体" w:eastAsia="宋体" w:cs="宋体"/>
                <w:sz w:val="24"/>
                <w:szCs w:val="24"/>
                <w:highlight w:val="none"/>
                <w:lang w:val="en-US" w:eastAsia="zh-CN"/>
              </w:rPr>
            </w:pPr>
            <w:r>
              <w:rPr>
                <w:rFonts w:hint="eastAsia" w:cs="宋体"/>
                <w:sz w:val="24"/>
                <w:szCs w:val="24"/>
                <w:highlight w:val="none"/>
                <w:lang w:val="en-US" w:eastAsia="zh-CN"/>
              </w:rPr>
              <w:t>12</w:t>
            </w:r>
          </w:p>
        </w:tc>
        <w:tc>
          <w:tcPr>
            <w:tcW w:w="1290" w:type="dxa"/>
            <w:vAlign w:val="center"/>
          </w:tcPr>
          <w:p w14:paraId="05CE4BF5">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1004.46</w:t>
            </w:r>
          </w:p>
        </w:tc>
        <w:tc>
          <w:tcPr>
            <w:tcW w:w="1005" w:type="dxa"/>
            <w:vAlign w:val="center"/>
          </w:tcPr>
          <w:p w14:paraId="56F0B6D2">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12</w:t>
            </w:r>
          </w:p>
        </w:tc>
        <w:tc>
          <w:tcPr>
            <w:tcW w:w="1516" w:type="dxa"/>
            <w:vAlign w:val="center"/>
          </w:tcPr>
          <w:p w14:paraId="6196A239">
            <w:pPr>
              <w:keepNext w:val="0"/>
              <w:keepLines w:val="0"/>
              <w:widowControl/>
              <w:suppressLineNumbers w:val="0"/>
              <w:ind w:left="0" w:leftChars="0" w:firstLine="0" w:firstLineChars="0"/>
              <w:jc w:val="both"/>
              <w:textAlignment w:val="center"/>
              <w:rPr>
                <w:rFonts w:hint="eastAsia" w:ascii="宋体" w:hAnsi="宋体" w:eastAsia="宋体" w:cs="宋体"/>
                <w:sz w:val="24"/>
                <w:szCs w:val="24"/>
                <w:highlight w:val="none"/>
              </w:rPr>
            </w:pPr>
            <w:r>
              <w:rPr>
                <w:rFonts w:hint="eastAsia" w:ascii="宋体" w:hAnsi="宋体" w:eastAsia="宋体" w:cs="宋体"/>
                <w:i w:val="0"/>
                <w:iCs w:val="0"/>
                <w:color w:val="000000"/>
                <w:kern w:val="0"/>
                <w:sz w:val="24"/>
                <w:szCs w:val="24"/>
                <w:u w:val="none"/>
                <w:lang w:val="en-US" w:eastAsia="zh-CN" w:bidi="ar"/>
              </w:rPr>
              <w:t>144642.24</w:t>
            </w:r>
          </w:p>
        </w:tc>
      </w:tr>
      <w:tr w14:paraId="3A9DB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vAlign w:val="center"/>
          </w:tcPr>
          <w:p w14:paraId="381F3D52">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C</w:t>
            </w:r>
          </w:p>
        </w:tc>
        <w:tc>
          <w:tcPr>
            <w:tcW w:w="6240" w:type="dxa"/>
            <w:gridSpan w:val="4"/>
            <w:vAlign w:val="center"/>
          </w:tcPr>
          <w:p w14:paraId="324D22BD">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工会教育经费=A*3.5%=A*0.035</w:t>
            </w:r>
          </w:p>
        </w:tc>
        <w:tc>
          <w:tcPr>
            <w:tcW w:w="1516" w:type="dxa"/>
            <w:vAlign w:val="center"/>
          </w:tcPr>
          <w:p w14:paraId="66212988">
            <w:pPr>
              <w:keepNext w:val="0"/>
              <w:keepLines w:val="0"/>
              <w:widowControl/>
              <w:suppressLineNumbers w:val="0"/>
              <w:ind w:left="0" w:leftChars="0" w:firstLine="0" w:firstLineChars="0"/>
              <w:jc w:val="both"/>
              <w:textAlignment w:val="center"/>
              <w:rPr>
                <w:rFonts w:hint="eastAsia" w:ascii="宋体" w:hAnsi="宋体" w:eastAsia="宋体" w:cs="宋体"/>
                <w:sz w:val="24"/>
                <w:szCs w:val="24"/>
                <w:highlight w:val="none"/>
              </w:rPr>
            </w:pPr>
            <w:r>
              <w:rPr>
                <w:rFonts w:hint="eastAsia" w:ascii="宋体" w:hAnsi="宋体" w:eastAsia="宋体" w:cs="宋体"/>
                <w:i w:val="0"/>
                <w:iCs w:val="0"/>
                <w:color w:val="000000"/>
                <w:kern w:val="0"/>
                <w:sz w:val="24"/>
                <w:szCs w:val="24"/>
                <w:u w:val="none"/>
                <w:lang w:val="en-US" w:eastAsia="zh-CN" w:bidi="ar"/>
              </w:rPr>
              <w:t>10584.00</w:t>
            </w:r>
          </w:p>
        </w:tc>
      </w:tr>
      <w:tr w14:paraId="1813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6" w:type="dxa"/>
            <w:gridSpan w:val="5"/>
            <w:vAlign w:val="center"/>
          </w:tcPr>
          <w:p w14:paraId="7020ACB7">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小计（A+B+C）</w:t>
            </w:r>
          </w:p>
        </w:tc>
        <w:tc>
          <w:tcPr>
            <w:tcW w:w="1516" w:type="dxa"/>
            <w:vAlign w:val="center"/>
          </w:tcPr>
          <w:p w14:paraId="1576C55D">
            <w:pPr>
              <w:keepNext w:val="0"/>
              <w:keepLines w:val="0"/>
              <w:widowControl/>
              <w:suppressLineNumbers w:val="0"/>
              <w:ind w:left="0" w:leftChars="0" w:firstLine="0" w:firstLineChars="0"/>
              <w:jc w:val="both"/>
              <w:textAlignment w:val="center"/>
              <w:rPr>
                <w:rFonts w:hint="eastAsia" w:ascii="宋体" w:hAnsi="宋体" w:eastAsia="宋体" w:cs="宋体"/>
                <w:sz w:val="24"/>
                <w:szCs w:val="24"/>
                <w:highlight w:val="none"/>
              </w:rPr>
            </w:pPr>
            <w:r>
              <w:rPr>
                <w:rFonts w:hint="eastAsia" w:ascii="宋体" w:hAnsi="宋体" w:eastAsia="宋体" w:cs="宋体"/>
                <w:i w:val="0"/>
                <w:iCs w:val="0"/>
                <w:color w:val="000000"/>
                <w:kern w:val="0"/>
                <w:sz w:val="24"/>
                <w:szCs w:val="24"/>
                <w:u w:val="none"/>
                <w:lang w:val="en-US" w:eastAsia="zh-CN" w:bidi="ar"/>
              </w:rPr>
              <w:t>457626.24</w:t>
            </w:r>
          </w:p>
        </w:tc>
      </w:tr>
      <w:tr w14:paraId="507BC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vAlign w:val="center"/>
          </w:tcPr>
          <w:p w14:paraId="2BAB0C78">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D</w:t>
            </w:r>
          </w:p>
        </w:tc>
        <w:tc>
          <w:tcPr>
            <w:tcW w:w="6240" w:type="dxa"/>
            <w:gridSpan w:val="4"/>
            <w:vAlign w:val="center"/>
          </w:tcPr>
          <w:p w14:paraId="1211F860">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一般纳税人税金=（A+B+C）*6.72%=（A+B+C）*0.0672</w:t>
            </w:r>
          </w:p>
        </w:tc>
        <w:tc>
          <w:tcPr>
            <w:tcW w:w="1516" w:type="dxa"/>
            <w:vAlign w:val="center"/>
          </w:tcPr>
          <w:p w14:paraId="7AAA862A">
            <w:pPr>
              <w:keepNext w:val="0"/>
              <w:keepLines w:val="0"/>
              <w:widowControl/>
              <w:suppressLineNumbers w:val="0"/>
              <w:ind w:left="0" w:leftChars="0" w:firstLine="0" w:firstLineChars="0"/>
              <w:jc w:val="both"/>
              <w:textAlignment w:val="center"/>
              <w:rPr>
                <w:rFonts w:hint="eastAsia" w:ascii="宋体" w:hAnsi="宋体" w:eastAsia="宋体" w:cs="宋体"/>
                <w:sz w:val="24"/>
                <w:szCs w:val="24"/>
                <w:highlight w:val="none"/>
              </w:rPr>
            </w:pPr>
            <w:r>
              <w:rPr>
                <w:rFonts w:hint="eastAsia" w:ascii="宋体" w:hAnsi="宋体" w:eastAsia="宋体" w:cs="宋体"/>
                <w:i w:val="0"/>
                <w:iCs w:val="0"/>
                <w:color w:val="000000"/>
                <w:kern w:val="0"/>
                <w:sz w:val="24"/>
                <w:szCs w:val="24"/>
                <w:u w:val="none"/>
                <w:lang w:val="en-US" w:eastAsia="zh-CN" w:bidi="ar"/>
              </w:rPr>
              <w:t>30752.48</w:t>
            </w:r>
          </w:p>
        </w:tc>
      </w:tr>
      <w:tr w14:paraId="76FC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6" w:type="dxa"/>
            <w:gridSpan w:val="5"/>
            <w:vAlign w:val="center"/>
          </w:tcPr>
          <w:p w14:paraId="6844694F">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E合计(A+B+C+D)</w:t>
            </w:r>
          </w:p>
        </w:tc>
        <w:tc>
          <w:tcPr>
            <w:tcW w:w="1516" w:type="dxa"/>
            <w:vAlign w:val="center"/>
          </w:tcPr>
          <w:p w14:paraId="163092D5">
            <w:pPr>
              <w:keepNext w:val="0"/>
              <w:keepLines w:val="0"/>
              <w:widowControl/>
              <w:suppressLineNumbers w:val="0"/>
              <w:ind w:left="0" w:leftChars="0" w:firstLine="0" w:firstLineChars="0"/>
              <w:jc w:val="both"/>
              <w:textAlignment w:val="center"/>
              <w:rPr>
                <w:rFonts w:hint="eastAsia" w:ascii="宋体" w:hAnsi="宋体" w:eastAsia="宋体" w:cs="宋体"/>
                <w:sz w:val="24"/>
                <w:szCs w:val="24"/>
                <w:highlight w:val="none"/>
              </w:rPr>
            </w:pPr>
            <w:r>
              <w:rPr>
                <w:rFonts w:hint="eastAsia" w:ascii="宋体" w:hAnsi="宋体" w:eastAsia="宋体" w:cs="宋体"/>
                <w:b/>
                <w:bCs/>
                <w:i w:val="0"/>
                <w:iCs w:val="0"/>
                <w:color w:val="000000"/>
                <w:kern w:val="0"/>
                <w:sz w:val="24"/>
                <w:szCs w:val="24"/>
                <w:u w:val="none"/>
                <w:lang w:val="en-US" w:eastAsia="zh-CN" w:bidi="ar"/>
              </w:rPr>
              <w:t>488378.72</w:t>
            </w:r>
          </w:p>
        </w:tc>
      </w:tr>
      <w:tr w14:paraId="0D10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vAlign w:val="center"/>
          </w:tcPr>
          <w:p w14:paraId="5645FA52">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b/>
                <w:bCs/>
                <w:sz w:val="24"/>
                <w:szCs w:val="24"/>
                <w:highlight w:val="none"/>
              </w:rPr>
              <w:t>小规模纳税人政策性费用测算：</w:t>
            </w:r>
          </w:p>
        </w:tc>
      </w:tr>
      <w:tr w14:paraId="68412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vAlign w:val="center"/>
          </w:tcPr>
          <w:p w14:paraId="65CB1123">
            <w:pPr>
              <w:spacing w:line="360" w:lineRule="auto"/>
              <w:ind w:firstLine="0" w:firstLineChars="0"/>
              <w:jc w:val="center"/>
              <w:rPr>
                <w:rFonts w:hint="eastAsia" w:ascii="宋体" w:hAnsi="宋体" w:eastAsia="宋体" w:cs="宋体"/>
                <w:sz w:val="24"/>
                <w:szCs w:val="24"/>
                <w:highlight w:val="none"/>
              </w:rPr>
            </w:pPr>
          </w:p>
        </w:tc>
        <w:tc>
          <w:tcPr>
            <w:tcW w:w="2820" w:type="dxa"/>
            <w:vAlign w:val="center"/>
          </w:tcPr>
          <w:p w14:paraId="56A91338">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缴费项目</w:t>
            </w:r>
          </w:p>
        </w:tc>
        <w:tc>
          <w:tcPr>
            <w:tcW w:w="1125" w:type="dxa"/>
            <w:vAlign w:val="center"/>
          </w:tcPr>
          <w:p w14:paraId="70798717">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人数</w:t>
            </w:r>
          </w:p>
        </w:tc>
        <w:tc>
          <w:tcPr>
            <w:tcW w:w="1290" w:type="dxa"/>
            <w:vAlign w:val="center"/>
          </w:tcPr>
          <w:p w14:paraId="08B57043">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费用</w:t>
            </w:r>
          </w:p>
        </w:tc>
        <w:tc>
          <w:tcPr>
            <w:tcW w:w="1005" w:type="dxa"/>
            <w:vAlign w:val="center"/>
          </w:tcPr>
          <w:p w14:paraId="5D207D1D">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月</w:t>
            </w:r>
          </w:p>
        </w:tc>
        <w:tc>
          <w:tcPr>
            <w:tcW w:w="1516" w:type="dxa"/>
            <w:vAlign w:val="center"/>
          </w:tcPr>
          <w:p w14:paraId="26C7BDAE">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小计</w:t>
            </w:r>
          </w:p>
        </w:tc>
      </w:tr>
      <w:tr w14:paraId="2CF5F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vAlign w:val="center"/>
          </w:tcPr>
          <w:p w14:paraId="28E8777F">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A</w:t>
            </w:r>
          </w:p>
        </w:tc>
        <w:tc>
          <w:tcPr>
            <w:tcW w:w="2820" w:type="dxa"/>
            <w:vAlign w:val="center"/>
          </w:tcPr>
          <w:p w14:paraId="778A951B">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最低人员工资</w:t>
            </w:r>
          </w:p>
        </w:tc>
        <w:tc>
          <w:tcPr>
            <w:tcW w:w="1125" w:type="dxa"/>
            <w:vAlign w:val="center"/>
          </w:tcPr>
          <w:p w14:paraId="5ECC32BC">
            <w:pPr>
              <w:spacing w:line="360" w:lineRule="auto"/>
              <w:ind w:firstLine="0" w:firstLineChars="0"/>
              <w:jc w:val="center"/>
              <w:rPr>
                <w:rFonts w:hint="default" w:ascii="宋体" w:hAnsi="宋体" w:eastAsia="宋体" w:cs="宋体"/>
                <w:sz w:val="24"/>
                <w:szCs w:val="24"/>
                <w:highlight w:val="none"/>
                <w:lang w:val="en-US" w:eastAsia="zh-CN"/>
              </w:rPr>
            </w:pPr>
            <w:r>
              <w:rPr>
                <w:rFonts w:hint="eastAsia" w:cs="宋体"/>
                <w:sz w:val="24"/>
                <w:szCs w:val="24"/>
                <w:highlight w:val="none"/>
                <w:lang w:val="en-US" w:eastAsia="zh-CN"/>
              </w:rPr>
              <w:t>12</w:t>
            </w:r>
          </w:p>
        </w:tc>
        <w:tc>
          <w:tcPr>
            <w:tcW w:w="1290" w:type="dxa"/>
            <w:vAlign w:val="center"/>
          </w:tcPr>
          <w:p w14:paraId="67777803">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2100</w:t>
            </w:r>
          </w:p>
        </w:tc>
        <w:tc>
          <w:tcPr>
            <w:tcW w:w="1005" w:type="dxa"/>
            <w:vAlign w:val="center"/>
          </w:tcPr>
          <w:p w14:paraId="141565EF">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12</w:t>
            </w:r>
          </w:p>
        </w:tc>
        <w:tc>
          <w:tcPr>
            <w:tcW w:w="1516" w:type="dxa"/>
            <w:vAlign w:val="center"/>
          </w:tcPr>
          <w:p w14:paraId="1FA6FC43">
            <w:pPr>
              <w:keepNext w:val="0"/>
              <w:keepLines w:val="0"/>
              <w:widowControl/>
              <w:suppressLineNumbers w:val="0"/>
              <w:ind w:left="0" w:leftChars="0" w:firstLine="0" w:firstLineChars="0"/>
              <w:jc w:val="both"/>
              <w:textAlignment w:val="center"/>
              <w:rPr>
                <w:rFonts w:hint="eastAsia" w:ascii="宋体" w:hAnsi="宋体" w:eastAsia="宋体" w:cs="宋体"/>
                <w:sz w:val="24"/>
                <w:szCs w:val="24"/>
                <w:highlight w:val="none"/>
              </w:rPr>
            </w:pPr>
            <w:r>
              <w:rPr>
                <w:rFonts w:hint="eastAsia" w:ascii="宋体" w:hAnsi="宋体" w:eastAsia="宋体" w:cs="宋体"/>
                <w:i w:val="0"/>
                <w:iCs w:val="0"/>
                <w:color w:val="000000"/>
                <w:kern w:val="0"/>
                <w:sz w:val="24"/>
                <w:szCs w:val="24"/>
                <w:u w:val="none"/>
                <w:lang w:val="en-US" w:eastAsia="zh-CN" w:bidi="ar"/>
              </w:rPr>
              <w:t xml:space="preserve">302400.00 </w:t>
            </w:r>
          </w:p>
        </w:tc>
      </w:tr>
      <w:tr w14:paraId="2EBA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vAlign w:val="center"/>
          </w:tcPr>
          <w:p w14:paraId="5148A688">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B</w:t>
            </w:r>
          </w:p>
        </w:tc>
        <w:tc>
          <w:tcPr>
            <w:tcW w:w="2820" w:type="dxa"/>
            <w:vAlign w:val="center"/>
          </w:tcPr>
          <w:p w14:paraId="4A321792">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社会保险</w:t>
            </w:r>
          </w:p>
        </w:tc>
        <w:tc>
          <w:tcPr>
            <w:tcW w:w="1125" w:type="dxa"/>
            <w:vAlign w:val="center"/>
          </w:tcPr>
          <w:p w14:paraId="5A25DD50">
            <w:pPr>
              <w:spacing w:line="360" w:lineRule="auto"/>
              <w:ind w:firstLine="0" w:firstLineChars="0"/>
              <w:jc w:val="center"/>
              <w:rPr>
                <w:rFonts w:hint="default" w:ascii="宋体" w:hAnsi="宋体" w:eastAsia="宋体" w:cs="宋体"/>
                <w:sz w:val="24"/>
                <w:szCs w:val="24"/>
                <w:highlight w:val="none"/>
                <w:lang w:val="en-US" w:eastAsia="zh-CN"/>
              </w:rPr>
            </w:pPr>
            <w:r>
              <w:rPr>
                <w:rFonts w:hint="eastAsia" w:cs="宋体"/>
                <w:sz w:val="24"/>
                <w:szCs w:val="24"/>
                <w:highlight w:val="none"/>
                <w:lang w:val="en-US" w:eastAsia="zh-CN"/>
              </w:rPr>
              <w:t>12</w:t>
            </w:r>
          </w:p>
        </w:tc>
        <w:tc>
          <w:tcPr>
            <w:tcW w:w="1290" w:type="dxa"/>
            <w:vAlign w:val="center"/>
          </w:tcPr>
          <w:p w14:paraId="372178EB">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1004.46</w:t>
            </w:r>
          </w:p>
        </w:tc>
        <w:tc>
          <w:tcPr>
            <w:tcW w:w="1005" w:type="dxa"/>
            <w:vAlign w:val="center"/>
          </w:tcPr>
          <w:p w14:paraId="15F497D8">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12</w:t>
            </w:r>
          </w:p>
        </w:tc>
        <w:tc>
          <w:tcPr>
            <w:tcW w:w="1516" w:type="dxa"/>
            <w:vAlign w:val="center"/>
          </w:tcPr>
          <w:p w14:paraId="151A310C">
            <w:pPr>
              <w:keepNext w:val="0"/>
              <w:keepLines w:val="0"/>
              <w:widowControl/>
              <w:suppressLineNumbers w:val="0"/>
              <w:ind w:left="0" w:leftChars="0" w:firstLine="0" w:firstLineChars="0"/>
              <w:jc w:val="both"/>
              <w:textAlignment w:val="center"/>
              <w:rPr>
                <w:rFonts w:hint="eastAsia" w:ascii="宋体" w:hAnsi="宋体" w:eastAsia="宋体" w:cs="宋体"/>
                <w:sz w:val="24"/>
                <w:szCs w:val="24"/>
                <w:highlight w:val="none"/>
              </w:rPr>
            </w:pPr>
            <w:r>
              <w:rPr>
                <w:rFonts w:hint="eastAsia" w:ascii="宋体" w:hAnsi="宋体" w:eastAsia="宋体" w:cs="宋体"/>
                <w:i w:val="0"/>
                <w:iCs w:val="0"/>
                <w:color w:val="000000"/>
                <w:kern w:val="0"/>
                <w:sz w:val="24"/>
                <w:szCs w:val="24"/>
                <w:u w:val="none"/>
                <w:lang w:val="en-US" w:eastAsia="zh-CN" w:bidi="ar"/>
              </w:rPr>
              <w:t xml:space="preserve">144642.24 </w:t>
            </w:r>
          </w:p>
        </w:tc>
      </w:tr>
      <w:tr w14:paraId="18475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vAlign w:val="center"/>
          </w:tcPr>
          <w:p w14:paraId="0A2481AB">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C</w:t>
            </w:r>
          </w:p>
        </w:tc>
        <w:tc>
          <w:tcPr>
            <w:tcW w:w="6240" w:type="dxa"/>
            <w:gridSpan w:val="4"/>
            <w:vAlign w:val="center"/>
          </w:tcPr>
          <w:p w14:paraId="324A6875">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工会教育经费=A*3.5%=A*0.035</w:t>
            </w:r>
          </w:p>
        </w:tc>
        <w:tc>
          <w:tcPr>
            <w:tcW w:w="1516" w:type="dxa"/>
            <w:vAlign w:val="center"/>
          </w:tcPr>
          <w:p w14:paraId="1DEDA253">
            <w:pPr>
              <w:keepNext w:val="0"/>
              <w:keepLines w:val="0"/>
              <w:widowControl/>
              <w:suppressLineNumbers w:val="0"/>
              <w:ind w:left="0" w:leftChars="0" w:firstLine="0" w:firstLineChars="0"/>
              <w:jc w:val="both"/>
              <w:textAlignment w:val="center"/>
              <w:rPr>
                <w:rFonts w:hint="eastAsia" w:ascii="宋体" w:hAnsi="宋体" w:eastAsia="宋体" w:cs="宋体"/>
                <w:sz w:val="24"/>
                <w:szCs w:val="24"/>
                <w:highlight w:val="none"/>
              </w:rPr>
            </w:pPr>
            <w:r>
              <w:rPr>
                <w:rFonts w:hint="eastAsia" w:ascii="宋体" w:hAnsi="宋体" w:eastAsia="宋体" w:cs="宋体"/>
                <w:i w:val="0"/>
                <w:iCs w:val="0"/>
                <w:color w:val="000000"/>
                <w:kern w:val="0"/>
                <w:sz w:val="24"/>
                <w:szCs w:val="24"/>
                <w:u w:val="none"/>
                <w:lang w:val="en-US" w:eastAsia="zh-CN" w:bidi="ar"/>
              </w:rPr>
              <w:t xml:space="preserve">10584.00 </w:t>
            </w:r>
          </w:p>
        </w:tc>
      </w:tr>
      <w:tr w14:paraId="1A38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6" w:type="dxa"/>
            <w:gridSpan w:val="5"/>
            <w:vAlign w:val="center"/>
          </w:tcPr>
          <w:p w14:paraId="423F0836">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小计（A+B+C）</w:t>
            </w:r>
          </w:p>
        </w:tc>
        <w:tc>
          <w:tcPr>
            <w:tcW w:w="1516" w:type="dxa"/>
            <w:vAlign w:val="center"/>
          </w:tcPr>
          <w:p w14:paraId="7A6CF5C1">
            <w:pPr>
              <w:keepNext w:val="0"/>
              <w:keepLines w:val="0"/>
              <w:widowControl/>
              <w:suppressLineNumbers w:val="0"/>
              <w:ind w:left="0" w:leftChars="0" w:firstLine="0" w:firstLineChars="0"/>
              <w:jc w:val="both"/>
              <w:textAlignment w:val="center"/>
              <w:rPr>
                <w:rFonts w:hint="eastAsia" w:ascii="宋体" w:hAnsi="宋体" w:eastAsia="宋体" w:cs="宋体"/>
                <w:sz w:val="24"/>
                <w:szCs w:val="24"/>
                <w:highlight w:val="none"/>
              </w:rPr>
            </w:pPr>
            <w:r>
              <w:rPr>
                <w:rFonts w:hint="eastAsia" w:ascii="宋体" w:hAnsi="宋体" w:eastAsia="宋体" w:cs="宋体"/>
                <w:i w:val="0"/>
                <w:iCs w:val="0"/>
                <w:color w:val="000000"/>
                <w:kern w:val="0"/>
                <w:sz w:val="24"/>
                <w:szCs w:val="24"/>
                <w:u w:val="none"/>
                <w:lang w:val="en-US" w:eastAsia="zh-CN" w:bidi="ar"/>
              </w:rPr>
              <w:t xml:space="preserve">457626.24 </w:t>
            </w:r>
          </w:p>
        </w:tc>
      </w:tr>
      <w:tr w14:paraId="2688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vAlign w:val="center"/>
          </w:tcPr>
          <w:p w14:paraId="0D5C08A5">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D</w:t>
            </w:r>
          </w:p>
        </w:tc>
        <w:tc>
          <w:tcPr>
            <w:tcW w:w="6240" w:type="dxa"/>
            <w:gridSpan w:val="4"/>
            <w:vAlign w:val="center"/>
          </w:tcPr>
          <w:p w14:paraId="1CCDF4C2">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小规模纳税人税金=（A+B+C）*3.36%=（A+B+C）*0.0336</w:t>
            </w:r>
          </w:p>
        </w:tc>
        <w:tc>
          <w:tcPr>
            <w:tcW w:w="1516" w:type="dxa"/>
            <w:vAlign w:val="center"/>
          </w:tcPr>
          <w:p w14:paraId="73A1D88E">
            <w:pPr>
              <w:keepNext w:val="0"/>
              <w:keepLines w:val="0"/>
              <w:widowControl/>
              <w:suppressLineNumbers w:val="0"/>
              <w:ind w:left="0" w:leftChars="0" w:firstLine="0" w:firstLineChars="0"/>
              <w:jc w:val="both"/>
              <w:textAlignment w:val="center"/>
              <w:rPr>
                <w:rFonts w:hint="eastAsia" w:ascii="宋体" w:hAnsi="宋体" w:eastAsia="宋体" w:cs="宋体"/>
                <w:sz w:val="24"/>
                <w:szCs w:val="24"/>
                <w:highlight w:val="none"/>
              </w:rPr>
            </w:pPr>
            <w:r>
              <w:rPr>
                <w:rFonts w:hint="eastAsia" w:ascii="宋体" w:hAnsi="宋体" w:eastAsia="宋体" w:cs="宋体"/>
                <w:i w:val="0"/>
                <w:iCs w:val="0"/>
                <w:color w:val="000000"/>
                <w:kern w:val="0"/>
                <w:sz w:val="24"/>
                <w:szCs w:val="24"/>
                <w:u w:val="none"/>
                <w:lang w:val="en-US" w:eastAsia="zh-CN" w:bidi="ar"/>
              </w:rPr>
              <w:t xml:space="preserve">15376.24 </w:t>
            </w:r>
          </w:p>
        </w:tc>
      </w:tr>
      <w:tr w14:paraId="0E44A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6" w:type="dxa"/>
            <w:gridSpan w:val="5"/>
            <w:vAlign w:val="center"/>
          </w:tcPr>
          <w:p w14:paraId="0BAABF42">
            <w:pPr>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E合计(A+B+C+D)</w:t>
            </w:r>
          </w:p>
        </w:tc>
        <w:tc>
          <w:tcPr>
            <w:tcW w:w="1516" w:type="dxa"/>
            <w:vAlign w:val="center"/>
          </w:tcPr>
          <w:p w14:paraId="5867D7D2">
            <w:pPr>
              <w:keepNext w:val="0"/>
              <w:keepLines w:val="0"/>
              <w:widowControl/>
              <w:suppressLineNumbers w:val="0"/>
              <w:ind w:left="0" w:leftChars="0" w:firstLine="0" w:firstLineChars="0"/>
              <w:jc w:val="both"/>
              <w:textAlignment w:val="center"/>
              <w:rPr>
                <w:rFonts w:hint="eastAsia" w:ascii="宋体" w:hAnsi="宋体" w:eastAsia="宋体" w:cs="宋体"/>
                <w:sz w:val="24"/>
                <w:szCs w:val="24"/>
                <w:highlight w:val="none"/>
              </w:rPr>
            </w:pPr>
            <w:r>
              <w:rPr>
                <w:rFonts w:hint="eastAsia" w:ascii="宋体" w:hAnsi="宋体" w:eastAsia="宋体" w:cs="宋体"/>
                <w:b/>
                <w:bCs/>
                <w:i w:val="0"/>
                <w:iCs w:val="0"/>
                <w:color w:val="000000"/>
                <w:kern w:val="0"/>
                <w:sz w:val="24"/>
                <w:szCs w:val="24"/>
                <w:u w:val="none"/>
                <w:lang w:val="en-US" w:eastAsia="zh-CN" w:bidi="ar"/>
              </w:rPr>
              <w:t xml:space="preserve">473002.48 </w:t>
            </w:r>
          </w:p>
        </w:tc>
      </w:tr>
    </w:tbl>
    <w:p w14:paraId="28E1569E">
      <w:pPr>
        <w:pageBreakBefore w:val="0"/>
        <w:wordWrap/>
        <w:topLinePunct w:val="0"/>
        <w:bidi w:val="0"/>
        <w:adjustRightInd w:val="0"/>
        <w:snapToGrid w:val="0"/>
        <w:spacing w:line="360" w:lineRule="auto"/>
        <w:ind w:left="0" w:leftChars="0" w:right="0" w:rightChars="0" w:firstLine="482" w:firstLineChars="200"/>
        <w:rPr>
          <w:rFonts w:hint="eastAsia" w:ascii="宋体" w:hAnsi="宋体" w:eastAsia="宋体" w:cs="宋体"/>
          <w:b/>
          <w:bCs/>
          <w:kern w:val="2"/>
          <w:sz w:val="24"/>
          <w:szCs w:val="28"/>
        </w:rPr>
      </w:pPr>
      <w:r>
        <w:rPr>
          <w:rFonts w:hint="eastAsia" w:ascii="宋体" w:hAnsi="宋体" w:eastAsia="宋体" w:cs="宋体"/>
          <w:b/>
          <w:kern w:val="0"/>
          <w:sz w:val="24"/>
          <w:lang w:bidi="ar"/>
        </w:rPr>
        <w:t>如供应商以小规模纳税人税金费率报价，</w:t>
      </w:r>
      <w:r>
        <w:rPr>
          <w:rFonts w:hint="eastAsia" w:ascii="宋体" w:hAnsi="宋体" w:eastAsia="宋体" w:cs="宋体"/>
          <w:b/>
          <w:kern w:val="0"/>
          <w:sz w:val="24"/>
          <w:lang w:val="en-US" w:eastAsia="zh-CN" w:bidi="ar"/>
        </w:rPr>
        <w:t>响应</w:t>
      </w:r>
      <w:r>
        <w:rPr>
          <w:rFonts w:hint="eastAsia" w:ascii="宋体" w:hAnsi="宋体" w:eastAsia="宋体" w:cs="宋体"/>
          <w:b/>
          <w:kern w:val="0"/>
          <w:sz w:val="24"/>
          <w:lang w:bidi="ar"/>
        </w:rPr>
        <w:t>文件中须提供税务部门出具的小规模纳税人证明材料（如：企业税种核定材料，官网截图等），否则将导致投标无效。</w:t>
      </w:r>
    </w:p>
    <w:p w14:paraId="5859836A">
      <w:pPr>
        <w:pageBreakBefore w:val="0"/>
        <w:wordWrap/>
        <w:topLinePunct w:val="0"/>
        <w:bidi w:val="0"/>
        <w:spacing w:line="360" w:lineRule="auto"/>
        <w:ind w:left="0" w:leftChars="0" w:right="0" w:rightChars="0" w:firstLine="0" w:firstLineChars="0"/>
        <w:rPr>
          <w:rFonts w:hint="eastAsia" w:ascii="宋体" w:hAnsi="宋体" w:eastAsia="宋体" w:cs="宋体"/>
          <w:kern w:val="2"/>
          <w:sz w:val="24"/>
        </w:rPr>
      </w:pPr>
      <w:r>
        <w:rPr>
          <w:rFonts w:hint="eastAsia" w:ascii="宋体" w:hAnsi="宋体" w:eastAsia="宋体" w:cs="宋体"/>
          <w:b/>
          <w:kern w:val="2"/>
          <w:sz w:val="24"/>
        </w:rPr>
        <w:t>官网查询截图可通过：</w:t>
      </w:r>
      <w:r>
        <w:rPr>
          <w:rFonts w:hint="eastAsia" w:ascii="宋体" w:hAnsi="宋体" w:eastAsia="宋体" w:cs="宋体"/>
          <w:kern w:val="2"/>
          <w:sz w:val="24"/>
        </w:rPr>
        <w:t>如国家税务总局安徽省税务局网站</w:t>
      </w:r>
    </w:p>
    <w:p w14:paraId="5269FDFD">
      <w:pPr>
        <w:pageBreakBefore w:val="0"/>
        <w:wordWrap/>
        <w:topLinePunct w:val="0"/>
        <w:bidi w:val="0"/>
        <w:spacing w:line="360" w:lineRule="auto"/>
        <w:ind w:left="0" w:leftChars="0" w:right="0" w:rightChars="0" w:firstLine="0" w:firstLineChars="0"/>
        <w:rPr>
          <w:rFonts w:hint="eastAsia" w:ascii="宋体" w:hAnsi="宋体" w:eastAsia="宋体" w:cs="宋体"/>
          <w:kern w:val="2"/>
          <w:sz w:val="24"/>
        </w:rPr>
      </w:pPr>
      <w:r>
        <w:rPr>
          <w:rFonts w:hint="eastAsia" w:ascii="宋体" w:hAnsi="宋体" w:eastAsia="宋体" w:cs="宋体"/>
          <w:kern w:val="2"/>
          <w:sz w:val="21"/>
        </w:rPr>
        <w:t>（</w:t>
      </w:r>
      <w:r>
        <w:rPr>
          <w:rFonts w:hint="eastAsia" w:ascii="宋体" w:hAnsi="宋体" w:eastAsia="宋体" w:cs="宋体"/>
          <w:kern w:val="2"/>
          <w:sz w:val="24"/>
        </w:rPr>
        <w:t>https://etax.anhui.chinatax.gov.cn/nsr/wzdk/ybnsrxx?isGsFlag=Y</w:t>
      </w:r>
      <w:r>
        <w:rPr>
          <w:rFonts w:hint="eastAsia" w:ascii="宋体" w:hAnsi="宋体" w:eastAsia="宋体" w:cs="宋体"/>
          <w:kern w:val="2"/>
          <w:sz w:val="21"/>
        </w:rPr>
        <w:t>）</w:t>
      </w:r>
    </w:p>
    <w:p w14:paraId="19A2A8CB">
      <w:pPr>
        <w:pageBreakBefore w:val="0"/>
        <w:widowControl w:val="0"/>
        <w:wordWrap/>
        <w:topLinePunct w:val="0"/>
        <w:bidi w:val="0"/>
        <w:spacing w:after="0" w:line="360" w:lineRule="auto"/>
        <w:ind w:left="0" w:leftChars="0" w:right="0" w:rightChars="0"/>
        <w:jc w:val="left"/>
        <w:rPr>
          <w:rFonts w:hint="eastAsia" w:ascii="宋体" w:hAnsi="宋体" w:eastAsia="宋体" w:cs="宋体"/>
          <w:kern w:val="2"/>
          <w:sz w:val="21"/>
          <w:szCs w:val="24"/>
          <w:lang w:val="zh-CN" w:eastAsia="zh-CN" w:bidi="ar-SA"/>
        </w:rPr>
      </w:pPr>
      <w:r>
        <w:rPr>
          <w:rFonts w:hint="eastAsia" w:ascii="宋体" w:hAnsi="宋体" w:eastAsia="宋体" w:cs="宋体"/>
          <w:kern w:val="2"/>
          <w:sz w:val="21"/>
          <w:szCs w:val="24"/>
          <w:lang w:val="en-US" w:eastAsia="zh-CN" w:bidi="ar-SA"/>
        </w:rPr>
        <w:drawing>
          <wp:inline distT="0" distB="0" distL="114300" distR="114300">
            <wp:extent cx="4820920" cy="2145030"/>
            <wp:effectExtent l="0" t="0" r="1778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
                    <a:stretch>
                      <a:fillRect/>
                    </a:stretch>
                  </pic:blipFill>
                  <pic:spPr>
                    <a:xfrm>
                      <a:off x="0" y="0"/>
                      <a:ext cx="4820920" cy="2145030"/>
                    </a:xfrm>
                    <a:prstGeom prst="rect">
                      <a:avLst/>
                    </a:prstGeom>
                    <a:noFill/>
                    <a:ln>
                      <a:noFill/>
                    </a:ln>
                  </pic:spPr>
                </pic:pic>
              </a:graphicData>
            </a:graphic>
          </wp:inline>
        </w:drawing>
      </w:r>
    </w:p>
    <w:p w14:paraId="445F2A16">
      <w:pPr>
        <w:keepNext w:val="0"/>
        <w:keepLines w:val="0"/>
        <w:pageBreakBefore w:val="0"/>
        <w:widowControl w:val="0"/>
        <w:kinsoku/>
        <w:wordWrap/>
        <w:overflowPunct/>
        <w:topLinePunct w:val="0"/>
        <w:autoSpaceDE/>
        <w:autoSpaceDN/>
        <w:bidi w:val="0"/>
        <w:adjustRightInd/>
        <w:spacing w:after="0" w:line="440" w:lineRule="exact"/>
        <w:ind w:left="0" w:right="0" w:rightChars="0" w:firstLine="480" w:firstLineChars="200"/>
        <w:jc w:val="left"/>
        <w:rPr>
          <w:rFonts w:hint="eastAsia" w:ascii="宋体" w:hAnsi="宋体" w:eastAsia="宋体" w:cs="宋体"/>
          <w:snapToGrid w:val="0"/>
          <w:color w:val="auto"/>
          <w:kern w:val="2"/>
          <w:sz w:val="24"/>
          <w:szCs w:val="24"/>
          <w:lang w:val="zh-CN" w:eastAsia="zh-CN" w:bidi="ar-SA"/>
        </w:rPr>
      </w:pPr>
      <w:r>
        <w:rPr>
          <w:rFonts w:hint="eastAsia" w:ascii="宋体" w:hAnsi="宋体" w:eastAsia="宋体" w:cs="宋体"/>
          <w:snapToGrid w:val="0"/>
          <w:color w:val="auto"/>
          <w:kern w:val="2"/>
          <w:sz w:val="24"/>
          <w:szCs w:val="24"/>
          <w:lang w:val="zh-CN" w:eastAsia="zh-CN" w:bidi="ar-SA"/>
        </w:rPr>
        <w:t>备注：</w:t>
      </w:r>
    </w:p>
    <w:p w14:paraId="45BD49DA">
      <w:pPr>
        <w:keepNext w:val="0"/>
        <w:keepLines w:val="0"/>
        <w:pageBreakBefore w:val="0"/>
        <w:widowControl w:val="0"/>
        <w:kinsoku/>
        <w:wordWrap/>
        <w:overflowPunct/>
        <w:topLinePunct w:val="0"/>
        <w:autoSpaceDE/>
        <w:autoSpaceDN/>
        <w:bidi w:val="0"/>
        <w:adjustRightInd/>
        <w:spacing w:after="0" w:line="440" w:lineRule="exact"/>
        <w:ind w:left="0" w:right="0" w:rightChars="0" w:firstLine="480" w:firstLineChars="200"/>
        <w:jc w:val="left"/>
        <w:rPr>
          <w:rFonts w:hint="eastAsia" w:ascii="宋体" w:hAnsi="宋体" w:eastAsia="宋体" w:cs="宋体"/>
          <w:b/>
          <w:bCs/>
          <w:color w:val="auto"/>
          <w:kern w:val="2"/>
          <w:sz w:val="24"/>
          <w:szCs w:val="24"/>
          <w:lang w:val="zh-CN" w:eastAsia="zh-CN" w:bidi="ar-SA"/>
        </w:rPr>
      </w:pPr>
      <w:r>
        <w:rPr>
          <w:rFonts w:hint="eastAsia" w:ascii="宋体" w:hAnsi="宋体" w:eastAsia="宋体" w:cs="宋体"/>
          <w:color w:val="auto"/>
          <w:kern w:val="2"/>
          <w:sz w:val="24"/>
          <w:szCs w:val="24"/>
          <w:lang w:val="zh-CN" w:eastAsia="zh-CN" w:bidi="ar-SA"/>
        </w:rPr>
        <w:t>1</w:t>
      </w:r>
      <w:r>
        <w:rPr>
          <w:rFonts w:hint="eastAsia" w:ascii="宋体" w:hAnsi="宋体" w:eastAsia="宋体" w:cs="宋体"/>
          <w:b/>
          <w:bCs/>
          <w:color w:val="auto"/>
          <w:kern w:val="2"/>
          <w:sz w:val="24"/>
          <w:szCs w:val="24"/>
          <w:lang w:val="zh-CN" w:eastAsia="zh-CN" w:bidi="ar-SA"/>
        </w:rPr>
        <w:t>）人员工资不低于肥西县最低工资标准（</w:t>
      </w:r>
      <w:r>
        <w:rPr>
          <w:rFonts w:hint="eastAsia" w:ascii="宋体" w:hAnsi="宋体" w:eastAsia="宋体" w:cs="宋体"/>
          <w:b/>
          <w:bCs/>
          <w:color w:val="auto"/>
          <w:kern w:val="2"/>
          <w:sz w:val="24"/>
          <w:szCs w:val="24"/>
          <w:lang w:val="en-US" w:eastAsia="zh-CN" w:bidi="ar-SA"/>
        </w:rPr>
        <w:t>2100</w:t>
      </w:r>
      <w:r>
        <w:rPr>
          <w:rFonts w:hint="eastAsia" w:ascii="宋体" w:hAnsi="宋体" w:eastAsia="宋体" w:cs="宋体"/>
          <w:b/>
          <w:bCs/>
          <w:color w:val="auto"/>
          <w:kern w:val="2"/>
          <w:sz w:val="24"/>
          <w:szCs w:val="24"/>
          <w:lang w:val="zh-CN" w:eastAsia="zh-CN" w:bidi="ar-SA"/>
        </w:rPr>
        <w:t>元/人/月），保险按国家相关规定执行。</w:t>
      </w:r>
    </w:p>
    <w:p w14:paraId="46291232">
      <w:pPr>
        <w:spacing w:line="360" w:lineRule="auto"/>
        <w:ind w:firstLine="480" w:firstLineChars="200"/>
        <w:jc w:val="left"/>
        <w:rPr>
          <w:rFonts w:hint="eastAsia" w:ascii="宋体" w:hAnsi="宋体" w:eastAsia="宋体" w:cs="宋体"/>
          <w:kern w:val="21"/>
          <w:sz w:val="24"/>
          <w:szCs w:val="24"/>
          <w:highlight w:val="none"/>
        </w:rPr>
      </w:pPr>
      <w:r>
        <w:rPr>
          <w:rFonts w:hint="eastAsia" w:ascii="宋体" w:hAnsi="宋体" w:eastAsia="宋体" w:cs="宋体"/>
          <w:kern w:val="21"/>
          <w:sz w:val="24"/>
          <w:szCs w:val="24"/>
          <w:highlight w:val="none"/>
        </w:rPr>
        <w:t>2)社会保险缴费基数最低为</w:t>
      </w:r>
      <w:r>
        <w:rPr>
          <w:rFonts w:hint="eastAsia" w:ascii="宋体" w:hAnsi="宋体" w:eastAsia="宋体" w:cs="宋体"/>
          <w:kern w:val="21"/>
          <w:sz w:val="24"/>
          <w:szCs w:val="24"/>
          <w:highlight w:val="none"/>
          <w:lang w:val="en-US" w:eastAsia="zh-CN"/>
        </w:rPr>
        <w:t>4311</w:t>
      </w:r>
      <w:r>
        <w:rPr>
          <w:rFonts w:hint="eastAsia" w:ascii="宋体" w:hAnsi="宋体" w:eastAsia="宋体" w:cs="宋体"/>
          <w:kern w:val="21"/>
          <w:sz w:val="24"/>
          <w:szCs w:val="24"/>
          <w:highlight w:val="none"/>
        </w:rPr>
        <w:t>元，计算缴费金额以每人每月为基数，即</w:t>
      </w:r>
      <w:r>
        <w:rPr>
          <w:rFonts w:hint="eastAsia" w:ascii="宋体" w:hAnsi="宋体" w:eastAsia="宋体" w:cs="宋体"/>
          <w:kern w:val="21"/>
          <w:sz w:val="24"/>
          <w:szCs w:val="24"/>
          <w:highlight w:val="none"/>
          <w:lang w:val="en-US" w:eastAsia="zh-CN"/>
        </w:rPr>
        <w:t>1004.46</w:t>
      </w:r>
      <w:r>
        <w:rPr>
          <w:rFonts w:hint="eastAsia" w:ascii="宋体" w:hAnsi="宋体" w:eastAsia="宋体" w:cs="宋体"/>
          <w:kern w:val="21"/>
          <w:sz w:val="24"/>
          <w:szCs w:val="24"/>
          <w:highlight w:val="none"/>
        </w:rPr>
        <w:t>元/月。</w:t>
      </w:r>
    </w:p>
    <w:p w14:paraId="0B5E5654">
      <w:pPr>
        <w:keepNext w:val="0"/>
        <w:keepLines w:val="0"/>
        <w:pageBreakBefore w:val="0"/>
        <w:widowControl w:val="0"/>
        <w:kinsoku/>
        <w:wordWrap/>
        <w:overflowPunct/>
        <w:topLinePunct w:val="0"/>
        <w:autoSpaceDE/>
        <w:autoSpaceDN/>
        <w:bidi w:val="0"/>
        <w:adjustRightInd/>
        <w:spacing w:after="0" w:line="440" w:lineRule="exact"/>
        <w:ind w:left="0" w:right="0" w:rightChars="0" w:firstLine="480" w:firstLineChars="200"/>
        <w:jc w:val="left"/>
        <w:rPr>
          <w:rFonts w:hint="eastAsia" w:ascii="宋体" w:hAnsi="宋体" w:eastAsia="宋体" w:cs="宋体"/>
          <w:b/>
          <w:bCs/>
          <w:color w:val="auto"/>
          <w:kern w:val="2"/>
          <w:sz w:val="24"/>
          <w:szCs w:val="24"/>
          <w:lang w:val="zh-CN" w:eastAsia="zh-CN" w:bidi="ar-SA"/>
        </w:rPr>
      </w:pPr>
      <w:r>
        <w:rPr>
          <w:rFonts w:hint="eastAsia" w:ascii="宋体" w:hAnsi="宋体" w:eastAsia="宋体" w:cs="宋体"/>
          <w:kern w:val="21"/>
          <w:sz w:val="24"/>
          <w:szCs w:val="24"/>
          <w:highlight w:val="none"/>
          <w:lang w:val="zh-CN" w:eastAsia="zh-CN" w:bidi="ar-SA"/>
        </w:rPr>
        <w:t>社会保险企业缴纳费用（缴费费率：23.3%）组成为：养老保险16%、工伤保险0.4%、失业保险0.5%、医疗保险6.4%。</w:t>
      </w:r>
    </w:p>
    <w:p w14:paraId="70E34D3B">
      <w:pPr>
        <w:keepNext w:val="0"/>
        <w:keepLines w:val="0"/>
        <w:pageBreakBefore w:val="0"/>
        <w:widowControl w:val="0"/>
        <w:kinsoku/>
        <w:wordWrap/>
        <w:overflowPunct/>
        <w:topLinePunct w:val="0"/>
        <w:autoSpaceDE/>
        <w:autoSpaceDN/>
        <w:bidi w:val="0"/>
        <w:adjustRightInd/>
        <w:spacing w:after="0" w:line="440" w:lineRule="exact"/>
        <w:ind w:left="0" w:right="0" w:rightChars="0" w:firstLine="482" w:firstLineChars="200"/>
        <w:jc w:val="left"/>
        <w:rPr>
          <w:rFonts w:hint="eastAsia" w:ascii="宋体" w:hAnsi="宋体" w:eastAsia="宋体" w:cs="宋体"/>
          <w:b/>
          <w:bCs/>
          <w:color w:val="auto"/>
          <w:kern w:val="2"/>
          <w:sz w:val="24"/>
          <w:szCs w:val="24"/>
          <w:lang w:val="zh-CN" w:eastAsia="zh-CN" w:bidi="ar-SA"/>
        </w:rPr>
      </w:pPr>
      <w:r>
        <w:rPr>
          <w:rFonts w:hint="eastAsia" w:ascii="宋体" w:hAnsi="宋体" w:eastAsia="宋体" w:cs="宋体"/>
          <w:b/>
          <w:bCs/>
          <w:color w:val="auto"/>
          <w:kern w:val="2"/>
          <w:sz w:val="24"/>
          <w:szCs w:val="24"/>
          <w:lang w:val="zh-CN" w:eastAsia="zh-CN" w:bidi="ar-SA"/>
        </w:rPr>
        <w:t>3)请供应商自行核算以上政策性费用，如供应商对以上费用有疑问，请在本项目询问期内提出。如无疑问，</w:t>
      </w:r>
      <w:r>
        <w:rPr>
          <w:rFonts w:hint="eastAsia" w:ascii="宋体" w:hAnsi="宋体" w:eastAsia="宋体" w:cs="宋体"/>
          <w:b/>
          <w:bCs/>
          <w:color w:val="auto"/>
          <w:kern w:val="2"/>
          <w:sz w:val="24"/>
          <w:szCs w:val="24"/>
          <w:lang w:val="en-US" w:eastAsia="zh-CN" w:bidi="ar-SA"/>
        </w:rPr>
        <w:t>响应</w:t>
      </w:r>
      <w:r>
        <w:rPr>
          <w:rFonts w:hint="eastAsia" w:ascii="宋体" w:hAnsi="宋体" w:eastAsia="宋体" w:cs="宋体"/>
          <w:b/>
          <w:bCs/>
          <w:color w:val="auto"/>
          <w:kern w:val="2"/>
          <w:sz w:val="24"/>
          <w:szCs w:val="24"/>
          <w:lang w:val="zh-CN" w:eastAsia="zh-CN" w:bidi="ar-SA"/>
        </w:rPr>
        <w:t>报价应不低于上述</w:t>
      </w:r>
      <w:r>
        <w:rPr>
          <w:rFonts w:hint="eastAsia" w:ascii="宋体" w:hAnsi="宋体" w:eastAsia="宋体" w:cs="宋体"/>
          <w:b/>
          <w:bCs/>
          <w:color w:val="auto"/>
          <w:kern w:val="2"/>
          <w:sz w:val="24"/>
          <w:szCs w:val="24"/>
          <w:lang w:val="en-US" w:eastAsia="zh-CN" w:bidi="ar-SA"/>
        </w:rPr>
        <w:t>政策性费用</w:t>
      </w:r>
      <w:r>
        <w:rPr>
          <w:rFonts w:hint="eastAsia" w:ascii="宋体" w:hAnsi="宋体" w:eastAsia="宋体" w:cs="宋体"/>
          <w:b/>
          <w:bCs/>
          <w:color w:val="auto"/>
          <w:kern w:val="2"/>
          <w:sz w:val="24"/>
          <w:szCs w:val="24"/>
          <w:lang w:val="zh-CN" w:eastAsia="zh-CN" w:bidi="ar-SA"/>
        </w:rPr>
        <w:t>，否则将导致</w:t>
      </w:r>
      <w:r>
        <w:rPr>
          <w:rFonts w:hint="eastAsia" w:ascii="宋体" w:hAnsi="宋体" w:eastAsia="宋体" w:cs="宋体"/>
          <w:b/>
          <w:bCs/>
          <w:color w:val="auto"/>
          <w:kern w:val="2"/>
          <w:sz w:val="24"/>
          <w:szCs w:val="24"/>
          <w:lang w:val="en-US" w:eastAsia="zh-CN" w:bidi="ar-SA"/>
        </w:rPr>
        <w:t>响应</w:t>
      </w:r>
      <w:r>
        <w:rPr>
          <w:rFonts w:hint="eastAsia" w:ascii="宋体" w:hAnsi="宋体" w:eastAsia="宋体" w:cs="宋体"/>
          <w:b/>
          <w:bCs/>
          <w:color w:val="auto"/>
          <w:kern w:val="2"/>
          <w:sz w:val="24"/>
          <w:szCs w:val="24"/>
          <w:lang w:val="zh-CN" w:eastAsia="zh-CN" w:bidi="ar-SA"/>
        </w:rPr>
        <w:t>无效。</w:t>
      </w:r>
    </w:p>
    <w:p w14:paraId="33E105B5">
      <w:pPr>
        <w:keepNext w:val="0"/>
        <w:keepLines w:val="0"/>
        <w:pageBreakBefore w:val="0"/>
        <w:widowControl w:val="0"/>
        <w:kinsoku/>
        <w:wordWrap/>
        <w:overflowPunct/>
        <w:topLinePunct w:val="0"/>
        <w:autoSpaceDE/>
        <w:autoSpaceDN/>
        <w:bidi w:val="0"/>
        <w:adjustRightInd/>
        <w:spacing w:after="0" w:line="440" w:lineRule="exact"/>
        <w:ind w:left="0" w:right="0" w:rightChars="0" w:firstLine="480" w:firstLineChars="200"/>
        <w:jc w:val="left"/>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4)政策性费用不接受赠送及优惠，其他项作为可竞争费用，可由供应商自行报价。</w:t>
      </w:r>
    </w:p>
    <w:p w14:paraId="244A5F1B">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spacing w:val="-2"/>
          <w:kern w:val="2"/>
          <w:sz w:val="24"/>
          <w:szCs w:val="24"/>
          <w:highlight w:val="yellow"/>
          <w:lang w:val="en-US" w:eastAsia="zh-CN" w:bidi="ar-SA"/>
        </w:rPr>
      </w:pPr>
      <w:r>
        <w:rPr>
          <w:rFonts w:hint="eastAsia" w:ascii="宋体" w:hAnsi="宋体" w:eastAsia="宋体" w:cs="宋体"/>
          <w:kern w:val="2"/>
          <w:sz w:val="24"/>
        </w:rPr>
        <w:t>5）</w:t>
      </w:r>
      <w:r>
        <w:rPr>
          <w:rFonts w:hint="eastAsia" w:ascii="宋体" w:hAnsi="宋体" w:eastAsia="宋体" w:cs="宋体"/>
          <w:kern w:val="2"/>
          <w:sz w:val="24"/>
          <w:lang w:eastAsia="zh-CN"/>
        </w:rPr>
        <w:t>供应商</w:t>
      </w:r>
      <w:r>
        <w:rPr>
          <w:rFonts w:hint="eastAsia" w:ascii="宋体" w:hAnsi="宋体" w:eastAsia="宋体" w:cs="宋体"/>
          <w:kern w:val="2"/>
          <w:sz w:val="24"/>
        </w:rPr>
        <w:t>应考虑合同期内政策性费用调整的风险。</w:t>
      </w:r>
      <w:r>
        <w:rPr>
          <w:rFonts w:hint="eastAsia" w:ascii="宋体" w:hAnsi="宋体" w:eastAsia="宋体" w:cs="宋体"/>
          <w:kern w:val="2"/>
          <w:sz w:val="24"/>
          <w:lang w:val="en-US" w:eastAsia="zh-CN"/>
        </w:rPr>
        <w:t>响应</w:t>
      </w:r>
      <w:r>
        <w:rPr>
          <w:rFonts w:hint="eastAsia" w:ascii="宋体" w:hAnsi="宋体" w:eastAsia="宋体" w:cs="宋体"/>
          <w:kern w:val="2"/>
          <w:sz w:val="24"/>
        </w:rPr>
        <w:t>报价应考虑肥西县最低工资标准上调等风险，履约期限内不得以最低工资标准上调以及物价指数上涨等理由增加项目服务费</w:t>
      </w:r>
      <w:r>
        <w:rPr>
          <w:rFonts w:hint="eastAsia" w:ascii="宋体" w:hAnsi="宋体" w:eastAsia="宋体" w:cs="宋体"/>
          <w:kern w:val="2"/>
          <w:sz w:val="24"/>
          <w:lang w:eastAsia="zh-CN"/>
        </w:rPr>
        <w:t>。</w:t>
      </w:r>
    </w:p>
    <w:p w14:paraId="2986F4B2">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（7）成交供应商应遵守国家用工的各项法律法规。必须和其招聘录</w:t>
      </w:r>
      <w:r>
        <w:rPr>
          <w:rFonts w:hint="eastAsia" w:ascii="宋体" w:hAnsi="宋体" w:eastAsia="宋体" w:cs="宋体"/>
          <w:spacing w:val="-1"/>
          <w:kern w:val="2"/>
          <w:sz w:val="24"/>
          <w:szCs w:val="24"/>
          <w:lang w:val="en-US" w:eastAsia="zh-CN" w:bidi="ar-SA"/>
        </w:rPr>
        <w:t>用的所有人员都签订劳务用工合同，所有物业员工</w:t>
      </w:r>
      <w:r>
        <w:rPr>
          <w:rFonts w:hint="eastAsia" w:ascii="宋体" w:hAnsi="宋体" w:eastAsia="宋体" w:cs="宋体"/>
          <w:spacing w:val="-2"/>
          <w:kern w:val="2"/>
          <w:sz w:val="24"/>
          <w:szCs w:val="24"/>
          <w:lang w:val="en-US" w:eastAsia="zh-CN" w:bidi="ar-SA"/>
        </w:rPr>
        <w:t>的工资、养老、医疗、工伤、失业、</w:t>
      </w:r>
      <w:r>
        <w:rPr>
          <w:rFonts w:hint="eastAsia" w:ascii="宋体" w:hAnsi="宋体" w:eastAsia="宋体" w:cs="宋体"/>
          <w:spacing w:val="-3"/>
          <w:kern w:val="2"/>
          <w:sz w:val="24"/>
          <w:szCs w:val="24"/>
          <w:lang w:val="en-US" w:eastAsia="zh-CN" w:bidi="ar-SA"/>
        </w:rPr>
        <w:t>生育等保险费用以及其他的一切工资福利待遇，都由成交供应商</w:t>
      </w:r>
      <w:r>
        <w:rPr>
          <w:rFonts w:hint="eastAsia" w:ascii="宋体" w:hAnsi="宋体" w:eastAsia="宋体" w:cs="宋体"/>
          <w:spacing w:val="-4"/>
          <w:kern w:val="2"/>
          <w:sz w:val="24"/>
          <w:szCs w:val="24"/>
          <w:lang w:val="en-US" w:eastAsia="zh-CN" w:bidi="ar-SA"/>
        </w:rPr>
        <w:t>负责支付，并遵</w:t>
      </w:r>
      <w:r>
        <w:rPr>
          <w:rFonts w:hint="eastAsia" w:ascii="宋体" w:hAnsi="宋体" w:eastAsia="宋体" w:cs="宋体"/>
          <w:spacing w:val="-3"/>
          <w:kern w:val="2"/>
          <w:sz w:val="24"/>
          <w:szCs w:val="24"/>
          <w:lang w:val="en-US" w:eastAsia="zh-CN" w:bidi="ar-SA"/>
        </w:rPr>
        <w:t>守《中华人民共和国劳动法》规定，不得拖欠员工工资；在工作</w:t>
      </w:r>
      <w:r>
        <w:rPr>
          <w:rFonts w:hint="eastAsia" w:ascii="宋体" w:hAnsi="宋体" w:eastAsia="宋体" w:cs="宋体"/>
          <w:spacing w:val="-4"/>
          <w:kern w:val="2"/>
          <w:sz w:val="24"/>
          <w:szCs w:val="24"/>
          <w:lang w:val="en-US" w:eastAsia="zh-CN" w:bidi="ar-SA"/>
        </w:rPr>
        <w:t>期间如发生伤亡</w:t>
      </w:r>
      <w:r>
        <w:rPr>
          <w:rFonts w:hint="eastAsia" w:ascii="宋体" w:hAnsi="宋体" w:eastAsia="宋体" w:cs="宋体"/>
          <w:spacing w:val="-1"/>
          <w:kern w:val="2"/>
          <w:sz w:val="24"/>
          <w:szCs w:val="24"/>
          <w:lang w:val="en-US" w:eastAsia="zh-CN" w:bidi="ar-SA"/>
        </w:rPr>
        <w:t>事故等，由成交供应商负责处理，并承担相关责任。</w:t>
      </w:r>
    </w:p>
    <w:p w14:paraId="6746D071">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（8）成交供应商因管理不善或物业工作人员操作失误造成人员伤亡</w:t>
      </w:r>
      <w:r>
        <w:rPr>
          <w:rFonts w:hint="eastAsia" w:ascii="宋体" w:hAnsi="宋体" w:eastAsia="宋体" w:cs="宋体"/>
          <w:spacing w:val="-1"/>
          <w:kern w:val="2"/>
          <w:sz w:val="24"/>
          <w:szCs w:val="24"/>
          <w:lang w:val="en-US" w:eastAsia="zh-CN" w:bidi="ar-SA"/>
        </w:rPr>
        <w:t>或财产</w:t>
      </w:r>
      <w:r>
        <w:rPr>
          <w:rFonts w:hint="eastAsia" w:ascii="宋体" w:hAnsi="宋体" w:eastAsia="宋体" w:cs="宋体"/>
          <w:kern w:val="2"/>
          <w:sz w:val="24"/>
          <w:szCs w:val="24"/>
          <w:lang w:val="en-US" w:eastAsia="zh-CN" w:bidi="ar-SA"/>
        </w:rPr>
        <w:t>损失，由成交供应商承担全部赔偿责任，采购人有</w:t>
      </w:r>
      <w:r>
        <w:rPr>
          <w:rFonts w:hint="eastAsia" w:ascii="宋体" w:hAnsi="宋体" w:eastAsia="宋体" w:cs="宋体"/>
          <w:spacing w:val="-1"/>
          <w:kern w:val="2"/>
          <w:sz w:val="24"/>
          <w:szCs w:val="24"/>
          <w:lang w:val="en-US" w:eastAsia="zh-CN" w:bidi="ar-SA"/>
        </w:rPr>
        <w:t>权追究供应商违约责任。</w:t>
      </w:r>
    </w:p>
    <w:p w14:paraId="74195D71">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（9）采购人对成交供应商定期进行满意度调查，不定期进行工作抽</w:t>
      </w:r>
      <w:r>
        <w:rPr>
          <w:rFonts w:hint="eastAsia" w:ascii="宋体" w:hAnsi="宋体" w:eastAsia="宋体" w:cs="宋体"/>
          <w:spacing w:val="-1"/>
          <w:kern w:val="2"/>
          <w:sz w:val="24"/>
          <w:szCs w:val="24"/>
          <w:lang w:val="en-US" w:eastAsia="zh-CN" w:bidi="ar-SA"/>
        </w:rPr>
        <w:t>查，并</w:t>
      </w:r>
      <w:r>
        <w:rPr>
          <w:rFonts w:hint="eastAsia" w:ascii="宋体" w:hAnsi="宋体" w:eastAsia="宋体" w:cs="宋体"/>
          <w:spacing w:val="-3"/>
          <w:kern w:val="2"/>
          <w:sz w:val="24"/>
          <w:szCs w:val="24"/>
          <w:lang w:val="en-US" w:eastAsia="zh-CN" w:bidi="ar-SA"/>
        </w:rPr>
        <w:t>组织相关人员进行考核并公示，考核不合格，进行约谈，可视</w:t>
      </w:r>
      <w:r>
        <w:rPr>
          <w:rFonts w:hint="eastAsia" w:ascii="宋体" w:hAnsi="宋体" w:eastAsia="宋体" w:cs="宋体"/>
          <w:spacing w:val="-4"/>
          <w:kern w:val="2"/>
          <w:sz w:val="24"/>
          <w:szCs w:val="24"/>
          <w:lang w:val="en-US" w:eastAsia="zh-CN" w:bidi="ar-SA"/>
        </w:rPr>
        <w:t>情况追究供应商违</w:t>
      </w:r>
      <w:r>
        <w:rPr>
          <w:rFonts w:hint="eastAsia" w:ascii="宋体" w:hAnsi="宋体" w:eastAsia="宋体" w:cs="宋体"/>
          <w:spacing w:val="-3"/>
          <w:kern w:val="2"/>
          <w:sz w:val="24"/>
          <w:szCs w:val="24"/>
          <w:lang w:val="en-US" w:eastAsia="zh-CN" w:bidi="ar-SA"/>
        </w:rPr>
        <w:t>约责任。成交供应商在物业管理中，如出现安全事故、严重违</w:t>
      </w:r>
      <w:r>
        <w:rPr>
          <w:rFonts w:hint="eastAsia" w:ascii="宋体" w:hAnsi="宋体" w:eastAsia="宋体" w:cs="宋体"/>
          <w:spacing w:val="-4"/>
          <w:kern w:val="2"/>
          <w:sz w:val="24"/>
          <w:szCs w:val="24"/>
          <w:lang w:val="en-US" w:eastAsia="zh-CN" w:bidi="ar-SA"/>
        </w:rPr>
        <w:t>约行为或考评结果</w:t>
      </w:r>
      <w:r>
        <w:rPr>
          <w:rFonts w:hint="eastAsia" w:ascii="宋体" w:hAnsi="宋体" w:eastAsia="宋体" w:cs="宋体"/>
          <w:spacing w:val="-1"/>
          <w:kern w:val="2"/>
          <w:sz w:val="24"/>
          <w:szCs w:val="24"/>
          <w:lang w:val="en-US" w:eastAsia="zh-CN" w:bidi="ar-SA"/>
        </w:rPr>
        <w:t>严重达不到要求的情况，采购人有权追究供应商违约责任。</w:t>
      </w:r>
    </w:p>
    <w:p w14:paraId="760370EE">
      <w:pPr>
        <w:keepNext w:val="0"/>
        <w:keepLines w:val="0"/>
        <w:pageBreakBefore w:val="0"/>
        <w:widowControl w:val="0"/>
        <w:kinsoku/>
        <w:wordWrap/>
        <w:overflowPunct/>
        <w:topLinePunct w:val="0"/>
        <w:autoSpaceDE/>
        <w:autoSpaceDN/>
        <w:bidi w:val="0"/>
        <w:adjustRightInd/>
        <w:snapToGrid/>
        <w:spacing w:line="520" w:lineRule="exact"/>
        <w:ind w:left="0" w:right="0" w:firstLine="464"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spacing w:val="-4"/>
          <w:kern w:val="2"/>
          <w:sz w:val="24"/>
          <w:szCs w:val="24"/>
          <w:lang w:val="en-US" w:eastAsia="zh-CN" w:bidi="ar-SA"/>
        </w:rPr>
        <w:t>（10）成交供应商自行承担物业员工的养老、失业、医疗、工伤、生育等保</w:t>
      </w:r>
      <w:r>
        <w:rPr>
          <w:rFonts w:hint="eastAsia" w:ascii="宋体" w:hAnsi="宋体" w:eastAsia="宋体" w:cs="宋体"/>
          <w:spacing w:val="-8"/>
          <w:kern w:val="2"/>
          <w:sz w:val="24"/>
          <w:szCs w:val="24"/>
          <w:lang w:val="en-US" w:eastAsia="zh-CN" w:bidi="ar-SA"/>
        </w:rPr>
        <w:t>险费用的缴纳及自行解决物业员工的劳保、工资、福利、食宿、交通等有关问题。成交供应商用工必须按照中华人民共和国《中华人民共和国劳动法》的规定执行，</w:t>
      </w:r>
      <w:r>
        <w:rPr>
          <w:rFonts w:hint="eastAsia" w:ascii="宋体" w:hAnsi="宋体" w:eastAsia="宋体" w:cs="宋体"/>
          <w:spacing w:val="-3"/>
          <w:kern w:val="2"/>
          <w:sz w:val="24"/>
          <w:szCs w:val="24"/>
          <w:lang w:val="en-US" w:eastAsia="zh-CN" w:bidi="ar-SA"/>
        </w:rPr>
        <w:t>如遇到劳资纠纷等问题一律由成交供应商自行解决，并不得</w:t>
      </w:r>
      <w:r>
        <w:rPr>
          <w:rFonts w:hint="eastAsia" w:ascii="宋体" w:hAnsi="宋体" w:eastAsia="宋体" w:cs="宋体"/>
          <w:spacing w:val="-4"/>
          <w:kern w:val="2"/>
          <w:sz w:val="24"/>
          <w:szCs w:val="24"/>
          <w:lang w:val="en-US" w:eastAsia="zh-CN" w:bidi="ar-SA"/>
        </w:rPr>
        <w:t>降低对采购人物业服</w:t>
      </w:r>
      <w:r>
        <w:rPr>
          <w:rFonts w:hint="eastAsia" w:ascii="宋体" w:hAnsi="宋体" w:eastAsia="宋体" w:cs="宋体"/>
          <w:spacing w:val="-3"/>
          <w:kern w:val="2"/>
          <w:sz w:val="24"/>
          <w:szCs w:val="24"/>
          <w:lang w:val="en-US" w:eastAsia="zh-CN" w:bidi="ar-SA"/>
        </w:rPr>
        <w:t>务质量。</w:t>
      </w:r>
    </w:p>
    <w:p w14:paraId="6A9A71FB">
      <w:pPr>
        <w:keepNext w:val="0"/>
        <w:keepLines w:val="0"/>
        <w:pageBreakBefore w:val="0"/>
        <w:widowControl w:val="0"/>
        <w:kinsoku/>
        <w:wordWrap/>
        <w:overflowPunct/>
        <w:topLinePunct w:val="0"/>
        <w:autoSpaceDE/>
        <w:autoSpaceDN/>
        <w:bidi w:val="0"/>
        <w:adjustRightInd/>
        <w:snapToGrid/>
        <w:spacing w:line="520" w:lineRule="exact"/>
        <w:ind w:left="0" w:right="0" w:firstLine="476"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spacing w:val="-1"/>
          <w:kern w:val="2"/>
          <w:sz w:val="24"/>
          <w:szCs w:val="24"/>
          <w:lang w:val="en-US" w:eastAsia="zh-CN" w:bidi="ar-SA"/>
        </w:rPr>
        <w:t>（11）其他未尽事宜，按《合肥市物业管理若干规定》执行。</w:t>
      </w:r>
    </w:p>
    <w:p w14:paraId="26DCCB20">
      <w:pPr>
        <w:rPr>
          <w:rFonts w:hint="eastAsia" w:ascii="宋体" w:hAnsi="宋体" w:eastAsia="宋体" w:cs="宋体"/>
          <w:spacing w:val="-1"/>
          <w:kern w:val="2"/>
          <w:sz w:val="24"/>
          <w:szCs w:val="24"/>
        </w:rPr>
      </w:pPr>
      <w:r>
        <w:rPr>
          <w:rFonts w:hint="eastAsia" w:ascii="宋体" w:hAnsi="宋体" w:eastAsia="宋体" w:cs="宋体"/>
          <w:spacing w:val="-4"/>
          <w:kern w:val="2"/>
          <w:sz w:val="24"/>
          <w:szCs w:val="24"/>
        </w:rPr>
        <w:t>（12）供应商应自行踏勘服务现场，如供应商因未及时踏勘现场而导致的投</w:t>
      </w:r>
      <w:r>
        <w:rPr>
          <w:rFonts w:hint="eastAsia" w:ascii="宋体" w:hAnsi="宋体" w:eastAsia="宋体" w:cs="宋体"/>
          <w:spacing w:val="-1"/>
          <w:kern w:val="2"/>
          <w:sz w:val="24"/>
          <w:szCs w:val="24"/>
        </w:rPr>
        <w:t>标报价缺项漏项或成交后无法兑现服务，供应商自行承担一切后果。</w:t>
      </w:r>
    </w:p>
    <w:p w14:paraId="0A4A5370">
      <w:pPr>
        <w:rPr>
          <w:rFonts w:hint="eastAsia" w:ascii="宋体" w:hAnsi="宋体" w:eastAsia="宋体" w:cs="宋体"/>
          <w:spacing w:val="-1"/>
          <w:kern w:val="2"/>
          <w:sz w:val="24"/>
          <w:szCs w:val="24"/>
        </w:rPr>
      </w:pPr>
    </w:p>
    <w:p w14:paraId="4A09D322">
      <w:pPr>
        <w:rPr>
          <w:rFonts w:hint="eastAsia" w:ascii="宋体" w:hAnsi="宋体" w:eastAsia="宋体" w:cs="宋体"/>
          <w:kern w:val="2"/>
          <w:sz w:val="24"/>
        </w:rPr>
      </w:pPr>
      <w:r>
        <w:rPr>
          <w:rFonts w:hint="eastAsia" w:ascii="宋体" w:hAnsi="宋体" w:eastAsia="宋体" w:cs="宋体"/>
          <w:kern w:val="2"/>
          <w:sz w:val="24"/>
        </w:rPr>
        <w:t>。</w:t>
      </w:r>
    </w:p>
    <w:p w14:paraId="4504822F">
      <w:pPr>
        <w:pStyle w:val="2"/>
        <w:rPr>
          <w:rFonts w:hint="eastAsia" w:ascii="宋体" w:hAnsi="宋体" w:eastAsia="宋体" w:cs="宋体"/>
          <w:kern w:val="2"/>
          <w:sz w:val="24"/>
        </w:rPr>
      </w:pPr>
    </w:p>
    <w:p w14:paraId="6F41C82F">
      <w:pPr>
        <w:rPr>
          <w:rFonts w:hint="eastAsia" w:ascii="宋体" w:hAnsi="宋体" w:eastAsia="宋体" w:cs="宋体"/>
          <w:kern w:val="2"/>
          <w:sz w:val="24"/>
        </w:rPr>
      </w:pPr>
    </w:p>
    <w:p w14:paraId="669D66B9">
      <w:pPr>
        <w:pStyle w:val="2"/>
        <w:rPr>
          <w:rFonts w:hint="eastAsia" w:ascii="宋体" w:hAnsi="宋体" w:eastAsia="宋体" w:cs="宋体"/>
          <w:kern w:val="2"/>
          <w:sz w:val="24"/>
        </w:rPr>
      </w:pPr>
    </w:p>
    <w:p w14:paraId="017822C5">
      <w:pPr>
        <w:rPr>
          <w:rFonts w:hint="eastAsia" w:ascii="宋体" w:hAnsi="宋体" w:eastAsia="宋体" w:cs="宋体"/>
          <w:kern w:val="2"/>
          <w:sz w:val="24"/>
        </w:rPr>
      </w:pPr>
    </w:p>
    <w:p w14:paraId="03E9A0C1">
      <w:pPr>
        <w:pStyle w:val="2"/>
        <w:rPr>
          <w:rFonts w:hint="eastAsia" w:ascii="宋体" w:hAnsi="宋体" w:eastAsia="宋体" w:cs="宋体"/>
          <w:kern w:val="2"/>
          <w:sz w:val="24"/>
        </w:rPr>
      </w:pPr>
    </w:p>
    <w:p w14:paraId="4E19D5C1">
      <w:pPr>
        <w:rPr>
          <w:rFonts w:hint="eastAsia" w:ascii="宋体" w:hAnsi="宋体" w:eastAsia="宋体" w:cs="宋体"/>
          <w:kern w:val="2"/>
          <w:sz w:val="24"/>
        </w:rPr>
      </w:pPr>
    </w:p>
    <w:p w14:paraId="0598DD82">
      <w:pPr>
        <w:pStyle w:val="2"/>
        <w:rPr>
          <w:rFonts w:hint="eastAsia" w:ascii="宋体" w:hAnsi="宋体" w:eastAsia="宋体" w:cs="宋体"/>
          <w:kern w:val="2"/>
          <w:sz w:val="24"/>
        </w:rPr>
      </w:pPr>
    </w:p>
    <w:p w14:paraId="4ABB5668">
      <w:pPr>
        <w:rPr>
          <w:rFonts w:hint="eastAsia" w:ascii="宋体" w:hAnsi="宋体" w:eastAsia="宋体" w:cs="宋体"/>
          <w:kern w:val="2"/>
          <w:sz w:val="24"/>
        </w:rPr>
      </w:pPr>
    </w:p>
    <w:p w14:paraId="104C56CC">
      <w:pPr>
        <w:pStyle w:val="2"/>
        <w:rPr>
          <w:rFonts w:hint="eastAsia" w:ascii="宋体" w:hAnsi="宋体" w:eastAsia="宋体" w:cs="宋体"/>
          <w:kern w:val="2"/>
          <w:sz w:val="24"/>
        </w:rPr>
      </w:pPr>
    </w:p>
    <w:p w14:paraId="085000C9">
      <w:pPr>
        <w:rPr>
          <w:rFonts w:hint="eastAsia" w:ascii="宋体" w:hAnsi="宋体" w:eastAsia="宋体" w:cs="宋体"/>
          <w:kern w:val="2"/>
          <w:sz w:val="24"/>
        </w:rPr>
      </w:pPr>
    </w:p>
    <w:p w14:paraId="5D801CD0">
      <w:pPr>
        <w:pStyle w:val="2"/>
        <w:rPr>
          <w:rFonts w:hint="eastAsia"/>
          <w:lang w:val="en-US" w:eastAsia="zh-CN"/>
        </w:rPr>
      </w:pPr>
    </w:p>
    <w:bookmarkEnd w:id="10"/>
    <w:p w14:paraId="253A57EA">
      <w:pPr>
        <w:spacing w:before="312" w:beforeLines="100"/>
        <w:ind w:firstLine="562"/>
        <w:jc w:val="center"/>
        <w:outlineLvl w:val="1"/>
        <w:rPr>
          <w:rFonts w:asciiTheme="minorEastAsia" w:hAnsiTheme="minorEastAsia" w:eastAsiaTheme="minorEastAsia"/>
          <w:b/>
          <w:sz w:val="28"/>
          <w:highlight w:val="none"/>
        </w:rPr>
      </w:pPr>
      <w:bookmarkStart w:id="11" w:name="_Toc8991"/>
      <w:r>
        <w:rPr>
          <w:rFonts w:hint="eastAsia" w:asciiTheme="minorEastAsia" w:hAnsiTheme="minorEastAsia" w:eastAsiaTheme="minorEastAsia"/>
          <w:b/>
          <w:sz w:val="28"/>
          <w:highlight w:val="none"/>
        </w:rPr>
        <w:t>第四章  评审方法和标准</w:t>
      </w:r>
      <w:bookmarkEnd w:id="11"/>
    </w:p>
    <w:p w14:paraId="7A9CD2C4">
      <w:pPr>
        <w:ind w:firstLine="482"/>
        <w:outlineLvl w:val="2"/>
        <w:rPr>
          <w:rFonts w:asciiTheme="minorEastAsia" w:hAnsiTheme="minorEastAsia" w:eastAsiaTheme="minorEastAsia"/>
          <w:b/>
          <w:highlight w:val="none"/>
        </w:rPr>
      </w:pPr>
      <w:r>
        <w:rPr>
          <w:rFonts w:hint="eastAsia" w:asciiTheme="minorEastAsia" w:hAnsiTheme="minorEastAsia" w:eastAsiaTheme="minorEastAsia"/>
          <w:b/>
          <w:highlight w:val="none"/>
        </w:rPr>
        <w:t>一、总则</w:t>
      </w:r>
    </w:p>
    <w:p w14:paraId="4618370E">
      <w:pPr>
        <w:ind w:firstLine="480"/>
        <w:rPr>
          <w:rFonts w:asciiTheme="minorEastAsia" w:hAnsiTheme="minorEastAsia" w:eastAsiaTheme="minorEastAsia"/>
          <w:highlight w:val="none"/>
        </w:rPr>
      </w:pPr>
      <w:r>
        <w:rPr>
          <w:rFonts w:hint="eastAsia" w:asciiTheme="minorEastAsia" w:hAnsiTheme="minorEastAsia" w:eastAsiaTheme="minorEastAsia"/>
          <w:highlight w:val="none"/>
        </w:rPr>
        <w:t>本项目采用综合评分法评审，响应文件满足磋商文件全部实质性要求且按评审因素的量化指标评审得分最高的供应商为成交候选人的评审方法。</w:t>
      </w:r>
    </w:p>
    <w:p w14:paraId="1904D058">
      <w:pPr>
        <w:ind w:firstLine="482"/>
        <w:outlineLvl w:val="2"/>
        <w:rPr>
          <w:rFonts w:asciiTheme="minorEastAsia" w:hAnsiTheme="minorEastAsia" w:eastAsiaTheme="minorEastAsia"/>
          <w:b/>
          <w:highlight w:val="none"/>
        </w:rPr>
      </w:pPr>
      <w:r>
        <w:rPr>
          <w:rFonts w:hint="eastAsia" w:asciiTheme="minorEastAsia" w:hAnsiTheme="minorEastAsia" w:eastAsiaTheme="minorEastAsia"/>
          <w:b/>
          <w:highlight w:val="none"/>
        </w:rPr>
        <w:t>二、评审方法</w:t>
      </w:r>
    </w:p>
    <w:p w14:paraId="59E1C185">
      <w:pPr>
        <w:ind w:firstLine="480"/>
        <w:rPr>
          <w:rFonts w:asciiTheme="minorEastAsia" w:hAnsiTheme="minorEastAsia" w:eastAsiaTheme="minorEastAsia"/>
          <w:highlight w:val="none"/>
        </w:rPr>
      </w:pPr>
      <w:r>
        <w:rPr>
          <w:rFonts w:hint="eastAsia" w:asciiTheme="minorEastAsia" w:hAnsiTheme="minorEastAsia" w:eastAsiaTheme="minorEastAsia"/>
          <w:highlight w:val="none"/>
        </w:rPr>
        <w:t>2.1初审</w:t>
      </w:r>
    </w:p>
    <w:p w14:paraId="71207D74">
      <w:pPr>
        <w:ind w:firstLine="480"/>
        <w:rPr>
          <w:rFonts w:asciiTheme="minorEastAsia" w:hAnsiTheme="minorEastAsia" w:eastAsiaTheme="minorEastAsia"/>
          <w:highlight w:val="none"/>
        </w:rPr>
      </w:pPr>
      <w:r>
        <w:rPr>
          <w:rFonts w:hint="eastAsia" w:asciiTheme="minorEastAsia" w:hAnsiTheme="minorEastAsia" w:eastAsiaTheme="minorEastAsia"/>
          <w:highlight w:val="none"/>
        </w:rPr>
        <w:t>评审委员会对供应商的响应文件进行初审，以确定其是否满足磋商文件的实质性要求。初审表如下：</w:t>
      </w:r>
    </w:p>
    <w:tbl>
      <w:tblPr>
        <w:tblStyle w:val="13"/>
        <w:tblW w:w="52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3"/>
        <w:gridCol w:w="2763"/>
        <w:gridCol w:w="5261"/>
      </w:tblGrid>
      <w:tr w14:paraId="1439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5000" w:type="pct"/>
            <w:gridSpan w:val="3"/>
            <w:tcBorders>
              <w:bottom w:val="single" w:color="auto" w:sz="4" w:space="0"/>
            </w:tcBorders>
            <w:vAlign w:val="center"/>
          </w:tcPr>
          <w:p w14:paraId="2CB7F968">
            <w:pPr>
              <w:adjustRightInd w:val="0"/>
              <w:snapToGrid w:val="0"/>
              <w:ind w:right="-10" w:firstLine="482"/>
              <w:jc w:val="center"/>
              <w:rPr>
                <w:rFonts w:ascii="Calibri" w:hAnsi="Calibri" w:cs="Times New Roman"/>
                <w:b/>
                <w:kern w:val="2"/>
                <w:szCs w:val="22"/>
                <w:highlight w:val="none"/>
              </w:rPr>
            </w:pPr>
            <w:r>
              <w:rPr>
                <w:rFonts w:hint="eastAsia" w:ascii="Calibri" w:hAnsi="Calibri" w:cs="Times New Roman"/>
                <w:b/>
                <w:kern w:val="2"/>
                <w:szCs w:val="22"/>
                <w:highlight w:val="none"/>
              </w:rPr>
              <w:t>初审表</w:t>
            </w:r>
          </w:p>
        </w:tc>
      </w:tr>
      <w:tr w14:paraId="212E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481" w:type="pct"/>
            <w:tcBorders>
              <w:bottom w:val="single" w:color="auto" w:sz="4" w:space="0"/>
            </w:tcBorders>
            <w:vAlign w:val="center"/>
          </w:tcPr>
          <w:p w14:paraId="65059500">
            <w:pPr>
              <w:adjustRightInd w:val="0"/>
              <w:snapToGrid w:val="0"/>
              <w:ind w:firstLine="0" w:firstLineChars="0"/>
              <w:jc w:val="center"/>
              <w:rPr>
                <w:rFonts w:ascii="Calibri" w:hAnsi="Calibri" w:cs="Times New Roman"/>
                <w:b/>
                <w:kern w:val="2"/>
                <w:szCs w:val="22"/>
                <w:highlight w:val="none"/>
              </w:rPr>
            </w:pPr>
            <w:r>
              <w:rPr>
                <w:rFonts w:hint="eastAsia" w:ascii="Calibri" w:hAnsi="Calibri" w:cs="Times New Roman"/>
                <w:b/>
                <w:kern w:val="2"/>
                <w:szCs w:val="22"/>
                <w:highlight w:val="none"/>
              </w:rPr>
              <w:t>序号</w:t>
            </w:r>
          </w:p>
        </w:tc>
        <w:tc>
          <w:tcPr>
            <w:tcW w:w="1556" w:type="pct"/>
            <w:tcBorders>
              <w:bottom w:val="single" w:color="auto" w:sz="4" w:space="0"/>
            </w:tcBorders>
            <w:vAlign w:val="center"/>
          </w:tcPr>
          <w:p w14:paraId="1F1E2BE6">
            <w:pPr>
              <w:adjustRightInd w:val="0"/>
              <w:snapToGrid w:val="0"/>
              <w:ind w:firstLine="0" w:firstLineChars="0"/>
              <w:jc w:val="center"/>
              <w:rPr>
                <w:rFonts w:ascii="Calibri" w:hAnsi="Calibri" w:cs="Times New Roman"/>
                <w:b/>
                <w:kern w:val="2"/>
                <w:szCs w:val="24"/>
                <w:highlight w:val="none"/>
              </w:rPr>
            </w:pPr>
            <w:r>
              <w:rPr>
                <w:rFonts w:hint="eastAsia" w:ascii="Calibri" w:hAnsi="Calibri" w:cs="Times New Roman"/>
                <w:b/>
                <w:kern w:val="2"/>
                <w:szCs w:val="24"/>
                <w:highlight w:val="none"/>
              </w:rPr>
              <w:t>评审指标</w:t>
            </w:r>
          </w:p>
        </w:tc>
        <w:tc>
          <w:tcPr>
            <w:tcW w:w="2962" w:type="pct"/>
            <w:tcBorders>
              <w:bottom w:val="single" w:color="auto" w:sz="4" w:space="0"/>
            </w:tcBorders>
            <w:vAlign w:val="center"/>
          </w:tcPr>
          <w:p w14:paraId="339B8D00">
            <w:pPr>
              <w:adjustRightInd w:val="0"/>
              <w:snapToGrid w:val="0"/>
              <w:ind w:firstLine="0" w:firstLineChars="0"/>
              <w:jc w:val="center"/>
              <w:rPr>
                <w:rFonts w:ascii="Calibri" w:hAnsi="Calibri" w:cs="Times New Roman"/>
                <w:b/>
                <w:kern w:val="2"/>
                <w:szCs w:val="22"/>
                <w:highlight w:val="none"/>
              </w:rPr>
            </w:pPr>
            <w:r>
              <w:rPr>
                <w:rFonts w:hint="eastAsia" w:ascii="Calibri" w:hAnsi="Calibri" w:cs="Times New Roman"/>
                <w:b/>
                <w:kern w:val="2"/>
                <w:szCs w:val="22"/>
                <w:highlight w:val="none"/>
              </w:rPr>
              <w:t>合格条件</w:t>
            </w:r>
          </w:p>
        </w:tc>
      </w:tr>
      <w:tr w14:paraId="5B28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pct"/>
            <w:tcBorders>
              <w:bottom w:val="single" w:color="auto" w:sz="4" w:space="0"/>
            </w:tcBorders>
            <w:vAlign w:val="center"/>
          </w:tcPr>
          <w:p w14:paraId="4BF3BC53">
            <w:pPr>
              <w:adjustRightInd w:val="0"/>
              <w:snapToGrid w:val="0"/>
              <w:ind w:firstLine="0" w:firstLineChars="0"/>
              <w:jc w:val="center"/>
              <w:rPr>
                <w:rFonts w:ascii="Calibri" w:hAnsi="Calibri" w:cs="Times New Roman"/>
                <w:kern w:val="2"/>
                <w:szCs w:val="22"/>
                <w:highlight w:val="none"/>
              </w:rPr>
            </w:pPr>
            <w:r>
              <w:rPr>
                <w:rFonts w:hint="eastAsia" w:cs="Times New Roman"/>
                <w:kern w:val="2"/>
                <w:highlight w:val="none"/>
              </w:rPr>
              <w:t>1</w:t>
            </w:r>
          </w:p>
        </w:tc>
        <w:tc>
          <w:tcPr>
            <w:tcW w:w="1556" w:type="pct"/>
            <w:tcBorders>
              <w:bottom w:val="single" w:color="auto" w:sz="4" w:space="0"/>
            </w:tcBorders>
            <w:vAlign w:val="center"/>
          </w:tcPr>
          <w:p w14:paraId="2D2F15C6">
            <w:pPr>
              <w:adjustRightInd w:val="0"/>
              <w:snapToGrid w:val="0"/>
              <w:ind w:firstLine="0" w:firstLineChars="0"/>
              <w:jc w:val="left"/>
              <w:rPr>
                <w:rFonts w:cs="Times New Roman"/>
                <w:kern w:val="2"/>
                <w:highlight w:val="none"/>
              </w:rPr>
            </w:pPr>
            <w:r>
              <w:rPr>
                <w:rFonts w:hint="eastAsia" w:cs="Times New Roman"/>
                <w:kern w:val="2"/>
                <w:highlight w:val="none"/>
              </w:rPr>
              <w:t>营业执照</w:t>
            </w:r>
          </w:p>
        </w:tc>
        <w:tc>
          <w:tcPr>
            <w:tcW w:w="2962" w:type="pct"/>
            <w:tcBorders>
              <w:bottom w:val="single" w:color="auto" w:sz="4" w:space="0"/>
            </w:tcBorders>
            <w:vAlign w:val="center"/>
          </w:tcPr>
          <w:p w14:paraId="65372BE7">
            <w:pPr>
              <w:adjustRightInd w:val="0"/>
              <w:snapToGrid w:val="0"/>
              <w:ind w:firstLine="0" w:firstLineChars="0"/>
              <w:rPr>
                <w:rFonts w:ascii="Calibri" w:hAnsi="Calibri" w:cs="Times New Roman"/>
                <w:kern w:val="2"/>
                <w:szCs w:val="22"/>
                <w:highlight w:val="none"/>
              </w:rPr>
            </w:pPr>
            <w:r>
              <w:rPr>
                <w:rFonts w:hint="eastAsia" w:cs="Times New Roman"/>
                <w:kern w:val="2"/>
                <w:szCs w:val="22"/>
                <w:highlight w:val="none"/>
              </w:rPr>
              <w:t>提供有效的营业执照扫描件，应完整地体现出营业执照的全部内容。联合体磋商的联合体各方均须提供。</w:t>
            </w:r>
          </w:p>
        </w:tc>
      </w:tr>
      <w:tr w14:paraId="2F3D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81" w:type="pct"/>
            <w:vAlign w:val="center"/>
          </w:tcPr>
          <w:p w14:paraId="30C219AD">
            <w:pPr>
              <w:adjustRightInd w:val="0"/>
              <w:snapToGrid w:val="0"/>
              <w:ind w:firstLine="0" w:firstLineChars="0"/>
              <w:jc w:val="center"/>
              <w:rPr>
                <w:rFonts w:hint="eastAsia" w:eastAsia="宋体" w:cs="Times New Roman"/>
                <w:kern w:val="2"/>
                <w:highlight w:val="none"/>
                <w:lang w:eastAsia="zh-CN"/>
              </w:rPr>
            </w:pPr>
            <w:r>
              <w:rPr>
                <w:rFonts w:hint="eastAsia" w:cs="Times New Roman"/>
                <w:kern w:val="2"/>
                <w:highlight w:val="none"/>
                <w:lang w:val="en-US" w:eastAsia="zh-CN"/>
              </w:rPr>
              <w:t>2</w:t>
            </w:r>
          </w:p>
        </w:tc>
        <w:tc>
          <w:tcPr>
            <w:tcW w:w="1556" w:type="pct"/>
            <w:shd w:val="clear" w:color="auto" w:fill="auto"/>
            <w:vAlign w:val="center"/>
          </w:tcPr>
          <w:p w14:paraId="266A1D75">
            <w:pPr>
              <w:adjustRightInd w:val="0"/>
              <w:snapToGrid w:val="0"/>
              <w:ind w:firstLine="0" w:firstLineChars="0"/>
              <w:jc w:val="left"/>
              <w:rPr>
                <w:rFonts w:hint="default" w:ascii="宋体" w:hAnsi="宋体" w:eastAsia="宋体" w:cs="Times New Roman"/>
                <w:kern w:val="2"/>
                <w:sz w:val="24"/>
                <w:highlight w:val="none"/>
                <w:lang w:val="en-US" w:eastAsia="zh-CN" w:bidi="ar-SA"/>
              </w:rPr>
            </w:pPr>
            <w:r>
              <w:rPr>
                <w:rFonts w:hint="eastAsia" w:cs="Times New Roman"/>
                <w:kern w:val="2"/>
                <w:highlight w:val="none"/>
              </w:rPr>
              <w:t>磋商响应函</w:t>
            </w:r>
          </w:p>
        </w:tc>
        <w:tc>
          <w:tcPr>
            <w:tcW w:w="2962" w:type="pct"/>
            <w:shd w:val="clear" w:color="auto" w:fill="auto"/>
            <w:vAlign w:val="center"/>
          </w:tcPr>
          <w:p w14:paraId="4B37E3E4">
            <w:pPr>
              <w:adjustRightInd w:val="0"/>
              <w:snapToGrid w:val="0"/>
              <w:ind w:firstLine="0" w:firstLineChars="0"/>
              <w:rPr>
                <w:rFonts w:ascii="Calibri" w:hAnsi="Calibri" w:eastAsia="宋体" w:cs="Times New Roman"/>
                <w:kern w:val="2"/>
                <w:sz w:val="24"/>
                <w:szCs w:val="22"/>
                <w:highlight w:val="none"/>
                <w:lang w:val="en-US" w:eastAsia="zh-CN" w:bidi="ar-SA"/>
              </w:rPr>
            </w:pPr>
            <w:r>
              <w:rPr>
                <w:rFonts w:hint="eastAsia" w:cs="Times New Roman"/>
                <w:kern w:val="2"/>
                <w:szCs w:val="22"/>
                <w:highlight w:val="none"/>
              </w:rPr>
              <w:t>符合磋商文件要求。</w:t>
            </w:r>
          </w:p>
        </w:tc>
      </w:tr>
      <w:tr w14:paraId="6EB6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pct"/>
            <w:vAlign w:val="center"/>
          </w:tcPr>
          <w:p w14:paraId="3E8F487E">
            <w:pPr>
              <w:adjustRightInd w:val="0"/>
              <w:snapToGrid w:val="0"/>
              <w:ind w:firstLine="0" w:firstLineChars="0"/>
              <w:jc w:val="center"/>
              <w:rPr>
                <w:rFonts w:hint="eastAsia" w:eastAsia="宋体" w:cs="Times New Roman"/>
                <w:kern w:val="2"/>
                <w:highlight w:val="none"/>
                <w:lang w:eastAsia="zh-CN"/>
              </w:rPr>
            </w:pPr>
            <w:r>
              <w:rPr>
                <w:rFonts w:hint="eastAsia" w:cs="Times New Roman"/>
                <w:kern w:val="2"/>
                <w:highlight w:val="none"/>
                <w:lang w:val="en-US" w:eastAsia="zh-CN"/>
              </w:rPr>
              <w:t>3</w:t>
            </w:r>
          </w:p>
        </w:tc>
        <w:tc>
          <w:tcPr>
            <w:tcW w:w="1556" w:type="pct"/>
            <w:shd w:val="clear" w:color="auto" w:fill="auto"/>
            <w:vAlign w:val="center"/>
          </w:tcPr>
          <w:p w14:paraId="2F56037C">
            <w:pPr>
              <w:adjustRightInd w:val="0"/>
              <w:snapToGrid w:val="0"/>
              <w:ind w:firstLine="0" w:firstLineChars="0"/>
              <w:jc w:val="left"/>
              <w:rPr>
                <w:rFonts w:ascii="宋体" w:hAnsi="宋体" w:eastAsia="宋体" w:cs="Times New Roman"/>
                <w:kern w:val="2"/>
                <w:sz w:val="24"/>
                <w:highlight w:val="none"/>
                <w:lang w:val="en-US" w:eastAsia="zh-CN" w:bidi="ar-SA"/>
              </w:rPr>
            </w:pPr>
            <w:r>
              <w:rPr>
                <w:rFonts w:hint="eastAsia" w:cs="Times New Roman"/>
                <w:kern w:val="2"/>
                <w:highlight w:val="none"/>
              </w:rPr>
              <w:t>磋商保证金及电子交易服务费用</w:t>
            </w:r>
          </w:p>
        </w:tc>
        <w:tc>
          <w:tcPr>
            <w:tcW w:w="2962" w:type="pct"/>
            <w:shd w:val="clear" w:color="auto" w:fill="auto"/>
            <w:vAlign w:val="center"/>
          </w:tcPr>
          <w:p w14:paraId="1CB6D9FB">
            <w:pPr>
              <w:ind w:firstLine="0" w:firstLineChars="0"/>
              <w:jc w:val="left"/>
              <w:rPr>
                <w:highlight w:val="none"/>
              </w:rPr>
            </w:pPr>
            <w:r>
              <w:rPr>
                <w:rFonts w:hint="eastAsia"/>
                <w:highlight w:val="none"/>
              </w:rPr>
              <w:t>符合磋商文件要求。</w:t>
            </w:r>
          </w:p>
          <w:p w14:paraId="72DABCDE">
            <w:pPr>
              <w:ind w:firstLine="0" w:firstLineChars="0"/>
              <w:jc w:val="left"/>
              <w:rPr>
                <w:rFonts w:ascii="Calibri" w:hAnsi="Calibri" w:eastAsia="宋体" w:cs="Times New Roman"/>
                <w:kern w:val="2"/>
                <w:sz w:val="24"/>
                <w:szCs w:val="22"/>
                <w:highlight w:val="none"/>
                <w:lang w:val="en-US" w:eastAsia="zh-CN" w:bidi="ar-SA"/>
              </w:rPr>
            </w:pPr>
            <w:r>
              <w:rPr>
                <w:rFonts w:hint="eastAsia"/>
                <w:b/>
                <w:bCs/>
                <w:highlight w:val="none"/>
              </w:rPr>
              <w:t>备注</w:t>
            </w:r>
            <w:r>
              <w:rPr>
                <w:b/>
                <w:bCs/>
                <w:highlight w:val="none"/>
              </w:rPr>
              <w:t>：</w:t>
            </w:r>
            <w:r>
              <w:rPr>
                <w:rFonts w:hint="eastAsia"/>
                <w:b/>
                <w:szCs w:val="18"/>
                <w:highlight w:val="none"/>
              </w:rPr>
              <w:t>供应商</w:t>
            </w:r>
            <w:r>
              <w:rPr>
                <w:rFonts w:hint="eastAsia" w:cs="宋体"/>
                <w:b/>
                <w:bCs/>
                <w:szCs w:val="24"/>
                <w:highlight w:val="none"/>
              </w:rPr>
              <w:t>须知前附表及</w:t>
            </w:r>
            <w:r>
              <w:rPr>
                <w:rFonts w:hint="eastAsia"/>
                <w:b/>
                <w:szCs w:val="18"/>
                <w:highlight w:val="none"/>
              </w:rPr>
              <w:t>供应商</w:t>
            </w:r>
            <w:r>
              <w:rPr>
                <w:rFonts w:hint="eastAsia" w:cs="宋体"/>
                <w:b/>
                <w:bCs/>
                <w:szCs w:val="24"/>
                <w:highlight w:val="none"/>
              </w:rPr>
              <w:t>须知第13条（以代理机构财务查询为准）</w:t>
            </w:r>
          </w:p>
        </w:tc>
      </w:tr>
      <w:tr w14:paraId="17384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pct"/>
            <w:vAlign w:val="center"/>
          </w:tcPr>
          <w:p w14:paraId="049C9CAB">
            <w:pPr>
              <w:adjustRightInd w:val="0"/>
              <w:snapToGrid w:val="0"/>
              <w:ind w:firstLine="0" w:firstLineChars="0"/>
              <w:jc w:val="center"/>
              <w:rPr>
                <w:rFonts w:hint="eastAsia" w:eastAsia="宋体" w:cs="Times New Roman"/>
                <w:kern w:val="2"/>
                <w:highlight w:val="none"/>
                <w:lang w:eastAsia="zh-CN"/>
              </w:rPr>
            </w:pPr>
            <w:r>
              <w:rPr>
                <w:rFonts w:hint="eastAsia" w:cs="Times New Roman"/>
                <w:kern w:val="2"/>
                <w:highlight w:val="none"/>
                <w:lang w:val="en-US" w:eastAsia="zh-CN"/>
              </w:rPr>
              <w:t>4</w:t>
            </w:r>
          </w:p>
        </w:tc>
        <w:tc>
          <w:tcPr>
            <w:tcW w:w="1556" w:type="pct"/>
            <w:shd w:val="clear" w:color="auto" w:fill="auto"/>
            <w:vAlign w:val="center"/>
          </w:tcPr>
          <w:p w14:paraId="5B66EEA0">
            <w:pPr>
              <w:adjustRightInd w:val="0"/>
              <w:snapToGrid w:val="0"/>
              <w:ind w:firstLine="0" w:firstLineChars="0"/>
              <w:jc w:val="left"/>
              <w:rPr>
                <w:rFonts w:ascii="宋体" w:hAnsi="宋体" w:eastAsia="宋体" w:cs="Times New Roman"/>
                <w:kern w:val="2"/>
                <w:sz w:val="24"/>
                <w:highlight w:val="none"/>
                <w:lang w:val="en-US" w:eastAsia="zh-CN" w:bidi="ar-SA"/>
              </w:rPr>
            </w:pPr>
            <w:r>
              <w:rPr>
                <w:rFonts w:hint="eastAsia" w:cs="Times New Roman"/>
                <w:kern w:val="2"/>
                <w:highlight w:val="none"/>
              </w:rPr>
              <w:t>授权书</w:t>
            </w:r>
          </w:p>
        </w:tc>
        <w:tc>
          <w:tcPr>
            <w:tcW w:w="2962" w:type="pct"/>
            <w:shd w:val="clear" w:color="auto" w:fill="auto"/>
            <w:vAlign w:val="center"/>
          </w:tcPr>
          <w:p w14:paraId="25F7CE98">
            <w:pPr>
              <w:adjustRightInd w:val="0"/>
              <w:snapToGrid w:val="0"/>
              <w:ind w:firstLine="0" w:firstLineChars="0"/>
              <w:rPr>
                <w:rFonts w:ascii="Calibri" w:hAnsi="Calibri" w:eastAsia="宋体" w:cs="Times New Roman"/>
                <w:kern w:val="2"/>
                <w:sz w:val="24"/>
                <w:szCs w:val="22"/>
                <w:highlight w:val="none"/>
                <w:lang w:val="en-US" w:eastAsia="zh-CN" w:bidi="ar-SA"/>
              </w:rPr>
            </w:pPr>
            <w:r>
              <w:rPr>
                <w:rFonts w:hint="eastAsia" w:cs="Times New Roman"/>
                <w:kern w:val="2"/>
                <w:szCs w:val="22"/>
                <w:highlight w:val="none"/>
              </w:rPr>
              <w:t>符合磋商文件要求。</w:t>
            </w:r>
          </w:p>
        </w:tc>
      </w:tr>
      <w:tr w14:paraId="62A1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pct"/>
            <w:vAlign w:val="center"/>
          </w:tcPr>
          <w:p w14:paraId="693D3993">
            <w:pPr>
              <w:adjustRightInd w:val="0"/>
              <w:snapToGrid w:val="0"/>
              <w:ind w:firstLine="0" w:firstLineChars="0"/>
              <w:jc w:val="center"/>
              <w:rPr>
                <w:rFonts w:hint="eastAsia" w:eastAsia="宋体" w:cs="Times New Roman"/>
                <w:kern w:val="2"/>
                <w:highlight w:val="none"/>
                <w:lang w:eastAsia="zh-CN"/>
              </w:rPr>
            </w:pPr>
            <w:r>
              <w:rPr>
                <w:rFonts w:hint="eastAsia" w:cs="Times New Roman"/>
                <w:kern w:val="2"/>
                <w:highlight w:val="none"/>
                <w:lang w:val="en-US" w:eastAsia="zh-CN"/>
              </w:rPr>
              <w:t>5</w:t>
            </w:r>
          </w:p>
        </w:tc>
        <w:tc>
          <w:tcPr>
            <w:tcW w:w="1556" w:type="pct"/>
            <w:shd w:val="clear" w:color="auto" w:fill="auto"/>
            <w:vAlign w:val="center"/>
          </w:tcPr>
          <w:p w14:paraId="78F9A235">
            <w:pPr>
              <w:adjustRightInd w:val="0"/>
              <w:snapToGrid w:val="0"/>
              <w:ind w:firstLine="0" w:firstLineChars="0"/>
              <w:jc w:val="left"/>
              <w:rPr>
                <w:rFonts w:hint="eastAsia" w:ascii="宋体" w:hAnsi="宋体" w:eastAsia="宋体" w:cs="Times New Roman"/>
                <w:kern w:val="2"/>
                <w:sz w:val="24"/>
                <w:highlight w:val="none"/>
                <w:lang w:val="en-US" w:eastAsia="zh-CN" w:bidi="ar-SA"/>
              </w:rPr>
            </w:pPr>
            <w:r>
              <w:rPr>
                <w:rFonts w:hint="eastAsia" w:ascii="宋体" w:hAnsi="宋体" w:eastAsia="宋体" w:cs="Times New Roman"/>
                <w:kern w:val="2"/>
                <w:sz w:val="24"/>
                <w:highlight w:val="none"/>
                <w:lang w:val="en-US" w:eastAsia="zh-CN" w:bidi="ar-SA"/>
              </w:rPr>
              <w:t>无不良信用记录声明函</w:t>
            </w:r>
          </w:p>
        </w:tc>
        <w:tc>
          <w:tcPr>
            <w:tcW w:w="2962" w:type="pct"/>
            <w:shd w:val="clear" w:color="auto" w:fill="auto"/>
            <w:vAlign w:val="center"/>
          </w:tcPr>
          <w:p w14:paraId="71D48CEB">
            <w:pPr>
              <w:ind w:firstLine="0" w:firstLineChars="0"/>
              <w:jc w:val="left"/>
              <w:rPr>
                <w:highlight w:val="none"/>
              </w:rPr>
            </w:pPr>
            <w:r>
              <w:rPr>
                <w:rFonts w:hint="eastAsia"/>
                <w:szCs w:val="18"/>
                <w:highlight w:val="none"/>
              </w:rPr>
              <w:t>供应商</w:t>
            </w:r>
            <w:r>
              <w:rPr>
                <w:rFonts w:hint="eastAsia"/>
                <w:highlight w:val="none"/>
              </w:rPr>
              <w:t>不得存在</w:t>
            </w:r>
            <w:r>
              <w:rPr>
                <w:rFonts w:hint="eastAsia"/>
                <w:szCs w:val="18"/>
                <w:highlight w:val="none"/>
              </w:rPr>
              <w:t>供应商</w:t>
            </w:r>
            <w:r>
              <w:rPr>
                <w:rFonts w:hint="eastAsia"/>
                <w:highlight w:val="none"/>
              </w:rPr>
              <w:t>须知第</w:t>
            </w:r>
            <w:r>
              <w:rPr>
                <w:highlight w:val="none"/>
              </w:rPr>
              <w:t>1</w:t>
            </w:r>
            <w:r>
              <w:rPr>
                <w:rFonts w:hint="eastAsia"/>
                <w:highlight w:val="none"/>
              </w:rPr>
              <w:t>3</w:t>
            </w:r>
            <w:r>
              <w:rPr>
                <w:highlight w:val="none"/>
              </w:rPr>
              <w:t>.3.1.1</w:t>
            </w:r>
            <w:r>
              <w:rPr>
                <w:rFonts w:hint="eastAsia"/>
                <w:highlight w:val="none"/>
              </w:rPr>
              <w:t>条中的不良信用记录情形。</w:t>
            </w:r>
          </w:p>
          <w:p w14:paraId="18CC73C7">
            <w:pPr>
              <w:ind w:firstLine="0" w:firstLineChars="0"/>
              <w:jc w:val="left"/>
              <w:rPr>
                <w:rFonts w:ascii="宋体" w:hAnsi="宋体" w:eastAsia="宋体" w:cs="Times New Roman"/>
                <w:kern w:val="2"/>
                <w:sz w:val="24"/>
                <w:szCs w:val="22"/>
                <w:highlight w:val="none"/>
                <w:lang w:val="en-US" w:eastAsia="zh-CN" w:bidi="ar-SA"/>
              </w:rPr>
            </w:pPr>
            <w:r>
              <w:rPr>
                <w:rFonts w:hint="eastAsia"/>
                <w:highlight w:val="none"/>
              </w:rPr>
              <w:t>注：提供无不良信用记录声明函，格式后附。</w:t>
            </w:r>
          </w:p>
        </w:tc>
      </w:tr>
      <w:tr w14:paraId="2500D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pct"/>
            <w:vAlign w:val="center"/>
          </w:tcPr>
          <w:p w14:paraId="7AC282BA">
            <w:pPr>
              <w:adjustRightInd w:val="0"/>
              <w:snapToGrid w:val="0"/>
              <w:ind w:firstLine="0" w:firstLineChars="0"/>
              <w:jc w:val="center"/>
              <w:rPr>
                <w:rFonts w:hint="eastAsia" w:eastAsia="宋体" w:cs="Times New Roman"/>
                <w:kern w:val="2"/>
                <w:highlight w:val="none"/>
                <w:lang w:eastAsia="zh-CN"/>
              </w:rPr>
            </w:pPr>
            <w:r>
              <w:rPr>
                <w:rFonts w:hint="eastAsia" w:cs="Times New Roman"/>
                <w:kern w:val="2"/>
                <w:highlight w:val="none"/>
                <w:lang w:val="en-US" w:eastAsia="zh-CN"/>
              </w:rPr>
              <w:t>6</w:t>
            </w:r>
          </w:p>
        </w:tc>
        <w:tc>
          <w:tcPr>
            <w:tcW w:w="1556" w:type="pct"/>
            <w:shd w:val="clear" w:color="auto" w:fill="auto"/>
            <w:vAlign w:val="center"/>
          </w:tcPr>
          <w:p w14:paraId="5BFAC14A">
            <w:pPr>
              <w:adjustRightInd w:val="0"/>
              <w:snapToGrid w:val="0"/>
              <w:ind w:firstLine="0" w:firstLineChars="0"/>
              <w:jc w:val="left"/>
              <w:rPr>
                <w:rFonts w:ascii="宋体" w:hAnsi="宋体" w:eastAsia="宋体" w:cs="Times New Roman"/>
                <w:kern w:val="2"/>
                <w:sz w:val="24"/>
                <w:highlight w:val="none"/>
                <w:lang w:val="en-US" w:eastAsia="zh-CN" w:bidi="ar-SA"/>
              </w:rPr>
            </w:pPr>
            <w:r>
              <w:rPr>
                <w:rFonts w:hint="eastAsia" w:cs="Times New Roman"/>
                <w:kern w:val="2"/>
                <w:highlight w:val="none"/>
              </w:rPr>
              <w:t>磋商报价</w:t>
            </w:r>
          </w:p>
        </w:tc>
        <w:tc>
          <w:tcPr>
            <w:tcW w:w="2962" w:type="pct"/>
            <w:shd w:val="clear" w:color="auto" w:fill="auto"/>
            <w:vAlign w:val="center"/>
          </w:tcPr>
          <w:p w14:paraId="404349D7">
            <w:pPr>
              <w:adjustRightInd w:val="0"/>
              <w:snapToGrid w:val="0"/>
              <w:ind w:firstLine="0" w:firstLineChars="0"/>
              <w:rPr>
                <w:rFonts w:ascii="Calibri" w:hAnsi="Calibri" w:eastAsia="宋体" w:cs="Times New Roman"/>
                <w:kern w:val="2"/>
                <w:sz w:val="24"/>
                <w:szCs w:val="22"/>
                <w:highlight w:val="none"/>
                <w:lang w:val="en-US" w:eastAsia="zh-CN" w:bidi="ar-SA"/>
              </w:rPr>
            </w:pPr>
            <w:r>
              <w:rPr>
                <w:rFonts w:hint="eastAsia" w:cs="Times New Roman"/>
                <w:kern w:val="2"/>
                <w:szCs w:val="22"/>
                <w:highlight w:val="none"/>
              </w:rPr>
              <w:t>符合磋商文件要求。</w:t>
            </w:r>
          </w:p>
        </w:tc>
      </w:tr>
      <w:tr w14:paraId="5A00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81" w:type="pct"/>
            <w:vAlign w:val="center"/>
          </w:tcPr>
          <w:p w14:paraId="5D9DE108">
            <w:pPr>
              <w:adjustRightInd w:val="0"/>
              <w:snapToGrid w:val="0"/>
              <w:ind w:firstLine="0" w:firstLineChars="0"/>
              <w:jc w:val="center"/>
              <w:rPr>
                <w:rFonts w:hint="eastAsia" w:eastAsia="宋体" w:cs="Times New Roman"/>
                <w:kern w:val="2"/>
                <w:highlight w:val="none"/>
                <w:lang w:eastAsia="zh-CN"/>
              </w:rPr>
            </w:pPr>
            <w:r>
              <w:rPr>
                <w:rFonts w:hint="eastAsia" w:cs="Times New Roman"/>
                <w:kern w:val="2"/>
                <w:highlight w:val="none"/>
                <w:lang w:val="en-US" w:eastAsia="zh-CN"/>
              </w:rPr>
              <w:t>7</w:t>
            </w:r>
          </w:p>
        </w:tc>
        <w:tc>
          <w:tcPr>
            <w:tcW w:w="1556" w:type="pct"/>
            <w:shd w:val="clear" w:color="auto" w:fill="auto"/>
            <w:vAlign w:val="center"/>
          </w:tcPr>
          <w:p w14:paraId="69CB3F69">
            <w:pPr>
              <w:adjustRightInd w:val="0"/>
              <w:snapToGrid w:val="0"/>
              <w:ind w:firstLine="0" w:firstLineChars="0"/>
              <w:jc w:val="left"/>
              <w:rPr>
                <w:rFonts w:ascii="宋体" w:hAnsi="宋体" w:eastAsia="宋体" w:cs="Times New Roman"/>
                <w:kern w:val="2"/>
                <w:sz w:val="24"/>
                <w:highlight w:val="none"/>
                <w:lang w:val="en-US" w:eastAsia="zh-CN" w:bidi="ar-SA"/>
              </w:rPr>
            </w:pPr>
            <w:r>
              <w:rPr>
                <w:rFonts w:hint="eastAsia" w:cs="Times New Roman"/>
                <w:kern w:val="2"/>
                <w:highlight w:val="none"/>
              </w:rPr>
              <w:t>其他要求</w:t>
            </w:r>
          </w:p>
        </w:tc>
        <w:tc>
          <w:tcPr>
            <w:tcW w:w="2962" w:type="pct"/>
            <w:shd w:val="clear" w:color="auto" w:fill="auto"/>
            <w:vAlign w:val="center"/>
          </w:tcPr>
          <w:p w14:paraId="5225CFB0">
            <w:pPr>
              <w:adjustRightInd w:val="0"/>
              <w:snapToGrid w:val="0"/>
              <w:ind w:firstLine="0" w:firstLineChars="0"/>
              <w:rPr>
                <w:rFonts w:ascii="宋体" w:hAnsi="宋体" w:eastAsia="宋体" w:cs="Times New Roman"/>
                <w:kern w:val="2"/>
                <w:sz w:val="24"/>
                <w:highlight w:val="none"/>
                <w:lang w:val="en-US" w:eastAsia="zh-CN" w:bidi="ar-SA"/>
              </w:rPr>
            </w:pPr>
            <w:r>
              <w:rPr>
                <w:rFonts w:hint="eastAsia"/>
                <w:szCs w:val="28"/>
                <w:highlight w:val="none"/>
              </w:rPr>
              <w:t>符合法律、行政法规规定的其他条件或磋商文件列明的其他要求。</w:t>
            </w:r>
          </w:p>
        </w:tc>
      </w:tr>
      <w:tr w14:paraId="0D49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000" w:type="pct"/>
            <w:gridSpan w:val="3"/>
            <w:vAlign w:val="center"/>
          </w:tcPr>
          <w:p w14:paraId="0DEA3FF9">
            <w:pPr>
              <w:adjustRightInd w:val="0"/>
              <w:snapToGrid w:val="0"/>
              <w:ind w:firstLine="0" w:firstLineChars="0"/>
              <w:jc w:val="left"/>
              <w:rPr>
                <w:rFonts w:ascii="Calibri" w:hAnsi="Calibri" w:cs="Times New Roman"/>
                <w:kern w:val="2"/>
                <w:szCs w:val="22"/>
                <w:highlight w:val="none"/>
              </w:rPr>
            </w:pPr>
            <w:r>
              <w:rPr>
                <w:rFonts w:hint="eastAsia" w:ascii="Calibri" w:hAnsi="Calibri" w:cs="Times New Roman"/>
                <w:kern w:val="2"/>
                <w:szCs w:val="22"/>
                <w:highlight w:val="none"/>
              </w:rPr>
              <w:t>评审指标通过标准：供应商必须通过上述全部指标。</w:t>
            </w:r>
          </w:p>
        </w:tc>
      </w:tr>
    </w:tbl>
    <w:p w14:paraId="34879D04">
      <w:pPr>
        <w:ind w:firstLine="482"/>
        <w:rPr>
          <w:rFonts w:asciiTheme="minorEastAsia" w:hAnsiTheme="minorEastAsia" w:eastAsiaTheme="minorEastAsia"/>
          <w:highlight w:val="none"/>
        </w:rPr>
      </w:pPr>
      <w:r>
        <w:rPr>
          <w:rFonts w:hint="eastAsia" w:asciiTheme="minorEastAsia" w:hAnsiTheme="minorEastAsia" w:eastAsiaTheme="minorEastAsia"/>
          <w:b/>
          <w:bCs/>
          <w:highlight w:val="none"/>
        </w:rPr>
        <w:t>初审指标通过标准：</w:t>
      </w:r>
      <w:r>
        <w:rPr>
          <w:rFonts w:hint="eastAsia" w:asciiTheme="minorEastAsia" w:hAnsiTheme="minorEastAsia" w:eastAsiaTheme="minorEastAsia"/>
          <w:highlight w:val="none"/>
        </w:rPr>
        <w:t>供应商必须通过初审表中的全部评审指标。</w:t>
      </w:r>
    </w:p>
    <w:p w14:paraId="49C80E10">
      <w:pPr>
        <w:ind w:firstLine="482"/>
        <w:rPr>
          <w:rFonts w:asciiTheme="minorEastAsia" w:hAnsiTheme="minorEastAsia" w:eastAsiaTheme="minorEastAsia"/>
          <w:b/>
          <w:highlight w:val="none"/>
        </w:rPr>
      </w:pPr>
      <w:r>
        <w:rPr>
          <w:rFonts w:hint="eastAsia" w:asciiTheme="minorEastAsia" w:hAnsiTheme="minorEastAsia" w:eastAsiaTheme="minorEastAsia"/>
          <w:b/>
          <w:highlight w:val="none"/>
        </w:rPr>
        <w:t>2.2综合评分</w:t>
      </w:r>
    </w:p>
    <w:p w14:paraId="6ED4F7B8">
      <w:pPr>
        <w:ind w:firstLine="480"/>
        <w:rPr>
          <w:rFonts w:asciiTheme="minorEastAsia" w:hAnsiTheme="minorEastAsia" w:eastAsiaTheme="minorEastAsia"/>
          <w:highlight w:val="none"/>
        </w:rPr>
      </w:pPr>
      <w:r>
        <w:rPr>
          <w:rFonts w:hint="eastAsia" w:asciiTheme="minorEastAsia" w:hAnsiTheme="minorEastAsia" w:eastAsiaTheme="minorEastAsia"/>
          <w:highlight w:val="none"/>
        </w:rPr>
        <w:t>2</w:t>
      </w:r>
      <w:r>
        <w:rPr>
          <w:rFonts w:asciiTheme="minorEastAsia" w:hAnsiTheme="minorEastAsia" w:eastAsiaTheme="minorEastAsia"/>
          <w:highlight w:val="none"/>
        </w:rPr>
        <w:t>.</w:t>
      </w:r>
      <w:r>
        <w:rPr>
          <w:rFonts w:hint="eastAsia" w:asciiTheme="minorEastAsia" w:hAnsiTheme="minorEastAsia" w:eastAsiaTheme="minorEastAsia"/>
          <w:highlight w:val="none"/>
        </w:rPr>
        <w:t>2</w:t>
      </w:r>
      <w:r>
        <w:rPr>
          <w:rFonts w:asciiTheme="minorEastAsia" w:hAnsiTheme="minorEastAsia" w:eastAsiaTheme="minorEastAsia"/>
          <w:highlight w:val="none"/>
        </w:rPr>
        <w:t>.1</w:t>
      </w:r>
      <w:r>
        <w:rPr>
          <w:rFonts w:hint="eastAsia" w:asciiTheme="minorEastAsia" w:hAnsiTheme="minorEastAsia" w:eastAsiaTheme="minorEastAsia"/>
          <w:highlight w:val="none"/>
        </w:rPr>
        <w:t>评审委员会按照下表对</w:t>
      </w:r>
      <w:r>
        <w:rPr>
          <w:rFonts w:hint="eastAsia"/>
          <w:highlight w:val="none"/>
        </w:rPr>
        <w:t>进入综合评分的所有供应商的</w:t>
      </w:r>
      <w:r>
        <w:rPr>
          <w:rFonts w:hint="eastAsia" w:asciiTheme="minorEastAsia" w:hAnsiTheme="minorEastAsia" w:eastAsiaTheme="minorEastAsia"/>
          <w:highlight w:val="none"/>
        </w:rPr>
        <w:t>响应文件进行综合评分。</w:t>
      </w:r>
    </w:p>
    <w:p w14:paraId="2043F5BF">
      <w:pPr>
        <w:ind w:firstLine="480"/>
        <w:rPr>
          <w:rFonts w:hint="eastAsia" w:ascii="宋体" w:hAnsi="宋体" w:eastAsia="宋体" w:cs="宋体"/>
          <w:b/>
          <w:bCs/>
          <w:color w:val="000000"/>
          <w:kern w:val="0"/>
          <w:sz w:val="24"/>
          <w:szCs w:val="24"/>
          <w:highlight w:val="none"/>
          <w:lang w:val="en-US" w:eastAsia="zh-CN" w:bidi="ar"/>
        </w:rPr>
      </w:pPr>
      <w:r>
        <w:rPr>
          <w:rFonts w:hint="eastAsia" w:asciiTheme="minorEastAsia" w:hAnsiTheme="minorEastAsia" w:eastAsiaTheme="minorEastAsia"/>
          <w:b/>
          <w:bCs/>
          <w:highlight w:val="none"/>
        </w:rPr>
        <w:t>2</w:t>
      </w:r>
      <w:r>
        <w:rPr>
          <w:rFonts w:asciiTheme="minorEastAsia" w:hAnsiTheme="minorEastAsia" w:eastAsiaTheme="minorEastAsia"/>
          <w:b/>
          <w:bCs/>
          <w:highlight w:val="none"/>
        </w:rPr>
        <w:t>.</w:t>
      </w:r>
      <w:r>
        <w:rPr>
          <w:rFonts w:hint="eastAsia" w:asciiTheme="minorEastAsia" w:hAnsiTheme="minorEastAsia" w:eastAsiaTheme="minorEastAsia"/>
          <w:b/>
          <w:bCs/>
          <w:highlight w:val="none"/>
        </w:rPr>
        <w:t>2</w:t>
      </w:r>
      <w:r>
        <w:rPr>
          <w:rFonts w:asciiTheme="minorEastAsia" w:hAnsiTheme="minorEastAsia" w:eastAsiaTheme="minorEastAsia"/>
          <w:b/>
          <w:bCs/>
          <w:highlight w:val="none"/>
        </w:rPr>
        <w:t>.2</w:t>
      </w:r>
      <w:r>
        <w:rPr>
          <w:rFonts w:hint="eastAsia" w:ascii="宋体" w:hAnsi="宋体" w:eastAsia="宋体" w:cs="宋体"/>
          <w:b/>
          <w:bCs/>
          <w:color w:val="000000"/>
          <w:kern w:val="0"/>
          <w:sz w:val="24"/>
          <w:szCs w:val="24"/>
          <w:lang w:val="en-US" w:eastAsia="zh-CN" w:bidi="ar"/>
        </w:rPr>
        <w:t>本项目综合评分满分为100分，其中：技术资信分值占总分值的权重为</w:t>
      </w:r>
      <w:r>
        <w:rPr>
          <w:rFonts w:hint="eastAsia" w:cs="宋体"/>
          <w:b/>
          <w:bCs/>
          <w:color w:val="000000"/>
          <w:kern w:val="0"/>
          <w:sz w:val="24"/>
          <w:szCs w:val="24"/>
          <w:highlight w:val="none"/>
          <w:u w:val="single"/>
          <w:lang w:val="en-US" w:eastAsia="zh-CN" w:bidi="ar"/>
        </w:rPr>
        <w:t>90</w:t>
      </w:r>
      <w:r>
        <w:rPr>
          <w:rFonts w:hint="eastAsia" w:ascii="宋体" w:hAnsi="宋体" w:eastAsia="宋体" w:cs="宋体"/>
          <w:b/>
          <w:bCs/>
          <w:color w:val="000000"/>
          <w:kern w:val="0"/>
          <w:sz w:val="24"/>
          <w:szCs w:val="24"/>
          <w:highlight w:val="none"/>
          <w:lang w:val="en-US" w:eastAsia="zh-CN" w:bidi="ar"/>
        </w:rPr>
        <w:t>%，价格分值占总分值的权重为</w:t>
      </w:r>
      <w:r>
        <w:rPr>
          <w:rFonts w:hint="eastAsia" w:cs="宋体"/>
          <w:b/>
          <w:bCs/>
          <w:color w:val="000000"/>
          <w:kern w:val="0"/>
          <w:sz w:val="24"/>
          <w:szCs w:val="24"/>
          <w:highlight w:val="none"/>
          <w:u w:val="single"/>
          <w:lang w:val="en-US" w:eastAsia="zh-CN" w:bidi="ar"/>
        </w:rPr>
        <w:t>10</w:t>
      </w:r>
      <w:r>
        <w:rPr>
          <w:rFonts w:hint="eastAsia" w:ascii="宋体" w:hAnsi="宋体" w:eastAsia="宋体" w:cs="宋体"/>
          <w:b/>
          <w:bCs/>
          <w:color w:val="000000"/>
          <w:kern w:val="0"/>
          <w:sz w:val="24"/>
          <w:szCs w:val="24"/>
          <w:highlight w:val="none"/>
          <w:lang w:val="en-US" w:eastAsia="zh-CN" w:bidi="ar"/>
        </w:rPr>
        <w:t>%。具体评分细则如下：</w:t>
      </w:r>
    </w:p>
    <w:tbl>
      <w:tblPr>
        <w:tblStyle w:val="25"/>
        <w:tblW w:w="916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5"/>
        <w:gridCol w:w="1163"/>
        <w:gridCol w:w="5788"/>
        <w:gridCol w:w="1063"/>
      </w:tblGrid>
      <w:tr w14:paraId="7947F0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jc w:val="center"/>
        </w:trPr>
        <w:tc>
          <w:tcPr>
            <w:tcW w:w="1155" w:type="dxa"/>
            <w:tcBorders>
              <w:tl2br w:val="nil"/>
              <w:tr2bl w:val="nil"/>
            </w:tcBorders>
            <w:vAlign w:val="center"/>
          </w:tcPr>
          <w:p w14:paraId="39737620">
            <w:pPr>
              <w:pStyle w:val="24"/>
              <w:keepNext w:val="0"/>
              <w:keepLines w:val="0"/>
              <w:pageBreakBefore w:val="0"/>
              <w:wordWrap/>
              <w:overflowPunct/>
              <w:topLinePunct w:val="0"/>
              <w:bidi w:val="0"/>
              <w:spacing w:before="41" w:line="440" w:lineRule="exact"/>
              <w:jc w:val="center"/>
              <w:rPr>
                <w:rFonts w:hint="eastAsia" w:ascii="宋体" w:hAnsi="宋体" w:eastAsia="宋体" w:cs="宋体"/>
                <w:sz w:val="24"/>
                <w:szCs w:val="24"/>
              </w:rPr>
            </w:pPr>
            <w:r>
              <w:rPr>
                <w:rFonts w:hint="eastAsia" w:ascii="宋体" w:hAnsi="宋体" w:eastAsia="宋体" w:cs="宋体"/>
                <w:b/>
                <w:bCs/>
                <w:spacing w:val="-8"/>
                <w:sz w:val="24"/>
                <w:szCs w:val="24"/>
              </w:rPr>
              <w:t>类别</w:t>
            </w:r>
          </w:p>
        </w:tc>
        <w:tc>
          <w:tcPr>
            <w:tcW w:w="1163" w:type="dxa"/>
            <w:tcBorders>
              <w:tl2br w:val="nil"/>
              <w:tr2bl w:val="nil"/>
            </w:tcBorders>
            <w:vAlign w:val="center"/>
          </w:tcPr>
          <w:p w14:paraId="0FEDD231">
            <w:pPr>
              <w:pStyle w:val="24"/>
              <w:keepNext w:val="0"/>
              <w:keepLines w:val="0"/>
              <w:pageBreakBefore w:val="0"/>
              <w:wordWrap/>
              <w:overflowPunct/>
              <w:topLinePunct w:val="0"/>
              <w:bidi w:val="0"/>
              <w:spacing w:before="41" w:line="440" w:lineRule="exact"/>
              <w:jc w:val="center"/>
              <w:rPr>
                <w:rFonts w:hint="eastAsia" w:ascii="宋体" w:hAnsi="宋体" w:eastAsia="宋体" w:cs="宋体"/>
                <w:sz w:val="24"/>
                <w:szCs w:val="24"/>
              </w:rPr>
            </w:pPr>
            <w:r>
              <w:rPr>
                <w:rFonts w:hint="eastAsia" w:ascii="宋体" w:hAnsi="宋体" w:eastAsia="宋体" w:cs="宋体"/>
                <w:b/>
                <w:bCs/>
                <w:spacing w:val="-5"/>
                <w:sz w:val="24"/>
                <w:szCs w:val="24"/>
              </w:rPr>
              <w:t>评分内容</w:t>
            </w:r>
          </w:p>
        </w:tc>
        <w:tc>
          <w:tcPr>
            <w:tcW w:w="5788" w:type="dxa"/>
            <w:tcBorders>
              <w:tl2br w:val="nil"/>
              <w:tr2bl w:val="nil"/>
            </w:tcBorders>
            <w:vAlign w:val="center"/>
          </w:tcPr>
          <w:p w14:paraId="2D0A5BE1">
            <w:pPr>
              <w:pStyle w:val="24"/>
              <w:keepNext w:val="0"/>
              <w:keepLines w:val="0"/>
              <w:pageBreakBefore w:val="0"/>
              <w:wordWrap/>
              <w:overflowPunct/>
              <w:topLinePunct w:val="0"/>
              <w:bidi w:val="0"/>
              <w:spacing w:before="41" w:line="440" w:lineRule="exact"/>
              <w:jc w:val="center"/>
              <w:rPr>
                <w:rFonts w:hint="eastAsia" w:ascii="宋体" w:hAnsi="宋体" w:eastAsia="宋体" w:cs="宋体"/>
                <w:sz w:val="24"/>
                <w:szCs w:val="24"/>
              </w:rPr>
            </w:pPr>
            <w:r>
              <w:rPr>
                <w:rFonts w:hint="eastAsia" w:ascii="宋体" w:hAnsi="宋体" w:eastAsia="宋体" w:cs="宋体"/>
                <w:b/>
                <w:bCs/>
                <w:spacing w:val="-5"/>
                <w:sz w:val="24"/>
                <w:szCs w:val="24"/>
              </w:rPr>
              <w:t>评分标准</w:t>
            </w:r>
          </w:p>
        </w:tc>
        <w:tc>
          <w:tcPr>
            <w:tcW w:w="1063" w:type="dxa"/>
            <w:tcBorders>
              <w:tl2br w:val="nil"/>
              <w:tr2bl w:val="nil"/>
            </w:tcBorders>
            <w:vAlign w:val="center"/>
          </w:tcPr>
          <w:p w14:paraId="38F9AD08">
            <w:pPr>
              <w:pStyle w:val="24"/>
              <w:keepNext w:val="0"/>
              <w:keepLines w:val="0"/>
              <w:pageBreakBefore w:val="0"/>
              <w:wordWrap/>
              <w:overflowPunct/>
              <w:topLinePunct w:val="0"/>
              <w:bidi w:val="0"/>
              <w:spacing w:before="41" w:line="440" w:lineRule="exact"/>
              <w:jc w:val="center"/>
              <w:rPr>
                <w:rFonts w:hint="eastAsia" w:ascii="宋体" w:hAnsi="宋体" w:eastAsia="宋体" w:cs="宋体"/>
                <w:b w:val="0"/>
                <w:bCs w:val="0"/>
                <w:sz w:val="24"/>
                <w:szCs w:val="24"/>
              </w:rPr>
            </w:pPr>
            <w:r>
              <w:rPr>
                <w:rFonts w:hint="eastAsia" w:ascii="宋体" w:hAnsi="宋体" w:eastAsia="宋体" w:cs="宋体"/>
                <w:b/>
                <w:bCs/>
                <w:spacing w:val="-8"/>
                <w:sz w:val="24"/>
                <w:szCs w:val="24"/>
              </w:rPr>
              <w:t>分值</w:t>
            </w:r>
            <w:r>
              <w:rPr>
                <w:rFonts w:hint="eastAsia" w:ascii="宋体" w:hAnsi="宋体" w:eastAsia="宋体" w:cs="宋体"/>
                <w:b/>
                <w:bCs/>
                <w:spacing w:val="-5"/>
                <w:sz w:val="24"/>
                <w:szCs w:val="24"/>
              </w:rPr>
              <w:t>范围</w:t>
            </w:r>
          </w:p>
        </w:tc>
      </w:tr>
      <w:tr w14:paraId="4AFA4C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155" w:type="dxa"/>
            <w:vMerge w:val="restart"/>
            <w:tcBorders>
              <w:tl2br w:val="nil"/>
              <w:tr2bl w:val="nil"/>
            </w:tcBorders>
            <w:vAlign w:val="center"/>
          </w:tcPr>
          <w:p w14:paraId="5C8933B9">
            <w:pPr>
              <w:pStyle w:val="24"/>
              <w:keepNext w:val="0"/>
              <w:keepLines w:val="0"/>
              <w:pageBreakBefore w:val="0"/>
              <w:wordWrap/>
              <w:overflowPunct/>
              <w:topLinePunct w:val="0"/>
              <w:bidi w:val="0"/>
              <w:spacing w:before="78" w:line="440" w:lineRule="exact"/>
              <w:ind w:left="127" w:right="116"/>
              <w:jc w:val="center"/>
              <w:rPr>
                <w:rFonts w:hint="eastAsia" w:ascii="宋体" w:hAnsi="宋体" w:eastAsia="宋体" w:cs="宋体"/>
                <w:sz w:val="24"/>
                <w:szCs w:val="24"/>
              </w:rPr>
            </w:pPr>
            <w:r>
              <w:rPr>
                <w:rFonts w:hint="eastAsia" w:ascii="宋体" w:hAnsi="宋体" w:eastAsia="宋体" w:cs="宋体"/>
                <w:spacing w:val="-6"/>
                <w:sz w:val="24"/>
                <w:szCs w:val="24"/>
              </w:rPr>
              <w:t>技术资信</w:t>
            </w:r>
            <w:r>
              <w:rPr>
                <w:rFonts w:hint="eastAsia" w:ascii="宋体" w:hAnsi="宋体" w:eastAsia="宋体" w:cs="宋体"/>
                <w:spacing w:val="-1"/>
                <w:sz w:val="24"/>
                <w:szCs w:val="24"/>
              </w:rPr>
              <w:t>分</w:t>
            </w:r>
            <w:r>
              <w:rPr>
                <w:rFonts w:hint="eastAsia" w:ascii="宋体" w:hAnsi="宋体" w:eastAsia="宋体" w:cs="宋体"/>
                <w:spacing w:val="-1"/>
                <w:sz w:val="24"/>
                <w:szCs w:val="24"/>
                <w:lang w:val="en-US" w:eastAsia="zh-CN"/>
              </w:rPr>
              <w:t xml:space="preserve">     </w:t>
            </w:r>
            <w:r>
              <w:rPr>
                <w:rFonts w:hint="eastAsia" w:ascii="宋体" w:hAnsi="宋体" w:eastAsia="宋体" w:cs="宋体"/>
                <w:spacing w:val="-1"/>
                <w:sz w:val="24"/>
                <w:szCs w:val="24"/>
              </w:rPr>
              <w:t>（</w:t>
            </w:r>
            <w:r>
              <w:rPr>
                <w:rFonts w:hint="eastAsia" w:ascii="宋体" w:hAnsi="宋体" w:eastAsia="宋体" w:cs="宋体"/>
                <w:spacing w:val="-1"/>
                <w:sz w:val="24"/>
                <w:szCs w:val="24"/>
                <w:lang w:val="en-US" w:eastAsia="zh-CN"/>
              </w:rPr>
              <w:t>90</w:t>
            </w:r>
            <w:r>
              <w:rPr>
                <w:rFonts w:hint="eastAsia" w:ascii="宋体" w:hAnsi="宋体" w:eastAsia="宋体" w:cs="宋体"/>
                <w:spacing w:val="-1"/>
                <w:sz w:val="24"/>
                <w:szCs w:val="24"/>
              </w:rPr>
              <w:t>分）</w:t>
            </w:r>
          </w:p>
        </w:tc>
        <w:tc>
          <w:tcPr>
            <w:tcW w:w="1163" w:type="dxa"/>
            <w:tcBorders>
              <w:tl2br w:val="nil"/>
              <w:tr2bl w:val="nil"/>
            </w:tcBorders>
            <w:vAlign w:val="center"/>
          </w:tcPr>
          <w:p w14:paraId="07DC4D27">
            <w:pPr>
              <w:pStyle w:val="24"/>
              <w:keepNext w:val="0"/>
              <w:keepLines w:val="0"/>
              <w:pageBreakBefore w:val="0"/>
              <w:wordWrap/>
              <w:overflowPunct/>
              <w:topLinePunct w:val="0"/>
              <w:bidi w:val="0"/>
              <w:spacing w:before="37" w:line="440" w:lineRule="exact"/>
              <w:ind w:left="112" w:right="22"/>
              <w:jc w:val="center"/>
              <w:rPr>
                <w:rFonts w:hint="eastAsia" w:ascii="宋体" w:hAnsi="宋体" w:eastAsia="宋体" w:cs="宋体"/>
                <w:sz w:val="24"/>
                <w:szCs w:val="24"/>
              </w:rPr>
            </w:pPr>
            <w:r>
              <w:rPr>
                <w:rFonts w:hint="eastAsia" w:ascii="宋体" w:hAnsi="宋体" w:eastAsia="宋体" w:cs="宋体"/>
                <w:spacing w:val="-3"/>
                <w:sz w:val="24"/>
                <w:szCs w:val="24"/>
              </w:rPr>
              <w:t>整体</w:t>
            </w:r>
            <w:r>
              <w:rPr>
                <w:rFonts w:hint="eastAsia" w:ascii="宋体" w:hAnsi="宋体" w:eastAsia="宋体" w:cs="宋体"/>
                <w:spacing w:val="-6"/>
                <w:sz w:val="24"/>
                <w:szCs w:val="24"/>
              </w:rPr>
              <w:t>设想及策划</w:t>
            </w:r>
          </w:p>
        </w:tc>
        <w:tc>
          <w:tcPr>
            <w:tcW w:w="5788" w:type="dxa"/>
            <w:tcBorders>
              <w:tl2br w:val="nil"/>
              <w:tr2bl w:val="nil"/>
            </w:tcBorders>
            <w:vAlign w:val="center"/>
          </w:tcPr>
          <w:p w14:paraId="792CDB9D">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spacing w:val="-3"/>
                <w:sz w:val="24"/>
                <w:szCs w:val="24"/>
                <w:lang w:eastAsia="zh-CN"/>
              </w:rPr>
            </w:pPr>
            <w:r>
              <w:rPr>
                <w:rFonts w:hint="eastAsia" w:ascii="宋体" w:hAnsi="宋体" w:eastAsia="宋体" w:cs="宋体"/>
                <w:spacing w:val="-1"/>
                <w:sz w:val="24"/>
                <w:szCs w:val="24"/>
              </w:rPr>
              <w:t>供应商提供针对本项目的</w:t>
            </w:r>
            <w:r>
              <w:rPr>
                <w:rFonts w:hint="eastAsia" w:ascii="宋体" w:hAnsi="宋体" w:eastAsia="宋体" w:cs="宋体"/>
                <w:b/>
                <w:bCs/>
                <w:spacing w:val="-1"/>
                <w:sz w:val="24"/>
                <w:szCs w:val="24"/>
              </w:rPr>
              <w:t>整体设想及策划</w:t>
            </w:r>
            <w:r>
              <w:rPr>
                <w:rFonts w:hint="eastAsia" w:ascii="宋体" w:hAnsi="宋体" w:eastAsia="宋体" w:cs="宋体"/>
                <w:spacing w:val="-1"/>
                <w:sz w:val="24"/>
                <w:szCs w:val="24"/>
              </w:rPr>
              <w:t>，主要</w:t>
            </w:r>
            <w:r>
              <w:rPr>
                <w:rFonts w:hint="eastAsia" w:ascii="宋体" w:hAnsi="宋体" w:eastAsia="宋体" w:cs="宋体"/>
                <w:spacing w:val="-3"/>
                <w:sz w:val="24"/>
                <w:szCs w:val="24"/>
              </w:rPr>
              <w:t>内容包括</w:t>
            </w:r>
            <w:r>
              <w:rPr>
                <w:rFonts w:hint="eastAsia" w:ascii="宋体" w:hAnsi="宋体" w:eastAsia="宋体" w:cs="宋体"/>
                <w:spacing w:val="-3"/>
                <w:sz w:val="24"/>
                <w:szCs w:val="24"/>
                <w:lang w:val="en-US" w:eastAsia="zh-CN"/>
              </w:rPr>
              <w:t>但不限于</w:t>
            </w:r>
            <w:r>
              <w:rPr>
                <w:rFonts w:hint="eastAsia" w:ascii="宋体" w:hAnsi="宋体" w:eastAsia="宋体" w:cs="宋体"/>
                <w:spacing w:val="-3"/>
                <w:sz w:val="24"/>
                <w:szCs w:val="24"/>
                <w:lang w:eastAsia="zh-CN"/>
              </w:rPr>
              <w:t>：</w:t>
            </w:r>
          </w:p>
          <w:p w14:paraId="2CFE4BDF">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spacing w:val="-3"/>
                <w:sz w:val="24"/>
                <w:szCs w:val="24"/>
              </w:rPr>
            </w:pPr>
            <w:r>
              <w:rPr>
                <w:rFonts w:hint="eastAsia" w:ascii="宋体" w:hAnsi="宋体" w:eastAsia="宋体" w:cs="宋体"/>
                <w:spacing w:val="-3"/>
                <w:sz w:val="24"/>
                <w:szCs w:val="24"/>
              </w:rPr>
              <w:t>①标准、高水平的管理措施；</w:t>
            </w:r>
          </w:p>
          <w:p w14:paraId="29F1956A">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spacing w:val="-1"/>
                <w:sz w:val="24"/>
                <w:szCs w:val="24"/>
              </w:rPr>
            </w:pPr>
            <w:r>
              <w:rPr>
                <w:rFonts w:hint="eastAsia" w:ascii="宋体" w:hAnsi="宋体" w:eastAsia="宋体" w:cs="宋体"/>
                <w:spacing w:val="-3"/>
                <w:sz w:val="24"/>
                <w:szCs w:val="24"/>
              </w:rPr>
              <w:t>②超前性、</w:t>
            </w:r>
            <w:r>
              <w:rPr>
                <w:rFonts w:hint="eastAsia" w:ascii="宋体" w:hAnsi="宋体" w:eastAsia="宋体" w:cs="宋体"/>
                <w:spacing w:val="-1"/>
                <w:sz w:val="24"/>
                <w:szCs w:val="24"/>
              </w:rPr>
              <w:t>创造性、全方位贴心服务的意识；</w:t>
            </w:r>
          </w:p>
          <w:p w14:paraId="5E79C3E8">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rPr>
              <w:t>③创造优美舒适、安全文明、洁净环境的设想等</w:t>
            </w:r>
            <w:r>
              <w:rPr>
                <w:rFonts w:hint="eastAsia" w:ascii="宋体" w:hAnsi="宋体" w:eastAsia="宋体" w:cs="宋体"/>
                <w:spacing w:val="-1"/>
                <w:sz w:val="24"/>
                <w:szCs w:val="24"/>
                <w:lang w:eastAsia="zh-CN"/>
              </w:rPr>
              <w:t>；</w:t>
            </w:r>
          </w:p>
          <w:p w14:paraId="5DBB4255">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sz w:val="24"/>
                <w:szCs w:val="24"/>
              </w:rPr>
            </w:pPr>
            <w:r>
              <w:rPr>
                <w:rFonts w:hint="eastAsia" w:ascii="宋体" w:hAnsi="宋体" w:eastAsia="宋体" w:cs="宋体"/>
                <w:b/>
                <w:bCs/>
                <w:spacing w:val="-1"/>
                <w:sz w:val="24"/>
                <w:szCs w:val="24"/>
                <w:lang w:val="en-US" w:eastAsia="zh-CN"/>
              </w:rPr>
              <w:t>由</w:t>
            </w:r>
            <w:r>
              <w:rPr>
                <w:rFonts w:hint="eastAsia" w:ascii="宋体" w:hAnsi="宋体" w:eastAsia="宋体" w:cs="宋体"/>
                <w:b/>
                <w:bCs/>
                <w:spacing w:val="-1"/>
                <w:sz w:val="24"/>
                <w:szCs w:val="24"/>
              </w:rPr>
              <w:t>磋商小组根据响应文件进行综合评审：</w:t>
            </w:r>
          </w:p>
          <w:p w14:paraId="65C62B3C">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color w:val="000000"/>
                <w:sz w:val="24"/>
                <w:u w:val="none"/>
              </w:rPr>
            </w:pPr>
            <w:r>
              <w:rPr>
                <w:rFonts w:hint="eastAsia" w:ascii="宋体" w:hAnsi="宋体" w:eastAsia="宋体" w:cs="宋体"/>
                <w:b/>
                <w:bCs/>
                <w:color w:val="000000"/>
                <w:sz w:val="24"/>
                <w:u w:val="none"/>
              </w:rPr>
              <w:t>方案全面详尽、定位准确，服务内容针对性强</w:t>
            </w:r>
            <w:r>
              <w:rPr>
                <w:rFonts w:hint="eastAsia" w:ascii="宋体" w:hAnsi="宋体" w:eastAsia="宋体" w:cs="宋体"/>
                <w:b/>
                <w:bCs/>
                <w:color w:val="000000"/>
                <w:sz w:val="24"/>
                <w:u w:val="none"/>
                <w:lang w:val="en-US" w:eastAsia="zh-CN"/>
              </w:rPr>
              <w:t>4</w:t>
            </w:r>
            <w:r>
              <w:rPr>
                <w:rFonts w:hint="eastAsia" w:ascii="宋体" w:hAnsi="宋体" w:eastAsia="宋体" w:cs="宋体"/>
                <w:b/>
                <w:bCs/>
                <w:color w:val="000000"/>
                <w:sz w:val="24"/>
                <w:u w:val="none"/>
              </w:rPr>
              <w:t>≤F≤</w:t>
            </w:r>
            <w:r>
              <w:rPr>
                <w:rFonts w:hint="eastAsia" w:ascii="宋体" w:hAnsi="宋体" w:eastAsia="宋体" w:cs="宋体"/>
                <w:b/>
                <w:bCs/>
                <w:color w:val="000000"/>
                <w:sz w:val="24"/>
                <w:u w:val="none"/>
                <w:lang w:val="en-US" w:eastAsia="zh-CN"/>
              </w:rPr>
              <w:t>5</w:t>
            </w:r>
            <w:r>
              <w:rPr>
                <w:rFonts w:hint="eastAsia" w:ascii="宋体" w:hAnsi="宋体" w:eastAsia="宋体" w:cs="宋体"/>
                <w:b/>
                <w:bCs/>
                <w:color w:val="000000"/>
                <w:sz w:val="24"/>
                <w:u w:val="none"/>
              </w:rPr>
              <w:t>分；</w:t>
            </w:r>
          </w:p>
          <w:p w14:paraId="5D36B917">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color w:val="000000"/>
                <w:sz w:val="24"/>
                <w:u w:val="none"/>
              </w:rPr>
            </w:pPr>
            <w:r>
              <w:rPr>
                <w:rFonts w:hint="eastAsia" w:ascii="宋体" w:hAnsi="宋体" w:eastAsia="宋体" w:cs="宋体"/>
                <w:b/>
                <w:bCs/>
                <w:color w:val="000000"/>
                <w:sz w:val="24"/>
                <w:u w:val="none"/>
              </w:rPr>
              <w:t>方案基本符合实际，具有一定实用性的，</w:t>
            </w:r>
            <w:r>
              <w:rPr>
                <w:rFonts w:hint="eastAsia" w:ascii="宋体" w:hAnsi="宋体" w:eastAsia="宋体" w:cs="宋体"/>
                <w:b/>
                <w:bCs/>
                <w:color w:val="000000"/>
                <w:sz w:val="24"/>
                <w:u w:val="none"/>
                <w:lang w:val="en-US" w:eastAsia="zh-CN"/>
              </w:rPr>
              <w:t>2</w:t>
            </w:r>
            <w:r>
              <w:rPr>
                <w:rFonts w:hint="eastAsia" w:ascii="宋体" w:hAnsi="宋体" w:eastAsia="宋体" w:cs="宋体"/>
                <w:b/>
                <w:bCs/>
                <w:color w:val="000000"/>
                <w:sz w:val="24"/>
                <w:u w:val="none"/>
              </w:rPr>
              <w:t>≤F＜</w:t>
            </w:r>
            <w:r>
              <w:rPr>
                <w:rFonts w:hint="eastAsia" w:ascii="宋体" w:hAnsi="宋体" w:eastAsia="宋体" w:cs="宋体"/>
                <w:b/>
                <w:bCs/>
                <w:color w:val="000000"/>
                <w:sz w:val="24"/>
                <w:u w:val="none"/>
                <w:lang w:val="en-US" w:eastAsia="zh-CN"/>
              </w:rPr>
              <w:t>4</w:t>
            </w:r>
            <w:r>
              <w:rPr>
                <w:rFonts w:hint="eastAsia" w:ascii="宋体" w:hAnsi="宋体" w:eastAsia="宋体" w:cs="宋体"/>
                <w:b/>
                <w:bCs/>
                <w:color w:val="000000"/>
                <w:sz w:val="24"/>
                <w:u w:val="none"/>
              </w:rPr>
              <w:t>分；</w:t>
            </w:r>
          </w:p>
          <w:p w14:paraId="30126942">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color w:val="000000"/>
                <w:sz w:val="24"/>
                <w:u w:val="none"/>
              </w:rPr>
            </w:pPr>
            <w:r>
              <w:rPr>
                <w:rFonts w:hint="eastAsia" w:ascii="宋体" w:hAnsi="宋体" w:eastAsia="宋体" w:cs="宋体"/>
                <w:b/>
                <w:bCs/>
                <w:color w:val="000000"/>
                <w:sz w:val="24"/>
                <w:u w:val="none"/>
              </w:rPr>
              <w:t>方案待完整0≤F＜</w:t>
            </w:r>
            <w:r>
              <w:rPr>
                <w:rFonts w:hint="eastAsia" w:ascii="宋体" w:hAnsi="宋体" w:eastAsia="宋体" w:cs="宋体"/>
                <w:b/>
                <w:bCs/>
                <w:color w:val="000000"/>
                <w:sz w:val="24"/>
                <w:u w:val="none"/>
                <w:lang w:val="en-US" w:eastAsia="zh-CN"/>
              </w:rPr>
              <w:t>2</w:t>
            </w:r>
            <w:r>
              <w:rPr>
                <w:rFonts w:hint="eastAsia" w:ascii="宋体" w:hAnsi="宋体" w:eastAsia="宋体" w:cs="宋体"/>
                <w:b/>
                <w:bCs/>
                <w:color w:val="000000"/>
                <w:sz w:val="24"/>
                <w:u w:val="none"/>
              </w:rPr>
              <w:t>分。</w:t>
            </w:r>
          </w:p>
          <w:p w14:paraId="3509AD26">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sz w:val="24"/>
                <w:szCs w:val="24"/>
              </w:rPr>
            </w:pPr>
            <w:r>
              <w:rPr>
                <w:rFonts w:hint="eastAsia" w:ascii="宋体" w:hAnsi="宋体" w:eastAsia="宋体" w:cs="宋体"/>
                <w:b/>
                <w:bCs/>
                <w:color w:val="000000"/>
                <w:sz w:val="24"/>
                <w:u w:val="none"/>
              </w:rPr>
              <w:t>注：</w:t>
            </w:r>
            <w:r>
              <w:rPr>
                <w:rFonts w:hint="eastAsia" w:ascii="宋体" w:hAnsi="宋体" w:eastAsia="宋体" w:cs="宋体"/>
                <w:b/>
                <w:color w:val="000000"/>
                <w:sz w:val="24"/>
                <w:u w:val="none"/>
              </w:rPr>
              <w:t>F为本项得分</w:t>
            </w:r>
            <w:r>
              <w:rPr>
                <w:rFonts w:hint="eastAsia" w:ascii="宋体" w:hAnsi="宋体" w:eastAsia="宋体" w:cs="宋体"/>
                <w:b/>
                <w:bCs/>
                <w:color w:val="000000"/>
                <w:sz w:val="24"/>
                <w:u w:val="none"/>
              </w:rPr>
              <w:t>。</w:t>
            </w:r>
          </w:p>
        </w:tc>
        <w:tc>
          <w:tcPr>
            <w:tcW w:w="1063" w:type="dxa"/>
            <w:tcBorders>
              <w:tl2br w:val="nil"/>
              <w:tr2bl w:val="nil"/>
            </w:tcBorders>
            <w:vAlign w:val="center"/>
          </w:tcPr>
          <w:p w14:paraId="6F841A4D">
            <w:pPr>
              <w:pStyle w:val="24"/>
              <w:keepNext w:val="0"/>
              <w:keepLines w:val="0"/>
              <w:pageBreakBefore w:val="0"/>
              <w:wordWrap/>
              <w:overflowPunct/>
              <w:topLinePunct w:val="0"/>
              <w:bidi w:val="0"/>
              <w:spacing w:before="78" w:line="440" w:lineRule="exact"/>
              <w:jc w:val="center"/>
              <w:rPr>
                <w:rFonts w:hint="eastAsia" w:ascii="宋体" w:hAnsi="宋体" w:eastAsia="宋体" w:cs="宋体"/>
                <w:b w:val="0"/>
                <w:bCs w:val="0"/>
                <w:sz w:val="24"/>
                <w:szCs w:val="24"/>
              </w:rPr>
            </w:pPr>
            <w:r>
              <w:rPr>
                <w:rFonts w:hint="eastAsia" w:ascii="宋体" w:hAnsi="宋体" w:eastAsia="宋体" w:cs="宋体"/>
                <w:b w:val="0"/>
                <w:bCs w:val="0"/>
                <w:spacing w:val="-5"/>
                <w:sz w:val="24"/>
                <w:szCs w:val="24"/>
              </w:rPr>
              <w:t>0-5</w:t>
            </w:r>
            <w:r>
              <w:rPr>
                <w:rFonts w:hint="eastAsia" w:ascii="宋体" w:hAnsi="宋体" w:eastAsia="宋体" w:cs="宋体"/>
                <w:b w:val="0"/>
                <w:bCs w:val="0"/>
                <w:spacing w:val="-48"/>
                <w:sz w:val="24"/>
                <w:szCs w:val="24"/>
              </w:rPr>
              <w:t xml:space="preserve"> </w:t>
            </w:r>
            <w:r>
              <w:rPr>
                <w:rFonts w:hint="eastAsia" w:ascii="宋体" w:hAnsi="宋体" w:eastAsia="宋体" w:cs="宋体"/>
                <w:b w:val="0"/>
                <w:bCs w:val="0"/>
                <w:spacing w:val="-5"/>
                <w:sz w:val="24"/>
                <w:szCs w:val="24"/>
              </w:rPr>
              <w:t>分</w:t>
            </w:r>
          </w:p>
        </w:tc>
      </w:tr>
      <w:tr w14:paraId="18A933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1" w:hRule="atLeast"/>
          <w:jc w:val="center"/>
        </w:trPr>
        <w:tc>
          <w:tcPr>
            <w:tcW w:w="1155" w:type="dxa"/>
            <w:vMerge w:val="continue"/>
            <w:tcBorders>
              <w:tl2br w:val="nil"/>
              <w:tr2bl w:val="nil"/>
            </w:tcBorders>
            <w:vAlign w:val="center"/>
          </w:tcPr>
          <w:p w14:paraId="21D5DE07">
            <w:pPr>
              <w:keepNext w:val="0"/>
              <w:keepLines w:val="0"/>
              <w:pageBreakBefore w:val="0"/>
              <w:wordWrap/>
              <w:overflowPunct/>
              <w:topLinePunct w:val="0"/>
              <w:bidi w:val="0"/>
              <w:spacing w:line="440" w:lineRule="exact"/>
              <w:jc w:val="center"/>
              <w:rPr>
                <w:rFonts w:hint="eastAsia" w:ascii="宋体" w:hAnsi="宋体" w:eastAsia="宋体" w:cs="宋体"/>
                <w:sz w:val="24"/>
                <w:szCs w:val="24"/>
              </w:rPr>
            </w:pPr>
          </w:p>
        </w:tc>
        <w:tc>
          <w:tcPr>
            <w:tcW w:w="1163" w:type="dxa"/>
            <w:tcBorders>
              <w:tl2br w:val="nil"/>
              <w:tr2bl w:val="nil"/>
            </w:tcBorders>
            <w:vAlign w:val="center"/>
          </w:tcPr>
          <w:p w14:paraId="447014EF">
            <w:pPr>
              <w:keepNext w:val="0"/>
              <w:keepLines w:val="0"/>
              <w:pageBreakBefore w:val="0"/>
              <w:wordWrap/>
              <w:overflowPunct/>
              <w:topLinePunct w:val="0"/>
              <w:bidi w:val="0"/>
              <w:adjustRightInd w:val="0"/>
              <w:snapToGrid w:val="0"/>
              <w:spacing w:line="440" w:lineRule="exact"/>
              <w:ind w:firstLine="0" w:firstLineChars="0"/>
              <w:jc w:val="center"/>
              <w:rPr>
                <w:rFonts w:hint="eastAsia" w:ascii="宋体" w:hAnsi="宋体" w:eastAsia="宋体" w:cs="宋体"/>
                <w:sz w:val="24"/>
                <w:szCs w:val="24"/>
              </w:rPr>
            </w:pPr>
            <w:r>
              <w:rPr>
                <w:rFonts w:hint="eastAsia" w:ascii="宋体" w:hAnsi="宋体" w:eastAsia="宋体" w:cs="宋体"/>
                <w:kern w:val="2"/>
                <w:highlight w:val="none"/>
              </w:rPr>
              <w:t>管理</w:t>
            </w:r>
            <w:r>
              <w:rPr>
                <w:rFonts w:hint="eastAsia" w:ascii="宋体" w:hAnsi="宋体" w:eastAsia="宋体" w:cs="宋体"/>
                <w:spacing w:val="-6"/>
                <w:sz w:val="24"/>
                <w:szCs w:val="24"/>
              </w:rPr>
              <w:t>方式</w:t>
            </w:r>
            <w:r>
              <w:rPr>
                <w:rFonts w:hint="eastAsia" w:ascii="宋体" w:hAnsi="宋体" w:eastAsia="宋体" w:cs="宋体"/>
                <w:spacing w:val="-6"/>
                <w:sz w:val="24"/>
                <w:szCs w:val="24"/>
                <w:lang w:val="en-US" w:eastAsia="zh-CN"/>
              </w:rPr>
              <w:t>及</w:t>
            </w:r>
            <w:r>
              <w:rPr>
                <w:rFonts w:hint="eastAsia" w:ascii="宋体" w:hAnsi="宋体" w:eastAsia="宋体" w:cs="宋体"/>
                <w:spacing w:val="-6"/>
                <w:sz w:val="24"/>
                <w:szCs w:val="24"/>
              </w:rPr>
              <w:t>工作计划</w:t>
            </w:r>
          </w:p>
        </w:tc>
        <w:tc>
          <w:tcPr>
            <w:tcW w:w="5788" w:type="dxa"/>
            <w:tcBorders>
              <w:tl2br w:val="nil"/>
              <w:tr2bl w:val="nil"/>
            </w:tcBorders>
            <w:vAlign w:val="center"/>
          </w:tcPr>
          <w:p w14:paraId="0E111ECC">
            <w:pPr>
              <w:pStyle w:val="24"/>
              <w:keepNext w:val="0"/>
              <w:keepLines w:val="0"/>
              <w:pageBreakBefore w:val="0"/>
              <w:wordWrap/>
              <w:overflowPunct/>
              <w:topLinePunct w:val="0"/>
              <w:bidi w:val="0"/>
              <w:spacing w:before="39" w:line="440" w:lineRule="exact"/>
              <w:ind w:left="111" w:right="102" w:firstLine="1"/>
              <w:jc w:val="both"/>
              <w:rPr>
                <w:rFonts w:hint="eastAsia" w:ascii="宋体" w:hAnsi="宋体" w:eastAsia="宋体" w:cs="宋体"/>
                <w:spacing w:val="2"/>
                <w:sz w:val="24"/>
                <w:szCs w:val="24"/>
                <w:lang w:val="en-US" w:eastAsia="zh-CN"/>
              </w:rPr>
            </w:pPr>
            <w:r>
              <w:rPr>
                <w:rFonts w:hint="eastAsia" w:ascii="宋体" w:hAnsi="宋体" w:eastAsia="宋体" w:cs="宋体"/>
                <w:spacing w:val="3"/>
                <w:sz w:val="24"/>
                <w:szCs w:val="24"/>
              </w:rPr>
              <w:t>供应商提供针对本项目的</w:t>
            </w:r>
            <w:r>
              <w:rPr>
                <w:rFonts w:hint="eastAsia" w:ascii="宋体" w:hAnsi="宋体" w:eastAsia="宋体" w:cs="宋体"/>
                <w:b/>
                <w:bCs/>
                <w:spacing w:val="3"/>
                <w:sz w:val="24"/>
                <w:szCs w:val="24"/>
              </w:rPr>
              <w:t>管理方式</w:t>
            </w:r>
            <w:r>
              <w:rPr>
                <w:rFonts w:hint="eastAsia" w:ascii="宋体" w:hAnsi="宋体" w:eastAsia="宋体" w:cs="宋体"/>
                <w:b/>
                <w:bCs/>
                <w:spacing w:val="3"/>
                <w:sz w:val="24"/>
                <w:szCs w:val="24"/>
                <w:lang w:val="en-US" w:eastAsia="zh-CN"/>
              </w:rPr>
              <w:t>及</w:t>
            </w:r>
            <w:r>
              <w:rPr>
                <w:rFonts w:hint="eastAsia" w:ascii="宋体" w:hAnsi="宋体" w:eastAsia="宋体" w:cs="宋体"/>
                <w:b/>
                <w:bCs/>
                <w:spacing w:val="3"/>
                <w:sz w:val="24"/>
                <w:szCs w:val="24"/>
              </w:rPr>
              <w:t>工作计划</w:t>
            </w:r>
            <w:r>
              <w:rPr>
                <w:rFonts w:hint="eastAsia" w:ascii="宋体" w:hAnsi="宋体" w:eastAsia="宋体" w:cs="宋体"/>
                <w:spacing w:val="2"/>
                <w:sz w:val="24"/>
                <w:szCs w:val="24"/>
              </w:rPr>
              <w:t>，主要内容包括</w:t>
            </w:r>
            <w:r>
              <w:rPr>
                <w:rFonts w:hint="eastAsia" w:ascii="宋体" w:hAnsi="宋体" w:eastAsia="宋体" w:cs="宋体"/>
                <w:spacing w:val="2"/>
                <w:sz w:val="24"/>
                <w:szCs w:val="24"/>
                <w:lang w:val="en-US" w:eastAsia="zh-CN"/>
              </w:rPr>
              <w:t>但不限于：</w:t>
            </w:r>
          </w:p>
          <w:p w14:paraId="41CE1A63">
            <w:pPr>
              <w:pStyle w:val="24"/>
              <w:keepNext w:val="0"/>
              <w:keepLines w:val="0"/>
              <w:pageBreakBefore w:val="0"/>
              <w:wordWrap/>
              <w:overflowPunct/>
              <w:topLinePunct w:val="0"/>
              <w:bidi w:val="0"/>
              <w:spacing w:before="39" w:line="440" w:lineRule="exact"/>
              <w:ind w:left="111" w:right="102" w:firstLine="1"/>
              <w:jc w:val="both"/>
              <w:rPr>
                <w:rFonts w:hint="eastAsia" w:ascii="宋体" w:hAnsi="宋体" w:eastAsia="宋体" w:cs="宋体"/>
                <w:spacing w:val="5"/>
                <w:sz w:val="24"/>
                <w:szCs w:val="24"/>
              </w:rPr>
            </w:pPr>
            <w:r>
              <w:rPr>
                <w:rFonts w:hint="eastAsia" w:ascii="宋体" w:hAnsi="宋体" w:eastAsia="宋体" w:cs="宋体"/>
                <w:spacing w:val="2"/>
                <w:sz w:val="24"/>
                <w:szCs w:val="24"/>
              </w:rPr>
              <w:t>①管理方式：</w:t>
            </w:r>
            <w:r>
              <w:rPr>
                <w:rFonts w:hint="eastAsia" w:ascii="宋体" w:hAnsi="宋体" w:eastAsia="宋体" w:cs="宋体"/>
                <w:spacing w:val="-63"/>
                <w:sz w:val="24"/>
                <w:szCs w:val="24"/>
              </w:rPr>
              <w:t xml:space="preserve"> </w:t>
            </w:r>
            <w:r>
              <w:rPr>
                <w:rFonts w:hint="eastAsia" w:ascii="宋体" w:hAnsi="宋体" w:eastAsia="宋体" w:cs="宋体"/>
                <w:spacing w:val="2"/>
                <w:sz w:val="24"/>
                <w:szCs w:val="24"/>
              </w:rPr>
              <w:t>内部管理架构、激励机制、监督机制、</w:t>
            </w:r>
            <w:r>
              <w:rPr>
                <w:rFonts w:hint="eastAsia" w:ascii="宋体" w:hAnsi="宋体" w:eastAsia="宋体" w:cs="宋体"/>
                <w:spacing w:val="-51"/>
                <w:sz w:val="24"/>
                <w:szCs w:val="24"/>
              </w:rPr>
              <w:t xml:space="preserve"> </w:t>
            </w:r>
            <w:r>
              <w:rPr>
                <w:rFonts w:hint="eastAsia" w:ascii="宋体" w:hAnsi="宋体" w:eastAsia="宋体" w:cs="宋体"/>
                <w:spacing w:val="2"/>
                <w:sz w:val="24"/>
                <w:szCs w:val="24"/>
              </w:rPr>
              <w:t>自我约束机制、信</w:t>
            </w:r>
            <w:r>
              <w:rPr>
                <w:rFonts w:hint="eastAsia" w:ascii="宋体" w:hAnsi="宋体" w:eastAsia="宋体" w:cs="宋体"/>
                <w:spacing w:val="5"/>
                <w:sz w:val="24"/>
                <w:szCs w:val="24"/>
              </w:rPr>
              <w:t>息反馈及处理机制等；</w:t>
            </w:r>
          </w:p>
          <w:p w14:paraId="09E50ACC">
            <w:pPr>
              <w:pStyle w:val="24"/>
              <w:keepNext w:val="0"/>
              <w:keepLines w:val="0"/>
              <w:pageBreakBefore w:val="0"/>
              <w:wordWrap/>
              <w:overflowPunct/>
              <w:topLinePunct w:val="0"/>
              <w:bidi w:val="0"/>
              <w:spacing w:before="39" w:line="440" w:lineRule="exact"/>
              <w:ind w:left="111" w:right="102" w:firstLine="1"/>
              <w:jc w:val="both"/>
              <w:rPr>
                <w:rFonts w:hint="eastAsia" w:ascii="宋体" w:hAnsi="宋体" w:eastAsia="宋体" w:cs="宋体"/>
                <w:spacing w:val="5"/>
                <w:sz w:val="24"/>
                <w:szCs w:val="24"/>
              </w:rPr>
            </w:pPr>
            <w:r>
              <w:rPr>
                <w:rFonts w:hint="eastAsia" w:ascii="宋体" w:hAnsi="宋体" w:eastAsia="宋体" w:cs="宋体"/>
                <w:spacing w:val="5"/>
                <w:sz w:val="24"/>
                <w:szCs w:val="24"/>
              </w:rPr>
              <w:t>②工作计划：工作流程、各项管理、服务项目的长远计划和短期安排等；</w:t>
            </w:r>
          </w:p>
          <w:p w14:paraId="340990CD">
            <w:pPr>
              <w:pStyle w:val="24"/>
              <w:keepNext w:val="0"/>
              <w:keepLines w:val="0"/>
              <w:pageBreakBefore w:val="0"/>
              <w:wordWrap/>
              <w:overflowPunct/>
              <w:topLinePunct w:val="0"/>
              <w:bidi w:val="0"/>
              <w:spacing w:before="39" w:line="440" w:lineRule="exact"/>
              <w:ind w:left="111" w:right="102" w:firstLine="1"/>
              <w:jc w:val="both"/>
              <w:rPr>
                <w:rFonts w:hint="eastAsia" w:ascii="宋体" w:hAnsi="宋体" w:eastAsia="宋体" w:cs="宋体"/>
                <w:b/>
                <w:bCs/>
                <w:sz w:val="24"/>
                <w:szCs w:val="24"/>
              </w:rPr>
            </w:pPr>
            <w:r>
              <w:rPr>
                <w:rFonts w:hint="eastAsia" w:ascii="宋体" w:hAnsi="宋体" w:eastAsia="宋体" w:cs="宋体"/>
                <w:b/>
                <w:bCs/>
                <w:spacing w:val="-1"/>
                <w:sz w:val="24"/>
                <w:szCs w:val="24"/>
                <w:lang w:val="en-US" w:eastAsia="zh-CN"/>
              </w:rPr>
              <w:t>由</w:t>
            </w:r>
            <w:r>
              <w:rPr>
                <w:rFonts w:hint="eastAsia" w:ascii="宋体" w:hAnsi="宋体" w:eastAsia="宋体" w:cs="宋体"/>
                <w:b/>
                <w:bCs/>
                <w:spacing w:val="-1"/>
                <w:sz w:val="24"/>
                <w:szCs w:val="24"/>
              </w:rPr>
              <w:t>磋商小组根据响应文件进行综合评审：</w:t>
            </w:r>
          </w:p>
          <w:p w14:paraId="41823995">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color w:val="000000"/>
                <w:sz w:val="24"/>
                <w:u w:val="none"/>
              </w:rPr>
            </w:pPr>
            <w:r>
              <w:rPr>
                <w:rFonts w:hint="eastAsia" w:ascii="宋体" w:hAnsi="宋体" w:eastAsia="宋体" w:cs="宋体"/>
                <w:b/>
                <w:bCs/>
                <w:color w:val="000000"/>
                <w:sz w:val="24"/>
                <w:u w:val="none"/>
              </w:rPr>
              <w:t>方案全面详尽、定位准确，服务内容针对性强</w:t>
            </w:r>
            <w:r>
              <w:rPr>
                <w:rFonts w:hint="eastAsia" w:ascii="宋体" w:hAnsi="宋体" w:eastAsia="宋体" w:cs="宋体"/>
                <w:b/>
                <w:bCs/>
                <w:color w:val="000000"/>
                <w:sz w:val="24"/>
                <w:u w:val="none"/>
                <w:lang w:val="en-US" w:eastAsia="zh-CN"/>
              </w:rPr>
              <w:t>4</w:t>
            </w:r>
            <w:r>
              <w:rPr>
                <w:rFonts w:hint="eastAsia" w:ascii="宋体" w:hAnsi="宋体" w:eastAsia="宋体" w:cs="宋体"/>
                <w:b/>
                <w:bCs/>
                <w:color w:val="000000"/>
                <w:sz w:val="24"/>
                <w:u w:val="none"/>
              </w:rPr>
              <w:t>≤F≤</w:t>
            </w:r>
            <w:r>
              <w:rPr>
                <w:rFonts w:hint="eastAsia" w:ascii="宋体" w:hAnsi="宋体" w:eastAsia="宋体" w:cs="宋体"/>
                <w:b/>
                <w:bCs/>
                <w:color w:val="000000"/>
                <w:sz w:val="24"/>
                <w:u w:val="none"/>
                <w:lang w:val="en-US" w:eastAsia="zh-CN"/>
              </w:rPr>
              <w:t>5</w:t>
            </w:r>
            <w:r>
              <w:rPr>
                <w:rFonts w:hint="eastAsia" w:ascii="宋体" w:hAnsi="宋体" w:eastAsia="宋体" w:cs="宋体"/>
                <w:b/>
                <w:bCs/>
                <w:color w:val="000000"/>
                <w:sz w:val="24"/>
                <w:u w:val="none"/>
              </w:rPr>
              <w:t>分；</w:t>
            </w:r>
          </w:p>
          <w:p w14:paraId="76646EF8">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color w:val="000000"/>
                <w:sz w:val="24"/>
                <w:u w:val="none"/>
              </w:rPr>
            </w:pPr>
            <w:r>
              <w:rPr>
                <w:rFonts w:hint="eastAsia" w:ascii="宋体" w:hAnsi="宋体" w:eastAsia="宋体" w:cs="宋体"/>
                <w:b/>
                <w:bCs/>
                <w:color w:val="000000"/>
                <w:sz w:val="24"/>
                <w:u w:val="none"/>
              </w:rPr>
              <w:t>方案基本符合实际，具有一定实用性的，</w:t>
            </w:r>
            <w:r>
              <w:rPr>
                <w:rFonts w:hint="eastAsia" w:ascii="宋体" w:hAnsi="宋体" w:eastAsia="宋体" w:cs="宋体"/>
                <w:b/>
                <w:bCs/>
                <w:color w:val="000000"/>
                <w:sz w:val="24"/>
                <w:u w:val="none"/>
                <w:lang w:val="en-US" w:eastAsia="zh-CN"/>
              </w:rPr>
              <w:t>2</w:t>
            </w:r>
            <w:r>
              <w:rPr>
                <w:rFonts w:hint="eastAsia" w:ascii="宋体" w:hAnsi="宋体" w:eastAsia="宋体" w:cs="宋体"/>
                <w:b/>
                <w:bCs/>
                <w:color w:val="000000"/>
                <w:sz w:val="24"/>
                <w:u w:val="none"/>
              </w:rPr>
              <w:t>≤F＜</w:t>
            </w:r>
            <w:r>
              <w:rPr>
                <w:rFonts w:hint="eastAsia" w:ascii="宋体" w:hAnsi="宋体" w:eastAsia="宋体" w:cs="宋体"/>
                <w:b/>
                <w:bCs/>
                <w:color w:val="000000"/>
                <w:sz w:val="24"/>
                <w:u w:val="none"/>
                <w:lang w:val="en-US" w:eastAsia="zh-CN"/>
              </w:rPr>
              <w:t>4</w:t>
            </w:r>
            <w:r>
              <w:rPr>
                <w:rFonts w:hint="eastAsia" w:ascii="宋体" w:hAnsi="宋体" w:eastAsia="宋体" w:cs="宋体"/>
                <w:b/>
                <w:bCs/>
                <w:color w:val="000000"/>
                <w:sz w:val="24"/>
                <w:u w:val="none"/>
              </w:rPr>
              <w:t>分；</w:t>
            </w:r>
          </w:p>
          <w:p w14:paraId="787D767E">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color w:val="000000"/>
                <w:sz w:val="24"/>
                <w:u w:val="none"/>
              </w:rPr>
            </w:pPr>
            <w:r>
              <w:rPr>
                <w:rFonts w:hint="eastAsia" w:ascii="宋体" w:hAnsi="宋体" w:eastAsia="宋体" w:cs="宋体"/>
                <w:b/>
                <w:bCs/>
                <w:color w:val="000000"/>
                <w:sz w:val="24"/>
                <w:u w:val="none"/>
              </w:rPr>
              <w:t>方案待完整0≤F＜</w:t>
            </w:r>
            <w:r>
              <w:rPr>
                <w:rFonts w:hint="eastAsia" w:ascii="宋体" w:hAnsi="宋体" w:eastAsia="宋体" w:cs="宋体"/>
                <w:b/>
                <w:bCs/>
                <w:color w:val="000000"/>
                <w:sz w:val="24"/>
                <w:u w:val="none"/>
                <w:lang w:val="en-US" w:eastAsia="zh-CN"/>
              </w:rPr>
              <w:t>2</w:t>
            </w:r>
            <w:r>
              <w:rPr>
                <w:rFonts w:hint="eastAsia" w:ascii="宋体" w:hAnsi="宋体" w:eastAsia="宋体" w:cs="宋体"/>
                <w:b/>
                <w:bCs/>
                <w:color w:val="000000"/>
                <w:sz w:val="24"/>
                <w:u w:val="none"/>
              </w:rPr>
              <w:t>分。</w:t>
            </w:r>
          </w:p>
          <w:p w14:paraId="78D3DE5E">
            <w:pPr>
              <w:pStyle w:val="24"/>
              <w:keepNext w:val="0"/>
              <w:keepLines w:val="0"/>
              <w:pageBreakBefore w:val="0"/>
              <w:wordWrap/>
              <w:overflowPunct/>
              <w:topLinePunct w:val="0"/>
              <w:bidi w:val="0"/>
              <w:spacing w:before="39" w:line="440" w:lineRule="exact"/>
              <w:ind w:left="111" w:right="102" w:firstLine="1"/>
              <w:jc w:val="both"/>
              <w:rPr>
                <w:rFonts w:hint="eastAsia" w:ascii="宋体" w:hAnsi="宋体" w:eastAsia="宋体" w:cs="宋体"/>
                <w:spacing w:val="-1"/>
                <w:sz w:val="24"/>
                <w:szCs w:val="24"/>
              </w:rPr>
            </w:pPr>
            <w:r>
              <w:rPr>
                <w:rFonts w:hint="eastAsia" w:ascii="宋体" w:hAnsi="宋体" w:eastAsia="宋体" w:cs="宋体"/>
                <w:b/>
                <w:bCs/>
                <w:color w:val="000000"/>
                <w:sz w:val="24"/>
                <w:u w:val="none"/>
              </w:rPr>
              <w:t>注：</w:t>
            </w:r>
            <w:r>
              <w:rPr>
                <w:rFonts w:hint="eastAsia" w:ascii="宋体" w:hAnsi="宋体" w:eastAsia="宋体" w:cs="宋体"/>
                <w:b/>
                <w:color w:val="000000"/>
                <w:sz w:val="24"/>
                <w:u w:val="none"/>
              </w:rPr>
              <w:t>F为本项得分</w:t>
            </w:r>
            <w:r>
              <w:rPr>
                <w:rFonts w:hint="eastAsia" w:ascii="宋体" w:hAnsi="宋体" w:eastAsia="宋体" w:cs="宋体"/>
                <w:b/>
                <w:bCs/>
                <w:color w:val="000000"/>
                <w:sz w:val="24"/>
                <w:u w:val="none"/>
              </w:rPr>
              <w:t>。</w:t>
            </w:r>
          </w:p>
        </w:tc>
        <w:tc>
          <w:tcPr>
            <w:tcW w:w="1063" w:type="dxa"/>
            <w:tcBorders>
              <w:tl2br w:val="nil"/>
              <w:tr2bl w:val="nil"/>
            </w:tcBorders>
            <w:vAlign w:val="center"/>
          </w:tcPr>
          <w:p w14:paraId="694C2508">
            <w:pPr>
              <w:pStyle w:val="24"/>
              <w:keepNext w:val="0"/>
              <w:keepLines w:val="0"/>
              <w:pageBreakBefore w:val="0"/>
              <w:wordWrap/>
              <w:overflowPunct/>
              <w:topLinePunct w:val="0"/>
              <w:bidi w:val="0"/>
              <w:spacing w:before="78" w:line="440" w:lineRule="exact"/>
              <w:jc w:val="center"/>
              <w:rPr>
                <w:rFonts w:hint="eastAsia" w:ascii="宋体" w:hAnsi="宋体" w:eastAsia="宋体" w:cs="宋体"/>
                <w:b w:val="0"/>
                <w:bCs w:val="0"/>
                <w:sz w:val="24"/>
                <w:szCs w:val="24"/>
              </w:rPr>
            </w:pPr>
            <w:r>
              <w:rPr>
                <w:rFonts w:hint="eastAsia" w:ascii="宋体" w:hAnsi="宋体" w:eastAsia="宋体" w:cs="宋体"/>
                <w:b w:val="0"/>
                <w:bCs w:val="0"/>
                <w:spacing w:val="-5"/>
                <w:sz w:val="24"/>
                <w:szCs w:val="24"/>
              </w:rPr>
              <w:t>0-5</w:t>
            </w:r>
            <w:r>
              <w:rPr>
                <w:rFonts w:hint="eastAsia" w:ascii="宋体" w:hAnsi="宋体" w:eastAsia="宋体" w:cs="宋体"/>
                <w:b w:val="0"/>
                <w:bCs w:val="0"/>
                <w:spacing w:val="-48"/>
                <w:sz w:val="24"/>
                <w:szCs w:val="24"/>
              </w:rPr>
              <w:t xml:space="preserve"> </w:t>
            </w:r>
            <w:r>
              <w:rPr>
                <w:rFonts w:hint="eastAsia" w:ascii="宋体" w:hAnsi="宋体" w:eastAsia="宋体" w:cs="宋体"/>
                <w:b w:val="0"/>
                <w:bCs w:val="0"/>
                <w:spacing w:val="-5"/>
                <w:sz w:val="24"/>
                <w:szCs w:val="24"/>
              </w:rPr>
              <w:t>分</w:t>
            </w:r>
          </w:p>
        </w:tc>
      </w:tr>
      <w:tr w14:paraId="52F2C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8" w:hRule="atLeast"/>
          <w:jc w:val="center"/>
        </w:trPr>
        <w:tc>
          <w:tcPr>
            <w:tcW w:w="1155" w:type="dxa"/>
            <w:vMerge w:val="continue"/>
            <w:tcBorders>
              <w:tl2br w:val="nil"/>
              <w:tr2bl w:val="nil"/>
            </w:tcBorders>
            <w:vAlign w:val="center"/>
          </w:tcPr>
          <w:p w14:paraId="17D36092">
            <w:pPr>
              <w:keepNext w:val="0"/>
              <w:keepLines w:val="0"/>
              <w:pageBreakBefore w:val="0"/>
              <w:wordWrap/>
              <w:overflowPunct/>
              <w:topLinePunct w:val="0"/>
              <w:bidi w:val="0"/>
              <w:spacing w:line="440" w:lineRule="exact"/>
              <w:jc w:val="center"/>
              <w:rPr>
                <w:rFonts w:hint="eastAsia" w:ascii="宋体" w:hAnsi="宋体" w:eastAsia="宋体" w:cs="宋体"/>
                <w:sz w:val="24"/>
                <w:szCs w:val="24"/>
              </w:rPr>
            </w:pPr>
          </w:p>
        </w:tc>
        <w:tc>
          <w:tcPr>
            <w:tcW w:w="1163" w:type="dxa"/>
            <w:tcBorders>
              <w:tl2br w:val="nil"/>
              <w:tr2bl w:val="nil"/>
            </w:tcBorders>
            <w:vAlign w:val="center"/>
          </w:tcPr>
          <w:p w14:paraId="2E563DD8">
            <w:pPr>
              <w:keepNext w:val="0"/>
              <w:keepLines w:val="0"/>
              <w:pageBreakBefore w:val="0"/>
              <w:wordWrap/>
              <w:overflowPunct/>
              <w:topLinePunct w:val="0"/>
              <w:bidi w:val="0"/>
              <w:adjustRightInd w:val="0"/>
              <w:snapToGrid w:val="0"/>
              <w:spacing w:line="440" w:lineRule="exact"/>
              <w:ind w:firstLine="0" w:firstLineChars="0"/>
              <w:jc w:val="center"/>
              <w:rPr>
                <w:rFonts w:hint="eastAsia" w:ascii="宋体" w:hAnsi="宋体" w:eastAsia="宋体" w:cs="宋体"/>
                <w:sz w:val="24"/>
                <w:szCs w:val="24"/>
              </w:rPr>
            </w:pPr>
            <w:r>
              <w:rPr>
                <w:rFonts w:hint="eastAsia" w:ascii="宋体" w:hAnsi="宋体" w:eastAsia="宋体" w:cs="宋体"/>
                <w:spacing w:val="-6"/>
                <w:sz w:val="24"/>
                <w:szCs w:val="24"/>
              </w:rPr>
              <w:t>人员</w:t>
            </w:r>
            <w:r>
              <w:rPr>
                <w:rFonts w:hint="eastAsia" w:ascii="宋体" w:hAnsi="宋体" w:eastAsia="宋体" w:cs="宋体"/>
                <w:kern w:val="2"/>
                <w:highlight w:val="none"/>
              </w:rPr>
              <w:t>培训</w:t>
            </w:r>
            <w:r>
              <w:rPr>
                <w:rFonts w:hint="eastAsia" w:ascii="宋体" w:hAnsi="宋体" w:eastAsia="宋体" w:cs="宋体"/>
                <w:spacing w:val="-6"/>
                <w:sz w:val="24"/>
                <w:szCs w:val="24"/>
              </w:rPr>
              <w:t>和管理方案</w:t>
            </w:r>
          </w:p>
        </w:tc>
        <w:tc>
          <w:tcPr>
            <w:tcW w:w="5788" w:type="dxa"/>
            <w:tcBorders>
              <w:tl2br w:val="nil"/>
              <w:tr2bl w:val="nil"/>
            </w:tcBorders>
            <w:vAlign w:val="center"/>
          </w:tcPr>
          <w:p w14:paraId="13CE4023">
            <w:pPr>
              <w:pStyle w:val="24"/>
              <w:keepNext w:val="0"/>
              <w:keepLines w:val="0"/>
              <w:pageBreakBefore w:val="0"/>
              <w:wordWrap/>
              <w:overflowPunct/>
              <w:topLinePunct w:val="0"/>
              <w:bidi w:val="0"/>
              <w:spacing w:before="37" w:line="440" w:lineRule="exact"/>
              <w:ind w:left="112" w:right="102"/>
              <w:jc w:val="both"/>
              <w:rPr>
                <w:rFonts w:hint="eastAsia" w:ascii="宋体" w:hAnsi="宋体" w:eastAsia="宋体" w:cs="宋体"/>
                <w:spacing w:val="5"/>
                <w:sz w:val="24"/>
                <w:szCs w:val="24"/>
                <w:lang w:val="en-US" w:eastAsia="zh-CN"/>
              </w:rPr>
            </w:pPr>
            <w:r>
              <w:rPr>
                <w:rFonts w:hint="eastAsia" w:ascii="宋体" w:hAnsi="宋体" w:eastAsia="宋体" w:cs="宋体"/>
                <w:spacing w:val="4"/>
                <w:sz w:val="24"/>
                <w:szCs w:val="24"/>
              </w:rPr>
              <w:t>供应商提供针对本项目的</w:t>
            </w:r>
            <w:r>
              <w:rPr>
                <w:rFonts w:hint="eastAsia" w:ascii="宋体" w:hAnsi="宋体" w:eastAsia="宋体" w:cs="宋体"/>
                <w:b/>
                <w:bCs/>
                <w:spacing w:val="4"/>
                <w:sz w:val="24"/>
                <w:szCs w:val="24"/>
              </w:rPr>
              <w:t>人员培训和管理方案</w:t>
            </w:r>
            <w:r>
              <w:rPr>
                <w:rFonts w:hint="eastAsia" w:ascii="宋体" w:hAnsi="宋体" w:eastAsia="宋体" w:cs="宋体"/>
                <w:spacing w:val="4"/>
                <w:sz w:val="24"/>
                <w:szCs w:val="24"/>
              </w:rPr>
              <w:t>，</w:t>
            </w:r>
            <w:r>
              <w:rPr>
                <w:rFonts w:hint="eastAsia" w:ascii="宋体" w:hAnsi="宋体" w:eastAsia="宋体" w:cs="宋体"/>
                <w:spacing w:val="5"/>
                <w:sz w:val="24"/>
                <w:szCs w:val="24"/>
              </w:rPr>
              <w:t>主要内容包括</w:t>
            </w:r>
            <w:r>
              <w:rPr>
                <w:rFonts w:hint="eastAsia" w:ascii="宋体" w:hAnsi="宋体" w:eastAsia="宋体" w:cs="宋体"/>
                <w:spacing w:val="5"/>
                <w:sz w:val="24"/>
                <w:szCs w:val="24"/>
                <w:lang w:val="en-US" w:eastAsia="zh-CN"/>
              </w:rPr>
              <w:t>但不限于：</w:t>
            </w:r>
          </w:p>
          <w:p w14:paraId="07934ECA">
            <w:pPr>
              <w:pStyle w:val="24"/>
              <w:keepNext w:val="0"/>
              <w:keepLines w:val="0"/>
              <w:pageBreakBefore w:val="0"/>
              <w:wordWrap/>
              <w:overflowPunct/>
              <w:topLinePunct w:val="0"/>
              <w:bidi w:val="0"/>
              <w:spacing w:before="37" w:line="440" w:lineRule="exact"/>
              <w:ind w:left="112" w:right="102"/>
              <w:jc w:val="both"/>
              <w:rPr>
                <w:rFonts w:hint="eastAsia" w:ascii="宋体" w:hAnsi="宋体" w:eastAsia="宋体" w:cs="宋体"/>
                <w:spacing w:val="2"/>
                <w:sz w:val="24"/>
                <w:szCs w:val="24"/>
              </w:rPr>
            </w:pPr>
            <w:r>
              <w:rPr>
                <w:rFonts w:hint="eastAsia" w:ascii="宋体" w:hAnsi="宋体" w:eastAsia="宋体" w:cs="宋体"/>
                <w:spacing w:val="5"/>
                <w:sz w:val="24"/>
                <w:szCs w:val="24"/>
              </w:rPr>
              <w:t>①人员培训：对各类人员的培训计</w:t>
            </w:r>
            <w:r>
              <w:rPr>
                <w:rFonts w:hint="eastAsia" w:ascii="宋体" w:hAnsi="宋体" w:eastAsia="宋体" w:cs="宋体"/>
                <w:spacing w:val="2"/>
                <w:sz w:val="24"/>
                <w:szCs w:val="24"/>
              </w:rPr>
              <w:t>划、方式、</w:t>
            </w:r>
            <w:r>
              <w:rPr>
                <w:rFonts w:hint="eastAsia" w:ascii="宋体" w:hAnsi="宋体" w:eastAsia="宋体" w:cs="宋体"/>
                <w:spacing w:val="-52"/>
                <w:sz w:val="24"/>
                <w:szCs w:val="24"/>
              </w:rPr>
              <w:t xml:space="preserve"> </w:t>
            </w:r>
            <w:r>
              <w:rPr>
                <w:rFonts w:hint="eastAsia" w:ascii="宋体" w:hAnsi="宋体" w:eastAsia="宋体" w:cs="宋体"/>
                <w:spacing w:val="2"/>
                <w:sz w:val="24"/>
                <w:szCs w:val="24"/>
              </w:rPr>
              <w:t>目标及行为规范的培训等；</w:t>
            </w:r>
          </w:p>
          <w:p w14:paraId="7AE11727">
            <w:pPr>
              <w:pStyle w:val="24"/>
              <w:keepNext w:val="0"/>
              <w:keepLines w:val="0"/>
              <w:pageBreakBefore w:val="0"/>
              <w:wordWrap/>
              <w:overflowPunct/>
              <w:topLinePunct w:val="0"/>
              <w:bidi w:val="0"/>
              <w:spacing w:before="37" w:line="440" w:lineRule="exact"/>
              <w:ind w:left="112" w:right="102"/>
              <w:jc w:val="both"/>
              <w:rPr>
                <w:rFonts w:hint="eastAsia" w:ascii="宋体" w:hAnsi="宋体" w:eastAsia="宋体" w:cs="宋体"/>
                <w:spacing w:val="5"/>
                <w:sz w:val="24"/>
                <w:szCs w:val="24"/>
                <w:lang w:eastAsia="zh-CN"/>
              </w:rPr>
            </w:pPr>
            <w:r>
              <w:rPr>
                <w:rFonts w:hint="eastAsia" w:ascii="宋体" w:hAnsi="宋体" w:eastAsia="宋体" w:cs="宋体"/>
                <w:spacing w:val="2"/>
                <w:sz w:val="24"/>
                <w:szCs w:val="24"/>
              </w:rPr>
              <w:t>②人员管</w:t>
            </w:r>
            <w:r>
              <w:rPr>
                <w:rFonts w:hint="eastAsia" w:ascii="宋体" w:hAnsi="宋体" w:eastAsia="宋体" w:cs="宋体"/>
                <w:spacing w:val="5"/>
                <w:sz w:val="24"/>
                <w:szCs w:val="24"/>
              </w:rPr>
              <w:t>理：录用与考核、淘汰机制、奖罚、协调关系、服务意识、量化管理及标准运作等</w:t>
            </w:r>
            <w:r>
              <w:rPr>
                <w:rFonts w:hint="eastAsia" w:ascii="宋体" w:hAnsi="宋体" w:eastAsia="宋体" w:cs="宋体"/>
                <w:spacing w:val="5"/>
                <w:sz w:val="24"/>
                <w:szCs w:val="24"/>
                <w:lang w:eastAsia="zh-CN"/>
              </w:rPr>
              <w:t>；</w:t>
            </w:r>
          </w:p>
          <w:p w14:paraId="52693FA3">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sz w:val="24"/>
                <w:szCs w:val="24"/>
              </w:rPr>
            </w:pPr>
            <w:r>
              <w:rPr>
                <w:rFonts w:hint="eastAsia" w:ascii="宋体" w:hAnsi="宋体" w:eastAsia="宋体" w:cs="宋体"/>
                <w:b/>
                <w:bCs/>
                <w:spacing w:val="-1"/>
                <w:sz w:val="24"/>
                <w:szCs w:val="24"/>
                <w:lang w:val="en-US" w:eastAsia="zh-CN"/>
              </w:rPr>
              <w:t>由</w:t>
            </w:r>
            <w:r>
              <w:rPr>
                <w:rFonts w:hint="eastAsia" w:ascii="宋体" w:hAnsi="宋体" w:eastAsia="宋体" w:cs="宋体"/>
                <w:b/>
                <w:bCs/>
                <w:spacing w:val="-1"/>
                <w:sz w:val="24"/>
                <w:szCs w:val="24"/>
              </w:rPr>
              <w:t>磋商小组根据响应文件进行综合评审：</w:t>
            </w:r>
          </w:p>
          <w:p w14:paraId="5A5C07B5">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color w:val="000000"/>
                <w:sz w:val="24"/>
                <w:u w:val="none"/>
              </w:rPr>
            </w:pPr>
            <w:r>
              <w:rPr>
                <w:rFonts w:hint="eastAsia" w:ascii="宋体" w:hAnsi="宋体" w:eastAsia="宋体" w:cs="宋体"/>
                <w:b/>
                <w:bCs/>
                <w:color w:val="000000"/>
                <w:sz w:val="24"/>
                <w:u w:val="none"/>
              </w:rPr>
              <w:t>方案全面详尽、定位准确，服务内容针对性强</w:t>
            </w:r>
            <w:r>
              <w:rPr>
                <w:rFonts w:hint="eastAsia" w:ascii="宋体" w:hAnsi="宋体" w:eastAsia="宋体" w:cs="宋体"/>
                <w:b/>
                <w:bCs/>
                <w:color w:val="000000"/>
                <w:sz w:val="24"/>
                <w:u w:val="none"/>
                <w:lang w:val="en-US" w:eastAsia="zh-CN"/>
              </w:rPr>
              <w:t>4</w:t>
            </w:r>
            <w:r>
              <w:rPr>
                <w:rFonts w:hint="eastAsia" w:ascii="宋体" w:hAnsi="宋体" w:eastAsia="宋体" w:cs="宋体"/>
                <w:b/>
                <w:bCs/>
                <w:color w:val="000000"/>
                <w:sz w:val="24"/>
                <w:u w:val="none"/>
              </w:rPr>
              <w:t>≤F≤</w:t>
            </w:r>
            <w:r>
              <w:rPr>
                <w:rFonts w:hint="eastAsia" w:ascii="宋体" w:hAnsi="宋体" w:eastAsia="宋体" w:cs="宋体"/>
                <w:b/>
                <w:bCs/>
                <w:color w:val="000000"/>
                <w:sz w:val="24"/>
                <w:u w:val="none"/>
                <w:lang w:val="en-US" w:eastAsia="zh-CN"/>
              </w:rPr>
              <w:t>5</w:t>
            </w:r>
            <w:r>
              <w:rPr>
                <w:rFonts w:hint="eastAsia" w:ascii="宋体" w:hAnsi="宋体" w:eastAsia="宋体" w:cs="宋体"/>
                <w:b/>
                <w:bCs/>
                <w:color w:val="000000"/>
                <w:sz w:val="24"/>
                <w:u w:val="none"/>
              </w:rPr>
              <w:t>分；</w:t>
            </w:r>
          </w:p>
          <w:p w14:paraId="74BB1761">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color w:val="000000"/>
                <w:sz w:val="24"/>
                <w:u w:val="none"/>
              </w:rPr>
            </w:pPr>
            <w:r>
              <w:rPr>
                <w:rFonts w:hint="eastAsia" w:ascii="宋体" w:hAnsi="宋体" w:eastAsia="宋体" w:cs="宋体"/>
                <w:b/>
                <w:bCs/>
                <w:color w:val="000000"/>
                <w:sz w:val="24"/>
                <w:u w:val="none"/>
              </w:rPr>
              <w:t>方案基本符合实际，具有一定实用性的，</w:t>
            </w:r>
            <w:r>
              <w:rPr>
                <w:rFonts w:hint="eastAsia" w:ascii="宋体" w:hAnsi="宋体" w:eastAsia="宋体" w:cs="宋体"/>
                <w:b/>
                <w:bCs/>
                <w:color w:val="000000"/>
                <w:sz w:val="24"/>
                <w:u w:val="none"/>
                <w:lang w:val="en-US" w:eastAsia="zh-CN"/>
              </w:rPr>
              <w:t>2</w:t>
            </w:r>
            <w:r>
              <w:rPr>
                <w:rFonts w:hint="eastAsia" w:ascii="宋体" w:hAnsi="宋体" w:eastAsia="宋体" w:cs="宋体"/>
                <w:b/>
                <w:bCs/>
                <w:color w:val="000000"/>
                <w:sz w:val="24"/>
                <w:u w:val="none"/>
              </w:rPr>
              <w:t>≤F＜</w:t>
            </w:r>
            <w:r>
              <w:rPr>
                <w:rFonts w:hint="eastAsia" w:ascii="宋体" w:hAnsi="宋体" w:eastAsia="宋体" w:cs="宋体"/>
                <w:b/>
                <w:bCs/>
                <w:color w:val="000000"/>
                <w:sz w:val="24"/>
                <w:u w:val="none"/>
                <w:lang w:val="en-US" w:eastAsia="zh-CN"/>
              </w:rPr>
              <w:t>4</w:t>
            </w:r>
            <w:r>
              <w:rPr>
                <w:rFonts w:hint="eastAsia" w:ascii="宋体" w:hAnsi="宋体" w:eastAsia="宋体" w:cs="宋体"/>
                <w:b/>
                <w:bCs/>
                <w:color w:val="000000"/>
                <w:sz w:val="24"/>
                <w:u w:val="none"/>
              </w:rPr>
              <w:t>分；</w:t>
            </w:r>
          </w:p>
          <w:p w14:paraId="1A96800F">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color w:val="000000"/>
                <w:sz w:val="24"/>
                <w:u w:val="none"/>
              </w:rPr>
            </w:pPr>
            <w:r>
              <w:rPr>
                <w:rFonts w:hint="eastAsia" w:ascii="宋体" w:hAnsi="宋体" w:eastAsia="宋体" w:cs="宋体"/>
                <w:b/>
                <w:bCs/>
                <w:color w:val="000000"/>
                <w:sz w:val="24"/>
                <w:u w:val="none"/>
              </w:rPr>
              <w:t>方案待完整0≤F＜</w:t>
            </w:r>
            <w:r>
              <w:rPr>
                <w:rFonts w:hint="eastAsia" w:ascii="宋体" w:hAnsi="宋体" w:eastAsia="宋体" w:cs="宋体"/>
                <w:b/>
                <w:bCs/>
                <w:color w:val="000000"/>
                <w:sz w:val="24"/>
                <w:u w:val="none"/>
                <w:lang w:val="en-US" w:eastAsia="zh-CN"/>
              </w:rPr>
              <w:t>2</w:t>
            </w:r>
            <w:r>
              <w:rPr>
                <w:rFonts w:hint="eastAsia" w:ascii="宋体" w:hAnsi="宋体" w:eastAsia="宋体" w:cs="宋体"/>
                <w:b/>
                <w:bCs/>
                <w:color w:val="000000"/>
                <w:sz w:val="24"/>
                <w:u w:val="none"/>
              </w:rPr>
              <w:t>分。</w:t>
            </w:r>
          </w:p>
          <w:p w14:paraId="3C0BDA3E">
            <w:pPr>
              <w:pStyle w:val="24"/>
              <w:keepNext w:val="0"/>
              <w:keepLines w:val="0"/>
              <w:pageBreakBefore w:val="0"/>
              <w:wordWrap/>
              <w:overflowPunct/>
              <w:topLinePunct w:val="0"/>
              <w:bidi w:val="0"/>
              <w:spacing w:line="440" w:lineRule="exact"/>
              <w:ind w:left="125"/>
              <w:jc w:val="both"/>
              <w:rPr>
                <w:rFonts w:hint="eastAsia" w:ascii="宋体" w:hAnsi="宋体" w:eastAsia="宋体" w:cs="宋体"/>
                <w:sz w:val="24"/>
                <w:szCs w:val="24"/>
              </w:rPr>
            </w:pPr>
            <w:r>
              <w:rPr>
                <w:rFonts w:hint="eastAsia" w:ascii="宋体" w:hAnsi="宋体" w:eastAsia="宋体" w:cs="宋体"/>
                <w:b/>
                <w:bCs/>
                <w:color w:val="000000"/>
                <w:sz w:val="24"/>
                <w:u w:val="none"/>
              </w:rPr>
              <w:t>注：F为本项得分。</w:t>
            </w:r>
          </w:p>
        </w:tc>
        <w:tc>
          <w:tcPr>
            <w:tcW w:w="1063" w:type="dxa"/>
            <w:tcBorders>
              <w:tl2br w:val="nil"/>
              <w:tr2bl w:val="nil"/>
            </w:tcBorders>
            <w:vAlign w:val="center"/>
          </w:tcPr>
          <w:p w14:paraId="13FF80F3">
            <w:pPr>
              <w:pStyle w:val="24"/>
              <w:keepNext w:val="0"/>
              <w:keepLines w:val="0"/>
              <w:pageBreakBefore w:val="0"/>
              <w:wordWrap/>
              <w:overflowPunct/>
              <w:topLinePunct w:val="0"/>
              <w:bidi w:val="0"/>
              <w:spacing w:before="78" w:line="440" w:lineRule="exact"/>
              <w:jc w:val="center"/>
              <w:rPr>
                <w:rFonts w:hint="eastAsia" w:ascii="宋体" w:hAnsi="宋体" w:eastAsia="宋体" w:cs="宋体"/>
                <w:b w:val="0"/>
                <w:bCs w:val="0"/>
                <w:sz w:val="24"/>
                <w:szCs w:val="24"/>
              </w:rPr>
            </w:pPr>
            <w:r>
              <w:rPr>
                <w:rFonts w:hint="eastAsia" w:ascii="宋体" w:hAnsi="宋体" w:eastAsia="宋体" w:cs="宋体"/>
                <w:b w:val="0"/>
                <w:bCs w:val="0"/>
                <w:spacing w:val="-5"/>
                <w:sz w:val="24"/>
                <w:szCs w:val="24"/>
              </w:rPr>
              <w:t>0-5</w:t>
            </w:r>
            <w:r>
              <w:rPr>
                <w:rFonts w:hint="eastAsia" w:ascii="宋体" w:hAnsi="宋体" w:eastAsia="宋体" w:cs="宋体"/>
                <w:b w:val="0"/>
                <w:bCs w:val="0"/>
                <w:spacing w:val="-48"/>
                <w:sz w:val="24"/>
                <w:szCs w:val="24"/>
              </w:rPr>
              <w:t xml:space="preserve"> </w:t>
            </w:r>
            <w:r>
              <w:rPr>
                <w:rFonts w:hint="eastAsia" w:ascii="宋体" w:hAnsi="宋体" w:eastAsia="宋体" w:cs="宋体"/>
                <w:b w:val="0"/>
                <w:bCs w:val="0"/>
                <w:spacing w:val="-5"/>
                <w:sz w:val="24"/>
                <w:szCs w:val="24"/>
              </w:rPr>
              <w:t>分</w:t>
            </w:r>
          </w:p>
        </w:tc>
      </w:tr>
      <w:tr w14:paraId="39784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155" w:type="dxa"/>
            <w:vMerge w:val="continue"/>
            <w:tcBorders>
              <w:tl2br w:val="nil"/>
              <w:tr2bl w:val="nil"/>
            </w:tcBorders>
            <w:vAlign w:val="center"/>
          </w:tcPr>
          <w:p w14:paraId="6B8C8F02">
            <w:pPr>
              <w:keepNext w:val="0"/>
              <w:keepLines w:val="0"/>
              <w:pageBreakBefore w:val="0"/>
              <w:wordWrap/>
              <w:overflowPunct/>
              <w:topLinePunct w:val="0"/>
              <w:bidi w:val="0"/>
              <w:spacing w:line="440" w:lineRule="exact"/>
              <w:jc w:val="center"/>
              <w:rPr>
                <w:rFonts w:hint="eastAsia" w:ascii="宋体" w:hAnsi="宋体" w:eastAsia="宋体" w:cs="宋体"/>
                <w:sz w:val="24"/>
                <w:szCs w:val="24"/>
              </w:rPr>
            </w:pPr>
          </w:p>
        </w:tc>
        <w:tc>
          <w:tcPr>
            <w:tcW w:w="1163" w:type="dxa"/>
            <w:tcBorders>
              <w:tl2br w:val="nil"/>
              <w:tr2bl w:val="nil"/>
            </w:tcBorders>
            <w:vAlign w:val="center"/>
          </w:tcPr>
          <w:p w14:paraId="2B18671C">
            <w:pPr>
              <w:keepNext w:val="0"/>
              <w:keepLines w:val="0"/>
              <w:pageBreakBefore w:val="0"/>
              <w:wordWrap/>
              <w:overflowPunct/>
              <w:topLinePunct w:val="0"/>
              <w:bidi w:val="0"/>
              <w:adjustRightInd w:val="0"/>
              <w:snapToGrid w:val="0"/>
              <w:spacing w:line="440" w:lineRule="exact"/>
              <w:ind w:firstLine="0" w:firstLineChars="0"/>
              <w:jc w:val="center"/>
              <w:rPr>
                <w:rFonts w:hint="eastAsia" w:ascii="宋体" w:hAnsi="宋体" w:eastAsia="宋体" w:cs="宋体"/>
                <w:sz w:val="24"/>
                <w:szCs w:val="24"/>
              </w:rPr>
            </w:pPr>
            <w:r>
              <w:rPr>
                <w:rFonts w:hint="eastAsia" w:ascii="宋体" w:hAnsi="宋体" w:eastAsia="宋体" w:cs="宋体"/>
                <w:kern w:val="2"/>
                <w:highlight w:val="none"/>
              </w:rPr>
              <w:t>管理</w:t>
            </w:r>
            <w:r>
              <w:rPr>
                <w:rFonts w:hint="eastAsia" w:ascii="宋体" w:hAnsi="宋体" w:eastAsia="宋体" w:cs="宋体"/>
                <w:spacing w:val="-6"/>
                <w:sz w:val="24"/>
                <w:szCs w:val="24"/>
              </w:rPr>
              <w:t>制度</w:t>
            </w:r>
          </w:p>
        </w:tc>
        <w:tc>
          <w:tcPr>
            <w:tcW w:w="5788" w:type="dxa"/>
            <w:tcBorders>
              <w:tl2br w:val="nil"/>
              <w:tr2bl w:val="nil"/>
            </w:tcBorders>
            <w:vAlign w:val="center"/>
          </w:tcPr>
          <w:p w14:paraId="73FE8133">
            <w:pPr>
              <w:pStyle w:val="24"/>
              <w:keepNext w:val="0"/>
              <w:keepLines w:val="0"/>
              <w:pageBreakBefore w:val="0"/>
              <w:wordWrap/>
              <w:overflowPunct/>
              <w:topLinePunct w:val="0"/>
              <w:bidi w:val="0"/>
              <w:spacing w:before="38" w:line="440" w:lineRule="exact"/>
              <w:ind w:left="111" w:right="102" w:firstLine="1"/>
              <w:jc w:val="both"/>
              <w:rPr>
                <w:rFonts w:hint="eastAsia" w:ascii="宋体" w:hAnsi="宋体" w:eastAsia="宋体" w:cs="宋体"/>
                <w:spacing w:val="5"/>
                <w:sz w:val="24"/>
                <w:szCs w:val="24"/>
                <w:lang w:val="en-US" w:eastAsia="zh-CN"/>
              </w:rPr>
            </w:pPr>
            <w:r>
              <w:rPr>
                <w:rFonts w:hint="eastAsia" w:ascii="宋体" w:hAnsi="宋体" w:eastAsia="宋体" w:cs="宋体"/>
                <w:spacing w:val="4"/>
                <w:sz w:val="24"/>
                <w:szCs w:val="24"/>
              </w:rPr>
              <w:t>供应商提供针对本项目的</w:t>
            </w:r>
            <w:r>
              <w:rPr>
                <w:rFonts w:hint="eastAsia" w:ascii="宋体" w:hAnsi="宋体" w:eastAsia="宋体" w:cs="宋体"/>
                <w:b/>
                <w:bCs/>
                <w:spacing w:val="4"/>
                <w:sz w:val="24"/>
                <w:szCs w:val="24"/>
              </w:rPr>
              <w:t>管理制度</w:t>
            </w:r>
            <w:r>
              <w:rPr>
                <w:rFonts w:hint="eastAsia" w:ascii="宋体" w:hAnsi="宋体" w:eastAsia="宋体" w:cs="宋体"/>
                <w:spacing w:val="4"/>
                <w:sz w:val="24"/>
                <w:szCs w:val="24"/>
              </w:rPr>
              <w:t>，主要内容包</w:t>
            </w:r>
            <w:r>
              <w:rPr>
                <w:rFonts w:hint="eastAsia" w:ascii="宋体" w:hAnsi="宋体" w:eastAsia="宋体" w:cs="宋体"/>
                <w:spacing w:val="5"/>
                <w:sz w:val="24"/>
                <w:szCs w:val="24"/>
              </w:rPr>
              <w:t>括</w:t>
            </w:r>
            <w:r>
              <w:rPr>
                <w:rFonts w:hint="eastAsia" w:ascii="宋体" w:hAnsi="宋体" w:eastAsia="宋体" w:cs="宋体"/>
                <w:spacing w:val="5"/>
                <w:sz w:val="24"/>
                <w:szCs w:val="24"/>
                <w:lang w:val="en-US" w:eastAsia="zh-CN"/>
              </w:rPr>
              <w:t>但不限于：</w:t>
            </w:r>
          </w:p>
          <w:p w14:paraId="02C1B335">
            <w:pPr>
              <w:pStyle w:val="24"/>
              <w:keepNext w:val="0"/>
              <w:keepLines w:val="0"/>
              <w:pageBreakBefore w:val="0"/>
              <w:wordWrap/>
              <w:overflowPunct/>
              <w:topLinePunct w:val="0"/>
              <w:bidi w:val="0"/>
              <w:spacing w:before="38" w:line="440" w:lineRule="exact"/>
              <w:ind w:left="111" w:right="102" w:firstLine="1"/>
              <w:jc w:val="both"/>
              <w:rPr>
                <w:rFonts w:hint="eastAsia" w:ascii="宋体" w:hAnsi="宋体" w:eastAsia="宋体" w:cs="宋体"/>
                <w:spacing w:val="5"/>
                <w:sz w:val="24"/>
                <w:szCs w:val="24"/>
              </w:rPr>
            </w:pPr>
            <w:r>
              <w:rPr>
                <w:rFonts w:hint="eastAsia" w:ascii="宋体" w:hAnsi="宋体" w:eastAsia="宋体" w:cs="宋体"/>
                <w:spacing w:val="5"/>
                <w:sz w:val="24"/>
                <w:szCs w:val="24"/>
              </w:rPr>
              <w:t>①工作制度、企业内部岗位责任制、管理维护运作制度及标准描述清晰且合理可行；</w:t>
            </w:r>
          </w:p>
          <w:p w14:paraId="255D7BAB">
            <w:pPr>
              <w:pStyle w:val="24"/>
              <w:keepNext w:val="0"/>
              <w:keepLines w:val="0"/>
              <w:pageBreakBefore w:val="0"/>
              <w:wordWrap/>
              <w:overflowPunct/>
              <w:topLinePunct w:val="0"/>
              <w:bidi w:val="0"/>
              <w:spacing w:before="38" w:line="440" w:lineRule="exact"/>
              <w:ind w:left="111" w:right="102" w:firstLine="1"/>
              <w:jc w:val="both"/>
              <w:rPr>
                <w:rFonts w:hint="eastAsia" w:ascii="宋体" w:hAnsi="宋体" w:eastAsia="宋体" w:cs="宋体"/>
                <w:spacing w:val="5"/>
                <w:sz w:val="24"/>
                <w:szCs w:val="24"/>
                <w:lang w:eastAsia="zh-CN"/>
              </w:rPr>
            </w:pPr>
            <w:r>
              <w:rPr>
                <w:rFonts w:hint="eastAsia" w:ascii="宋体" w:hAnsi="宋体" w:eastAsia="宋体" w:cs="宋体"/>
                <w:spacing w:val="5"/>
                <w:sz w:val="24"/>
                <w:szCs w:val="24"/>
              </w:rPr>
              <w:t>②档案的建立与管理制度，要求符合规范，体现高标准、科学合理、详细完整等</w:t>
            </w:r>
            <w:r>
              <w:rPr>
                <w:rFonts w:hint="eastAsia" w:ascii="宋体" w:hAnsi="宋体" w:eastAsia="宋体" w:cs="宋体"/>
                <w:spacing w:val="5"/>
                <w:sz w:val="24"/>
                <w:szCs w:val="24"/>
                <w:lang w:eastAsia="zh-CN"/>
              </w:rPr>
              <w:t>；</w:t>
            </w:r>
          </w:p>
          <w:p w14:paraId="6E0B11CA">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sz w:val="24"/>
                <w:szCs w:val="24"/>
              </w:rPr>
            </w:pPr>
            <w:r>
              <w:rPr>
                <w:rFonts w:hint="eastAsia" w:ascii="宋体" w:hAnsi="宋体" w:eastAsia="宋体" w:cs="宋体"/>
                <w:b/>
                <w:bCs/>
                <w:spacing w:val="-1"/>
                <w:sz w:val="24"/>
                <w:szCs w:val="24"/>
                <w:lang w:val="en-US" w:eastAsia="zh-CN"/>
              </w:rPr>
              <w:t>由</w:t>
            </w:r>
            <w:r>
              <w:rPr>
                <w:rFonts w:hint="eastAsia" w:ascii="宋体" w:hAnsi="宋体" w:eastAsia="宋体" w:cs="宋体"/>
                <w:b/>
                <w:bCs/>
                <w:spacing w:val="-1"/>
                <w:sz w:val="24"/>
                <w:szCs w:val="24"/>
              </w:rPr>
              <w:t>磋商小组根据响应文件进行综合评审：</w:t>
            </w:r>
          </w:p>
          <w:p w14:paraId="2803E979">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color w:val="000000"/>
                <w:sz w:val="24"/>
                <w:u w:val="none"/>
              </w:rPr>
            </w:pPr>
            <w:r>
              <w:rPr>
                <w:rFonts w:hint="eastAsia" w:ascii="宋体" w:hAnsi="宋体" w:eastAsia="宋体" w:cs="宋体"/>
                <w:b/>
                <w:bCs/>
                <w:color w:val="000000"/>
                <w:sz w:val="24"/>
                <w:u w:val="none"/>
              </w:rPr>
              <w:t>方案全面详尽、定位准确，服务内容针对性强</w:t>
            </w:r>
            <w:r>
              <w:rPr>
                <w:rFonts w:hint="eastAsia" w:ascii="宋体" w:hAnsi="宋体" w:eastAsia="宋体" w:cs="宋体"/>
                <w:b/>
                <w:bCs/>
                <w:color w:val="000000"/>
                <w:sz w:val="24"/>
                <w:u w:val="none"/>
                <w:lang w:val="en-US" w:eastAsia="zh-CN"/>
              </w:rPr>
              <w:t>4</w:t>
            </w:r>
            <w:r>
              <w:rPr>
                <w:rFonts w:hint="eastAsia" w:ascii="宋体" w:hAnsi="宋体" w:eastAsia="宋体" w:cs="宋体"/>
                <w:b/>
                <w:bCs/>
                <w:color w:val="000000"/>
                <w:sz w:val="24"/>
                <w:u w:val="none"/>
              </w:rPr>
              <w:t>≤F≤</w:t>
            </w:r>
            <w:r>
              <w:rPr>
                <w:rFonts w:hint="eastAsia" w:ascii="宋体" w:hAnsi="宋体" w:eastAsia="宋体" w:cs="宋体"/>
                <w:b/>
                <w:bCs/>
                <w:color w:val="000000"/>
                <w:sz w:val="24"/>
                <w:u w:val="none"/>
                <w:lang w:val="en-US" w:eastAsia="zh-CN"/>
              </w:rPr>
              <w:t>5</w:t>
            </w:r>
            <w:r>
              <w:rPr>
                <w:rFonts w:hint="eastAsia" w:ascii="宋体" w:hAnsi="宋体" w:eastAsia="宋体" w:cs="宋体"/>
                <w:b/>
                <w:bCs/>
                <w:color w:val="000000"/>
                <w:sz w:val="24"/>
                <w:u w:val="none"/>
              </w:rPr>
              <w:t>分；</w:t>
            </w:r>
          </w:p>
          <w:p w14:paraId="18D4AA16">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color w:val="000000"/>
                <w:sz w:val="24"/>
                <w:u w:val="none"/>
              </w:rPr>
            </w:pPr>
            <w:r>
              <w:rPr>
                <w:rFonts w:hint="eastAsia" w:ascii="宋体" w:hAnsi="宋体" w:eastAsia="宋体" w:cs="宋体"/>
                <w:b/>
                <w:bCs/>
                <w:color w:val="000000"/>
                <w:sz w:val="24"/>
                <w:u w:val="none"/>
              </w:rPr>
              <w:t>方案基本符合实际，具有一定实用性的，</w:t>
            </w:r>
            <w:r>
              <w:rPr>
                <w:rFonts w:hint="eastAsia" w:ascii="宋体" w:hAnsi="宋体" w:eastAsia="宋体" w:cs="宋体"/>
                <w:b/>
                <w:bCs/>
                <w:color w:val="000000"/>
                <w:sz w:val="24"/>
                <w:u w:val="none"/>
                <w:lang w:val="en-US" w:eastAsia="zh-CN"/>
              </w:rPr>
              <w:t>2</w:t>
            </w:r>
            <w:r>
              <w:rPr>
                <w:rFonts w:hint="eastAsia" w:ascii="宋体" w:hAnsi="宋体" w:eastAsia="宋体" w:cs="宋体"/>
                <w:b/>
                <w:bCs/>
                <w:color w:val="000000"/>
                <w:sz w:val="24"/>
                <w:u w:val="none"/>
              </w:rPr>
              <w:t>≤F＜</w:t>
            </w:r>
            <w:r>
              <w:rPr>
                <w:rFonts w:hint="eastAsia" w:ascii="宋体" w:hAnsi="宋体" w:eastAsia="宋体" w:cs="宋体"/>
                <w:b/>
                <w:bCs/>
                <w:color w:val="000000"/>
                <w:sz w:val="24"/>
                <w:u w:val="none"/>
                <w:lang w:val="en-US" w:eastAsia="zh-CN"/>
              </w:rPr>
              <w:t>4</w:t>
            </w:r>
            <w:r>
              <w:rPr>
                <w:rFonts w:hint="eastAsia" w:ascii="宋体" w:hAnsi="宋体" w:eastAsia="宋体" w:cs="宋体"/>
                <w:b/>
                <w:bCs/>
                <w:color w:val="000000"/>
                <w:sz w:val="24"/>
                <w:u w:val="none"/>
              </w:rPr>
              <w:t>分；</w:t>
            </w:r>
          </w:p>
          <w:p w14:paraId="0E8BAF33">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color w:val="000000"/>
                <w:sz w:val="24"/>
                <w:u w:val="none"/>
              </w:rPr>
            </w:pPr>
            <w:r>
              <w:rPr>
                <w:rFonts w:hint="eastAsia" w:ascii="宋体" w:hAnsi="宋体" w:eastAsia="宋体" w:cs="宋体"/>
                <w:b/>
                <w:bCs/>
                <w:color w:val="000000"/>
                <w:sz w:val="24"/>
                <w:u w:val="none"/>
              </w:rPr>
              <w:t>方案待完整0≤F＜</w:t>
            </w:r>
            <w:r>
              <w:rPr>
                <w:rFonts w:hint="eastAsia" w:ascii="宋体" w:hAnsi="宋体" w:eastAsia="宋体" w:cs="宋体"/>
                <w:b/>
                <w:bCs/>
                <w:color w:val="000000"/>
                <w:sz w:val="24"/>
                <w:u w:val="none"/>
                <w:lang w:val="en-US" w:eastAsia="zh-CN"/>
              </w:rPr>
              <w:t>2</w:t>
            </w:r>
            <w:r>
              <w:rPr>
                <w:rFonts w:hint="eastAsia" w:ascii="宋体" w:hAnsi="宋体" w:eastAsia="宋体" w:cs="宋体"/>
                <w:b/>
                <w:bCs/>
                <w:color w:val="000000"/>
                <w:sz w:val="24"/>
                <w:u w:val="none"/>
              </w:rPr>
              <w:t>分。</w:t>
            </w:r>
          </w:p>
          <w:p w14:paraId="7714273E">
            <w:pPr>
              <w:pStyle w:val="24"/>
              <w:keepNext w:val="0"/>
              <w:keepLines w:val="0"/>
              <w:pageBreakBefore w:val="0"/>
              <w:wordWrap/>
              <w:overflowPunct/>
              <w:topLinePunct w:val="0"/>
              <w:bidi w:val="0"/>
              <w:spacing w:line="440" w:lineRule="exact"/>
              <w:ind w:left="125"/>
              <w:jc w:val="both"/>
              <w:rPr>
                <w:rFonts w:hint="eastAsia" w:ascii="宋体" w:hAnsi="宋体" w:eastAsia="宋体" w:cs="宋体"/>
                <w:sz w:val="24"/>
                <w:szCs w:val="24"/>
              </w:rPr>
            </w:pPr>
            <w:r>
              <w:rPr>
                <w:rFonts w:hint="eastAsia" w:ascii="宋体" w:hAnsi="宋体" w:eastAsia="宋体" w:cs="宋体"/>
                <w:b/>
                <w:bCs/>
                <w:color w:val="000000"/>
                <w:sz w:val="24"/>
                <w:u w:val="none"/>
              </w:rPr>
              <w:t>注：F为本项得分。</w:t>
            </w:r>
          </w:p>
        </w:tc>
        <w:tc>
          <w:tcPr>
            <w:tcW w:w="1063" w:type="dxa"/>
            <w:tcBorders>
              <w:tl2br w:val="nil"/>
              <w:tr2bl w:val="nil"/>
            </w:tcBorders>
            <w:vAlign w:val="center"/>
          </w:tcPr>
          <w:p w14:paraId="0F6C4118">
            <w:pPr>
              <w:pStyle w:val="24"/>
              <w:keepNext w:val="0"/>
              <w:keepLines w:val="0"/>
              <w:pageBreakBefore w:val="0"/>
              <w:wordWrap/>
              <w:overflowPunct/>
              <w:topLinePunct w:val="0"/>
              <w:bidi w:val="0"/>
              <w:spacing w:before="78" w:line="440" w:lineRule="exact"/>
              <w:jc w:val="center"/>
              <w:rPr>
                <w:rFonts w:hint="eastAsia" w:ascii="宋体" w:hAnsi="宋体" w:eastAsia="宋体" w:cs="宋体"/>
                <w:b w:val="0"/>
                <w:bCs w:val="0"/>
                <w:sz w:val="24"/>
                <w:szCs w:val="24"/>
              </w:rPr>
            </w:pPr>
            <w:r>
              <w:rPr>
                <w:rFonts w:hint="eastAsia" w:ascii="宋体" w:hAnsi="宋体" w:eastAsia="宋体" w:cs="宋体"/>
                <w:b w:val="0"/>
                <w:bCs w:val="0"/>
                <w:spacing w:val="-5"/>
                <w:sz w:val="24"/>
                <w:szCs w:val="24"/>
              </w:rPr>
              <w:t>0-5</w:t>
            </w:r>
            <w:r>
              <w:rPr>
                <w:rFonts w:hint="eastAsia" w:ascii="宋体" w:hAnsi="宋体" w:eastAsia="宋体" w:cs="宋体"/>
                <w:b w:val="0"/>
                <w:bCs w:val="0"/>
                <w:spacing w:val="-48"/>
                <w:sz w:val="24"/>
                <w:szCs w:val="24"/>
              </w:rPr>
              <w:t xml:space="preserve"> </w:t>
            </w:r>
            <w:r>
              <w:rPr>
                <w:rFonts w:hint="eastAsia" w:ascii="宋体" w:hAnsi="宋体" w:eastAsia="宋体" w:cs="宋体"/>
                <w:b w:val="0"/>
                <w:bCs w:val="0"/>
                <w:spacing w:val="-5"/>
                <w:sz w:val="24"/>
                <w:szCs w:val="24"/>
              </w:rPr>
              <w:t>分</w:t>
            </w:r>
          </w:p>
        </w:tc>
      </w:tr>
      <w:tr w14:paraId="040CF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6" w:hRule="atLeast"/>
          <w:jc w:val="center"/>
        </w:trPr>
        <w:tc>
          <w:tcPr>
            <w:tcW w:w="1155" w:type="dxa"/>
            <w:vMerge w:val="continue"/>
            <w:tcBorders>
              <w:tl2br w:val="nil"/>
              <w:tr2bl w:val="nil"/>
            </w:tcBorders>
            <w:vAlign w:val="center"/>
          </w:tcPr>
          <w:p w14:paraId="7A77C798">
            <w:pPr>
              <w:keepNext w:val="0"/>
              <w:keepLines w:val="0"/>
              <w:pageBreakBefore w:val="0"/>
              <w:wordWrap/>
              <w:overflowPunct/>
              <w:topLinePunct w:val="0"/>
              <w:bidi w:val="0"/>
              <w:spacing w:line="440" w:lineRule="exact"/>
              <w:jc w:val="center"/>
              <w:rPr>
                <w:rFonts w:hint="eastAsia" w:ascii="宋体" w:hAnsi="宋体" w:eastAsia="宋体" w:cs="宋体"/>
                <w:sz w:val="24"/>
                <w:szCs w:val="24"/>
              </w:rPr>
            </w:pPr>
          </w:p>
        </w:tc>
        <w:tc>
          <w:tcPr>
            <w:tcW w:w="1163" w:type="dxa"/>
            <w:tcBorders>
              <w:tl2br w:val="nil"/>
              <w:tr2bl w:val="nil"/>
            </w:tcBorders>
            <w:vAlign w:val="center"/>
          </w:tcPr>
          <w:p w14:paraId="6771C0CC">
            <w:pPr>
              <w:keepNext w:val="0"/>
              <w:keepLines w:val="0"/>
              <w:pageBreakBefore w:val="0"/>
              <w:wordWrap/>
              <w:overflowPunct/>
              <w:topLinePunct w:val="0"/>
              <w:bidi w:val="0"/>
              <w:adjustRightInd w:val="0"/>
              <w:snapToGrid w:val="0"/>
              <w:spacing w:line="440" w:lineRule="exact"/>
              <w:ind w:firstLine="0" w:firstLineChars="0"/>
              <w:jc w:val="center"/>
              <w:rPr>
                <w:rFonts w:hint="eastAsia" w:ascii="宋体" w:hAnsi="宋体" w:eastAsia="宋体" w:cs="宋体"/>
                <w:sz w:val="24"/>
                <w:szCs w:val="24"/>
              </w:rPr>
            </w:pPr>
            <w:r>
              <w:rPr>
                <w:rFonts w:hint="eastAsia" w:ascii="宋体" w:hAnsi="宋体" w:eastAsia="宋体" w:cs="宋体"/>
                <w:spacing w:val="-6"/>
                <w:sz w:val="24"/>
                <w:szCs w:val="24"/>
              </w:rPr>
              <w:t>应急预案</w:t>
            </w:r>
          </w:p>
        </w:tc>
        <w:tc>
          <w:tcPr>
            <w:tcW w:w="5788" w:type="dxa"/>
            <w:tcBorders>
              <w:tl2br w:val="nil"/>
              <w:tr2bl w:val="nil"/>
            </w:tcBorders>
            <w:vAlign w:val="center"/>
          </w:tcPr>
          <w:p w14:paraId="6E15BF40">
            <w:pPr>
              <w:pStyle w:val="24"/>
              <w:keepNext w:val="0"/>
              <w:keepLines w:val="0"/>
              <w:pageBreakBefore w:val="0"/>
              <w:wordWrap/>
              <w:overflowPunct/>
              <w:topLinePunct w:val="0"/>
              <w:bidi w:val="0"/>
              <w:spacing w:before="37" w:line="440" w:lineRule="exact"/>
              <w:ind w:left="112" w:right="102"/>
              <w:jc w:val="both"/>
              <w:rPr>
                <w:rFonts w:hint="eastAsia" w:ascii="宋体" w:hAnsi="宋体" w:eastAsia="宋体" w:cs="宋体"/>
                <w:spacing w:val="5"/>
                <w:sz w:val="24"/>
                <w:szCs w:val="24"/>
                <w:lang w:val="en-US" w:eastAsia="zh-CN"/>
              </w:rPr>
            </w:pPr>
            <w:r>
              <w:rPr>
                <w:rFonts w:hint="eastAsia" w:ascii="宋体" w:hAnsi="宋体" w:eastAsia="宋体" w:cs="宋体"/>
                <w:spacing w:val="4"/>
                <w:sz w:val="24"/>
                <w:szCs w:val="24"/>
              </w:rPr>
              <w:t>供应商提供针对本项目的</w:t>
            </w:r>
            <w:r>
              <w:rPr>
                <w:rFonts w:hint="eastAsia" w:ascii="宋体" w:hAnsi="宋体" w:eastAsia="宋体" w:cs="宋体"/>
                <w:b/>
                <w:bCs/>
                <w:spacing w:val="4"/>
                <w:sz w:val="24"/>
                <w:szCs w:val="24"/>
              </w:rPr>
              <w:t>应急预案</w:t>
            </w:r>
            <w:r>
              <w:rPr>
                <w:rFonts w:hint="eastAsia" w:ascii="宋体" w:hAnsi="宋体" w:eastAsia="宋体" w:cs="宋体"/>
                <w:spacing w:val="4"/>
                <w:sz w:val="24"/>
                <w:szCs w:val="24"/>
              </w:rPr>
              <w:t>，主要内容包</w:t>
            </w:r>
            <w:r>
              <w:rPr>
                <w:rFonts w:hint="eastAsia" w:ascii="宋体" w:hAnsi="宋体" w:eastAsia="宋体" w:cs="宋体"/>
                <w:spacing w:val="5"/>
                <w:sz w:val="24"/>
                <w:szCs w:val="24"/>
              </w:rPr>
              <w:t>括</w:t>
            </w:r>
            <w:r>
              <w:rPr>
                <w:rFonts w:hint="eastAsia" w:ascii="宋体" w:hAnsi="宋体" w:eastAsia="宋体" w:cs="宋体"/>
                <w:spacing w:val="5"/>
                <w:sz w:val="24"/>
                <w:szCs w:val="24"/>
                <w:lang w:val="en-US" w:eastAsia="zh-CN"/>
              </w:rPr>
              <w:t>但不限于：</w:t>
            </w:r>
          </w:p>
          <w:p w14:paraId="0A119136">
            <w:pPr>
              <w:pStyle w:val="24"/>
              <w:keepNext w:val="0"/>
              <w:keepLines w:val="0"/>
              <w:pageBreakBefore w:val="0"/>
              <w:wordWrap/>
              <w:overflowPunct/>
              <w:topLinePunct w:val="0"/>
              <w:bidi w:val="0"/>
              <w:spacing w:before="37" w:line="440" w:lineRule="exact"/>
              <w:ind w:left="112" w:right="102"/>
              <w:jc w:val="both"/>
              <w:rPr>
                <w:rFonts w:hint="eastAsia" w:ascii="宋体" w:hAnsi="宋体" w:eastAsia="宋体" w:cs="宋体"/>
                <w:spacing w:val="5"/>
                <w:sz w:val="24"/>
                <w:szCs w:val="24"/>
              </w:rPr>
            </w:pPr>
            <w:r>
              <w:rPr>
                <w:rFonts w:hint="eastAsia" w:ascii="宋体" w:hAnsi="宋体" w:eastAsia="宋体" w:cs="宋体"/>
                <w:spacing w:val="5"/>
                <w:sz w:val="24"/>
                <w:szCs w:val="24"/>
              </w:rPr>
              <w:t>①紧急事件剖析；</w:t>
            </w:r>
          </w:p>
          <w:p w14:paraId="5F806111">
            <w:pPr>
              <w:pStyle w:val="24"/>
              <w:keepNext w:val="0"/>
              <w:keepLines w:val="0"/>
              <w:pageBreakBefore w:val="0"/>
              <w:wordWrap/>
              <w:overflowPunct/>
              <w:topLinePunct w:val="0"/>
              <w:bidi w:val="0"/>
              <w:spacing w:before="37" w:line="440" w:lineRule="exact"/>
              <w:ind w:left="112" w:right="102"/>
              <w:jc w:val="both"/>
              <w:rPr>
                <w:rFonts w:hint="eastAsia" w:ascii="宋体" w:hAnsi="宋体" w:eastAsia="宋体" w:cs="宋体"/>
                <w:spacing w:val="5"/>
                <w:sz w:val="24"/>
                <w:szCs w:val="24"/>
              </w:rPr>
            </w:pPr>
            <w:r>
              <w:rPr>
                <w:rFonts w:hint="eastAsia" w:ascii="宋体" w:hAnsi="宋体" w:eastAsia="宋体" w:cs="宋体"/>
                <w:spacing w:val="5"/>
                <w:sz w:val="24"/>
                <w:szCs w:val="24"/>
              </w:rPr>
              <w:t>②应对措施方案；</w:t>
            </w:r>
          </w:p>
          <w:p w14:paraId="09241022">
            <w:pPr>
              <w:pStyle w:val="24"/>
              <w:keepNext w:val="0"/>
              <w:keepLines w:val="0"/>
              <w:pageBreakBefore w:val="0"/>
              <w:wordWrap/>
              <w:overflowPunct/>
              <w:topLinePunct w:val="0"/>
              <w:bidi w:val="0"/>
              <w:spacing w:before="37" w:line="440" w:lineRule="exact"/>
              <w:ind w:left="112" w:right="102"/>
              <w:jc w:val="both"/>
              <w:rPr>
                <w:rFonts w:hint="eastAsia" w:ascii="宋体" w:hAnsi="宋体" w:eastAsia="宋体" w:cs="宋体"/>
                <w:spacing w:val="5"/>
                <w:sz w:val="24"/>
                <w:szCs w:val="24"/>
                <w:lang w:eastAsia="zh-CN"/>
              </w:rPr>
            </w:pPr>
            <w:r>
              <w:rPr>
                <w:rFonts w:hint="eastAsia" w:ascii="宋体" w:hAnsi="宋体" w:eastAsia="宋体" w:cs="宋体"/>
                <w:spacing w:val="5"/>
                <w:sz w:val="24"/>
                <w:szCs w:val="24"/>
              </w:rPr>
              <w:t>③安全事故应急预案等</w:t>
            </w:r>
            <w:r>
              <w:rPr>
                <w:rFonts w:hint="eastAsia" w:ascii="宋体" w:hAnsi="宋体" w:eastAsia="宋体" w:cs="宋体"/>
                <w:spacing w:val="5"/>
                <w:sz w:val="24"/>
                <w:szCs w:val="24"/>
                <w:lang w:eastAsia="zh-CN"/>
              </w:rPr>
              <w:t>；</w:t>
            </w:r>
          </w:p>
          <w:p w14:paraId="3C0027DD">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sz w:val="24"/>
                <w:szCs w:val="24"/>
              </w:rPr>
            </w:pPr>
            <w:r>
              <w:rPr>
                <w:rFonts w:hint="eastAsia" w:ascii="宋体" w:hAnsi="宋体" w:eastAsia="宋体" w:cs="宋体"/>
                <w:b/>
                <w:bCs/>
                <w:spacing w:val="-1"/>
                <w:sz w:val="24"/>
                <w:szCs w:val="24"/>
                <w:lang w:val="en-US" w:eastAsia="zh-CN"/>
              </w:rPr>
              <w:t>由</w:t>
            </w:r>
            <w:r>
              <w:rPr>
                <w:rFonts w:hint="eastAsia" w:ascii="宋体" w:hAnsi="宋体" w:eastAsia="宋体" w:cs="宋体"/>
                <w:b/>
                <w:bCs/>
                <w:spacing w:val="-1"/>
                <w:sz w:val="24"/>
                <w:szCs w:val="24"/>
              </w:rPr>
              <w:t>磋商小组根据响应文件进行综合评审：</w:t>
            </w:r>
          </w:p>
          <w:p w14:paraId="3E52ECEE">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color w:val="000000"/>
                <w:sz w:val="24"/>
                <w:u w:val="none"/>
              </w:rPr>
            </w:pPr>
            <w:r>
              <w:rPr>
                <w:rFonts w:hint="eastAsia" w:ascii="宋体" w:hAnsi="宋体" w:eastAsia="宋体" w:cs="宋体"/>
                <w:b/>
                <w:bCs/>
                <w:color w:val="000000"/>
                <w:sz w:val="24"/>
                <w:u w:val="none"/>
              </w:rPr>
              <w:t>方案全面详尽、定位准确，服务内容针对性强</w:t>
            </w:r>
            <w:r>
              <w:rPr>
                <w:rFonts w:hint="eastAsia" w:ascii="宋体" w:hAnsi="宋体" w:eastAsia="宋体" w:cs="宋体"/>
                <w:b/>
                <w:bCs/>
                <w:color w:val="000000"/>
                <w:sz w:val="24"/>
                <w:u w:val="none"/>
                <w:lang w:val="en-US" w:eastAsia="zh-CN"/>
              </w:rPr>
              <w:t>4</w:t>
            </w:r>
            <w:r>
              <w:rPr>
                <w:rFonts w:hint="eastAsia" w:ascii="宋体" w:hAnsi="宋体" w:eastAsia="宋体" w:cs="宋体"/>
                <w:b/>
                <w:bCs/>
                <w:color w:val="000000"/>
                <w:sz w:val="24"/>
                <w:u w:val="none"/>
              </w:rPr>
              <w:t>≤F≤</w:t>
            </w:r>
            <w:r>
              <w:rPr>
                <w:rFonts w:hint="eastAsia" w:ascii="宋体" w:hAnsi="宋体" w:eastAsia="宋体" w:cs="宋体"/>
                <w:b/>
                <w:bCs/>
                <w:color w:val="000000"/>
                <w:sz w:val="24"/>
                <w:u w:val="none"/>
                <w:lang w:val="en-US" w:eastAsia="zh-CN"/>
              </w:rPr>
              <w:t>5</w:t>
            </w:r>
            <w:r>
              <w:rPr>
                <w:rFonts w:hint="eastAsia" w:ascii="宋体" w:hAnsi="宋体" w:eastAsia="宋体" w:cs="宋体"/>
                <w:b/>
                <w:bCs/>
                <w:color w:val="000000"/>
                <w:sz w:val="24"/>
                <w:u w:val="none"/>
              </w:rPr>
              <w:t>分；</w:t>
            </w:r>
          </w:p>
          <w:p w14:paraId="4AA64425">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color w:val="000000"/>
                <w:sz w:val="24"/>
                <w:u w:val="none"/>
              </w:rPr>
            </w:pPr>
            <w:r>
              <w:rPr>
                <w:rFonts w:hint="eastAsia" w:ascii="宋体" w:hAnsi="宋体" w:eastAsia="宋体" w:cs="宋体"/>
                <w:b/>
                <w:bCs/>
                <w:color w:val="000000"/>
                <w:sz w:val="24"/>
                <w:u w:val="none"/>
              </w:rPr>
              <w:t>方案基本符合实际，具有一定实用性的，</w:t>
            </w:r>
            <w:r>
              <w:rPr>
                <w:rFonts w:hint="eastAsia" w:ascii="宋体" w:hAnsi="宋体" w:eastAsia="宋体" w:cs="宋体"/>
                <w:b/>
                <w:bCs/>
                <w:color w:val="000000"/>
                <w:sz w:val="24"/>
                <w:u w:val="none"/>
                <w:lang w:val="en-US" w:eastAsia="zh-CN"/>
              </w:rPr>
              <w:t>2</w:t>
            </w:r>
            <w:r>
              <w:rPr>
                <w:rFonts w:hint="eastAsia" w:ascii="宋体" w:hAnsi="宋体" w:eastAsia="宋体" w:cs="宋体"/>
                <w:b/>
                <w:bCs/>
                <w:color w:val="000000"/>
                <w:sz w:val="24"/>
                <w:u w:val="none"/>
              </w:rPr>
              <w:t>≤F＜</w:t>
            </w:r>
            <w:r>
              <w:rPr>
                <w:rFonts w:hint="eastAsia" w:ascii="宋体" w:hAnsi="宋体" w:eastAsia="宋体" w:cs="宋体"/>
                <w:b/>
                <w:bCs/>
                <w:color w:val="000000"/>
                <w:sz w:val="24"/>
                <w:u w:val="none"/>
                <w:lang w:val="en-US" w:eastAsia="zh-CN"/>
              </w:rPr>
              <w:t>4</w:t>
            </w:r>
            <w:r>
              <w:rPr>
                <w:rFonts w:hint="eastAsia" w:ascii="宋体" w:hAnsi="宋体" w:eastAsia="宋体" w:cs="宋体"/>
                <w:b/>
                <w:bCs/>
                <w:color w:val="000000"/>
                <w:sz w:val="24"/>
                <w:u w:val="none"/>
              </w:rPr>
              <w:t>分；</w:t>
            </w:r>
          </w:p>
          <w:p w14:paraId="263CF8B4">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color w:val="000000"/>
                <w:sz w:val="24"/>
                <w:u w:val="none"/>
              </w:rPr>
            </w:pPr>
            <w:r>
              <w:rPr>
                <w:rFonts w:hint="eastAsia" w:ascii="宋体" w:hAnsi="宋体" w:eastAsia="宋体" w:cs="宋体"/>
                <w:b/>
                <w:bCs/>
                <w:color w:val="000000"/>
                <w:sz w:val="24"/>
                <w:u w:val="none"/>
              </w:rPr>
              <w:t>方案待完整0≤F＜</w:t>
            </w:r>
            <w:r>
              <w:rPr>
                <w:rFonts w:hint="eastAsia" w:ascii="宋体" w:hAnsi="宋体" w:eastAsia="宋体" w:cs="宋体"/>
                <w:b/>
                <w:bCs/>
                <w:color w:val="000000"/>
                <w:sz w:val="24"/>
                <w:u w:val="none"/>
                <w:lang w:val="en-US" w:eastAsia="zh-CN"/>
              </w:rPr>
              <w:t>2</w:t>
            </w:r>
            <w:r>
              <w:rPr>
                <w:rFonts w:hint="eastAsia" w:ascii="宋体" w:hAnsi="宋体" w:eastAsia="宋体" w:cs="宋体"/>
                <w:b/>
                <w:bCs/>
                <w:color w:val="000000"/>
                <w:sz w:val="24"/>
                <w:u w:val="none"/>
              </w:rPr>
              <w:t>分。</w:t>
            </w:r>
          </w:p>
          <w:p w14:paraId="03828DDE">
            <w:pPr>
              <w:pStyle w:val="24"/>
              <w:keepNext w:val="0"/>
              <w:keepLines w:val="0"/>
              <w:pageBreakBefore w:val="0"/>
              <w:wordWrap/>
              <w:overflowPunct/>
              <w:topLinePunct w:val="0"/>
              <w:bidi w:val="0"/>
              <w:spacing w:before="37" w:line="440" w:lineRule="exact"/>
              <w:ind w:left="112" w:right="102"/>
              <w:jc w:val="both"/>
              <w:rPr>
                <w:rFonts w:hint="eastAsia" w:ascii="宋体" w:hAnsi="宋体" w:eastAsia="宋体" w:cs="宋体"/>
                <w:sz w:val="24"/>
                <w:szCs w:val="24"/>
              </w:rPr>
            </w:pPr>
            <w:r>
              <w:rPr>
                <w:rFonts w:hint="eastAsia" w:ascii="宋体" w:hAnsi="宋体" w:eastAsia="宋体" w:cs="宋体"/>
                <w:b/>
                <w:bCs/>
                <w:color w:val="000000"/>
                <w:sz w:val="24"/>
                <w:u w:val="none"/>
              </w:rPr>
              <w:t>注：F为本项得分。</w:t>
            </w:r>
          </w:p>
        </w:tc>
        <w:tc>
          <w:tcPr>
            <w:tcW w:w="1063" w:type="dxa"/>
            <w:tcBorders>
              <w:tl2br w:val="nil"/>
              <w:tr2bl w:val="nil"/>
            </w:tcBorders>
            <w:vAlign w:val="center"/>
          </w:tcPr>
          <w:p w14:paraId="5B21BE5D">
            <w:pPr>
              <w:pStyle w:val="24"/>
              <w:keepNext w:val="0"/>
              <w:keepLines w:val="0"/>
              <w:pageBreakBefore w:val="0"/>
              <w:wordWrap/>
              <w:overflowPunct/>
              <w:topLinePunct w:val="0"/>
              <w:bidi w:val="0"/>
              <w:spacing w:before="78" w:line="440" w:lineRule="exact"/>
              <w:jc w:val="center"/>
              <w:rPr>
                <w:rFonts w:hint="eastAsia" w:ascii="宋体" w:hAnsi="宋体" w:eastAsia="宋体" w:cs="宋体"/>
                <w:b w:val="0"/>
                <w:bCs w:val="0"/>
                <w:sz w:val="24"/>
                <w:szCs w:val="24"/>
              </w:rPr>
            </w:pPr>
            <w:r>
              <w:rPr>
                <w:rFonts w:hint="eastAsia" w:ascii="宋体" w:hAnsi="宋体" w:eastAsia="宋体" w:cs="宋体"/>
                <w:b w:val="0"/>
                <w:bCs w:val="0"/>
                <w:spacing w:val="-5"/>
                <w:sz w:val="24"/>
                <w:szCs w:val="24"/>
              </w:rPr>
              <w:t>0-5</w:t>
            </w:r>
            <w:r>
              <w:rPr>
                <w:rFonts w:hint="eastAsia" w:ascii="宋体" w:hAnsi="宋体" w:eastAsia="宋体" w:cs="宋体"/>
                <w:b w:val="0"/>
                <w:bCs w:val="0"/>
                <w:spacing w:val="-48"/>
                <w:sz w:val="24"/>
                <w:szCs w:val="24"/>
              </w:rPr>
              <w:t xml:space="preserve"> </w:t>
            </w:r>
            <w:r>
              <w:rPr>
                <w:rFonts w:hint="eastAsia" w:ascii="宋体" w:hAnsi="宋体" w:eastAsia="宋体" w:cs="宋体"/>
                <w:b w:val="0"/>
                <w:bCs w:val="0"/>
                <w:spacing w:val="-5"/>
                <w:sz w:val="24"/>
                <w:szCs w:val="24"/>
              </w:rPr>
              <w:t>分</w:t>
            </w:r>
          </w:p>
        </w:tc>
      </w:tr>
      <w:tr w14:paraId="59931C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155" w:type="dxa"/>
            <w:vMerge w:val="continue"/>
            <w:tcBorders>
              <w:tl2br w:val="nil"/>
              <w:tr2bl w:val="nil"/>
            </w:tcBorders>
            <w:vAlign w:val="center"/>
          </w:tcPr>
          <w:p w14:paraId="03869107">
            <w:pPr>
              <w:keepNext w:val="0"/>
              <w:keepLines w:val="0"/>
              <w:pageBreakBefore w:val="0"/>
              <w:wordWrap/>
              <w:overflowPunct/>
              <w:topLinePunct w:val="0"/>
              <w:bidi w:val="0"/>
              <w:spacing w:line="440" w:lineRule="exact"/>
              <w:jc w:val="center"/>
              <w:rPr>
                <w:rFonts w:hint="eastAsia" w:ascii="宋体" w:hAnsi="宋体" w:eastAsia="宋体" w:cs="宋体"/>
                <w:sz w:val="24"/>
                <w:szCs w:val="24"/>
              </w:rPr>
            </w:pPr>
          </w:p>
        </w:tc>
        <w:tc>
          <w:tcPr>
            <w:tcW w:w="1163" w:type="dxa"/>
            <w:tcBorders>
              <w:tl2br w:val="nil"/>
              <w:tr2bl w:val="nil"/>
            </w:tcBorders>
            <w:vAlign w:val="center"/>
          </w:tcPr>
          <w:p w14:paraId="742377CD">
            <w:pPr>
              <w:keepNext w:val="0"/>
              <w:keepLines w:val="0"/>
              <w:pageBreakBefore w:val="0"/>
              <w:wordWrap/>
              <w:overflowPunct/>
              <w:topLinePunct w:val="0"/>
              <w:bidi w:val="0"/>
              <w:adjustRightInd w:val="0"/>
              <w:snapToGrid w:val="0"/>
              <w:spacing w:line="440" w:lineRule="exact"/>
              <w:ind w:firstLine="0" w:firstLineChars="0"/>
              <w:jc w:val="center"/>
              <w:rPr>
                <w:rFonts w:hint="eastAsia" w:ascii="宋体" w:hAnsi="宋体" w:eastAsia="宋体" w:cs="宋体"/>
                <w:sz w:val="24"/>
                <w:szCs w:val="24"/>
              </w:rPr>
            </w:pPr>
            <w:r>
              <w:rPr>
                <w:rFonts w:hint="eastAsia" w:ascii="宋体" w:hAnsi="宋体" w:eastAsia="宋体" w:cs="宋体"/>
                <w:kern w:val="2"/>
                <w:highlight w:val="none"/>
              </w:rPr>
              <w:t>日常</w:t>
            </w:r>
            <w:r>
              <w:rPr>
                <w:rFonts w:hint="eastAsia" w:ascii="宋体" w:hAnsi="宋体" w:eastAsia="宋体" w:cs="宋体"/>
                <w:spacing w:val="-6"/>
                <w:sz w:val="24"/>
                <w:szCs w:val="24"/>
              </w:rPr>
              <w:t>物业管理方案</w:t>
            </w:r>
          </w:p>
        </w:tc>
        <w:tc>
          <w:tcPr>
            <w:tcW w:w="5788" w:type="dxa"/>
            <w:tcBorders>
              <w:tl2br w:val="nil"/>
              <w:tr2bl w:val="nil"/>
            </w:tcBorders>
            <w:vAlign w:val="center"/>
          </w:tcPr>
          <w:p w14:paraId="54811C3F">
            <w:pPr>
              <w:pStyle w:val="24"/>
              <w:keepNext w:val="0"/>
              <w:keepLines w:val="0"/>
              <w:pageBreakBefore w:val="0"/>
              <w:wordWrap/>
              <w:overflowPunct/>
              <w:topLinePunct w:val="0"/>
              <w:bidi w:val="0"/>
              <w:spacing w:before="38" w:line="440" w:lineRule="exact"/>
              <w:ind w:left="113" w:right="102"/>
              <w:jc w:val="both"/>
              <w:rPr>
                <w:rFonts w:hint="eastAsia" w:ascii="宋体" w:hAnsi="宋体" w:eastAsia="宋体" w:cs="宋体"/>
                <w:spacing w:val="5"/>
                <w:sz w:val="24"/>
                <w:szCs w:val="24"/>
                <w:lang w:val="en-US" w:eastAsia="zh-CN"/>
              </w:rPr>
            </w:pPr>
            <w:r>
              <w:rPr>
                <w:rFonts w:hint="eastAsia" w:ascii="宋体" w:hAnsi="宋体" w:eastAsia="宋体" w:cs="宋体"/>
                <w:spacing w:val="4"/>
                <w:sz w:val="24"/>
                <w:szCs w:val="24"/>
              </w:rPr>
              <w:t>供应商提供针对本项目的</w:t>
            </w:r>
            <w:r>
              <w:rPr>
                <w:rFonts w:hint="eastAsia" w:ascii="宋体" w:hAnsi="宋体" w:eastAsia="宋体" w:cs="宋体"/>
                <w:b/>
                <w:bCs/>
                <w:spacing w:val="4"/>
                <w:sz w:val="24"/>
                <w:szCs w:val="24"/>
              </w:rPr>
              <w:t>日常物业管理方案</w:t>
            </w:r>
            <w:r>
              <w:rPr>
                <w:rFonts w:hint="eastAsia" w:ascii="宋体" w:hAnsi="宋体" w:eastAsia="宋体" w:cs="宋体"/>
                <w:spacing w:val="4"/>
                <w:sz w:val="24"/>
                <w:szCs w:val="24"/>
              </w:rPr>
              <w:t>，主</w:t>
            </w:r>
            <w:r>
              <w:rPr>
                <w:rFonts w:hint="eastAsia" w:ascii="宋体" w:hAnsi="宋体" w:eastAsia="宋体" w:cs="宋体"/>
                <w:spacing w:val="5"/>
                <w:sz w:val="24"/>
                <w:szCs w:val="24"/>
              </w:rPr>
              <w:t>要内容包括</w:t>
            </w:r>
            <w:r>
              <w:rPr>
                <w:rFonts w:hint="eastAsia" w:ascii="宋体" w:hAnsi="宋体" w:eastAsia="宋体" w:cs="宋体"/>
                <w:spacing w:val="5"/>
                <w:sz w:val="24"/>
                <w:szCs w:val="24"/>
                <w:lang w:val="en-US" w:eastAsia="zh-CN"/>
              </w:rPr>
              <w:t>但不限于：</w:t>
            </w:r>
          </w:p>
          <w:p w14:paraId="530292C3">
            <w:pPr>
              <w:pStyle w:val="24"/>
              <w:keepNext w:val="0"/>
              <w:keepLines w:val="0"/>
              <w:pageBreakBefore w:val="0"/>
              <w:wordWrap/>
              <w:overflowPunct/>
              <w:topLinePunct w:val="0"/>
              <w:bidi w:val="0"/>
              <w:spacing w:before="38" w:line="440" w:lineRule="exact"/>
              <w:ind w:left="113" w:right="102"/>
              <w:jc w:val="both"/>
              <w:rPr>
                <w:rFonts w:hint="eastAsia" w:ascii="宋体" w:hAnsi="宋体" w:eastAsia="宋体" w:cs="宋体"/>
                <w:spacing w:val="5"/>
                <w:sz w:val="24"/>
                <w:szCs w:val="24"/>
              </w:rPr>
            </w:pPr>
            <w:r>
              <w:rPr>
                <w:rFonts w:hint="eastAsia" w:ascii="宋体" w:hAnsi="宋体" w:eastAsia="宋体" w:cs="宋体"/>
                <w:spacing w:val="5"/>
                <w:sz w:val="24"/>
                <w:szCs w:val="24"/>
              </w:rPr>
              <w:t>①环境清洁方案；</w:t>
            </w:r>
          </w:p>
          <w:p w14:paraId="7D516607">
            <w:pPr>
              <w:pStyle w:val="24"/>
              <w:keepNext w:val="0"/>
              <w:keepLines w:val="0"/>
              <w:pageBreakBefore w:val="0"/>
              <w:wordWrap/>
              <w:overflowPunct/>
              <w:topLinePunct w:val="0"/>
              <w:bidi w:val="0"/>
              <w:spacing w:before="38" w:line="440" w:lineRule="exact"/>
              <w:ind w:left="113" w:right="102"/>
              <w:jc w:val="both"/>
              <w:rPr>
                <w:rFonts w:hint="eastAsia" w:cs="宋体"/>
                <w:spacing w:val="5"/>
                <w:sz w:val="24"/>
                <w:szCs w:val="24"/>
                <w:lang w:eastAsia="zh-CN"/>
              </w:rPr>
            </w:pPr>
            <w:r>
              <w:rPr>
                <w:rFonts w:hint="eastAsia" w:ascii="宋体" w:hAnsi="宋体" w:eastAsia="宋体" w:cs="宋体"/>
                <w:spacing w:val="5"/>
                <w:sz w:val="24"/>
                <w:szCs w:val="24"/>
              </w:rPr>
              <w:t>②公共秩序管理方案</w:t>
            </w:r>
            <w:r>
              <w:rPr>
                <w:rFonts w:hint="eastAsia" w:cs="宋体"/>
                <w:spacing w:val="5"/>
                <w:sz w:val="24"/>
                <w:szCs w:val="24"/>
                <w:lang w:eastAsia="zh-CN"/>
              </w:rPr>
              <w:t>；</w:t>
            </w:r>
          </w:p>
          <w:p w14:paraId="19ADD551">
            <w:pPr>
              <w:pStyle w:val="24"/>
              <w:keepNext w:val="0"/>
              <w:keepLines w:val="0"/>
              <w:pageBreakBefore w:val="0"/>
              <w:wordWrap/>
              <w:overflowPunct/>
              <w:topLinePunct w:val="0"/>
              <w:bidi w:val="0"/>
              <w:spacing w:before="38" w:line="440" w:lineRule="exact"/>
              <w:ind w:left="113" w:right="102"/>
              <w:jc w:val="both"/>
              <w:rPr>
                <w:rFonts w:hint="eastAsia" w:ascii="宋体" w:hAnsi="宋体" w:eastAsia="宋体" w:cs="宋体"/>
                <w:spacing w:val="5"/>
                <w:sz w:val="24"/>
                <w:szCs w:val="24"/>
                <w:highlight w:val="none"/>
                <w:lang w:eastAsia="zh-CN"/>
              </w:rPr>
            </w:pPr>
            <w:r>
              <w:rPr>
                <w:rFonts w:hint="eastAsia" w:ascii="宋体" w:hAnsi="宋体" w:eastAsia="宋体" w:cs="宋体"/>
                <w:spacing w:val="5"/>
                <w:sz w:val="24"/>
                <w:szCs w:val="24"/>
                <w:highlight w:val="none"/>
              </w:rPr>
              <w:t>③</w:t>
            </w:r>
            <w:r>
              <w:rPr>
                <w:rFonts w:hint="eastAsia" w:cs="宋体"/>
                <w:spacing w:val="5"/>
                <w:sz w:val="24"/>
                <w:szCs w:val="24"/>
                <w:highlight w:val="none"/>
                <w:lang w:val="en-US" w:eastAsia="zh-CN"/>
              </w:rPr>
              <w:t>会务服务方案</w:t>
            </w:r>
            <w:r>
              <w:rPr>
                <w:rFonts w:hint="eastAsia" w:ascii="宋体" w:hAnsi="宋体" w:eastAsia="宋体" w:cs="宋体"/>
                <w:spacing w:val="5"/>
                <w:sz w:val="24"/>
                <w:szCs w:val="24"/>
                <w:highlight w:val="none"/>
              </w:rPr>
              <w:t>等</w:t>
            </w:r>
            <w:r>
              <w:rPr>
                <w:rFonts w:hint="eastAsia" w:ascii="宋体" w:hAnsi="宋体" w:eastAsia="宋体" w:cs="宋体"/>
                <w:spacing w:val="5"/>
                <w:sz w:val="24"/>
                <w:szCs w:val="24"/>
                <w:highlight w:val="none"/>
                <w:lang w:eastAsia="zh-CN"/>
              </w:rPr>
              <w:t>；</w:t>
            </w:r>
          </w:p>
          <w:p w14:paraId="5119E5FF">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sz w:val="24"/>
                <w:szCs w:val="24"/>
              </w:rPr>
            </w:pPr>
            <w:r>
              <w:rPr>
                <w:rFonts w:hint="eastAsia" w:ascii="宋体" w:hAnsi="宋体" w:eastAsia="宋体" w:cs="宋体"/>
                <w:b/>
                <w:bCs/>
                <w:spacing w:val="-1"/>
                <w:sz w:val="24"/>
                <w:szCs w:val="24"/>
                <w:lang w:val="en-US" w:eastAsia="zh-CN"/>
              </w:rPr>
              <w:t>由</w:t>
            </w:r>
            <w:r>
              <w:rPr>
                <w:rFonts w:hint="eastAsia" w:ascii="宋体" w:hAnsi="宋体" w:eastAsia="宋体" w:cs="宋体"/>
                <w:b/>
                <w:bCs/>
                <w:spacing w:val="-1"/>
                <w:sz w:val="24"/>
                <w:szCs w:val="24"/>
              </w:rPr>
              <w:t>磋商小组根据响应文件进行综合评审：</w:t>
            </w:r>
          </w:p>
          <w:p w14:paraId="7D318EB8">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color w:val="000000"/>
                <w:sz w:val="24"/>
                <w:u w:val="none"/>
              </w:rPr>
            </w:pPr>
            <w:r>
              <w:rPr>
                <w:rFonts w:hint="eastAsia" w:ascii="宋体" w:hAnsi="宋体" w:eastAsia="宋体" w:cs="宋体"/>
                <w:b/>
                <w:bCs/>
                <w:color w:val="000000"/>
                <w:sz w:val="24"/>
                <w:u w:val="none"/>
              </w:rPr>
              <w:t>方案全面详尽、定位准确，服务内容针对性强</w:t>
            </w:r>
            <w:r>
              <w:rPr>
                <w:rFonts w:hint="eastAsia" w:ascii="宋体" w:hAnsi="宋体" w:eastAsia="宋体" w:cs="宋体"/>
                <w:b/>
                <w:bCs/>
                <w:color w:val="000000"/>
                <w:sz w:val="24"/>
                <w:u w:val="none"/>
                <w:lang w:val="en-US" w:eastAsia="zh-CN"/>
              </w:rPr>
              <w:t>4</w:t>
            </w:r>
            <w:r>
              <w:rPr>
                <w:rFonts w:hint="eastAsia" w:ascii="宋体" w:hAnsi="宋体" w:eastAsia="宋体" w:cs="宋体"/>
                <w:b/>
                <w:bCs/>
                <w:color w:val="000000"/>
                <w:sz w:val="24"/>
                <w:u w:val="none"/>
              </w:rPr>
              <w:t>≤F≤</w:t>
            </w:r>
            <w:r>
              <w:rPr>
                <w:rFonts w:hint="eastAsia" w:ascii="宋体" w:hAnsi="宋体" w:eastAsia="宋体" w:cs="宋体"/>
                <w:b/>
                <w:bCs/>
                <w:color w:val="000000"/>
                <w:sz w:val="24"/>
                <w:u w:val="none"/>
                <w:lang w:val="en-US" w:eastAsia="zh-CN"/>
              </w:rPr>
              <w:t>5</w:t>
            </w:r>
            <w:r>
              <w:rPr>
                <w:rFonts w:hint="eastAsia" w:ascii="宋体" w:hAnsi="宋体" w:eastAsia="宋体" w:cs="宋体"/>
                <w:b/>
                <w:bCs/>
                <w:color w:val="000000"/>
                <w:sz w:val="24"/>
                <w:u w:val="none"/>
              </w:rPr>
              <w:t>分；</w:t>
            </w:r>
          </w:p>
          <w:p w14:paraId="5ACA2CCF">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color w:val="000000"/>
                <w:sz w:val="24"/>
                <w:u w:val="none"/>
              </w:rPr>
            </w:pPr>
            <w:r>
              <w:rPr>
                <w:rFonts w:hint="eastAsia" w:ascii="宋体" w:hAnsi="宋体" w:eastAsia="宋体" w:cs="宋体"/>
                <w:b/>
                <w:bCs/>
                <w:color w:val="000000"/>
                <w:sz w:val="24"/>
                <w:u w:val="none"/>
              </w:rPr>
              <w:t>方案基本符合实际，具有一定实用性的，</w:t>
            </w:r>
            <w:r>
              <w:rPr>
                <w:rFonts w:hint="eastAsia" w:ascii="宋体" w:hAnsi="宋体" w:eastAsia="宋体" w:cs="宋体"/>
                <w:b/>
                <w:bCs/>
                <w:color w:val="000000"/>
                <w:sz w:val="24"/>
                <w:u w:val="none"/>
                <w:lang w:val="en-US" w:eastAsia="zh-CN"/>
              </w:rPr>
              <w:t>2</w:t>
            </w:r>
            <w:r>
              <w:rPr>
                <w:rFonts w:hint="eastAsia" w:ascii="宋体" w:hAnsi="宋体" w:eastAsia="宋体" w:cs="宋体"/>
                <w:b/>
                <w:bCs/>
                <w:color w:val="000000"/>
                <w:sz w:val="24"/>
                <w:u w:val="none"/>
              </w:rPr>
              <w:t>≤F＜</w:t>
            </w:r>
            <w:r>
              <w:rPr>
                <w:rFonts w:hint="eastAsia" w:ascii="宋体" w:hAnsi="宋体" w:eastAsia="宋体" w:cs="宋体"/>
                <w:b/>
                <w:bCs/>
                <w:color w:val="000000"/>
                <w:sz w:val="24"/>
                <w:u w:val="none"/>
                <w:lang w:val="en-US" w:eastAsia="zh-CN"/>
              </w:rPr>
              <w:t>4</w:t>
            </w:r>
            <w:r>
              <w:rPr>
                <w:rFonts w:hint="eastAsia" w:ascii="宋体" w:hAnsi="宋体" w:eastAsia="宋体" w:cs="宋体"/>
                <w:b/>
                <w:bCs/>
                <w:color w:val="000000"/>
                <w:sz w:val="24"/>
                <w:u w:val="none"/>
              </w:rPr>
              <w:t>分；</w:t>
            </w:r>
          </w:p>
          <w:p w14:paraId="47EE85AD">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color w:val="000000"/>
                <w:sz w:val="24"/>
                <w:u w:val="none"/>
              </w:rPr>
            </w:pPr>
            <w:r>
              <w:rPr>
                <w:rFonts w:hint="eastAsia" w:ascii="宋体" w:hAnsi="宋体" w:eastAsia="宋体" w:cs="宋体"/>
                <w:b/>
                <w:bCs/>
                <w:color w:val="000000"/>
                <w:sz w:val="24"/>
                <w:u w:val="none"/>
              </w:rPr>
              <w:t>服务方案待完整0≤F＜</w:t>
            </w:r>
            <w:r>
              <w:rPr>
                <w:rFonts w:hint="eastAsia" w:ascii="宋体" w:hAnsi="宋体" w:eastAsia="宋体" w:cs="宋体"/>
                <w:b/>
                <w:bCs/>
                <w:color w:val="000000"/>
                <w:sz w:val="24"/>
                <w:u w:val="none"/>
                <w:lang w:val="en-US" w:eastAsia="zh-CN"/>
              </w:rPr>
              <w:t>2</w:t>
            </w:r>
            <w:r>
              <w:rPr>
                <w:rFonts w:hint="eastAsia" w:ascii="宋体" w:hAnsi="宋体" w:eastAsia="宋体" w:cs="宋体"/>
                <w:b/>
                <w:bCs/>
                <w:color w:val="000000"/>
                <w:sz w:val="24"/>
                <w:u w:val="none"/>
              </w:rPr>
              <w:t>分。</w:t>
            </w:r>
          </w:p>
          <w:p w14:paraId="77D61FBC">
            <w:pPr>
              <w:pStyle w:val="24"/>
              <w:keepNext w:val="0"/>
              <w:keepLines w:val="0"/>
              <w:pageBreakBefore w:val="0"/>
              <w:wordWrap/>
              <w:overflowPunct/>
              <w:topLinePunct w:val="0"/>
              <w:bidi w:val="0"/>
              <w:spacing w:line="440" w:lineRule="exact"/>
              <w:ind w:left="125"/>
              <w:jc w:val="both"/>
              <w:rPr>
                <w:rFonts w:hint="eastAsia" w:ascii="宋体" w:hAnsi="宋体" w:eastAsia="宋体" w:cs="宋体"/>
                <w:sz w:val="24"/>
                <w:szCs w:val="24"/>
              </w:rPr>
            </w:pPr>
            <w:r>
              <w:rPr>
                <w:rFonts w:hint="eastAsia" w:ascii="宋体" w:hAnsi="宋体" w:eastAsia="宋体" w:cs="宋体"/>
                <w:b/>
                <w:bCs/>
                <w:color w:val="000000"/>
                <w:sz w:val="24"/>
                <w:u w:val="none"/>
              </w:rPr>
              <w:t>注：F为本项得分。</w:t>
            </w:r>
          </w:p>
        </w:tc>
        <w:tc>
          <w:tcPr>
            <w:tcW w:w="1063" w:type="dxa"/>
            <w:tcBorders>
              <w:tl2br w:val="nil"/>
              <w:tr2bl w:val="nil"/>
            </w:tcBorders>
            <w:vAlign w:val="center"/>
          </w:tcPr>
          <w:p w14:paraId="48CB2007">
            <w:pPr>
              <w:pStyle w:val="24"/>
              <w:keepNext w:val="0"/>
              <w:keepLines w:val="0"/>
              <w:pageBreakBefore w:val="0"/>
              <w:wordWrap/>
              <w:overflowPunct/>
              <w:topLinePunct w:val="0"/>
              <w:bidi w:val="0"/>
              <w:spacing w:before="78" w:line="440" w:lineRule="exact"/>
              <w:jc w:val="center"/>
              <w:rPr>
                <w:rFonts w:hint="eastAsia" w:ascii="宋体" w:hAnsi="宋体" w:eastAsia="宋体" w:cs="宋体"/>
                <w:b w:val="0"/>
                <w:bCs w:val="0"/>
                <w:sz w:val="24"/>
                <w:szCs w:val="24"/>
              </w:rPr>
            </w:pPr>
            <w:r>
              <w:rPr>
                <w:rFonts w:hint="eastAsia" w:ascii="宋体" w:hAnsi="宋体" w:eastAsia="宋体" w:cs="宋体"/>
                <w:b w:val="0"/>
                <w:bCs w:val="0"/>
                <w:spacing w:val="-5"/>
                <w:sz w:val="24"/>
                <w:szCs w:val="24"/>
              </w:rPr>
              <w:t>0-5</w:t>
            </w:r>
            <w:r>
              <w:rPr>
                <w:rFonts w:hint="eastAsia" w:ascii="宋体" w:hAnsi="宋体" w:eastAsia="宋体" w:cs="宋体"/>
                <w:b w:val="0"/>
                <w:bCs w:val="0"/>
                <w:spacing w:val="-48"/>
                <w:sz w:val="24"/>
                <w:szCs w:val="24"/>
              </w:rPr>
              <w:t xml:space="preserve"> </w:t>
            </w:r>
            <w:r>
              <w:rPr>
                <w:rFonts w:hint="eastAsia" w:ascii="宋体" w:hAnsi="宋体" w:eastAsia="宋体" w:cs="宋体"/>
                <w:b w:val="0"/>
                <w:bCs w:val="0"/>
                <w:spacing w:val="-5"/>
                <w:sz w:val="24"/>
                <w:szCs w:val="24"/>
              </w:rPr>
              <w:t>分</w:t>
            </w:r>
          </w:p>
        </w:tc>
      </w:tr>
      <w:tr w14:paraId="2B20F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155" w:type="dxa"/>
            <w:vMerge w:val="continue"/>
            <w:tcBorders>
              <w:tl2br w:val="nil"/>
              <w:tr2bl w:val="nil"/>
            </w:tcBorders>
            <w:vAlign w:val="center"/>
          </w:tcPr>
          <w:p w14:paraId="30BEC695">
            <w:pPr>
              <w:keepNext w:val="0"/>
              <w:keepLines w:val="0"/>
              <w:pageBreakBefore w:val="0"/>
              <w:wordWrap/>
              <w:overflowPunct/>
              <w:topLinePunct w:val="0"/>
              <w:bidi w:val="0"/>
              <w:spacing w:line="440" w:lineRule="exact"/>
              <w:jc w:val="center"/>
              <w:rPr>
                <w:rFonts w:hint="eastAsia" w:ascii="宋体" w:hAnsi="宋体" w:eastAsia="宋体" w:cs="宋体"/>
                <w:sz w:val="24"/>
                <w:szCs w:val="24"/>
              </w:rPr>
            </w:pPr>
          </w:p>
        </w:tc>
        <w:tc>
          <w:tcPr>
            <w:tcW w:w="1163" w:type="dxa"/>
            <w:tcBorders>
              <w:tl2br w:val="nil"/>
              <w:tr2bl w:val="nil"/>
            </w:tcBorders>
            <w:vAlign w:val="center"/>
          </w:tcPr>
          <w:p w14:paraId="3906A163">
            <w:pPr>
              <w:keepNext w:val="0"/>
              <w:keepLines w:val="0"/>
              <w:pageBreakBefore w:val="0"/>
              <w:wordWrap/>
              <w:overflowPunct/>
              <w:topLinePunct w:val="0"/>
              <w:bidi w:val="0"/>
              <w:adjustRightInd w:val="0"/>
              <w:snapToGrid w:val="0"/>
              <w:spacing w:line="440" w:lineRule="exact"/>
              <w:ind w:firstLine="0" w:firstLineChars="0"/>
              <w:jc w:val="center"/>
              <w:rPr>
                <w:rFonts w:hint="eastAsia" w:ascii="宋体" w:hAnsi="宋体" w:eastAsia="宋体" w:cs="宋体"/>
                <w:sz w:val="24"/>
                <w:szCs w:val="24"/>
              </w:rPr>
            </w:pPr>
            <w:r>
              <w:rPr>
                <w:rFonts w:hint="eastAsia" w:ascii="宋体" w:hAnsi="宋体" w:eastAsia="宋体" w:cs="宋体"/>
                <w:spacing w:val="-6"/>
                <w:sz w:val="24"/>
                <w:szCs w:val="24"/>
              </w:rPr>
              <w:t>保障方案</w:t>
            </w:r>
          </w:p>
        </w:tc>
        <w:tc>
          <w:tcPr>
            <w:tcW w:w="5788" w:type="dxa"/>
            <w:tcBorders>
              <w:tl2br w:val="nil"/>
              <w:tr2bl w:val="nil"/>
            </w:tcBorders>
            <w:vAlign w:val="center"/>
          </w:tcPr>
          <w:p w14:paraId="5E757235">
            <w:pPr>
              <w:pStyle w:val="24"/>
              <w:keepNext w:val="0"/>
              <w:keepLines w:val="0"/>
              <w:pageBreakBefore w:val="0"/>
              <w:wordWrap/>
              <w:overflowPunct/>
              <w:topLinePunct w:val="0"/>
              <w:bidi w:val="0"/>
              <w:spacing w:before="42" w:line="440" w:lineRule="exact"/>
              <w:ind w:left="116" w:right="102"/>
              <w:jc w:val="both"/>
              <w:rPr>
                <w:rFonts w:hint="eastAsia" w:ascii="宋体" w:hAnsi="宋体" w:eastAsia="宋体" w:cs="宋体"/>
                <w:spacing w:val="5"/>
                <w:sz w:val="24"/>
                <w:szCs w:val="24"/>
                <w:lang w:val="en-US" w:eastAsia="zh-CN"/>
              </w:rPr>
            </w:pPr>
            <w:r>
              <w:rPr>
                <w:rFonts w:hint="eastAsia" w:ascii="宋体" w:hAnsi="宋体" w:eastAsia="宋体" w:cs="宋体"/>
                <w:spacing w:val="4"/>
                <w:sz w:val="24"/>
                <w:szCs w:val="24"/>
              </w:rPr>
              <w:t>供应商提供针对本项目的</w:t>
            </w:r>
            <w:r>
              <w:rPr>
                <w:rFonts w:hint="eastAsia" w:ascii="宋体" w:hAnsi="宋体" w:eastAsia="宋体" w:cs="宋体"/>
                <w:b/>
                <w:bCs/>
                <w:spacing w:val="4"/>
                <w:sz w:val="24"/>
                <w:szCs w:val="24"/>
              </w:rPr>
              <w:t>保障方案</w:t>
            </w:r>
            <w:r>
              <w:rPr>
                <w:rFonts w:hint="eastAsia" w:ascii="宋体" w:hAnsi="宋体" w:eastAsia="宋体" w:cs="宋体"/>
                <w:spacing w:val="4"/>
                <w:sz w:val="24"/>
                <w:szCs w:val="24"/>
              </w:rPr>
              <w:t>，主要内容包</w:t>
            </w:r>
            <w:r>
              <w:rPr>
                <w:rFonts w:hint="eastAsia" w:ascii="宋体" w:hAnsi="宋体" w:eastAsia="宋体" w:cs="宋体"/>
                <w:spacing w:val="5"/>
                <w:sz w:val="24"/>
                <w:szCs w:val="24"/>
              </w:rPr>
              <w:t>括</w:t>
            </w:r>
            <w:r>
              <w:rPr>
                <w:rFonts w:hint="eastAsia" w:ascii="宋体" w:hAnsi="宋体" w:eastAsia="宋体" w:cs="宋体"/>
                <w:spacing w:val="5"/>
                <w:sz w:val="24"/>
                <w:szCs w:val="24"/>
                <w:lang w:val="en-US" w:eastAsia="zh-CN"/>
              </w:rPr>
              <w:t>但不限于：</w:t>
            </w:r>
          </w:p>
          <w:p w14:paraId="0443D359">
            <w:pPr>
              <w:pStyle w:val="24"/>
              <w:keepNext w:val="0"/>
              <w:keepLines w:val="0"/>
              <w:pageBreakBefore w:val="0"/>
              <w:wordWrap/>
              <w:overflowPunct/>
              <w:topLinePunct w:val="0"/>
              <w:bidi w:val="0"/>
              <w:spacing w:before="42" w:line="440" w:lineRule="exact"/>
              <w:ind w:left="116" w:right="102"/>
              <w:jc w:val="both"/>
              <w:rPr>
                <w:rFonts w:hint="eastAsia" w:ascii="宋体" w:hAnsi="宋体" w:eastAsia="宋体" w:cs="宋体"/>
                <w:spacing w:val="5"/>
                <w:sz w:val="24"/>
                <w:szCs w:val="24"/>
              </w:rPr>
            </w:pPr>
            <w:r>
              <w:rPr>
                <w:rFonts w:hint="eastAsia" w:ascii="宋体" w:hAnsi="宋体" w:eastAsia="宋体" w:cs="宋体"/>
                <w:spacing w:val="5"/>
                <w:sz w:val="24"/>
                <w:szCs w:val="24"/>
              </w:rPr>
              <w:t>①重要接待及活动保障方案，应能反映不同等级的接待保障；</w:t>
            </w:r>
          </w:p>
          <w:p w14:paraId="1BEAD75D">
            <w:pPr>
              <w:pStyle w:val="24"/>
              <w:keepNext w:val="0"/>
              <w:keepLines w:val="0"/>
              <w:pageBreakBefore w:val="0"/>
              <w:wordWrap/>
              <w:overflowPunct/>
              <w:topLinePunct w:val="0"/>
              <w:bidi w:val="0"/>
              <w:spacing w:before="42" w:line="440" w:lineRule="exact"/>
              <w:ind w:left="116" w:right="102"/>
              <w:jc w:val="both"/>
              <w:rPr>
                <w:rFonts w:hint="eastAsia" w:ascii="宋体" w:hAnsi="宋体" w:eastAsia="宋体" w:cs="宋体"/>
                <w:spacing w:val="5"/>
                <w:sz w:val="24"/>
                <w:szCs w:val="24"/>
                <w:lang w:eastAsia="zh-CN"/>
              </w:rPr>
            </w:pPr>
            <w:r>
              <w:rPr>
                <w:rFonts w:hint="eastAsia" w:ascii="宋体" w:hAnsi="宋体" w:eastAsia="宋体" w:cs="宋体"/>
                <w:spacing w:val="5"/>
                <w:sz w:val="24"/>
                <w:szCs w:val="24"/>
              </w:rPr>
              <w:t>②各类应急保障预案等</w:t>
            </w:r>
            <w:r>
              <w:rPr>
                <w:rFonts w:hint="eastAsia" w:ascii="宋体" w:hAnsi="宋体" w:eastAsia="宋体" w:cs="宋体"/>
                <w:spacing w:val="5"/>
                <w:sz w:val="24"/>
                <w:szCs w:val="24"/>
                <w:lang w:eastAsia="zh-CN"/>
              </w:rPr>
              <w:t>；</w:t>
            </w:r>
          </w:p>
          <w:p w14:paraId="3D477C59">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sz w:val="24"/>
                <w:szCs w:val="24"/>
              </w:rPr>
            </w:pPr>
            <w:r>
              <w:rPr>
                <w:rFonts w:hint="eastAsia" w:ascii="宋体" w:hAnsi="宋体" w:eastAsia="宋体" w:cs="宋体"/>
                <w:b/>
                <w:bCs/>
                <w:spacing w:val="-1"/>
                <w:sz w:val="24"/>
                <w:szCs w:val="24"/>
                <w:lang w:val="en-US" w:eastAsia="zh-CN"/>
              </w:rPr>
              <w:t>由</w:t>
            </w:r>
            <w:r>
              <w:rPr>
                <w:rFonts w:hint="eastAsia" w:ascii="宋体" w:hAnsi="宋体" w:eastAsia="宋体" w:cs="宋体"/>
                <w:b/>
                <w:bCs/>
                <w:spacing w:val="-1"/>
                <w:sz w:val="24"/>
                <w:szCs w:val="24"/>
              </w:rPr>
              <w:t>磋商小组根据响应文件进行综合评审：</w:t>
            </w:r>
          </w:p>
          <w:p w14:paraId="2ECA1967">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color w:val="000000"/>
                <w:sz w:val="24"/>
                <w:u w:val="none"/>
              </w:rPr>
            </w:pPr>
            <w:r>
              <w:rPr>
                <w:rFonts w:hint="eastAsia" w:ascii="宋体" w:hAnsi="宋体" w:eastAsia="宋体" w:cs="宋体"/>
                <w:b/>
                <w:bCs/>
                <w:color w:val="000000"/>
                <w:sz w:val="24"/>
                <w:u w:val="none"/>
              </w:rPr>
              <w:t>方案全面详尽、定位准确，服务内容针对性强</w:t>
            </w:r>
            <w:r>
              <w:rPr>
                <w:rFonts w:hint="eastAsia" w:ascii="宋体" w:hAnsi="宋体" w:eastAsia="宋体" w:cs="宋体"/>
                <w:b/>
                <w:bCs/>
                <w:color w:val="000000"/>
                <w:sz w:val="24"/>
                <w:u w:val="none"/>
                <w:lang w:val="en-US" w:eastAsia="zh-CN"/>
              </w:rPr>
              <w:t>4</w:t>
            </w:r>
            <w:r>
              <w:rPr>
                <w:rFonts w:hint="eastAsia" w:ascii="宋体" w:hAnsi="宋体" w:eastAsia="宋体" w:cs="宋体"/>
                <w:b/>
                <w:bCs/>
                <w:color w:val="000000"/>
                <w:sz w:val="24"/>
                <w:u w:val="none"/>
              </w:rPr>
              <w:t>≤F≤</w:t>
            </w:r>
            <w:r>
              <w:rPr>
                <w:rFonts w:hint="eastAsia" w:ascii="宋体" w:hAnsi="宋体" w:eastAsia="宋体" w:cs="宋体"/>
                <w:b/>
                <w:bCs/>
                <w:color w:val="000000"/>
                <w:sz w:val="24"/>
                <w:u w:val="none"/>
                <w:lang w:val="en-US" w:eastAsia="zh-CN"/>
              </w:rPr>
              <w:t>5</w:t>
            </w:r>
            <w:r>
              <w:rPr>
                <w:rFonts w:hint="eastAsia" w:ascii="宋体" w:hAnsi="宋体" w:eastAsia="宋体" w:cs="宋体"/>
                <w:b/>
                <w:bCs/>
                <w:color w:val="000000"/>
                <w:sz w:val="24"/>
                <w:u w:val="none"/>
              </w:rPr>
              <w:t>分；</w:t>
            </w:r>
          </w:p>
          <w:p w14:paraId="1BA54E0F">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color w:val="000000"/>
                <w:sz w:val="24"/>
                <w:u w:val="none"/>
              </w:rPr>
            </w:pPr>
            <w:r>
              <w:rPr>
                <w:rFonts w:hint="eastAsia" w:ascii="宋体" w:hAnsi="宋体" w:eastAsia="宋体" w:cs="宋体"/>
                <w:b/>
                <w:bCs/>
                <w:color w:val="000000"/>
                <w:sz w:val="24"/>
                <w:u w:val="none"/>
              </w:rPr>
              <w:t>方案基本符合实际，具有一定实用性的，</w:t>
            </w:r>
            <w:r>
              <w:rPr>
                <w:rFonts w:hint="eastAsia" w:ascii="宋体" w:hAnsi="宋体" w:eastAsia="宋体" w:cs="宋体"/>
                <w:b/>
                <w:bCs/>
                <w:color w:val="000000"/>
                <w:sz w:val="24"/>
                <w:u w:val="none"/>
                <w:lang w:val="en-US" w:eastAsia="zh-CN"/>
              </w:rPr>
              <w:t>2</w:t>
            </w:r>
            <w:r>
              <w:rPr>
                <w:rFonts w:hint="eastAsia" w:ascii="宋体" w:hAnsi="宋体" w:eastAsia="宋体" w:cs="宋体"/>
                <w:b/>
                <w:bCs/>
                <w:color w:val="000000"/>
                <w:sz w:val="24"/>
                <w:u w:val="none"/>
              </w:rPr>
              <w:t>≤F＜</w:t>
            </w:r>
            <w:r>
              <w:rPr>
                <w:rFonts w:hint="eastAsia" w:ascii="宋体" w:hAnsi="宋体" w:eastAsia="宋体" w:cs="宋体"/>
                <w:b/>
                <w:bCs/>
                <w:color w:val="000000"/>
                <w:sz w:val="24"/>
                <w:u w:val="none"/>
                <w:lang w:val="en-US" w:eastAsia="zh-CN"/>
              </w:rPr>
              <w:t>4</w:t>
            </w:r>
            <w:r>
              <w:rPr>
                <w:rFonts w:hint="eastAsia" w:ascii="宋体" w:hAnsi="宋体" w:eastAsia="宋体" w:cs="宋体"/>
                <w:b/>
                <w:bCs/>
                <w:color w:val="000000"/>
                <w:sz w:val="24"/>
                <w:u w:val="none"/>
              </w:rPr>
              <w:t>分；</w:t>
            </w:r>
          </w:p>
          <w:p w14:paraId="0AC606DC">
            <w:pPr>
              <w:pStyle w:val="24"/>
              <w:keepNext w:val="0"/>
              <w:keepLines w:val="0"/>
              <w:pageBreakBefore w:val="0"/>
              <w:wordWrap/>
              <w:overflowPunct/>
              <w:topLinePunct w:val="0"/>
              <w:bidi w:val="0"/>
              <w:spacing w:before="37" w:line="440" w:lineRule="exact"/>
              <w:ind w:left="112" w:right="22"/>
              <w:jc w:val="both"/>
              <w:rPr>
                <w:rFonts w:hint="eastAsia" w:ascii="宋体" w:hAnsi="宋体" w:eastAsia="宋体" w:cs="宋体"/>
                <w:b/>
                <w:bCs/>
                <w:color w:val="000000"/>
                <w:sz w:val="24"/>
                <w:u w:val="none"/>
              </w:rPr>
            </w:pPr>
            <w:r>
              <w:rPr>
                <w:rFonts w:hint="eastAsia" w:ascii="宋体" w:hAnsi="宋体" w:eastAsia="宋体" w:cs="宋体"/>
                <w:b/>
                <w:bCs/>
                <w:color w:val="000000"/>
                <w:sz w:val="24"/>
                <w:u w:val="none"/>
              </w:rPr>
              <w:t>服务方案待完整0≤F＜</w:t>
            </w:r>
            <w:r>
              <w:rPr>
                <w:rFonts w:hint="eastAsia" w:ascii="宋体" w:hAnsi="宋体" w:eastAsia="宋体" w:cs="宋体"/>
                <w:b/>
                <w:bCs/>
                <w:color w:val="000000"/>
                <w:sz w:val="24"/>
                <w:u w:val="none"/>
                <w:lang w:val="en-US" w:eastAsia="zh-CN"/>
              </w:rPr>
              <w:t>2</w:t>
            </w:r>
            <w:r>
              <w:rPr>
                <w:rFonts w:hint="eastAsia" w:ascii="宋体" w:hAnsi="宋体" w:eastAsia="宋体" w:cs="宋体"/>
                <w:b/>
                <w:bCs/>
                <w:color w:val="000000"/>
                <w:sz w:val="24"/>
                <w:u w:val="none"/>
              </w:rPr>
              <w:t>分。</w:t>
            </w:r>
          </w:p>
          <w:p w14:paraId="44DE1DC7">
            <w:pPr>
              <w:pStyle w:val="24"/>
              <w:keepNext w:val="0"/>
              <w:keepLines w:val="0"/>
              <w:pageBreakBefore w:val="0"/>
              <w:wordWrap/>
              <w:overflowPunct/>
              <w:topLinePunct w:val="0"/>
              <w:bidi w:val="0"/>
              <w:spacing w:before="38" w:line="440" w:lineRule="exact"/>
              <w:ind w:left="113" w:right="102"/>
              <w:jc w:val="both"/>
              <w:rPr>
                <w:rFonts w:hint="eastAsia" w:ascii="宋体" w:hAnsi="宋体" w:eastAsia="宋体" w:cs="宋体"/>
                <w:sz w:val="24"/>
                <w:szCs w:val="24"/>
              </w:rPr>
            </w:pPr>
            <w:r>
              <w:rPr>
                <w:rFonts w:hint="eastAsia" w:ascii="宋体" w:hAnsi="宋体" w:eastAsia="宋体" w:cs="宋体"/>
                <w:b/>
                <w:bCs/>
                <w:color w:val="000000"/>
                <w:sz w:val="24"/>
                <w:u w:val="none"/>
              </w:rPr>
              <w:t>注：F为本项得分。</w:t>
            </w:r>
          </w:p>
        </w:tc>
        <w:tc>
          <w:tcPr>
            <w:tcW w:w="1063" w:type="dxa"/>
            <w:tcBorders>
              <w:tl2br w:val="nil"/>
              <w:tr2bl w:val="nil"/>
            </w:tcBorders>
            <w:vAlign w:val="center"/>
          </w:tcPr>
          <w:p w14:paraId="60257253">
            <w:pPr>
              <w:pStyle w:val="24"/>
              <w:keepNext w:val="0"/>
              <w:keepLines w:val="0"/>
              <w:pageBreakBefore w:val="0"/>
              <w:wordWrap/>
              <w:overflowPunct/>
              <w:topLinePunct w:val="0"/>
              <w:bidi w:val="0"/>
              <w:spacing w:before="272" w:line="440" w:lineRule="exact"/>
              <w:jc w:val="center"/>
              <w:rPr>
                <w:rFonts w:hint="eastAsia" w:ascii="宋体" w:hAnsi="宋体" w:eastAsia="宋体" w:cs="宋体"/>
                <w:b w:val="0"/>
                <w:bCs w:val="0"/>
                <w:sz w:val="24"/>
                <w:szCs w:val="24"/>
              </w:rPr>
            </w:pPr>
            <w:r>
              <w:rPr>
                <w:rFonts w:hint="eastAsia" w:ascii="宋体" w:hAnsi="宋体" w:eastAsia="宋体" w:cs="宋体"/>
                <w:b w:val="0"/>
                <w:bCs w:val="0"/>
                <w:spacing w:val="-5"/>
                <w:sz w:val="24"/>
                <w:szCs w:val="24"/>
              </w:rPr>
              <w:t>0-5</w:t>
            </w:r>
            <w:r>
              <w:rPr>
                <w:rFonts w:hint="eastAsia" w:ascii="宋体" w:hAnsi="宋体" w:eastAsia="宋体" w:cs="宋体"/>
                <w:b w:val="0"/>
                <w:bCs w:val="0"/>
                <w:spacing w:val="-48"/>
                <w:sz w:val="24"/>
                <w:szCs w:val="24"/>
              </w:rPr>
              <w:t xml:space="preserve"> </w:t>
            </w:r>
            <w:r>
              <w:rPr>
                <w:rFonts w:hint="eastAsia" w:ascii="宋体" w:hAnsi="宋体" w:eastAsia="宋体" w:cs="宋体"/>
                <w:b w:val="0"/>
                <w:bCs w:val="0"/>
                <w:spacing w:val="-5"/>
                <w:sz w:val="24"/>
                <w:szCs w:val="24"/>
              </w:rPr>
              <w:t>分</w:t>
            </w:r>
          </w:p>
        </w:tc>
      </w:tr>
      <w:tr w14:paraId="1AC33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9" w:hRule="atLeast"/>
          <w:jc w:val="center"/>
        </w:trPr>
        <w:tc>
          <w:tcPr>
            <w:tcW w:w="1155" w:type="dxa"/>
            <w:vMerge w:val="continue"/>
            <w:tcBorders>
              <w:tl2br w:val="nil"/>
              <w:tr2bl w:val="nil"/>
            </w:tcBorders>
            <w:vAlign w:val="center"/>
          </w:tcPr>
          <w:p w14:paraId="586ABD88">
            <w:pPr>
              <w:keepNext w:val="0"/>
              <w:keepLines w:val="0"/>
              <w:pageBreakBefore w:val="0"/>
              <w:wordWrap/>
              <w:overflowPunct/>
              <w:topLinePunct w:val="0"/>
              <w:bidi w:val="0"/>
              <w:spacing w:line="440" w:lineRule="exact"/>
              <w:jc w:val="center"/>
              <w:rPr>
                <w:rFonts w:hint="eastAsia" w:ascii="宋体" w:hAnsi="宋体" w:eastAsia="宋体" w:cs="宋体"/>
                <w:sz w:val="24"/>
                <w:szCs w:val="24"/>
              </w:rPr>
            </w:pPr>
          </w:p>
        </w:tc>
        <w:tc>
          <w:tcPr>
            <w:tcW w:w="1163" w:type="dxa"/>
            <w:tcBorders>
              <w:tl2br w:val="nil"/>
              <w:tr2bl w:val="nil"/>
            </w:tcBorders>
            <w:vAlign w:val="center"/>
          </w:tcPr>
          <w:p w14:paraId="49BCA5C8">
            <w:pPr>
              <w:keepNext w:val="0"/>
              <w:keepLines w:val="0"/>
              <w:pageBreakBefore w:val="0"/>
              <w:wordWrap/>
              <w:overflowPunct/>
              <w:topLinePunct w:val="0"/>
              <w:bidi w:val="0"/>
              <w:adjustRightInd w:val="0"/>
              <w:snapToGrid w:val="0"/>
              <w:spacing w:line="440" w:lineRule="exact"/>
              <w:ind w:firstLine="0" w:firstLineChars="0"/>
              <w:jc w:val="center"/>
              <w:rPr>
                <w:rFonts w:hint="eastAsia" w:ascii="宋体" w:hAnsi="宋体" w:eastAsia="宋体" w:cs="宋体"/>
                <w:sz w:val="24"/>
                <w:szCs w:val="24"/>
              </w:rPr>
            </w:pPr>
            <w:r>
              <w:rPr>
                <w:rFonts w:hint="eastAsia" w:ascii="宋体" w:hAnsi="宋体" w:eastAsia="宋体" w:cs="宋体"/>
                <w:spacing w:val="-6"/>
                <w:sz w:val="24"/>
                <w:szCs w:val="24"/>
                <w:lang w:val="en-US" w:eastAsia="zh-CN"/>
              </w:rPr>
              <w:t>管理</w:t>
            </w:r>
            <w:r>
              <w:rPr>
                <w:rFonts w:hint="eastAsia" w:ascii="宋体" w:hAnsi="宋体" w:eastAsia="宋体" w:cs="宋体"/>
                <w:spacing w:val="-6"/>
                <w:sz w:val="24"/>
                <w:szCs w:val="24"/>
              </w:rPr>
              <w:t>体系认证</w:t>
            </w:r>
          </w:p>
        </w:tc>
        <w:tc>
          <w:tcPr>
            <w:tcW w:w="5788" w:type="dxa"/>
            <w:tcBorders>
              <w:tl2br w:val="nil"/>
              <w:tr2bl w:val="nil"/>
            </w:tcBorders>
            <w:vAlign w:val="center"/>
          </w:tcPr>
          <w:p w14:paraId="335D5446">
            <w:pPr>
              <w:pStyle w:val="24"/>
              <w:keepNext w:val="0"/>
              <w:keepLines w:val="0"/>
              <w:pageBreakBefore w:val="0"/>
              <w:wordWrap/>
              <w:overflowPunct/>
              <w:topLinePunct w:val="0"/>
              <w:bidi w:val="0"/>
              <w:spacing w:before="38" w:line="440" w:lineRule="exact"/>
              <w:ind w:left="113" w:right="102"/>
              <w:jc w:val="both"/>
              <w:rPr>
                <w:rFonts w:hint="eastAsia" w:ascii="宋体" w:hAnsi="宋体" w:eastAsia="宋体" w:cs="宋体"/>
                <w:sz w:val="24"/>
                <w:szCs w:val="24"/>
              </w:rPr>
            </w:pPr>
            <w:r>
              <w:rPr>
                <w:rFonts w:hint="eastAsia" w:ascii="宋体" w:hAnsi="宋体" w:eastAsia="宋体" w:cs="宋体"/>
                <w:spacing w:val="-1"/>
                <w:sz w:val="24"/>
                <w:szCs w:val="24"/>
              </w:rPr>
              <w:t>供应商具有经中国国家认证认可监督管理委员会认可的认证机构颁发的且在有效期内的下列证</w:t>
            </w:r>
            <w:r>
              <w:rPr>
                <w:rFonts w:hint="eastAsia" w:ascii="宋体" w:hAnsi="宋体" w:eastAsia="宋体" w:cs="宋体"/>
                <w:spacing w:val="-8"/>
                <w:sz w:val="24"/>
                <w:szCs w:val="24"/>
              </w:rPr>
              <w:t>书：</w:t>
            </w:r>
          </w:p>
          <w:p w14:paraId="36476203">
            <w:pPr>
              <w:pStyle w:val="24"/>
              <w:keepNext w:val="0"/>
              <w:keepLines w:val="0"/>
              <w:pageBreakBefore w:val="0"/>
              <w:wordWrap/>
              <w:overflowPunct/>
              <w:topLinePunct w:val="0"/>
              <w:bidi w:val="0"/>
              <w:spacing w:before="38" w:line="440" w:lineRule="exact"/>
              <w:ind w:left="113" w:right="102"/>
              <w:jc w:val="both"/>
              <w:rPr>
                <w:rFonts w:hint="eastAsia" w:ascii="宋体" w:hAnsi="宋体" w:eastAsia="宋体" w:cs="宋体"/>
                <w:sz w:val="24"/>
                <w:szCs w:val="24"/>
              </w:rPr>
            </w:pPr>
            <w:r>
              <w:rPr>
                <w:rFonts w:hint="eastAsia" w:ascii="宋体" w:hAnsi="宋体" w:eastAsia="宋体" w:cs="宋体"/>
                <w:spacing w:val="-3"/>
                <w:sz w:val="24"/>
                <w:szCs w:val="24"/>
              </w:rPr>
              <w:t>1</w:t>
            </w:r>
            <w:r>
              <w:rPr>
                <w:rFonts w:hint="eastAsia" w:ascii="宋体" w:hAnsi="宋体" w:eastAsia="宋体" w:cs="宋体"/>
                <w:spacing w:val="-3"/>
                <w:sz w:val="24"/>
                <w:szCs w:val="24"/>
                <w:lang w:val="en-US" w:eastAsia="zh-CN"/>
              </w:rPr>
              <w:t>.</w:t>
            </w:r>
            <w:r>
              <w:rPr>
                <w:rFonts w:hint="eastAsia" w:ascii="宋体" w:hAnsi="宋体" w:eastAsia="宋体" w:cs="宋体"/>
                <w:spacing w:val="-3"/>
                <w:sz w:val="24"/>
                <w:szCs w:val="24"/>
              </w:rPr>
              <w:t>质量管理体系认证证书；</w:t>
            </w:r>
          </w:p>
          <w:p w14:paraId="657FB825">
            <w:pPr>
              <w:pStyle w:val="24"/>
              <w:keepNext w:val="0"/>
              <w:keepLines w:val="0"/>
              <w:pageBreakBefore w:val="0"/>
              <w:wordWrap/>
              <w:overflowPunct/>
              <w:topLinePunct w:val="0"/>
              <w:bidi w:val="0"/>
              <w:spacing w:before="38" w:line="440" w:lineRule="exact"/>
              <w:ind w:left="113" w:right="102"/>
              <w:jc w:val="both"/>
              <w:rPr>
                <w:rFonts w:hint="eastAsia" w:ascii="宋体" w:hAnsi="宋体" w:eastAsia="宋体" w:cs="宋体"/>
                <w:sz w:val="24"/>
                <w:szCs w:val="24"/>
              </w:rPr>
            </w:pPr>
            <w:r>
              <w:rPr>
                <w:rFonts w:hint="eastAsia" w:ascii="宋体" w:hAnsi="宋体" w:eastAsia="宋体" w:cs="宋体"/>
                <w:spacing w:val="-1"/>
                <w:sz w:val="24"/>
                <w:szCs w:val="24"/>
              </w:rPr>
              <w:t>2</w:t>
            </w:r>
            <w:r>
              <w:rPr>
                <w:rFonts w:hint="eastAsia" w:ascii="宋体" w:hAnsi="宋体" w:eastAsia="宋体" w:cs="宋体"/>
                <w:spacing w:val="-1"/>
                <w:sz w:val="24"/>
                <w:szCs w:val="24"/>
                <w:lang w:val="en-US" w:eastAsia="zh-CN"/>
              </w:rPr>
              <w:t>.</w:t>
            </w:r>
            <w:r>
              <w:rPr>
                <w:rFonts w:hint="eastAsia" w:ascii="宋体" w:hAnsi="宋体" w:eastAsia="宋体" w:cs="宋体"/>
                <w:spacing w:val="-1"/>
                <w:sz w:val="24"/>
                <w:szCs w:val="24"/>
              </w:rPr>
              <w:t>职业健康安全管理体系认证证书；</w:t>
            </w:r>
          </w:p>
          <w:p w14:paraId="46049F7C">
            <w:pPr>
              <w:pStyle w:val="24"/>
              <w:keepNext w:val="0"/>
              <w:keepLines w:val="0"/>
              <w:pageBreakBefore w:val="0"/>
              <w:wordWrap/>
              <w:overflowPunct/>
              <w:topLinePunct w:val="0"/>
              <w:bidi w:val="0"/>
              <w:spacing w:before="38" w:line="440" w:lineRule="exact"/>
              <w:ind w:left="113" w:right="102"/>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rPr>
              <w:t>3</w:t>
            </w:r>
            <w:r>
              <w:rPr>
                <w:rFonts w:hint="eastAsia" w:ascii="宋体" w:hAnsi="宋体" w:eastAsia="宋体" w:cs="宋体"/>
                <w:spacing w:val="-2"/>
                <w:sz w:val="24"/>
                <w:szCs w:val="24"/>
                <w:lang w:val="en-US" w:eastAsia="zh-CN"/>
              </w:rPr>
              <w:t>.</w:t>
            </w:r>
            <w:r>
              <w:rPr>
                <w:rFonts w:hint="eastAsia" w:ascii="宋体" w:hAnsi="宋体" w:eastAsia="宋体" w:cs="宋体"/>
                <w:spacing w:val="-2"/>
                <w:sz w:val="24"/>
                <w:szCs w:val="24"/>
              </w:rPr>
              <w:t>物业服务认证证书</w:t>
            </w:r>
            <w:r>
              <w:rPr>
                <w:rFonts w:hint="eastAsia" w:ascii="宋体" w:hAnsi="宋体" w:eastAsia="宋体" w:cs="宋体"/>
                <w:spacing w:val="-2"/>
                <w:sz w:val="24"/>
                <w:szCs w:val="24"/>
                <w:lang w:eastAsia="zh-CN"/>
              </w:rPr>
              <w:t>；</w:t>
            </w:r>
          </w:p>
          <w:p w14:paraId="45B1C3A1">
            <w:pPr>
              <w:pStyle w:val="24"/>
              <w:keepNext w:val="0"/>
              <w:keepLines w:val="0"/>
              <w:pageBreakBefore w:val="0"/>
              <w:wordWrap/>
              <w:overflowPunct/>
              <w:topLinePunct w:val="0"/>
              <w:bidi w:val="0"/>
              <w:spacing w:before="38" w:line="440" w:lineRule="exact"/>
              <w:ind w:left="113" w:right="102"/>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w:t>
            </w:r>
            <w:r>
              <w:rPr>
                <w:rFonts w:hint="eastAsia" w:ascii="宋体" w:hAnsi="宋体" w:eastAsia="宋体" w:cs="宋体"/>
                <w:spacing w:val="4"/>
                <w:sz w:val="24"/>
                <w:szCs w:val="24"/>
                <w:lang w:val="en-US" w:eastAsia="zh-CN"/>
              </w:rPr>
              <w:t>诚信</w:t>
            </w:r>
            <w:r>
              <w:rPr>
                <w:rFonts w:hint="eastAsia" w:ascii="宋体" w:hAnsi="宋体" w:eastAsia="宋体" w:cs="宋体"/>
                <w:spacing w:val="-2"/>
                <w:sz w:val="24"/>
                <w:szCs w:val="24"/>
                <w:lang w:val="en-US" w:eastAsia="zh-CN"/>
              </w:rPr>
              <w:t>管理体系认证证书；</w:t>
            </w:r>
          </w:p>
          <w:p w14:paraId="7F7C7257">
            <w:pPr>
              <w:pStyle w:val="24"/>
              <w:keepNext w:val="0"/>
              <w:keepLines w:val="0"/>
              <w:pageBreakBefore w:val="0"/>
              <w:wordWrap/>
              <w:overflowPunct/>
              <w:topLinePunct w:val="0"/>
              <w:bidi w:val="0"/>
              <w:spacing w:before="38" w:line="440" w:lineRule="exact"/>
              <w:ind w:left="113" w:right="102"/>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5.</w:t>
            </w:r>
            <w:r>
              <w:rPr>
                <w:rFonts w:hint="eastAsia" w:ascii="宋体" w:hAnsi="宋体" w:eastAsia="宋体" w:cs="宋体"/>
                <w:spacing w:val="4"/>
                <w:sz w:val="24"/>
                <w:szCs w:val="24"/>
                <w:lang w:val="en-US" w:eastAsia="zh-CN"/>
              </w:rPr>
              <w:t>能源</w:t>
            </w:r>
            <w:r>
              <w:rPr>
                <w:rFonts w:hint="eastAsia" w:ascii="宋体" w:hAnsi="宋体" w:eastAsia="宋体" w:cs="宋体"/>
                <w:spacing w:val="-2"/>
                <w:sz w:val="24"/>
                <w:szCs w:val="24"/>
                <w:lang w:val="en-US" w:eastAsia="zh-CN"/>
              </w:rPr>
              <w:t>管理体系认证证书。</w:t>
            </w:r>
          </w:p>
          <w:p w14:paraId="2B668781">
            <w:pPr>
              <w:pStyle w:val="24"/>
              <w:keepNext w:val="0"/>
              <w:keepLines w:val="0"/>
              <w:pageBreakBefore w:val="0"/>
              <w:wordWrap/>
              <w:overflowPunct/>
              <w:topLinePunct w:val="0"/>
              <w:bidi w:val="0"/>
              <w:spacing w:before="38" w:line="440" w:lineRule="exact"/>
              <w:ind w:left="113" w:right="102"/>
              <w:jc w:val="both"/>
              <w:rPr>
                <w:rFonts w:hint="eastAsia" w:ascii="宋体" w:hAnsi="宋体" w:eastAsia="宋体" w:cs="宋体"/>
                <w:sz w:val="24"/>
                <w:szCs w:val="24"/>
              </w:rPr>
            </w:pPr>
            <w:r>
              <w:rPr>
                <w:rFonts w:hint="eastAsia" w:ascii="宋体" w:hAnsi="宋体" w:eastAsia="宋体" w:cs="宋体"/>
                <w:b/>
                <w:bCs/>
                <w:spacing w:val="-2"/>
                <w:sz w:val="24"/>
                <w:szCs w:val="24"/>
              </w:rPr>
              <w:t>每提供一类得</w:t>
            </w:r>
            <w:r>
              <w:rPr>
                <w:rFonts w:hint="eastAsia" w:ascii="宋体" w:hAnsi="宋体" w:eastAsia="宋体" w:cs="宋体"/>
                <w:spacing w:val="-34"/>
                <w:sz w:val="24"/>
                <w:szCs w:val="24"/>
              </w:rPr>
              <w:t xml:space="preserve"> </w:t>
            </w:r>
            <w:r>
              <w:rPr>
                <w:rFonts w:hint="eastAsia" w:ascii="宋体" w:hAnsi="宋体" w:eastAsia="宋体" w:cs="宋体"/>
                <w:b/>
                <w:bCs/>
                <w:spacing w:val="-2"/>
                <w:sz w:val="24"/>
                <w:szCs w:val="24"/>
              </w:rPr>
              <w:t>2</w:t>
            </w:r>
            <w:r>
              <w:rPr>
                <w:rFonts w:hint="eastAsia" w:ascii="宋体" w:hAnsi="宋体" w:eastAsia="宋体" w:cs="宋体"/>
                <w:spacing w:val="-45"/>
                <w:sz w:val="24"/>
                <w:szCs w:val="24"/>
              </w:rPr>
              <w:t xml:space="preserve"> </w:t>
            </w:r>
            <w:r>
              <w:rPr>
                <w:rFonts w:hint="eastAsia" w:ascii="宋体" w:hAnsi="宋体" w:eastAsia="宋体" w:cs="宋体"/>
                <w:b/>
                <w:bCs/>
                <w:spacing w:val="-2"/>
                <w:sz w:val="24"/>
                <w:szCs w:val="24"/>
              </w:rPr>
              <w:t>分，</w:t>
            </w:r>
            <w:r>
              <w:rPr>
                <w:rFonts w:hint="eastAsia" w:ascii="宋体" w:hAnsi="宋体" w:eastAsia="宋体" w:cs="宋体"/>
                <w:b/>
                <w:bCs/>
                <w:spacing w:val="-2"/>
                <w:sz w:val="24"/>
                <w:szCs w:val="24"/>
                <w:lang w:val="en-US" w:eastAsia="zh-CN"/>
              </w:rPr>
              <w:t>最高得10</w:t>
            </w:r>
            <w:r>
              <w:rPr>
                <w:rFonts w:hint="eastAsia" w:ascii="宋体" w:hAnsi="宋体" w:eastAsia="宋体" w:cs="宋体"/>
                <w:b/>
                <w:bCs/>
                <w:spacing w:val="-2"/>
                <w:sz w:val="24"/>
                <w:szCs w:val="24"/>
              </w:rPr>
              <w:t>分。</w:t>
            </w:r>
          </w:p>
          <w:p w14:paraId="609BE264">
            <w:pPr>
              <w:pStyle w:val="24"/>
              <w:keepNext w:val="0"/>
              <w:keepLines w:val="0"/>
              <w:pageBreakBefore w:val="0"/>
              <w:wordWrap/>
              <w:overflowPunct/>
              <w:topLinePunct w:val="0"/>
              <w:bidi w:val="0"/>
              <w:spacing w:before="38" w:line="440" w:lineRule="exact"/>
              <w:ind w:left="113" w:right="102"/>
              <w:jc w:val="both"/>
              <w:rPr>
                <w:rFonts w:hint="eastAsia" w:ascii="宋体" w:hAnsi="宋体" w:eastAsia="宋体" w:cs="宋体"/>
                <w:b/>
                <w:bCs/>
                <w:sz w:val="24"/>
                <w:szCs w:val="24"/>
              </w:rPr>
            </w:pPr>
            <w:r>
              <w:rPr>
                <w:rFonts w:hint="eastAsia" w:ascii="宋体" w:hAnsi="宋体" w:eastAsia="宋体" w:cs="宋体"/>
                <w:b/>
                <w:bCs/>
                <w:sz w:val="24"/>
                <w:szCs w:val="24"/>
              </w:rPr>
              <w:t>注：</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1</w:t>
            </w:r>
            <w:r>
              <w:rPr>
                <w:rFonts w:hint="eastAsia" w:ascii="宋体" w:hAnsi="宋体" w:eastAsia="宋体" w:cs="宋体"/>
                <w:b/>
                <w:bCs/>
                <w:sz w:val="24"/>
                <w:szCs w:val="24"/>
                <w:lang w:eastAsia="zh-CN"/>
              </w:rPr>
              <w:t>）</w:t>
            </w:r>
            <w:r>
              <w:rPr>
                <w:rFonts w:hint="eastAsia" w:ascii="宋体" w:hAnsi="宋体" w:eastAsia="宋体" w:cs="宋体"/>
                <w:b/>
                <w:bCs/>
                <w:sz w:val="24"/>
                <w:szCs w:val="24"/>
              </w:rPr>
              <w:t>响应文件中同时提供证书扫描件及全国认证认可信息公共服务平台官网证书信息查询截图。证书状态为“有效”。</w:t>
            </w:r>
          </w:p>
          <w:p w14:paraId="35063654">
            <w:pPr>
              <w:pStyle w:val="24"/>
              <w:keepNext w:val="0"/>
              <w:keepLines w:val="0"/>
              <w:pageBreakBefore w:val="0"/>
              <w:wordWrap/>
              <w:overflowPunct/>
              <w:topLinePunct w:val="0"/>
              <w:bidi w:val="0"/>
              <w:spacing w:before="38" w:line="440" w:lineRule="exact"/>
              <w:ind w:left="113" w:right="102"/>
              <w:jc w:val="both"/>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2</w:t>
            </w:r>
            <w:r>
              <w:rPr>
                <w:rFonts w:hint="eastAsia" w:ascii="宋体" w:hAnsi="宋体" w:eastAsia="宋体" w:cs="宋体"/>
                <w:b/>
                <w:bCs/>
                <w:sz w:val="24"/>
                <w:szCs w:val="24"/>
                <w:lang w:eastAsia="zh-CN"/>
              </w:rPr>
              <w:t>）</w:t>
            </w:r>
            <w:r>
              <w:rPr>
                <w:rFonts w:hint="eastAsia" w:ascii="宋体" w:hAnsi="宋体" w:eastAsia="宋体" w:cs="宋体"/>
                <w:b/>
                <w:bCs/>
                <w:sz w:val="24"/>
                <w:szCs w:val="24"/>
              </w:rPr>
              <w:t>同类认证证书，仅计取一次，不累计得分。</w:t>
            </w:r>
          </w:p>
        </w:tc>
        <w:tc>
          <w:tcPr>
            <w:tcW w:w="1063" w:type="dxa"/>
            <w:tcBorders>
              <w:tl2br w:val="nil"/>
              <w:tr2bl w:val="nil"/>
            </w:tcBorders>
            <w:vAlign w:val="center"/>
          </w:tcPr>
          <w:p w14:paraId="50766567">
            <w:pPr>
              <w:pStyle w:val="24"/>
              <w:keepNext w:val="0"/>
              <w:keepLines w:val="0"/>
              <w:pageBreakBefore w:val="0"/>
              <w:wordWrap/>
              <w:overflowPunct/>
              <w:topLinePunct w:val="0"/>
              <w:bidi w:val="0"/>
              <w:spacing w:before="78" w:line="440" w:lineRule="exact"/>
              <w:jc w:val="center"/>
              <w:rPr>
                <w:rFonts w:hint="eastAsia" w:ascii="宋体" w:hAnsi="宋体" w:eastAsia="宋体" w:cs="宋体"/>
                <w:b w:val="0"/>
                <w:bCs w:val="0"/>
                <w:sz w:val="24"/>
                <w:szCs w:val="24"/>
              </w:rPr>
            </w:pPr>
            <w:r>
              <w:rPr>
                <w:rFonts w:hint="eastAsia" w:ascii="宋体" w:hAnsi="宋体" w:eastAsia="宋体" w:cs="宋体"/>
                <w:b w:val="0"/>
                <w:bCs w:val="0"/>
                <w:spacing w:val="-5"/>
                <w:sz w:val="24"/>
                <w:szCs w:val="24"/>
              </w:rPr>
              <w:t>0-</w:t>
            </w:r>
            <w:r>
              <w:rPr>
                <w:rFonts w:hint="eastAsia" w:ascii="宋体" w:hAnsi="宋体" w:eastAsia="宋体" w:cs="宋体"/>
                <w:b w:val="0"/>
                <w:bCs w:val="0"/>
                <w:spacing w:val="-5"/>
                <w:sz w:val="24"/>
                <w:szCs w:val="24"/>
                <w:lang w:val="en-US" w:eastAsia="zh-CN"/>
              </w:rPr>
              <w:t>10</w:t>
            </w:r>
            <w:r>
              <w:rPr>
                <w:rFonts w:hint="eastAsia" w:ascii="宋体" w:hAnsi="宋体" w:eastAsia="宋体" w:cs="宋体"/>
                <w:b w:val="0"/>
                <w:bCs w:val="0"/>
                <w:spacing w:val="-5"/>
                <w:sz w:val="24"/>
                <w:szCs w:val="24"/>
              </w:rPr>
              <w:t>分</w:t>
            </w:r>
          </w:p>
        </w:tc>
      </w:tr>
      <w:tr w14:paraId="17AAA0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155" w:type="dxa"/>
            <w:vMerge w:val="continue"/>
            <w:tcBorders>
              <w:tl2br w:val="nil"/>
              <w:tr2bl w:val="nil"/>
            </w:tcBorders>
            <w:vAlign w:val="center"/>
          </w:tcPr>
          <w:p w14:paraId="07B6D36A">
            <w:pPr>
              <w:keepNext w:val="0"/>
              <w:keepLines w:val="0"/>
              <w:pageBreakBefore w:val="0"/>
              <w:wordWrap/>
              <w:overflowPunct/>
              <w:topLinePunct w:val="0"/>
              <w:bidi w:val="0"/>
              <w:spacing w:line="440" w:lineRule="exact"/>
              <w:jc w:val="center"/>
              <w:rPr>
                <w:rFonts w:hint="eastAsia" w:ascii="宋体" w:hAnsi="宋体" w:eastAsia="宋体" w:cs="宋体"/>
                <w:sz w:val="24"/>
                <w:szCs w:val="24"/>
              </w:rPr>
            </w:pPr>
          </w:p>
        </w:tc>
        <w:tc>
          <w:tcPr>
            <w:tcW w:w="1163" w:type="dxa"/>
            <w:tcBorders>
              <w:tl2br w:val="nil"/>
              <w:tr2bl w:val="nil"/>
            </w:tcBorders>
            <w:vAlign w:val="center"/>
          </w:tcPr>
          <w:p w14:paraId="12762B66">
            <w:pPr>
              <w:keepNext w:val="0"/>
              <w:keepLines w:val="0"/>
              <w:pageBreakBefore w:val="0"/>
              <w:wordWrap/>
              <w:overflowPunct/>
              <w:topLinePunct w:val="0"/>
              <w:bidi w:val="0"/>
              <w:adjustRightInd w:val="0"/>
              <w:snapToGrid w:val="0"/>
              <w:spacing w:line="440" w:lineRule="exact"/>
              <w:ind w:firstLine="0" w:firstLineChars="0"/>
              <w:jc w:val="center"/>
              <w:rPr>
                <w:rFonts w:hint="eastAsia" w:ascii="宋体" w:hAnsi="宋体" w:eastAsia="宋体" w:cs="宋体"/>
                <w:sz w:val="24"/>
                <w:szCs w:val="24"/>
              </w:rPr>
            </w:pPr>
            <w:r>
              <w:rPr>
                <w:rFonts w:hint="eastAsia" w:ascii="宋体" w:hAnsi="宋体" w:eastAsia="宋体" w:cs="宋体"/>
                <w:kern w:val="2"/>
                <w:highlight w:val="none"/>
              </w:rPr>
              <w:t>人员</w:t>
            </w:r>
            <w:r>
              <w:rPr>
                <w:rFonts w:hint="eastAsia" w:ascii="宋体" w:hAnsi="宋体" w:eastAsia="宋体" w:cs="宋体"/>
                <w:spacing w:val="-6"/>
                <w:sz w:val="24"/>
                <w:szCs w:val="24"/>
              </w:rPr>
              <w:t>配备</w:t>
            </w:r>
          </w:p>
        </w:tc>
        <w:tc>
          <w:tcPr>
            <w:tcW w:w="5788" w:type="dxa"/>
            <w:tcBorders>
              <w:tl2br w:val="nil"/>
              <w:tr2bl w:val="nil"/>
            </w:tcBorders>
            <w:vAlign w:val="center"/>
          </w:tcPr>
          <w:p w14:paraId="21629559">
            <w:pPr>
              <w:pStyle w:val="24"/>
              <w:keepNext w:val="0"/>
              <w:keepLines w:val="0"/>
              <w:pageBreakBefore w:val="0"/>
              <w:wordWrap/>
              <w:overflowPunct/>
              <w:topLinePunct w:val="0"/>
              <w:bidi w:val="0"/>
              <w:spacing w:before="38" w:line="440" w:lineRule="exact"/>
              <w:ind w:left="120" w:right="105" w:firstLine="11"/>
              <w:jc w:val="both"/>
              <w:rPr>
                <w:rFonts w:hint="eastAsia" w:ascii="宋体" w:hAnsi="宋体" w:eastAsia="宋体" w:cs="宋体"/>
                <w:sz w:val="24"/>
                <w:szCs w:val="24"/>
                <w:highlight w:val="none"/>
              </w:rPr>
            </w:pPr>
            <w:r>
              <w:rPr>
                <w:rFonts w:hint="eastAsia" w:ascii="宋体" w:hAnsi="宋体" w:eastAsia="宋体" w:cs="宋体"/>
                <w:b/>
                <w:bCs/>
                <w:spacing w:val="-5"/>
                <w:sz w:val="24"/>
                <w:szCs w:val="24"/>
                <w:highlight w:val="none"/>
                <w:lang w:val="en-US" w:eastAsia="zh-CN"/>
              </w:rPr>
              <w:t>一、</w:t>
            </w:r>
            <w:r>
              <w:rPr>
                <w:rFonts w:hint="eastAsia" w:ascii="宋体" w:hAnsi="宋体" w:eastAsia="宋体" w:cs="宋体"/>
                <w:b/>
                <w:bCs/>
                <w:spacing w:val="-5"/>
                <w:sz w:val="24"/>
                <w:szCs w:val="24"/>
                <w:highlight w:val="none"/>
              </w:rPr>
              <w:t>拟</w:t>
            </w:r>
            <w:r>
              <w:rPr>
                <w:rFonts w:hint="eastAsia" w:ascii="宋体" w:hAnsi="宋体" w:eastAsia="宋体" w:cs="宋体"/>
                <w:b/>
                <w:bCs/>
                <w:spacing w:val="-5"/>
                <w:sz w:val="24"/>
                <w:szCs w:val="24"/>
                <w:highlight w:val="none"/>
                <w:lang w:val="en-US" w:eastAsia="zh-CN"/>
              </w:rPr>
              <w:t>为本项目</w:t>
            </w:r>
            <w:r>
              <w:rPr>
                <w:rFonts w:hint="eastAsia" w:ascii="宋体" w:hAnsi="宋体" w:eastAsia="宋体" w:cs="宋体"/>
                <w:b/>
                <w:bCs/>
                <w:spacing w:val="-5"/>
                <w:sz w:val="24"/>
                <w:szCs w:val="24"/>
                <w:highlight w:val="none"/>
              </w:rPr>
              <w:t>配备的项目</w:t>
            </w:r>
            <w:r>
              <w:rPr>
                <w:rFonts w:hint="eastAsia" w:ascii="宋体" w:hAnsi="宋体" w:eastAsia="宋体" w:cs="宋体"/>
                <w:b/>
                <w:bCs/>
                <w:spacing w:val="-5"/>
                <w:sz w:val="24"/>
                <w:szCs w:val="24"/>
                <w:highlight w:val="none"/>
                <w:lang w:val="en-US" w:eastAsia="zh-CN"/>
              </w:rPr>
              <w:t>负责人</w:t>
            </w:r>
            <w:r>
              <w:rPr>
                <w:rFonts w:hint="eastAsia" w:ascii="宋体" w:hAnsi="宋体" w:eastAsia="宋体" w:cs="宋体"/>
                <w:b/>
                <w:bCs/>
                <w:spacing w:val="-5"/>
                <w:sz w:val="24"/>
                <w:szCs w:val="24"/>
                <w:highlight w:val="none"/>
              </w:rPr>
              <w:t>（</w:t>
            </w:r>
            <w:r>
              <w:rPr>
                <w:rFonts w:hint="eastAsia" w:ascii="宋体" w:hAnsi="宋体" w:eastAsia="宋体" w:cs="宋体"/>
                <w:spacing w:val="-50"/>
                <w:sz w:val="24"/>
                <w:szCs w:val="24"/>
                <w:highlight w:val="none"/>
              </w:rPr>
              <w:t xml:space="preserve"> </w:t>
            </w:r>
            <w:r>
              <w:rPr>
                <w:rFonts w:hint="eastAsia" w:ascii="宋体" w:hAnsi="宋体" w:eastAsia="宋体" w:cs="宋体"/>
                <w:b/>
                <w:bCs/>
                <w:spacing w:val="-5"/>
                <w:sz w:val="24"/>
                <w:szCs w:val="24"/>
                <w:highlight w:val="none"/>
              </w:rPr>
              <w:t>1</w:t>
            </w:r>
            <w:r>
              <w:rPr>
                <w:rFonts w:hint="eastAsia" w:ascii="宋体" w:hAnsi="宋体" w:eastAsia="宋体" w:cs="宋体"/>
                <w:spacing w:val="-46"/>
                <w:sz w:val="24"/>
                <w:szCs w:val="24"/>
                <w:highlight w:val="none"/>
              </w:rPr>
              <w:t xml:space="preserve"> </w:t>
            </w:r>
            <w:r>
              <w:rPr>
                <w:rFonts w:hint="eastAsia" w:ascii="宋体" w:hAnsi="宋体" w:eastAsia="宋体" w:cs="宋体"/>
                <w:b/>
                <w:bCs/>
                <w:spacing w:val="-5"/>
                <w:sz w:val="24"/>
                <w:szCs w:val="24"/>
                <w:highlight w:val="none"/>
              </w:rPr>
              <w:t>人，</w:t>
            </w:r>
            <w:r>
              <w:rPr>
                <w:rFonts w:hint="eastAsia" w:ascii="宋体" w:hAnsi="宋体" w:eastAsia="宋体" w:cs="宋体"/>
                <w:b/>
                <w:bCs/>
                <w:spacing w:val="-9"/>
                <w:sz w:val="24"/>
                <w:szCs w:val="24"/>
                <w:highlight w:val="none"/>
              </w:rPr>
              <w:t>满分</w:t>
            </w:r>
            <w:r>
              <w:rPr>
                <w:rFonts w:hint="eastAsia" w:ascii="宋体" w:hAnsi="宋体" w:eastAsia="宋体" w:cs="宋体"/>
                <w:spacing w:val="-42"/>
                <w:sz w:val="24"/>
                <w:szCs w:val="24"/>
                <w:highlight w:val="none"/>
              </w:rPr>
              <w:t xml:space="preserve"> </w:t>
            </w:r>
            <w:r>
              <w:rPr>
                <w:rFonts w:hint="eastAsia" w:cs="宋体"/>
                <w:b/>
                <w:bCs/>
                <w:spacing w:val="-9"/>
                <w:sz w:val="24"/>
                <w:szCs w:val="24"/>
                <w:highlight w:val="none"/>
                <w:lang w:val="en-US" w:eastAsia="zh-CN"/>
              </w:rPr>
              <w:t>12</w:t>
            </w:r>
            <w:r>
              <w:rPr>
                <w:rFonts w:hint="eastAsia" w:ascii="宋体" w:hAnsi="宋体" w:eastAsia="宋体" w:cs="宋体"/>
                <w:b/>
                <w:bCs/>
                <w:spacing w:val="-9"/>
                <w:sz w:val="24"/>
                <w:szCs w:val="24"/>
                <w:highlight w:val="none"/>
              </w:rPr>
              <w:t>分）</w:t>
            </w:r>
          </w:p>
          <w:p w14:paraId="402ACA9E">
            <w:pPr>
              <w:pStyle w:val="24"/>
              <w:keepNext w:val="0"/>
              <w:keepLines w:val="0"/>
              <w:pageBreakBefore w:val="0"/>
              <w:wordWrap/>
              <w:overflowPunct/>
              <w:topLinePunct w:val="0"/>
              <w:bidi w:val="0"/>
              <w:spacing w:before="42" w:line="440" w:lineRule="exact"/>
              <w:ind w:left="116" w:right="102"/>
              <w:jc w:val="both"/>
              <w:rPr>
                <w:rFonts w:hint="eastAsia" w:eastAsia="宋体"/>
                <w:b w:val="0"/>
                <w:bCs w:val="0"/>
                <w:spacing w:val="-2"/>
                <w:highlight w:val="none"/>
                <w:lang w:eastAsia="zh-CN"/>
              </w:rPr>
            </w:pPr>
            <w:r>
              <w:rPr>
                <w:rFonts w:hint="eastAsia"/>
                <w:b w:val="0"/>
                <w:bCs w:val="0"/>
                <w:spacing w:val="-3"/>
                <w:highlight w:val="none"/>
                <w:lang w:val="en-US" w:eastAsia="zh-CN"/>
              </w:rPr>
              <w:t>1</w:t>
            </w:r>
            <w:r>
              <w:rPr>
                <w:b w:val="0"/>
                <w:bCs w:val="0"/>
                <w:spacing w:val="-3"/>
                <w:highlight w:val="none"/>
              </w:rPr>
              <w:t>.具有</w:t>
            </w:r>
            <w:r>
              <w:rPr>
                <w:rFonts w:hint="eastAsia"/>
                <w:b w:val="0"/>
                <w:bCs w:val="0"/>
                <w:spacing w:val="-3"/>
                <w:highlight w:val="none"/>
                <w:lang w:val="en-US" w:eastAsia="zh-CN"/>
              </w:rPr>
              <w:t>高级及以上职称证书得3分，中级得2分，</w:t>
            </w:r>
            <w:r>
              <w:rPr>
                <w:b w:val="0"/>
                <w:bCs w:val="0"/>
                <w:spacing w:val="-2"/>
                <w:highlight w:val="none"/>
              </w:rPr>
              <w:t>满分</w:t>
            </w:r>
            <w:r>
              <w:rPr>
                <w:rFonts w:hint="eastAsia"/>
                <w:b w:val="0"/>
                <w:bCs w:val="0"/>
                <w:spacing w:val="-2"/>
                <w:highlight w:val="none"/>
                <w:lang w:val="en-US" w:eastAsia="zh-CN"/>
              </w:rPr>
              <w:t>3</w:t>
            </w:r>
            <w:r>
              <w:rPr>
                <w:b w:val="0"/>
                <w:bCs w:val="0"/>
                <w:spacing w:val="-2"/>
                <w:highlight w:val="none"/>
              </w:rPr>
              <w:t>分</w:t>
            </w:r>
            <w:r>
              <w:rPr>
                <w:rFonts w:hint="eastAsia"/>
                <w:b w:val="0"/>
                <w:bCs w:val="0"/>
                <w:spacing w:val="-2"/>
                <w:highlight w:val="none"/>
                <w:lang w:eastAsia="zh-CN"/>
              </w:rPr>
              <w:t>；</w:t>
            </w:r>
          </w:p>
          <w:p w14:paraId="6E792008">
            <w:pPr>
              <w:pStyle w:val="24"/>
              <w:keepNext w:val="0"/>
              <w:keepLines w:val="0"/>
              <w:pageBreakBefore w:val="0"/>
              <w:wordWrap/>
              <w:overflowPunct/>
              <w:topLinePunct w:val="0"/>
              <w:bidi w:val="0"/>
              <w:spacing w:before="42" w:line="440" w:lineRule="exact"/>
              <w:ind w:left="116" w:right="102"/>
              <w:jc w:val="both"/>
              <w:rPr>
                <w:rFonts w:hint="eastAsia" w:ascii="宋体" w:hAnsi="宋体" w:eastAsia="宋体" w:cs="宋体"/>
                <w:spacing w:val="-3"/>
                <w:kern w:val="2"/>
                <w:sz w:val="24"/>
                <w:szCs w:val="24"/>
                <w:highlight w:val="none"/>
                <w:lang w:val="en-US" w:eastAsia="zh-CN" w:bidi="ar-SA"/>
              </w:rPr>
            </w:pPr>
            <w:r>
              <w:rPr>
                <w:rFonts w:hint="eastAsia" w:ascii="宋体" w:hAnsi="宋体" w:eastAsia="宋体" w:cs="宋体"/>
                <w:spacing w:val="-3"/>
                <w:kern w:val="2"/>
                <w:sz w:val="24"/>
                <w:szCs w:val="24"/>
                <w:highlight w:val="none"/>
                <w:lang w:val="en-US" w:eastAsia="zh-CN" w:bidi="ar-SA"/>
              </w:rPr>
              <w:t>2.</w:t>
            </w:r>
            <w:r>
              <w:rPr>
                <w:rFonts w:ascii="宋体" w:hAnsi="宋体" w:eastAsia="宋体" w:cs="宋体"/>
                <w:spacing w:val="-3"/>
                <w:kern w:val="2"/>
                <w:sz w:val="24"/>
                <w:szCs w:val="24"/>
                <w:highlight w:val="none"/>
                <w:lang w:val="en-US" w:eastAsia="en-US" w:bidi="ar-SA"/>
              </w:rPr>
              <w:t>具</w:t>
            </w:r>
            <w:r>
              <w:rPr>
                <w:spacing w:val="-1"/>
                <w:highlight w:val="none"/>
              </w:rPr>
              <w:t>有</w:t>
            </w:r>
            <w:r>
              <w:rPr>
                <w:rFonts w:hint="eastAsia"/>
                <w:spacing w:val="-1"/>
                <w:highlight w:val="none"/>
                <w:lang w:val="en-US" w:eastAsia="zh-CN"/>
              </w:rPr>
              <w:t>三级及以上人力资源管理师或三级及以上</w:t>
            </w:r>
            <w:r>
              <w:rPr>
                <w:spacing w:val="-1"/>
                <w:highlight w:val="none"/>
              </w:rPr>
              <w:t>企业人力资源管理师职业资格（或技能</w:t>
            </w:r>
            <w:r>
              <w:rPr>
                <w:spacing w:val="-3"/>
                <w:highlight w:val="none"/>
              </w:rPr>
              <w:t>等</w:t>
            </w:r>
            <w:r>
              <w:rPr>
                <w:b w:val="0"/>
                <w:bCs w:val="0"/>
                <w:spacing w:val="-3"/>
                <w:highlight w:val="none"/>
              </w:rPr>
              <w:t>级）证书</w:t>
            </w:r>
            <w:r>
              <w:rPr>
                <w:rFonts w:hint="eastAsia"/>
                <w:b w:val="0"/>
                <w:bCs w:val="0"/>
                <w:spacing w:val="-3"/>
                <w:highlight w:val="none"/>
                <w:lang w:eastAsia="zh-CN"/>
              </w:rPr>
              <w:t>，</w:t>
            </w:r>
            <w:r>
              <w:rPr>
                <w:rFonts w:hint="eastAsia"/>
                <w:b w:val="0"/>
                <w:bCs w:val="0"/>
                <w:spacing w:val="-3"/>
                <w:highlight w:val="none"/>
                <w:lang w:val="en-US" w:eastAsia="zh-CN"/>
              </w:rPr>
              <w:t>得3分，</w:t>
            </w:r>
            <w:r>
              <w:rPr>
                <w:b w:val="0"/>
                <w:bCs w:val="0"/>
                <w:spacing w:val="-5"/>
                <w:highlight w:val="none"/>
              </w:rPr>
              <w:t>满分3分；</w:t>
            </w:r>
          </w:p>
          <w:p w14:paraId="5B0C3C3A">
            <w:pPr>
              <w:pStyle w:val="24"/>
              <w:keepNext w:val="0"/>
              <w:keepLines w:val="0"/>
              <w:pageBreakBefore w:val="0"/>
              <w:wordWrap/>
              <w:overflowPunct/>
              <w:topLinePunct w:val="0"/>
              <w:bidi w:val="0"/>
              <w:spacing w:before="42" w:line="440" w:lineRule="exact"/>
              <w:ind w:left="116" w:right="102"/>
              <w:jc w:val="both"/>
              <w:rPr>
                <w:spacing w:val="-5"/>
                <w:highlight w:val="none"/>
              </w:rPr>
            </w:pPr>
            <w:r>
              <w:rPr>
                <w:rFonts w:hint="eastAsia" w:ascii="宋体" w:hAnsi="宋体" w:eastAsia="宋体" w:cs="宋体"/>
                <w:spacing w:val="-3"/>
                <w:kern w:val="2"/>
                <w:sz w:val="24"/>
                <w:szCs w:val="24"/>
                <w:highlight w:val="none"/>
                <w:lang w:val="en-US" w:eastAsia="zh-CN" w:bidi="ar-SA"/>
              </w:rPr>
              <w:t>3</w:t>
            </w:r>
            <w:r>
              <w:rPr>
                <w:rFonts w:ascii="宋体" w:hAnsi="宋体" w:eastAsia="宋体" w:cs="宋体"/>
                <w:spacing w:val="-3"/>
                <w:kern w:val="2"/>
                <w:sz w:val="24"/>
                <w:szCs w:val="24"/>
                <w:highlight w:val="none"/>
                <w:lang w:val="en-US" w:eastAsia="en-US" w:bidi="ar-SA"/>
              </w:rPr>
              <w:t>.</w:t>
            </w:r>
            <w:r>
              <w:rPr>
                <w:spacing w:val="-2"/>
                <w:highlight w:val="none"/>
              </w:rPr>
              <w:t>具有四级及以上</w:t>
            </w:r>
            <w:r>
              <w:rPr>
                <w:rFonts w:hint="eastAsia"/>
                <w:spacing w:val="-2"/>
                <w:highlight w:val="none"/>
                <w:lang w:val="en-US" w:eastAsia="zh-CN"/>
              </w:rPr>
              <w:t>物业管理员（师）</w:t>
            </w:r>
            <w:r>
              <w:rPr>
                <w:spacing w:val="-1"/>
                <w:highlight w:val="none"/>
              </w:rPr>
              <w:t>职业技能等级（或职</w:t>
            </w:r>
            <w:r>
              <w:rPr>
                <w:spacing w:val="-3"/>
                <w:highlight w:val="none"/>
              </w:rPr>
              <w:t>业资格）</w:t>
            </w:r>
            <w:r>
              <w:rPr>
                <w:b w:val="0"/>
                <w:bCs w:val="0"/>
                <w:spacing w:val="-3"/>
                <w:highlight w:val="none"/>
              </w:rPr>
              <w:t>证书</w:t>
            </w:r>
            <w:r>
              <w:rPr>
                <w:b w:val="0"/>
                <w:bCs w:val="0"/>
                <w:spacing w:val="-4"/>
                <w:highlight w:val="none"/>
              </w:rPr>
              <w:t>，</w:t>
            </w:r>
            <w:r>
              <w:rPr>
                <w:rFonts w:hint="eastAsia"/>
                <w:b w:val="0"/>
                <w:bCs w:val="0"/>
                <w:spacing w:val="-3"/>
                <w:highlight w:val="none"/>
                <w:lang w:val="en-US" w:eastAsia="zh-CN"/>
              </w:rPr>
              <w:t>得3分，</w:t>
            </w:r>
            <w:r>
              <w:rPr>
                <w:b w:val="0"/>
                <w:bCs w:val="0"/>
                <w:spacing w:val="-5"/>
                <w:highlight w:val="none"/>
              </w:rPr>
              <w:t>满分3分；</w:t>
            </w:r>
          </w:p>
          <w:p w14:paraId="579117F5">
            <w:pPr>
              <w:pStyle w:val="24"/>
              <w:keepNext w:val="0"/>
              <w:keepLines w:val="0"/>
              <w:pageBreakBefore w:val="0"/>
              <w:wordWrap/>
              <w:overflowPunct/>
              <w:topLinePunct w:val="0"/>
              <w:bidi w:val="0"/>
              <w:spacing w:before="42" w:line="440" w:lineRule="exact"/>
              <w:ind w:left="116" w:right="102"/>
              <w:jc w:val="both"/>
              <w:rPr>
                <w:rFonts w:hint="eastAsia" w:ascii="宋体" w:hAnsi="宋体" w:eastAsia="宋体" w:cs="宋体"/>
                <w:sz w:val="24"/>
                <w:szCs w:val="24"/>
                <w:highlight w:val="none"/>
              </w:rPr>
            </w:pPr>
            <w:r>
              <w:rPr>
                <w:rFonts w:hint="eastAsia"/>
                <w:spacing w:val="-4"/>
                <w:highlight w:val="none"/>
                <w:lang w:val="en-US" w:eastAsia="zh-CN"/>
              </w:rPr>
              <w:t>4</w:t>
            </w:r>
            <w:r>
              <w:rPr>
                <w:spacing w:val="-4"/>
                <w:highlight w:val="none"/>
              </w:rPr>
              <w:t>.</w:t>
            </w:r>
            <w:r>
              <w:rPr>
                <w:spacing w:val="-1"/>
                <w:highlight w:val="none"/>
              </w:rPr>
              <w:t>具有</w:t>
            </w:r>
            <w:r>
              <w:rPr>
                <w:b w:val="0"/>
                <w:bCs w:val="0"/>
                <w:spacing w:val="-1"/>
                <w:highlight w:val="none"/>
              </w:rPr>
              <w:t>应急救援员职业资格</w:t>
            </w:r>
            <w:r>
              <w:rPr>
                <w:b w:val="0"/>
                <w:bCs w:val="0"/>
                <w:spacing w:val="-2"/>
                <w:highlight w:val="none"/>
              </w:rPr>
              <w:t>（或技能等级）证书</w:t>
            </w:r>
            <w:r>
              <w:rPr>
                <w:rFonts w:hint="eastAsia" w:ascii="宋体" w:hAnsi="宋体" w:eastAsia="宋体" w:cs="宋体"/>
                <w:b w:val="0"/>
                <w:bCs w:val="0"/>
                <w:spacing w:val="-3"/>
                <w:kern w:val="2"/>
                <w:sz w:val="24"/>
                <w:szCs w:val="24"/>
                <w:highlight w:val="none"/>
                <w:lang w:val="en-US" w:eastAsia="zh-CN" w:bidi="ar-SA"/>
              </w:rPr>
              <w:t>，</w:t>
            </w:r>
            <w:r>
              <w:rPr>
                <w:rFonts w:hint="eastAsia"/>
                <w:b w:val="0"/>
                <w:bCs w:val="0"/>
                <w:spacing w:val="-3"/>
                <w:highlight w:val="none"/>
                <w:lang w:val="en-US" w:eastAsia="zh-CN"/>
              </w:rPr>
              <w:t>得3分，</w:t>
            </w:r>
            <w:r>
              <w:rPr>
                <w:rFonts w:hint="eastAsia" w:ascii="宋体" w:hAnsi="宋体" w:eastAsia="宋体" w:cs="宋体"/>
                <w:b w:val="0"/>
                <w:bCs w:val="0"/>
                <w:spacing w:val="-3"/>
                <w:kern w:val="2"/>
                <w:sz w:val="24"/>
                <w:szCs w:val="24"/>
                <w:highlight w:val="none"/>
                <w:lang w:val="en-US" w:eastAsia="en-US" w:bidi="ar-SA"/>
              </w:rPr>
              <w:t>满分3分</w:t>
            </w:r>
            <w:r>
              <w:rPr>
                <w:rFonts w:hint="eastAsia" w:cs="宋体"/>
                <w:b w:val="0"/>
                <w:bCs w:val="0"/>
                <w:spacing w:val="-3"/>
                <w:kern w:val="2"/>
                <w:sz w:val="24"/>
                <w:szCs w:val="24"/>
                <w:highlight w:val="none"/>
                <w:lang w:val="en-US" w:eastAsia="zh-CN" w:bidi="ar-SA"/>
              </w:rPr>
              <w:t>。</w:t>
            </w:r>
          </w:p>
          <w:p w14:paraId="10F7E318">
            <w:pPr>
              <w:pStyle w:val="24"/>
              <w:keepNext w:val="0"/>
              <w:keepLines w:val="0"/>
              <w:pageBreakBefore w:val="0"/>
              <w:wordWrap/>
              <w:overflowPunct/>
              <w:topLinePunct w:val="0"/>
              <w:bidi w:val="0"/>
              <w:spacing w:before="38" w:line="440" w:lineRule="exact"/>
              <w:ind w:left="120" w:right="105" w:firstLine="11"/>
              <w:jc w:val="both"/>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lang w:val="en-US" w:eastAsia="zh-CN"/>
              </w:rPr>
              <w:t>二、拟</w:t>
            </w:r>
            <w:r>
              <w:rPr>
                <w:rFonts w:hint="eastAsia" w:ascii="宋体" w:hAnsi="宋体" w:eastAsia="宋体" w:cs="宋体"/>
                <w:b/>
                <w:bCs/>
                <w:spacing w:val="-3"/>
                <w:sz w:val="24"/>
                <w:szCs w:val="24"/>
                <w:highlight w:val="none"/>
              </w:rPr>
              <w:t>为本项目拟配备的其他人员（除项</w:t>
            </w:r>
            <w:r>
              <w:rPr>
                <w:rFonts w:hint="eastAsia" w:ascii="宋体" w:hAnsi="宋体" w:eastAsia="宋体" w:cs="宋体"/>
                <w:b/>
                <w:bCs/>
                <w:spacing w:val="-4"/>
                <w:sz w:val="24"/>
                <w:szCs w:val="24"/>
                <w:highlight w:val="none"/>
              </w:rPr>
              <w:t>目</w:t>
            </w:r>
            <w:r>
              <w:rPr>
                <w:rFonts w:hint="eastAsia" w:ascii="宋体" w:hAnsi="宋体" w:eastAsia="宋体" w:cs="宋体"/>
                <w:b/>
                <w:bCs/>
                <w:spacing w:val="-4"/>
                <w:sz w:val="24"/>
                <w:szCs w:val="24"/>
                <w:highlight w:val="none"/>
                <w:lang w:val="en-US" w:eastAsia="zh-CN"/>
              </w:rPr>
              <w:t>负责人以</w:t>
            </w:r>
            <w:r>
              <w:rPr>
                <w:rFonts w:hint="eastAsia" w:ascii="宋体" w:hAnsi="宋体" w:eastAsia="宋体" w:cs="宋体"/>
                <w:b/>
                <w:bCs/>
                <w:spacing w:val="-4"/>
                <w:sz w:val="24"/>
                <w:szCs w:val="24"/>
                <w:highlight w:val="none"/>
              </w:rPr>
              <w:t>外，满分</w:t>
            </w:r>
            <w:r>
              <w:rPr>
                <w:rFonts w:hint="eastAsia" w:cs="宋体"/>
                <w:b/>
                <w:bCs/>
                <w:spacing w:val="-4"/>
                <w:sz w:val="24"/>
                <w:szCs w:val="24"/>
                <w:highlight w:val="none"/>
                <w:lang w:val="en-US" w:eastAsia="zh-CN"/>
              </w:rPr>
              <w:t>6</w:t>
            </w:r>
            <w:r>
              <w:rPr>
                <w:rFonts w:hint="eastAsia" w:ascii="宋体" w:hAnsi="宋体" w:eastAsia="宋体" w:cs="宋体"/>
                <w:b/>
                <w:bCs/>
                <w:spacing w:val="-4"/>
                <w:sz w:val="24"/>
                <w:szCs w:val="24"/>
                <w:highlight w:val="none"/>
              </w:rPr>
              <w:t>分）</w:t>
            </w:r>
          </w:p>
          <w:p w14:paraId="4C50F368">
            <w:pPr>
              <w:pStyle w:val="24"/>
              <w:keepNext w:val="0"/>
              <w:keepLines w:val="0"/>
              <w:pageBreakBefore w:val="0"/>
              <w:wordWrap/>
              <w:overflowPunct/>
              <w:topLinePunct w:val="0"/>
              <w:bidi w:val="0"/>
              <w:spacing w:before="38" w:line="440" w:lineRule="exact"/>
              <w:ind w:left="120" w:right="105" w:firstLine="11"/>
              <w:jc w:val="both"/>
              <w:rPr>
                <w:rFonts w:hint="eastAsia" w:ascii="宋体" w:hAnsi="宋体" w:eastAsia="宋体" w:cs="宋体"/>
                <w:b w:val="0"/>
                <w:bCs w:val="0"/>
                <w:sz w:val="24"/>
                <w:szCs w:val="24"/>
                <w:highlight w:val="none"/>
              </w:rPr>
            </w:pPr>
            <w:r>
              <w:rPr>
                <w:rFonts w:hint="eastAsia" w:cs="宋体"/>
                <w:spacing w:val="-1"/>
                <w:sz w:val="24"/>
                <w:szCs w:val="24"/>
                <w:highlight w:val="none"/>
                <w:lang w:val="en-US" w:eastAsia="zh-CN"/>
              </w:rPr>
              <w:t>1.</w:t>
            </w:r>
            <w:r>
              <w:rPr>
                <w:rFonts w:hint="eastAsia" w:ascii="宋体" w:hAnsi="宋体" w:eastAsia="宋体" w:cs="宋体"/>
                <w:spacing w:val="-1"/>
                <w:kern w:val="2"/>
                <w:sz w:val="24"/>
                <w:szCs w:val="24"/>
                <w:highlight w:val="none"/>
                <w:lang w:val="en-US" w:eastAsia="zh-CN" w:bidi="ar-SA"/>
              </w:rPr>
              <w:t>具有</w:t>
            </w:r>
            <w:r>
              <w:rPr>
                <w:rFonts w:hint="eastAsia" w:ascii="宋体" w:hAnsi="宋体" w:eastAsia="宋体" w:cs="宋体"/>
                <w:b w:val="0"/>
                <w:bCs w:val="0"/>
                <w:color w:val="auto"/>
                <w:sz w:val="24"/>
                <w:szCs w:val="24"/>
                <w:highlight w:val="none"/>
                <w:lang w:val="en-US" w:eastAsia="zh-CN"/>
              </w:rPr>
              <w:t>保安员或保卫管理员职业资格（或技能等级）</w:t>
            </w:r>
            <w:r>
              <w:rPr>
                <w:rFonts w:hint="eastAsia" w:cs="宋体"/>
                <w:b w:val="0"/>
                <w:bCs w:val="0"/>
                <w:color w:val="auto"/>
                <w:sz w:val="24"/>
                <w:szCs w:val="24"/>
                <w:highlight w:val="none"/>
                <w:lang w:val="en-US" w:eastAsia="zh-CN"/>
              </w:rPr>
              <w:t>证书</w:t>
            </w:r>
            <w:r>
              <w:rPr>
                <w:rFonts w:hint="eastAsia" w:ascii="宋体" w:hAnsi="宋体" w:eastAsia="宋体" w:cs="宋体"/>
                <w:b w:val="0"/>
                <w:bCs w:val="0"/>
                <w:spacing w:val="-1"/>
                <w:kern w:val="2"/>
                <w:sz w:val="24"/>
                <w:szCs w:val="24"/>
                <w:highlight w:val="none"/>
                <w:lang w:val="en-US" w:eastAsia="zh-CN" w:bidi="ar-SA"/>
              </w:rPr>
              <w:t>，</w:t>
            </w:r>
            <w:r>
              <w:rPr>
                <w:rFonts w:hint="eastAsia" w:ascii="宋体" w:hAnsi="宋体" w:eastAsia="宋体" w:cs="宋体"/>
                <w:b w:val="0"/>
                <w:bCs w:val="0"/>
                <w:spacing w:val="-1"/>
                <w:kern w:val="2"/>
                <w:sz w:val="24"/>
                <w:szCs w:val="24"/>
                <w:highlight w:val="none"/>
                <w:lang w:val="en-US" w:eastAsia="en-US" w:bidi="ar-SA"/>
              </w:rPr>
              <w:t>每提供一人得</w:t>
            </w:r>
            <w:r>
              <w:rPr>
                <w:rFonts w:hint="eastAsia" w:ascii="宋体" w:hAnsi="宋体" w:eastAsia="宋体" w:cs="宋体"/>
                <w:b w:val="0"/>
                <w:bCs w:val="0"/>
                <w:spacing w:val="-1"/>
                <w:kern w:val="2"/>
                <w:sz w:val="24"/>
                <w:szCs w:val="24"/>
                <w:highlight w:val="none"/>
                <w:lang w:val="en-US" w:eastAsia="zh-CN" w:bidi="ar-SA"/>
              </w:rPr>
              <w:t>1</w:t>
            </w:r>
            <w:r>
              <w:rPr>
                <w:rFonts w:hint="eastAsia" w:ascii="宋体" w:hAnsi="宋体" w:eastAsia="宋体" w:cs="宋体"/>
                <w:b w:val="0"/>
                <w:bCs w:val="0"/>
                <w:spacing w:val="-1"/>
                <w:kern w:val="2"/>
                <w:sz w:val="24"/>
                <w:szCs w:val="24"/>
                <w:highlight w:val="none"/>
                <w:lang w:val="en-US" w:eastAsia="en-US" w:bidi="ar-SA"/>
              </w:rPr>
              <w:t>分，满分</w:t>
            </w:r>
            <w:r>
              <w:rPr>
                <w:rFonts w:hint="eastAsia" w:ascii="宋体" w:hAnsi="宋体" w:eastAsia="宋体" w:cs="宋体"/>
                <w:b w:val="0"/>
                <w:bCs w:val="0"/>
                <w:spacing w:val="-1"/>
                <w:kern w:val="2"/>
                <w:sz w:val="24"/>
                <w:szCs w:val="24"/>
                <w:highlight w:val="none"/>
                <w:lang w:val="en-US" w:eastAsia="zh-CN" w:bidi="ar-SA"/>
              </w:rPr>
              <w:t>3</w:t>
            </w:r>
            <w:r>
              <w:rPr>
                <w:rFonts w:hint="eastAsia" w:ascii="宋体" w:hAnsi="宋体" w:eastAsia="宋体" w:cs="宋体"/>
                <w:b w:val="0"/>
                <w:bCs w:val="0"/>
                <w:spacing w:val="-1"/>
                <w:kern w:val="2"/>
                <w:sz w:val="24"/>
                <w:szCs w:val="24"/>
                <w:highlight w:val="none"/>
                <w:lang w:val="en-US" w:eastAsia="en-US" w:bidi="ar-SA"/>
              </w:rPr>
              <w:t>分</w:t>
            </w:r>
            <w:r>
              <w:rPr>
                <w:rFonts w:hint="eastAsia" w:ascii="宋体" w:hAnsi="宋体" w:cs="宋体"/>
                <w:b w:val="0"/>
                <w:bCs w:val="0"/>
                <w:spacing w:val="-1"/>
                <w:kern w:val="2"/>
                <w:sz w:val="24"/>
                <w:szCs w:val="24"/>
                <w:highlight w:val="none"/>
                <w:lang w:val="en-US" w:eastAsia="zh-CN" w:bidi="ar-SA"/>
              </w:rPr>
              <w:t>；</w:t>
            </w:r>
          </w:p>
          <w:p w14:paraId="7351E630">
            <w:pPr>
              <w:pStyle w:val="24"/>
              <w:keepNext w:val="0"/>
              <w:keepLines w:val="0"/>
              <w:pageBreakBefore w:val="0"/>
              <w:wordWrap/>
              <w:overflowPunct/>
              <w:topLinePunct w:val="0"/>
              <w:bidi w:val="0"/>
              <w:spacing w:before="38" w:line="440" w:lineRule="exact"/>
              <w:ind w:left="120" w:right="105" w:firstLine="11"/>
              <w:jc w:val="both"/>
              <w:rPr>
                <w:rFonts w:hint="eastAsia" w:ascii="宋体" w:hAnsi="宋体" w:eastAsia="宋体" w:cs="宋体"/>
                <w:b w:val="0"/>
                <w:bCs w:val="0"/>
                <w:sz w:val="24"/>
                <w:szCs w:val="24"/>
              </w:rPr>
            </w:pPr>
            <w:r>
              <w:rPr>
                <w:rFonts w:hint="eastAsia" w:cs="宋体"/>
                <w:b w:val="0"/>
                <w:bCs w:val="0"/>
                <w:spacing w:val="-1"/>
                <w:sz w:val="24"/>
                <w:szCs w:val="24"/>
                <w:lang w:val="en-US" w:eastAsia="zh-CN"/>
              </w:rPr>
              <w:t>2.</w:t>
            </w:r>
            <w:r>
              <w:rPr>
                <w:rFonts w:hint="eastAsia" w:ascii="宋体" w:hAnsi="宋体" w:eastAsia="宋体" w:cs="宋体"/>
                <w:b w:val="0"/>
                <w:bCs w:val="0"/>
                <w:spacing w:val="-1"/>
                <w:sz w:val="24"/>
                <w:szCs w:val="24"/>
              </w:rPr>
              <w:t>具有</w:t>
            </w:r>
            <w:r>
              <w:rPr>
                <w:rFonts w:hint="eastAsia" w:ascii="宋体" w:hAnsi="宋体" w:eastAsia="宋体" w:cs="宋体"/>
                <w:b w:val="0"/>
                <w:bCs w:val="0"/>
                <w:spacing w:val="-1"/>
                <w:sz w:val="24"/>
                <w:szCs w:val="24"/>
                <w:lang w:val="en-US" w:eastAsia="zh-CN"/>
              </w:rPr>
              <w:t>四级及以上保洁员</w:t>
            </w:r>
            <w:r>
              <w:rPr>
                <w:rFonts w:hint="eastAsia" w:ascii="宋体" w:hAnsi="宋体" w:eastAsia="宋体" w:cs="宋体"/>
                <w:b w:val="0"/>
                <w:bCs w:val="0"/>
                <w:spacing w:val="-1"/>
                <w:sz w:val="24"/>
                <w:szCs w:val="24"/>
              </w:rPr>
              <w:t>职业资格</w:t>
            </w:r>
            <w:r>
              <w:rPr>
                <w:rFonts w:hint="eastAsia" w:ascii="宋体" w:hAnsi="宋体" w:eastAsia="宋体" w:cs="宋体"/>
                <w:b w:val="0"/>
                <w:bCs w:val="0"/>
                <w:spacing w:val="-2"/>
                <w:sz w:val="24"/>
                <w:szCs w:val="24"/>
              </w:rPr>
              <w:t>（或技能等级）证书的，</w:t>
            </w:r>
            <w:r>
              <w:rPr>
                <w:rFonts w:hint="eastAsia" w:ascii="宋体" w:hAnsi="宋体" w:eastAsia="宋体" w:cs="宋体"/>
                <w:b w:val="0"/>
                <w:bCs w:val="0"/>
                <w:spacing w:val="-1"/>
                <w:sz w:val="24"/>
                <w:szCs w:val="24"/>
              </w:rPr>
              <w:t>每提供一</w:t>
            </w:r>
            <w:r>
              <w:rPr>
                <w:rFonts w:hint="eastAsia" w:ascii="宋体" w:hAnsi="宋体" w:eastAsia="宋体" w:cs="宋体"/>
                <w:b w:val="0"/>
                <w:bCs w:val="0"/>
                <w:spacing w:val="-3"/>
                <w:sz w:val="24"/>
                <w:szCs w:val="24"/>
              </w:rPr>
              <w:t>人得</w:t>
            </w:r>
            <w:r>
              <w:rPr>
                <w:rFonts w:hint="eastAsia" w:ascii="宋体" w:hAnsi="宋体" w:eastAsia="宋体" w:cs="宋体"/>
                <w:b w:val="0"/>
                <w:bCs w:val="0"/>
                <w:spacing w:val="-3"/>
                <w:sz w:val="24"/>
                <w:szCs w:val="24"/>
                <w:lang w:val="en-US" w:eastAsia="zh-CN"/>
              </w:rPr>
              <w:t>3</w:t>
            </w:r>
            <w:r>
              <w:rPr>
                <w:rFonts w:hint="eastAsia" w:ascii="宋体" w:hAnsi="宋体" w:eastAsia="宋体" w:cs="宋体"/>
                <w:b w:val="0"/>
                <w:bCs w:val="0"/>
                <w:spacing w:val="-3"/>
                <w:sz w:val="24"/>
                <w:szCs w:val="24"/>
              </w:rPr>
              <w:t>分，</w:t>
            </w:r>
            <w:r>
              <w:rPr>
                <w:rFonts w:hint="eastAsia" w:ascii="宋体" w:hAnsi="宋体" w:eastAsia="宋体" w:cs="宋体"/>
                <w:b w:val="0"/>
                <w:bCs w:val="0"/>
                <w:spacing w:val="-1"/>
                <w:kern w:val="2"/>
                <w:sz w:val="24"/>
                <w:szCs w:val="24"/>
                <w:lang w:val="en-US" w:eastAsia="en-US" w:bidi="ar-SA"/>
              </w:rPr>
              <w:t>满分</w:t>
            </w:r>
            <w:r>
              <w:rPr>
                <w:rFonts w:hint="eastAsia" w:ascii="宋体" w:hAnsi="宋体" w:eastAsia="宋体" w:cs="宋体"/>
                <w:b w:val="0"/>
                <w:bCs w:val="0"/>
                <w:spacing w:val="-1"/>
                <w:kern w:val="2"/>
                <w:sz w:val="24"/>
                <w:szCs w:val="24"/>
                <w:lang w:val="en-US" w:eastAsia="zh-CN" w:bidi="ar-SA"/>
              </w:rPr>
              <w:t>3</w:t>
            </w:r>
            <w:r>
              <w:rPr>
                <w:rFonts w:hint="eastAsia" w:ascii="宋体" w:hAnsi="宋体" w:eastAsia="宋体" w:cs="宋体"/>
                <w:b w:val="0"/>
                <w:bCs w:val="0"/>
                <w:spacing w:val="-1"/>
                <w:kern w:val="2"/>
                <w:sz w:val="24"/>
                <w:szCs w:val="24"/>
                <w:lang w:val="en-US" w:eastAsia="en-US" w:bidi="ar-SA"/>
              </w:rPr>
              <w:t>分</w:t>
            </w:r>
            <w:r>
              <w:rPr>
                <w:rFonts w:hint="eastAsia" w:ascii="宋体" w:hAnsi="宋体" w:eastAsia="宋体" w:cs="宋体"/>
                <w:b w:val="0"/>
                <w:bCs w:val="0"/>
                <w:spacing w:val="-2"/>
                <w:sz w:val="24"/>
                <w:szCs w:val="24"/>
              </w:rPr>
              <w:t>。</w:t>
            </w:r>
          </w:p>
          <w:p w14:paraId="00FDCF5B">
            <w:pPr>
              <w:pStyle w:val="24"/>
              <w:keepNext w:val="0"/>
              <w:keepLines w:val="0"/>
              <w:pageBreakBefore w:val="0"/>
              <w:wordWrap/>
              <w:overflowPunct/>
              <w:topLinePunct w:val="0"/>
              <w:bidi w:val="0"/>
              <w:spacing w:before="38" w:line="440" w:lineRule="exact"/>
              <w:ind w:left="120" w:right="105" w:firstLine="11"/>
              <w:jc w:val="both"/>
              <w:rPr>
                <w:rFonts w:hint="eastAsia" w:ascii="宋体" w:hAnsi="宋体" w:eastAsia="宋体" w:cs="宋体"/>
                <w:b/>
                <w:color w:val="auto"/>
                <w:sz w:val="24"/>
                <w:szCs w:val="24"/>
                <w:highlight w:val="none"/>
              </w:rPr>
            </w:pPr>
            <w:r>
              <w:rPr>
                <w:rFonts w:hint="eastAsia" w:ascii="宋体" w:hAnsi="宋体" w:eastAsia="宋体" w:cs="宋体"/>
                <w:b/>
                <w:bCs/>
                <w:spacing w:val="1"/>
                <w:sz w:val="24"/>
                <w:szCs w:val="24"/>
              </w:rPr>
              <w:t>注</w:t>
            </w:r>
            <w:r>
              <w:rPr>
                <w:rFonts w:hint="eastAsia" w:ascii="宋体" w:hAnsi="宋体" w:eastAsia="宋体" w:cs="宋体"/>
                <w:b/>
                <w:bCs/>
                <w:spacing w:val="-29"/>
                <w:sz w:val="24"/>
                <w:szCs w:val="24"/>
              </w:rPr>
              <w:t>：</w:t>
            </w:r>
            <w:r>
              <w:rPr>
                <w:rFonts w:hint="eastAsia" w:ascii="宋体" w:hAnsi="宋体" w:eastAsia="宋体" w:cs="宋体"/>
                <w:b/>
                <w:color w:val="auto"/>
                <w:sz w:val="24"/>
                <w:szCs w:val="24"/>
                <w:highlight w:val="none"/>
              </w:rPr>
              <w:t>响应文件中提供以下证明材料：</w:t>
            </w:r>
          </w:p>
          <w:p w14:paraId="062D09EF">
            <w:pPr>
              <w:numPr>
                <w:ilvl w:val="0"/>
                <w:numId w:val="0"/>
              </w:numPr>
              <w:spacing w:line="360" w:lineRule="auto"/>
              <w:jc w:val="left"/>
              <w:rPr>
                <w:rFonts w:hint="eastAsia" w:ascii="宋体" w:hAnsi="宋体" w:eastAsia="宋体" w:cs="宋体"/>
                <w:b/>
                <w:bCs/>
                <w:snapToGrid w:val="0"/>
                <w:color w:val="000000"/>
                <w:spacing w:val="1"/>
                <w:sz w:val="24"/>
                <w:szCs w:val="24"/>
                <w:lang w:val="en-US" w:eastAsia="en-US" w:bidi="ar-SA"/>
              </w:rPr>
            </w:pPr>
            <w:r>
              <w:rPr>
                <w:rFonts w:hint="eastAsia" w:ascii="宋体" w:hAnsi="宋体" w:eastAsia="宋体" w:cs="宋体"/>
                <w:b/>
                <w:bCs/>
                <w:snapToGrid w:val="0"/>
                <w:color w:val="000000"/>
                <w:spacing w:val="1"/>
                <w:sz w:val="24"/>
                <w:szCs w:val="24"/>
                <w:lang w:val="en-US" w:eastAsia="zh-CN" w:bidi="ar-SA"/>
              </w:rPr>
              <w:t>（1）</w:t>
            </w:r>
            <w:r>
              <w:rPr>
                <w:rFonts w:hint="eastAsia" w:ascii="宋体" w:hAnsi="宋体" w:eastAsia="宋体" w:cs="宋体"/>
                <w:b/>
                <w:bCs/>
                <w:snapToGrid w:val="0"/>
                <w:color w:val="000000"/>
                <w:spacing w:val="1"/>
                <w:sz w:val="24"/>
                <w:szCs w:val="24"/>
                <w:lang w:val="en-US" w:eastAsia="en-US" w:bidi="ar-SA"/>
              </w:rPr>
              <w:t>人员名单；</w:t>
            </w:r>
          </w:p>
          <w:p w14:paraId="0C15A9B1">
            <w:pPr>
              <w:numPr>
                <w:ilvl w:val="0"/>
                <w:numId w:val="0"/>
              </w:numPr>
              <w:spacing w:line="360" w:lineRule="auto"/>
              <w:jc w:val="left"/>
              <w:rPr>
                <w:rFonts w:hint="eastAsia" w:ascii="宋体" w:hAnsi="宋体" w:eastAsia="宋体" w:cs="宋体"/>
                <w:b/>
                <w:bCs/>
                <w:snapToGrid w:val="0"/>
                <w:color w:val="000000"/>
                <w:spacing w:val="1"/>
                <w:sz w:val="24"/>
                <w:szCs w:val="24"/>
                <w:lang w:val="en-US" w:eastAsia="en-US" w:bidi="ar-SA"/>
              </w:rPr>
            </w:pPr>
            <w:r>
              <w:rPr>
                <w:rFonts w:hint="eastAsia" w:ascii="宋体" w:hAnsi="宋体" w:eastAsia="宋体" w:cs="宋体"/>
                <w:b/>
                <w:bCs/>
                <w:snapToGrid w:val="0"/>
                <w:color w:val="000000"/>
                <w:spacing w:val="1"/>
                <w:sz w:val="24"/>
                <w:szCs w:val="24"/>
                <w:lang w:val="en-US" w:eastAsia="zh-CN" w:bidi="ar-SA"/>
              </w:rPr>
              <w:t>（2）</w:t>
            </w:r>
            <w:r>
              <w:rPr>
                <w:rFonts w:hint="eastAsia" w:ascii="宋体" w:hAnsi="宋体" w:eastAsia="宋体" w:cs="宋体"/>
                <w:b/>
                <w:bCs/>
                <w:snapToGrid w:val="0"/>
                <w:color w:val="000000"/>
                <w:spacing w:val="1"/>
                <w:sz w:val="24"/>
                <w:szCs w:val="24"/>
                <w:lang w:val="en-US" w:eastAsia="en-US" w:bidi="ar-SA"/>
              </w:rPr>
              <w:t>上述人员证书扫描件；</w:t>
            </w:r>
          </w:p>
          <w:p w14:paraId="773CF25D">
            <w:pPr>
              <w:numPr>
                <w:ilvl w:val="0"/>
                <w:numId w:val="0"/>
              </w:numPr>
              <w:spacing w:line="360" w:lineRule="auto"/>
              <w:jc w:val="left"/>
              <w:rPr>
                <w:rFonts w:hint="eastAsia" w:ascii="宋体" w:hAnsi="宋体" w:eastAsia="宋体" w:cs="宋体"/>
                <w:b/>
                <w:bCs/>
                <w:spacing w:val="-29"/>
                <w:sz w:val="24"/>
                <w:szCs w:val="24"/>
              </w:rPr>
            </w:pPr>
            <w:r>
              <w:rPr>
                <w:rFonts w:hint="eastAsia" w:ascii="宋体" w:hAnsi="宋体" w:eastAsia="宋体" w:cs="宋体"/>
                <w:b/>
                <w:bCs/>
                <w:snapToGrid w:val="0"/>
                <w:color w:val="000000"/>
                <w:spacing w:val="1"/>
                <w:sz w:val="24"/>
                <w:szCs w:val="24"/>
                <w:lang w:val="en-US" w:eastAsia="zh-CN" w:bidi="ar-SA"/>
              </w:rPr>
              <w:t>（3）</w:t>
            </w:r>
            <w:r>
              <w:rPr>
                <w:rFonts w:hint="eastAsia" w:ascii="宋体" w:hAnsi="宋体" w:eastAsia="宋体" w:cs="宋体"/>
                <w:b/>
                <w:bCs/>
                <w:snapToGrid w:val="0"/>
                <w:color w:val="000000"/>
                <w:spacing w:val="1"/>
                <w:sz w:val="24"/>
                <w:szCs w:val="24"/>
                <w:lang w:val="en-US" w:eastAsia="en-US" w:bidi="ar-SA"/>
              </w:rPr>
              <w:t>供</w:t>
            </w:r>
            <w:r>
              <w:rPr>
                <w:rFonts w:hint="eastAsia" w:ascii="宋体" w:hAnsi="宋体" w:eastAsia="宋体" w:cs="宋体"/>
                <w:b/>
                <w:color w:val="auto"/>
                <w:sz w:val="24"/>
                <w:szCs w:val="24"/>
                <w:highlight w:val="none"/>
              </w:rPr>
              <w:t>应商为上述人员缴纳的近3个月内（任意1个月即可）社保证明材料</w:t>
            </w:r>
            <w:r>
              <w:rPr>
                <w:rFonts w:hint="eastAsia" w:ascii="宋体" w:hAnsi="宋体" w:eastAsia="宋体" w:cs="宋体"/>
                <w:b/>
                <w:bCs/>
                <w:color w:val="auto"/>
                <w:sz w:val="24"/>
                <w:szCs w:val="24"/>
                <w:highlight w:val="none"/>
              </w:rPr>
              <w:t>扫描件或影印件</w:t>
            </w:r>
            <w:r>
              <w:rPr>
                <w:rFonts w:hint="eastAsia" w:ascii="宋体" w:hAnsi="宋体" w:eastAsia="宋体" w:cs="宋体"/>
                <w:b/>
                <w:color w:val="auto"/>
                <w:sz w:val="24"/>
                <w:szCs w:val="24"/>
                <w:highlight w:val="none"/>
              </w:rPr>
              <w:t>，具体详见供应商须知前附表，未提供或提供不全的不得分。（</w:t>
            </w:r>
            <w:r>
              <w:rPr>
                <w:rFonts w:hint="eastAsia" w:ascii="宋体" w:hAnsi="宋体" w:eastAsia="宋体" w:cs="宋体"/>
                <w:b/>
                <w:color w:val="auto"/>
                <w:sz w:val="24"/>
                <w:szCs w:val="24"/>
                <w:highlight w:val="none"/>
                <w:lang w:val="en-US" w:eastAsia="zh-CN"/>
              </w:rPr>
              <w:t>注：</w:t>
            </w:r>
            <w:r>
              <w:rPr>
                <w:rFonts w:hint="eastAsia" w:ascii="宋体" w:hAnsi="宋体" w:eastAsia="宋体" w:cs="宋体"/>
                <w:b/>
                <w:color w:val="auto"/>
                <w:sz w:val="24"/>
                <w:szCs w:val="24"/>
                <w:highlight w:val="none"/>
              </w:rPr>
              <w:t>社保证明材料至少含养老保险</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w:t>
            </w:r>
          </w:p>
          <w:p w14:paraId="7A984584">
            <w:pPr>
              <w:numPr>
                <w:ilvl w:val="0"/>
                <w:numId w:val="0"/>
              </w:numPr>
              <w:spacing w:line="360" w:lineRule="auto"/>
              <w:jc w:val="left"/>
              <w:rPr>
                <w:rFonts w:hint="eastAsia" w:ascii="宋体" w:hAnsi="宋体" w:eastAsia="宋体" w:cs="宋体"/>
                <w:sz w:val="24"/>
                <w:szCs w:val="24"/>
              </w:rPr>
            </w:pPr>
            <w:r>
              <w:rPr>
                <w:rFonts w:hint="eastAsia" w:ascii="宋体" w:hAnsi="宋体" w:eastAsia="宋体" w:cs="宋体"/>
                <w:b/>
                <w:bCs/>
                <w:snapToGrid w:val="0"/>
                <w:color w:val="000000"/>
                <w:spacing w:val="1"/>
                <w:sz w:val="24"/>
                <w:szCs w:val="24"/>
                <w:lang w:val="en-US" w:eastAsia="zh-CN" w:bidi="ar-SA"/>
              </w:rPr>
              <w:t>（4）上</w:t>
            </w:r>
            <w:r>
              <w:rPr>
                <w:rFonts w:hint="eastAsia" w:ascii="宋体" w:hAnsi="宋体" w:eastAsia="宋体" w:cs="宋体"/>
                <w:b/>
                <w:bCs/>
                <w:spacing w:val="1"/>
                <w:sz w:val="24"/>
                <w:szCs w:val="24"/>
              </w:rPr>
              <w:t>述涉及职业技能等级证书须另外同时提供技能人才评价证书全国联网查询截图，否则该证书不得分。</w:t>
            </w:r>
          </w:p>
        </w:tc>
        <w:tc>
          <w:tcPr>
            <w:tcW w:w="1063" w:type="dxa"/>
            <w:tcBorders>
              <w:tl2br w:val="nil"/>
              <w:tr2bl w:val="nil"/>
            </w:tcBorders>
            <w:vAlign w:val="center"/>
          </w:tcPr>
          <w:p w14:paraId="6FA2B355">
            <w:pPr>
              <w:pStyle w:val="24"/>
              <w:keepNext w:val="0"/>
              <w:keepLines w:val="0"/>
              <w:pageBreakBefore w:val="0"/>
              <w:wordWrap/>
              <w:overflowPunct/>
              <w:topLinePunct w:val="0"/>
              <w:bidi w:val="0"/>
              <w:spacing w:before="78" w:line="440" w:lineRule="exact"/>
              <w:jc w:val="center"/>
              <w:rPr>
                <w:rFonts w:hint="eastAsia" w:ascii="宋体" w:hAnsi="宋体" w:eastAsia="宋体" w:cs="宋体"/>
                <w:b w:val="0"/>
                <w:bCs w:val="0"/>
                <w:sz w:val="24"/>
                <w:szCs w:val="24"/>
              </w:rPr>
            </w:pPr>
            <w:r>
              <w:rPr>
                <w:rFonts w:hint="eastAsia" w:ascii="宋体" w:hAnsi="宋体" w:eastAsia="宋体" w:cs="宋体"/>
                <w:b w:val="0"/>
                <w:bCs w:val="0"/>
                <w:spacing w:val="-4"/>
                <w:sz w:val="24"/>
                <w:szCs w:val="24"/>
              </w:rPr>
              <w:t>0-</w:t>
            </w:r>
            <w:r>
              <w:rPr>
                <w:rFonts w:hint="eastAsia" w:ascii="宋体" w:hAnsi="宋体" w:eastAsia="宋体" w:cs="宋体"/>
                <w:b w:val="0"/>
                <w:bCs w:val="0"/>
                <w:spacing w:val="-4"/>
                <w:sz w:val="24"/>
                <w:szCs w:val="24"/>
                <w:lang w:val="en-US" w:eastAsia="zh-CN"/>
              </w:rPr>
              <w:t>18</w:t>
            </w:r>
            <w:r>
              <w:rPr>
                <w:rFonts w:hint="eastAsia" w:ascii="宋体" w:hAnsi="宋体" w:eastAsia="宋体" w:cs="宋体"/>
                <w:b w:val="0"/>
                <w:bCs w:val="0"/>
                <w:spacing w:val="-4"/>
                <w:sz w:val="24"/>
                <w:szCs w:val="24"/>
              </w:rPr>
              <w:t>分</w:t>
            </w:r>
          </w:p>
        </w:tc>
      </w:tr>
      <w:tr w14:paraId="26140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1" w:hRule="atLeast"/>
          <w:jc w:val="center"/>
        </w:trPr>
        <w:tc>
          <w:tcPr>
            <w:tcW w:w="1155" w:type="dxa"/>
            <w:vMerge w:val="continue"/>
            <w:tcBorders>
              <w:tl2br w:val="nil"/>
              <w:tr2bl w:val="nil"/>
            </w:tcBorders>
            <w:vAlign w:val="center"/>
          </w:tcPr>
          <w:p w14:paraId="136BCCC2">
            <w:pPr>
              <w:keepNext w:val="0"/>
              <w:keepLines w:val="0"/>
              <w:pageBreakBefore w:val="0"/>
              <w:wordWrap/>
              <w:overflowPunct/>
              <w:topLinePunct w:val="0"/>
              <w:bidi w:val="0"/>
              <w:spacing w:line="440" w:lineRule="exact"/>
              <w:jc w:val="center"/>
              <w:rPr>
                <w:rFonts w:hint="eastAsia" w:ascii="宋体" w:hAnsi="宋体" w:eastAsia="宋体" w:cs="宋体"/>
                <w:sz w:val="24"/>
                <w:szCs w:val="24"/>
              </w:rPr>
            </w:pPr>
          </w:p>
        </w:tc>
        <w:tc>
          <w:tcPr>
            <w:tcW w:w="1163" w:type="dxa"/>
            <w:tcBorders>
              <w:tl2br w:val="nil"/>
              <w:tr2bl w:val="nil"/>
            </w:tcBorders>
            <w:vAlign w:val="center"/>
          </w:tcPr>
          <w:p w14:paraId="0A07527E">
            <w:pPr>
              <w:keepNext w:val="0"/>
              <w:keepLines w:val="0"/>
              <w:pageBreakBefore w:val="0"/>
              <w:wordWrap/>
              <w:overflowPunct/>
              <w:topLinePunct w:val="0"/>
              <w:bidi w:val="0"/>
              <w:adjustRightInd w:val="0"/>
              <w:snapToGrid w:val="0"/>
              <w:spacing w:line="440" w:lineRule="exact"/>
              <w:ind w:firstLine="0" w:firstLineChars="0"/>
              <w:jc w:val="center"/>
              <w:rPr>
                <w:rFonts w:hint="eastAsia" w:ascii="宋体" w:hAnsi="宋体" w:eastAsia="宋体" w:cs="宋体"/>
                <w:sz w:val="24"/>
                <w:szCs w:val="24"/>
              </w:rPr>
            </w:pPr>
            <w:r>
              <w:rPr>
                <w:rFonts w:hint="eastAsia" w:ascii="宋体" w:hAnsi="宋体" w:eastAsia="宋体" w:cs="宋体"/>
                <w:kern w:val="2"/>
                <w:highlight w:val="none"/>
              </w:rPr>
              <w:t>供应商</w:t>
            </w:r>
            <w:r>
              <w:rPr>
                <w:rFonts w:hint="eastAsia" w:ascii="宋体" w:hAnsi="宋体" w:eastAsia="宋体" w:cs="宋体"/>
                <w:spacing w:val="-6"/>
                <w:sz w:val="24"/>
                <w:szCs w:val="24"/>
              </w:rPr>
              <w:t>荣誉</w:t>
            </w:r>
          </w:p>
        </w:tc>
        <w:tc>
          <w:tcPr>
            <w:tcW w:w="5788" w:type="dxa"/>
            <w:tcBorders>
              <w:tl2br w:val="nil"/>
              <w:tr2bl w:val="nil"/>
            </w:tcBorders>
            <w:vAlign w:val="center"/>
          </w:tcPr>
          <w:p w14:paraId="384C1E5B">
            <w:pPr>
              <w:pStyle w:val="24"/>
              <w:keepNext w:val="0"/>
              <w:keepLines w:val="0"/>
              <w:pageBreakBefore w:val="0"/>
              <w:wordWrap/>
              <w:overflowPunct/>
              <w:topLinePunct w:val="0"/>
              <w:bidi w:val="0"/>
              <w:spacing w:before="40" w:line="440" w:lineRule="exact"/>
              <w:ind w:left="153"/>
              <w:jc w:val="both"/>
              <w:rPr>
                <w:rFonts w:hint="eastAsia" w:ascii="宋体" w:hAnsi="宋体" w:eastAsia="宋体" w:cs="宋体"/>
                <w:sz w:val="24"/>
                <w:szCs w:val="24"/>
              </w:rPr>
            </w:pPr>
            <w:r>
              <w:rPr>
                <w:rFonts w:hint="eastAsia" w:ascii="宋体" w:hAnsi="宋体" w:eastAsia="宋体" w:cs="宋体"/>
                <w:b w:val="0"/>
                <w:bCs w:val="0"/>
                <w:color w:val="000000"/>
                <w:sz w:val="24"/>
                <w:szCs w:val="24"/>
              </w:rPr>
              <w:t>自20</w:t>
            </w:r>
            <w:r>
              <w:rPr>
                <w:rFonts w:hint="eastAsia" w:ascii="宋体" w:hAnsi="宋体" w:eastAsia="宋体" w:cs="宋体"/>
                <w:b w:val="0"/>
                <w:bCs w:val="0"/>
                <w:color w:val="000000"/>
                <w:sz w:val="24"/>
                <w:szCs w:val="24"/>
                <w:lang w:val="en-US" w:eastAsia="zh-CN"/>
              </w:rPr>
              <w:t>2</w:t>
            </w:r>
            <w:r>
              <w:rPr>
                <w:rFonts w:hint="eastAsia" w:cs="宋体"/>
                <w:b w:val="0"/>
                <w:bCs w:val="0"/>
                <w:color w:val="000000"/>
                <w:sz w:val="24"/>
                <w:szCs w:val="24"/>
                <w:lang w:val="en-US" w:eastAsia="zh-CN"/>
              </w:rPr>
              <w:t>1</w:t>
            </w:r>
            <w:r>
              <w:rPr>
                <w:rFonts w:hint="eastAsia" w:ascii="宋体" w:hAnsi="宋体" w:eastAsia="宋体" w:cs="宋体"/>
                <w:b w:val="0"/>
                <w:bCs w:val="0"/>
                <w:color w:val="000000"/>
                <w:sz w:val="24"/>
                <w:szCs w:val="24"/>
              </w:rPr>
              <w:t>年1月1日以来</w:t>
            </w:r>
            <w:r>
              <w:rPr>
                <w:rFonts w:hint="eastAsia" w:ascii="宋体" w:hAnsi="宋体" w:eastAsia="宋体" w:cs="宋体"/>
                <w:b/>
                <w:bCs/>
                <w:color w:val="000000"/>
                <w:sz w:val="24"/>
                <w:szCs w:val="24"/>
              </w:rPr>
              <w:t>（以获奖时间为准）</w:t>
            </w:r>
            <w:r>
              <w:rPr>
                <w:rFonts w:hint="eastAsia" w:ascii="宋体" w:hAnsi="宋体" w:eastAsia="宋体" w:cs="宋体"/>
                <w:b w:val="0"/>
                <w:bCs w:val="0"/>
                <w:color w:val="000000"/>
                <w:sz w:val="24"/>
                <w:szCs w:val="24"/>
              </w:rPr>
              <w:t>，</w:t>
            </w:r>
            <w:r>
              <w:rPr>
                <w:rFonts w:hint="eastAsia" w:ascii="宋体" w:hAnsi="宋体" w:eastAsia="宋体" w:cs="宋体"/>
                <w:b w:val="0"/>
                <w:bCs w:val="0"/>
                <w:color w:val="000000"/>
                <w:sz w:val="24"/>
                <w:szCs w:val="24"/>
                <w:lang w:eastAsia="zh-CN"/>
              </w:rPr>
              <w:t>供应商（</w:t>
            </w:r>
            <w:r>
              <w:rPr>
                <w:rFonts w:hint="eastAsia" w:ascii="宋体" w:hAnsi="宋体" w:eastAsia="宋体" w:cs="宋体"/>
                <w:b w:val="0"/>
                <w:bCs w:val="0"/>
                <w:color w:val="000000"/>
                <w:sz w:val="24"/>
                <w:szCs w:val="24"/>
                <w:lang w:val="en-US" w:eastAsia="zh-CN"/>
              </w:rPr>
              <w:t>或其所管项目</w:t>
            </w: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lang w:val="en-US" w:eastAsia="zh-CN"/>
              </w:rPr>
              <w:t>获得</w:t>
            </w:r>
            <w:r>
              <w:rPr>
                <w:rFonts w:hint="eastAsia" w:ascii="宋体" w:hAnsi="宋体" w:eastAsia="宋体" w:cs="宋体"/>
                <w:bCs/>
                <w:color w:val="auto"/>
                <w:sz w:val="24"/>
                <w:lang w:eastAsia="zh-CN"/>
              </w:rPr>
              <w:t>党政机关或事业单位</w:t>
            </w:r>
            <w:r>
              <w:rPr>
                <w:rFonts w:hint="eastAsia" w:ascii="宋体" w:hAnsi="宋体" w:eastAsia="宋体" w:cs="宋体"/>
                <w:b w:val="0"/>
                <w:bCs/>
                <w:color w:val="auto"/>
                <w:sz w:val="24"/>
              </w:rPr>
              <w:t>颁发的</w:t>
            </w:r>
            <w:r>
              <w:rPr>
                <w:rFonts w:hint="eastAsia" w:cs="宋体"/>
                <w:b w:val="0"/>
                <w:bCs/>
                <w:color w:val="auto"/>
                <w:sz w:val="24"/>
                <w:lang w:val="en-US" w:eastAsia="zh-CN"/>
              </w:rPr>
              <w:t>物业类</w:t>
            </w:r>
            <w:r>
              <w:rPr>
                <w:rFonts w:hint="eastAsia" w:ascii="宋体" w:hAnsi="宋体" w:eastAsia="宋体" w:cs="宋体"/>
                <w:b w:val="0"/>
                <w:bCs w:val="0"/>
                <w:color w:val="000000"/>
                <w:sz w:val="24"/>
                <w:szCs w:val="24"/>
              </w:rPr>
              <w:t>荣誉，每个得</w:t>
            </w:r>
            <w:r>
              <w:rPr>
                <w:rFonts w:hint="eastAsia" w:ascii="宋体" w:hAnsi="宋体" w:eastAsia="宋体" w:cs="宋体"/>
                <w:b w:val="0"/>
                <w:bCs w:val="0"/>
                <w:color w:val="000000"/>
                <w:sz w:val="24"/>
                <w:szCs w:val="24"/>
                <w:lang w:val="en-US" w:eastAsia="zh-CN"/>
              </w:rPr>
              <w:t>3</w:t>
            </w:r>
            <w:r>
              <w:rPr>
                <w:rFonts w:hint="eastAsia" w:ascii="宋体" w:hAnsi="宋体" w:eastAsia="宋体" w:cs="宋体"/>
                <w:b w:val="0"/>
                <w:bCs w:val="0"/>
                <w:color w:val="000000"/>
                <w:sz w:val="24"/>
                <w:szCs w:val="24"/>
              </w:rPr>
              <w:t>分，最高得</w:t>
            </w:r>
            <w:r>
              <w:rPr>
                <w:rFonts w:hint="eastAsia" w:ascii="宋体" w:hAnsi="宋体" w:eastAsia="宋体" w:cs="宋体"/>
                <w:b w:val="0"/>
                <w:bCs w:val="0"/>
                <w:color w:val="000000"/>
                <w:sz w:val="24"/>
                <w:szCs w:val="24"/>
                <w:lang w:val="en-US" w:eastAsia="zh-CN"/>
              </w:rPr>
              <w:t>9</w:t>
            </w:r>
            <w:r>
              <w:rPr>
                <w:rFonts w:hint="eastAsia" w:ascii="宋体" w:hAnsi="宋体" w:eastAsia="宋体" w:cs="宋体"/>
                <w:b w:val="0"/>
                <w:bCs w:val="0"/>
                <w:color w:val="000000"/>
                <w:sz w:val="24"/>
                <w:szCs w:val="24"/>
              </w:rPr>
              <w:t>分。</w:t>
            </w:r>
          </w:p>
          <w:p w14:paraId="01D0D5D3">
            <w:pPr>
              <w:pStyle w:val="24"/>
              <w:keepNext w:val="0"/>
              <w:keepLines w:val="0"/>
              <w:pageBreakBefore w:val="0"/>
              <w:wordWrap/>
              <w:overflowPunct/>
              <w:topLinePunct w:val="0"/>
              <w:bidi w:val="0"/>
              <w:spacing w:before="1" w:line="440" w:lineRule="exact"/>
              <w:ind w:left="113"/>
              <w:jc w:val="both"/>
              <w:rPr>
                <w:rFonts w:hint="eastAsia" w:ascii="宋体" w:hAnsi="宋体" w:eastAsia="宋体" w:cs="宋体"/>
                <w:b/>
                <w:bCs/>
                <w:spacing w:val="-9"/>
                <w:sz w:val="24"/>
                <w:szCs w:val="24"/>
              </w:rPr>
            </w:pPr>
            <w:r>
              <w:rPr>
                <w:rFonts w:hint="eastAsia" w:ascii="宋体" w:hAnsi="宋体" w:eastAsia="宋体" w:cs="宋体"/>
                <w:b/>
                <w:bCs/>
                <w:spacing w:val="-9"/>
                <w:sz w:val="24"/>
                <w:szCs w:val="24"/>
              </w:rPr>
              <w:t>注：</w:t>
            </w:r>
          </w:p>
          <w:p w14:paraId="57EE0E0A">
            <w:pPr>
              <w:pStyle w:val="24"/>
              <w:keepNext w:val="0"/>
              <w:keepLines w:val="0"/>
              <w:pageBreakBefore w:val="0"/>
              <w:wordWrap/>
              <w:overflowPunct/>
              <w:topLinePunct w:val="0"/>
              <w:bidi w:val="0"/>
              <w:spacing w:before="1" w:line="440" w:lineRule="exact"/>
              <w:ind w:left="113"/>
              <w:jc w:val="both"/>
              <w:rPr>
                <w:rFonts w:hint="eastAsia" w:ascii="宋体" w:hAnsi="宋体" w:eastAsia="宋体" w:cs="宋体"/>
                <w:b/>
                <w:bCs/>
                <w:spacing w:val="-9"/>
                <w:sz w:val="24"/>
                <w:szCs w:val="24"/>
              </w:rPr>
            </w:pPr>
            <w:r>
              <w:rPr>
                <w:rFonts w:hint="eastAsia" w:ascii="宋体" w:hAnsi="宋体" w:eastAsia="宋体" w:cs="宋体"/>
                <w:b/>
                <w:bCs/>
                <w:spacing w:val="-9"/>
                <w:sz w:val="24"/>
                <w:szCs w:val="24"/>
              </w:rPr>
              <w:t>1.</w:t>
            </w:r>
            <w:r>
              <w:rPr>
                <w:rFonts w:hint="eastAsia" w:ascii="宋体" w:hAnsi="宋体" w:eastAsia="宋体" w:cs="宋体"/>
                <w:b/>
                <w:bCs/>
                <w:spacing w:val="-9"/>
                <w:sz w:val="24"/>
                <w:szCs w:val="24"/>
                <w:lang w:val="en-US" w:eastAsia="zh-CN"/>
              </w:rPr>
              <w:t>响应</w:t>
            </w:r>
            <w:r>
              <w:rPr>
                <w:rFonts w:hint="eastAsia" w:ascii="宋体" w:hAnsi="宋体" w:eastAsia="宋体" w:cs="宋体"/>
                <w:b/>
                <w:bCs/>
                <w:spacing w:val="-9"/>
                <w:sz w:val="24"/>
                <w:szCs w:val="24"/>
              </w:rPr>
              <w:t>文件中提供获奖证书、批复、颁奖单位颁奖文件、网上公示截图（具有其中之一即可）等证明材料。以上材料提供扫描件</w:t>
            </w:r>
            <w:r>
              <w:rPr>
                <w:rFonts w:hint="eastAsia" w:ascii="宋体" w:hAnsi="宋体" w:eastAsia="宋体" w:cs="宋体"/>
                <w:b/>
                <w:bCs/>
                <w:spacing w:val="-9"/>
                <w:sz w:val="24"/>
                <w:szCs w:val="24"/>
                <w:lang w:val="en-US" w:eastAsia="zh-CN"/>
              </w:rPr>
              <w:t>或影印件</w:t>
            </w:r>
            <w:r>
              <w:rPr>
                <w:rFonts w:hint="eastAsia" w:ascii="宋体" w:hAnsi="宋体" w:eastAsia="宋体" w:cs="宋体"/>
                <w:b/>
                <w:bCs/>
                <w:spacing w:val="-9"/>
                <w:sz w:val="24"/>
                <w:szCs w:val="24"/>
              </w:rPr>
              <w:t>，须能体现</w:t>
            </w:r>
            <w:r>
              <w:rPr>
                <w:rFonts w:hint="eastAsia" w:ascii="宋体" w:hAnsi="宋体" w:eastAsia="宋体" w:cs="宋体"/>
                <w:b/>
                <w:bCs/>
                <w:spacing w:val="-9"/>
                <w:sz w:val="24"/>
                <w:szCs w:val="24"/>
                <w:lang w:eastAsia="zh-CN"/>
              </w:rPr>
              <w:t>供应商</w:t>
            </w:r>
            <w:r>
              <w:rPr>
                <w:rFonts w:hint="eastAsia" w:ascii="宋体" w:hAnsi="宋体" w:eastAsia="宋体" w:cs="宋体"/>
                <w:b/>
                <w:bCs/>
                <w:spacing w:val="-9"/>
                <w:sz w:val="24"/>
                <w:szCs w:val="24"/>
              </w:rPr>
              <w:t>名称，如无法体现，须另附颁奖单位的相关证明材料</w:t>
            </w:r>
            <w:r>
              <w:rPr>
                <w:rFonts w:hint="eastAsia" w:ascii="宋体" w:hAnsi="宋体" w:eastAsia="宋体" w:cs="宋体"/>
                <w:b/>
                <w:bCs/>
                <w:spacing w:val="-9"/>
                <w:sz w:val="24"/>
                <w:szCs w:val="24"/>
                <w:lang w:val="en-US" w:eastAsia="zh-CN"/>
              </w:rPr>
              <w:t>，</w:t>
            </w:r>
            <w:r>
              <w:rPr>
                <w:rFonts w:hint="eastAsia" w:ascii="宋体" w:hAnsi="宋体" w:eastAsia="宋体" w:cs="宋体"/>
                <w:b/>
                <w:bCs/>
                <w:spacing w:val="-9"/>
                <w:sz w:val="24"/>
                <w:szCs w:val="24"/>
              </w:rPr>
              <w:t>未提供或提供不全的不得分。</w:t>
            </w:r>
          </w:p>
          <w:p w14:paraId="17718228">
            <w:pPr>
              <w:pStyle w:val="24"/>
              <w:keepNext w:val="0"/>
              <w:keepLines w:val="0"/>
              <w:pageBreakBefore w:val="0"/>
              <w:wordWrap/>
              <w:overflowPunct/>
              <w:topLinePunct w:val="0"/>
              <w:bidi w:val="0"/>
              <w:spacing w:before="1" w:line="440" w:lineRule="exact"/>
              <w:ind w:left="113"/>
              <w:jc w:val="both"/>
              <w:rPr>
                <w:rFonts w:hint="eastAsia" w:ascii="宋体" w:hAnsi="宋体" w:eastAsia="宋体" w:cs="宋体"/>
                <w:b/>
                <w:bCs/>
                <w:spacing w:val="-9"/>
                <w:sz w:val="24"/>
                <w:szCs w:val="24"/>
              </w:rPr>
            </w:pPr>
            <w:r>
              <w:rPr>
                <w:rFonts w:hint="eastAsia" w:ascii="宋体" w:hAnsi="宋体" w:eastAsia="宋体" w:cs="宋体"/>
                <w:b/>
                <w:bCs/>
                <w:spacing w:val="-9"/>
                <w:sz w:val="24"/>
                <w:szCs w:val="24"/>
                <w:lang w:val="en-US" w:eastAsia="zh-CN"/>
              </w:rPr>
              <w:t>2.</w:t>
            </w:r>
            <w:r>
              <w:rPr>
                <w:rFonts w:hint="eastAsia" w:ascii="宋体" w:hAnsi="宋体" w:eastAsia="宋体" w:cs="宋体"/>
                <w:b/>
                <w:bCs/>
                <w:spacing w:val="-9"/>
                <w:sz w:val="24"/>
                <w:szCs w:val="24"/>
              </w:rPr>
              <w:t>如为所管项目获奖，</w:t>
            </w:r>
            <w:r>
              <w:rPr>
                <w:rFonts w:hint="eastAsia" w:ascii="宋体" w:hAnsi="宋体" w:eastAsia="宋体" w:cs="宋体"/>
                <w:b/>
                <w:bCs/>
                <w:spacing w:val="-9"/>
                <w:sz w:val="24"/>
                <w:szCs w:val="24"/>
                <w:lang w:val="en-US" w:eastAsia="zh-CN"/>
              </w:rPr>
              <w:t>响应</w:t>
            </w:r>
            <w:r>
              <w:rPr>
                <w:rFonts w:hint="eastAsia" w:ascii="宋体" w:hAnsi="宋体" w:eastAsia="宋体" w:cs="宋体"/>
                <w:b/>
                <w:bCs/>
                <w:spacing w:val="-9"/>
                <w:sz w:val="24"/>
                <w:szCs w:val="24"/>
              </w:rPr>
              <w:t>文件中同时提供业绩合同扫描件</w:t>
            </w:r>
            <w:r>
              <w:rPr>
                <w:rFonts w:hint="eastAsia" w:ascii="宋体" w:hAnsi="宋体" w:eastAsia="宋体" w:cs="宋体"/>
                <w:b/>
                <w:bCs/>
                <w:spacing w:val="-9"/>
                <w:sz w:val="24"/>
                <w:szCs w:val="24"/>
                <w:lang w:val="en-US" w:eastAsia="zh-CN"/>
              </w:rPr>
              <w:t>或影印件</w:t>
            </w:r>
            <w:r>
              <w:rPr>
                <w:rFonts w:hint="eastAsia" w:ascii="宋体" w:hAnsi="宋体" w:eastAsia="宋体" w:cs="宋体"/>
                <w:b/>
                <w:bCs/>
                <w:spacing w:val="-9"/>
                <w:sz w:val="24"/>
                <w:szCs w:val="24"/>
              </w:rPr>
              <w:t>。</w:t>
            </w:r>
          </w:p>
          <w:p w14:paraId="4CE8F802">
            <w:pPr>
              <w:pStyle w:val="24"/>
              <w:keepNext w:val="0"/>
              <w:keepLines w:val="0"/>
              <w:pageBreakBefore w:val="0"/>
              <w:wordWrap/>
              <w:overflowPunct/>
              <w:topLinePunct w:val="0"/>
              <w:bidi w:val="0"/>
              <w:spacing w:before="1" w:line="440" w:lineRule="exact"/>
              <w:ind w:left="113"/>
              <w:jc w:val="both"/>
              <w:rPr>
                <w:rFonts w:hint="eastAsia" w:ascii="宋体" w:hAnsi="宋体" w:eastAsia="宋体" w:cs="宋体"/>
                <w:b/>
                <w:bCs/>
                <w:spacing w:val="-9"/>
                <w:sz w:val="24"/>
                <w:szCs w:val="24"/>
              </w:rPr>
            </w:pPr>
            <w:r>
              <w:rPr>
                <w:rFonts w:hint="eastAsia" w:ascii="宋体" w:hAnsi="宋体" w:eastAsia="宋体" w:cs="宋体"/>
                <w:b/>
                <w:bCs/>
                <w:spacing w:val="-9"/>
                <w:sz w:val="24"/>
                <w:szCs w:val="24"/>
                <w:lang w:val="en-US" w:eastAsia="zh-CN"/>
              </w:rPr>
              <w:t>3.党政机关：包括党的机关、人大机关、行政机关、政协机关、审判机关、检察机关，及各级党政机关派出机构、直属事业单位及工会、共青团、妇联等。</w:t>
            </w:r>
          </w:p>
        </w:tc>
        <w:tc>
          <w:tcPr>
            <w:tcW w:w="1063" w:type="dxa"/>
            <w:tcBorders>
              <w:tl2br w:val="nil"/>
              <w:tr2bl w:val="nil"/>
            </w:tcBorders>
            <w:vAlign w:val="center"/>
          </w:tcPr>
          <w:p w14:paraId="001F06A3">
            <w:pPr>
              <w:pStyle w:val="24"/>
              <w:keepNext w:val="0"/>
              <w:keepLines w:val="0"/>
              <w:pageBreakBefore w:val="0"/>
              <w:wordWrap/>
              <w:overflowPunct/>
              <w:topLinePunct w:val="0"/>
              <w:bidi w:val="0"/>
              <w:spacing w:before="78" w:line="440" w:lineRule="exact"/>
              <w:jc w:val="center"/>
              <w:rPr>
                <w:rFonts w:hint="eastAsia" w:ascii="宋体" w:hAnsi="宋体" w:eastAsia="宋体" w:cs="宋体"/>
                <w:b w:val="0"/>
                <w:bCs w:val="0"/>
                <w:sz w:val="24"/>
                <w:szCs w:val="24"/>
              </w:rPr>
            </w:pPr>
            <w:r>
              <w:rPr>
                <w:rFonts w:hint="eastAsia" w:ascii="宋体" w:hAnsi="宋体" w:eastAsia="宋体" w:cs="宋体"/>
                <w:b w:val="0"/>
                <w:bCs w:val="0"/>
                <w:spacing w:val="-5"/>
                <w:sz w:val="24"/>
                <w:szCs w:val="24"/>
              </w:rPr>
              <w:t>0-</w:t>
            </w:r>
            <w:r>
              <w:rPr>
                <w:rFonts w:hint="eastAsia" w:ascii="宋体" w:hAnsi="宋体" w:eastAsia="宋体" w:cs="宋体"/>
                <w:b w:val="0"/>
                <w:bCs w:val="0"/>
                <w:spacing w:val="-5"/>
                <w:sz w:val="24"/>
                <w:szCs w:val="24"/>
                <w:lang w:val="en-US" w:eastAsia="zh-CN"/>
              </w:rPr>
              <w:t>9</w:t>
            </w:r>
            <w:r>
              <w:rPr>
                <w:rFonts w:hint="eastAsia" w:ascii="宋体" w:hAnsi="宋体" w:eastAsia="宋体" w:cs="宋体"/>
                <w:b w:val="0"/>
                <w:bCs w:val="0"/>
                <w:spacing w:val="-5"/>
                <w:sz w:val="24"/>
                <w:szCs w:val="24"/>
              </w:rPr>
              <w:t>分</w:t>
            </w:r>
          </w:p>
        </w:tc>
      </w:tr>
      <w:tr w14:paraId="71B0A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2" w:hRule="atLeast"/>
          <w:jc w:val="center"/>
        </w:trPr>
        <w:tc>
          <w:tcPr>
            <w:tcW w:w="1155" w:type="dxa"/>
            <w:vMerge w:val="continue"/>
            <w:tcBorders>
              <w:tl2br w:val="nil"/>
              <w:tr2bl w:val="nil"/>
            </w:tcBorders>
            <w:vAlign w:val="center"/>
          </w:tcPr>
          <w:p w14:paraId="7081F7AF">
            <w:pPr>
              <w:keepNext w:val="0"/>
              <w:keepLines w:val="0"/>
              <w:pageBreakBefore w:val="0"/>
              <w:wordWrap/>
              <w:overflowPunct/>
              <w:topLinePunct w:val="0"/>
              <w:bidi w:val="0"/>
              <w:spacing w:line="440" w:lineRule="exact"/>
              <w:jc w:val="center"/>
              <w:rPr>
                <w:rFonts w:hint="eastAsia" w:ascii="宋体" w:hAnsi="宋体" w:eastAsia="宋体" w:cs="宋体"/>
                <w:sz w:val="24"/>
                <w:szCs w:val="24"/>
              </w:rPr>
            </w:pPr>
          </w:p>
        </w:tc>
        <w:tc>
          <w:tcPr>
            <w:tcW w:w="1163" w:type="dxa"/>
            <w:tcBorders>
              <w:tl2br w:val="nil"/>
              <w:tr2bl w:val="nil"/>
            </w:tcBorders>
            <w:vAlign w:val="center"/>
          </w:tcPr>
          <w:p w14:paraId="6EC2FB4E">
            <w:pPr>
              <w:keepNext w:val="0"/>
              <w:keepLines w:val="0"/>
              <w:pageBreakBefore w:val="0"/>
              <w:wordWrap/>
              <w:overflowPunct/>
              <w:topLinePunct w:val="0"/>
              <w:bidi w:val="0"/>
              <w:adjustRightInd w:val="0"/>
              <w:snapToGrid w:val="0"/>
              <w:spacing w:line="440" w:lineRule="exact"/>
              <w:ind w:firstLine="0" w:firstLineChars="0"/>
              <w:jc w:val="center"/>
              <w:rPr>
                <w:rFonts w:hint="eastAsia" w:ascii="宋体" w:hAnsi="宋体" w:eastAsia="宋体" w:cs="宋体"/>
                <w:spacing w:val="-6"/>
                <w:sz w:val="24"/>
                <w:szCs w:val="24"/>
              </w:rPr>
            </w:pPr>
            <w:r>
              <w:rPr>
                <w:rFonts w:hint="eastAsia" w:ascii="宋体" w:hAnsi="宋体" w:eastAsia="宋体" w:cs="宋体"/>
                <w:kern w:val="2"/>
                <w:highlight w:val="none"/>
              </w:rPr>
              <w:t>供应商</w:t>
            </w:r>
          </w:p>
          <w:p w14:paraId="201794D0">
            <w:pPr>
              <w:pStyle w:val="24"/>
              <w:keepNext w:val="0"/>
              <w:keepLines w:val="0"/>
              <w:pageBreakBefore w:val="0"/>
              <w:wordWrap/>
              <w:overflowPunct/>
              <w:topLinePunct w:val="0"/>
              <w:bidi w:val="0"/>
              <w:spacing w:before="78" w:line="440" w:lineRule="exact"/>
              <w:ind w:left="127" w:right="116"/>
              <w:jc w:val="center"/>
              <w:rPr>
                <w:rFonts w:hint="eastAsia" w:ascii="宋体" w:hAnsi="宋体" w:eastAsia="宋体" w:cs="宋体"/>
                <w:sz w:val="24"/>
                <w:szCs w:val="24"/>
              </w:rPr>
            </w:pPr>
            <w:r>
              <w:rPr>
                <w:rFonts w:hint="eastAsia" w:ascii="宋体" w:hAnsi="宋体" w:eastAsia="宋体" w:cs="宋体"/>
                <w:spacing w:val="-6"/>
                <w:sz w:val="24"/>
                <w:szCs w:val="24"/>
              </w:rPr>
              <w:t>业绩</w:t>
            </w:r>
          </w:p>
        </w:tc>
        <w:tc>
          <w:tcPr>
            <w:tcW w:w="5788" w:type="dxa"/>
            <w:tcBorders>
              <w:tl2br w:val="nil"/>
              <w:tr2bl w:val="nil"/>
            </w:tcBorders>
            <w:vAlign w:val="center"/>
          </w:tcPr>
          <w:p w14:paraId="7A672099">
            <w:pPr>
              <w:pStyle w:val="24"/>
              <w:keepNext w:val="0"/>
              <w:keepLines w:val="0"/>
              <w:pageBreakBefore w:val="0"/>
              <w:wordWrap/>
              <w:overflowPunct/>
              <w:topLinePunct w:val="0"/>
              <w:bidi w:val="0"/>
              <w:spacing w:before="40" w:line="440" w:lineRule="exact"/>
              <w:ind w:left="113" w:right="110" w:firstLine="3"/>
              <w:jc w:val="both"/>
              <w:rPr>
                <w:rFonts w:hint="eastAsia" w:ascii="宋体" w:hAnsi="宋体" w:eastAsia="宋体" w:cs="宋体"/>
                <w:sz w:val="24"/>
                <w:szCs w:val="24"/>
              </w:rPr>
            </w:pPr>
            <w:r>
              <w:rPr>
                <w:rFonts w:hint="eastAsia" w:ascii="宋体" w:hAnsi="宋体" w:eastAsia="宋体" w:cs="宋体"/>
                <w:spacing w:val="-66"/>
                <w:sz w:val="24"/>
                <w:szCs w:val="24"/>
              </w:rPr>
              <w:t xml:space="preserve"> </w:t>
            </w:r>
            <w:r>
              <w:rPr>
                <w:rFonts w:hint="eastAsia" w:ascii="宋体" w:hAnsi="宋体" w:eastAsia="宋体" w:cs="宋体"/>
                <w:spacing w:val="-3"/>
                <w:sz w:val="24"/>
                <w:szCs w:val="24"/>
              </w:rPr>
              <w:t>自2021年1月1日以来</w:t>
            </w:r>
            <w:r>
              <w:rPr>
                <w:rFonts w:hint="eastAsia" w:ascii="宋体" w:hAnsi="宋体" w:eastAsia="宋体" w:cs="宋体"/>
                <w:b/>
                <w:bCs/>
                <w:spacing w:val="-3"/>
                <w:sz w:val="24"/>
                <w:szCs w:val="24"/>
              </w:rPr>
              <w:t>（以合同签订时间为</w:t>
            </w:r>
            <w:r>
              <w:rPr>
                <w:rFonts w:hint="eastAsia" w:ascii="宋体" w:hAnsi="宋体" w:eastAsia="宋体" w:cs="宋体"/>
                <w:b/>
                <w:bCs/>
                <w:spacing w:val="-2"/>
                <w:sz w:val="24"/>
                <w:szCs w:val="24"/>
              </w:rPr>
              <w:t>准</w:t>
            </w:r>
            <w:r>
              <w:rPr>
                <w:rFonts w:hint="eastAsia" w:ascii="宋体" w:hAnsi="宋体" w:eastAsia="宋体" w:cs="宋体"/>
                <w:b/>
                <w:bCs/>
                <w:spacing w:val="12"/>
                <w:sz w:val="24"/>
                <w:szCs w:val="24"/>
              </w:rPr>
              <w:t>）</w:t>
            </w:r>
            <w:r>
              <w:rPr>
                <w:rFonts w:hint="eastAsia" w:ascii="宋体" w:hAnsi="宋体" w:eastAsia="宋体" w:cs="宋体"/>
                <w:spacing w:val="12"/>
                <w:sz w:val="24"/>
                <w:szCs w:val="24"/>
              </w:rPr>
              <w:t>，</w:t>
            </w:r>
            <w:r>
              <w:rPr>
                <w:rFonts w:hint="eastAsia" w:ascii="宋体" w:hAnsi="宋体" w:eastAsia="宋体" w:cs="宋体"/>
                <w:spacing w:val="-2"/>
                <w:sz w:val="24"/>
                <w:szCs w:val="24"/>
              </w:rPr>
              <w:t>供应商具有党政机关</w:t>
            </w:r>
            <w:r>
              <w:rPr>
                <w:rFonts w:hint="eastAsia" w:ascii="宋体" w:hAnsi="宋体" w:eastAsia="宋体" w:cs="宋体"/>
                <w:spacing w:val="-2"/>
                <w:sz w:val="24"/>
                <w:szCs w:val="24"/>
                <w:lang w:eastAsia="zh-CN"/>
              </w:rPr>
              <w:t>（</w:t>
            </w:r>
            <w:r>
              <w:rPr>
                <w:rFonts w:hint="eastAsia" w:ascii="宋体" w:hAnsi="宋体" w:eastAsia="宋体" w:cs="宋体"/>
                <w:spacing w:val="-2"/>
                <w:sz w:val="24"/>
                <w:szCs w:val="24"/>
              </w:rPr>
              <w:t>或事业单位</w:t>
            </w:r>
            <w:r>
              <w:rPr>
                <w:rFonts w:hint="eastAsia" w:ascii="宋体" w:hAnsi="宋体" w:eastAsia="宋体" w:cs="宋体"/>
                <w:spacing w:val="-2"/>
                <w:sz w:val="24"/>
                <w:szCs w:val="24"/>
                <w:lang w:eastAsia="zh-CN"/>
              </w:rPr>
              <w:t>）</w:t>
            </w:r>
            <w:r>
              <w:rPr>
                <w:rFonts w:hint="eastAsia" w:ascii="宋体" w:hAnsi="宋体" w:eastAsia="宋体" w:cs="宋体"/>
                <w:spacing w:val="-2"/>
                <w:sz w:val="24"/>
                <w:szCs w:val="24"/>
              </w:rPr>
              <w:t>委</w:t>
            </w:r>
            <w:r>
              <w:rPr>
                <w:rFonts w:hint="eastAsia" w:ascii="宋体" w:hAnsi="宋体" w:eastAsia="宋体" w:cs="宋体"/>
                <w:spacing w:val="-2"/>
                <w:sz w:val="24"/>
                <w:szCs w:val="24"/>
                <w:highlight w:val="none"/>
              </w:rPr>
              <w:t>托的</w:t>
            </w:r>
            <w:r>
              <w:rPr>
                <w:rFonts w:hint="eastAsia" w:ascii="宋体" w:hAnsi="宋体" w:eastAsia="宋体" w:cs="宋体"/>
                <w:spacing w:val="-1"/>
                <w:sz w:val="24"/>
                <w:szCs w:val="24"/>
                <w:highlight w:val="none"/>
                <w:lang w:val="en-US" w:eastAsia="zh-CN"/>
              </w:rPr>
              <w:t>物业服务</w:t>
            </w:r>
            <w:r>
              <w:rPr>
                <w:rFonts w:hint="eastAsia" w:ascii="宋体" w:hAnsi="宋体" w:eastAsia="宋体" w:cs="宋体"/>
                <w:spacing w:val="-1"/>
                <w:sz w:val="24"/>
                <w:szCs w:val="24"/>
                <w:highlight w:val="none"/>
              </w:rPr>
              <w:t>业</w:t>
            </w:r>
            <w:r>
              <w:rPr>
                <w:rFonts w:hint="eastAsia" w:ascii="宋体" w:hAnsi="宋体" w:eastAsia="宋体" w:cs="宋体"/>
                <w:spacing w:val="-1"/>
                <w:sz w:val="24"/>
                <w:szCs w:val="24"/>
              </w:rPr>
              <w:t>绩（含在管/已履约完毕</w:t>
            </w:r>
            <w:r>
              <w:rPr>
                <w:rFonts w:hint="eastAsia" w:ascii="宋体" w:hAnsi="宋体" w:eastAsia="宋体" w:cs="宋体"/>
                <w:spacing w:val="-24"/>
                <w:sz w:val="24"/>
                <w:szCs w:val="24"/>
              </w:rPr>
              <w:t>），</w:t>
            </w:r>
            <w:r>
              <w:rPr>
                <w:rFonts w:hint="eastAsia" w:ascii="宋体" w:hAnsi="宋体" w:eastAsia="宋体" w:cs="宋体"/>
                <w:spacing w:val="-1"/>
                <w:sz w:val="24"/>
                <w:szCs w:val="24"/>
              </w:rPr>
              <w:t>每提供一个业绩得5分，本项满分15分。</w:t>
            </w:r>
          </w:p>
          <w:p w14:paraId="2B3DF282">
            <w:pPr>
              <w:pStyle w:val="24"/>
              <w:keepNext w:val="0"/>
              <w:keepLines w:val="0"/>
              <w:pageBreakBefore w:val="0"/>
              <w:wordWrap/>
              <w:overflowPunct/>
              <w:topLinePunct w:val="0"/>
              <w:bidi w:val="0"/>
              <w:spacing w:line="440" w:lineRule="exact"/>
              <w:ind w:left="113"/>
              <w:jc w:val="both"/>
              <w:rPr>
                <w:rFonts w:hint="eastAsia" w:ascii="宋体" w:hAnsi="宋体" w:eastAsia="宋体" w:cs="宋体"/>
                <w:sz w:val="24"/>
                <w:szCs w:val="24"/>
              </w:rPr>
            </w:pPr>
            <w:r>
              <w:rPr>
                <w:rFonts w:hint="eastAsia" w:ascii="宋体" w:hAnsi="宋体" w:eastAsia="宋体" w:cs="宋体"/>
                <w:b/>
                <w:bCs/>
                <w:spacing w:val="-8"/>
                <w:sz w:val="24"/>
                <w:szCs w:val="24"/>
              </w:rPr>
              <w:t>注：</w:t>
            </w:r>
          </w:p>
          <w:p w14:paraId="30377DE8">
            <w:pPr>
              <w:pStyle w:val="24"/>
              <w:keepNext w:val="0"/>
              <w:keepLines w:val="0"/>
              <w:pageBreakBefore w:val="0"/>
              <w:wordWrap/>
              <w:overflowPunct/>
              <w:topLinePunct w:val="0"/>
              <w:bidi w:val="0"/>
              <w:spacing w:before="4" w:line="440" w:lineRule="exact"/>
              <w:ind w:left="113" w:right="105"/>
              <w:jc w:val="both"/>
              <w:rPr>
                <w:rFonts w:hint="eastAsia" w:ascii="宋体" w:hAnsi="宋体" w:eastAsia="宋体" w:cs="宋体"/>
                <w:sz w:val="24"/>
                <w:szCs w:val="24"/>
              </w:rPr>
            </w:pPr>
            <w:r>
              <w:rPr>
                <w:rFonts w:hint="eastAsia" w:ascii="宋体" w:hAnsi="宋体" w:eastAsia="宋体" w:cs="宋体"/>
                <w:b/>
                <w:bCs/>
                <w:spacing w:val="-7"/>
                <w:sz w:val="24"/>
                <w:szCs w:val="24"/>
              </w:rPr>
              <w:t>(1)</w:t>
            </w:r>
            <w:r>
              <w:rPr>
                <w:rFonts w:hint="eastAsia" w:ascii="宋体" w:hAnsi="宋体" w:eastAsia="宋体" w:cs="宋体"/>
                <w:spacing w:val="-21"/>
                <w:sz w:val="24"/>
                <w:szCs w:val="24"/>
              </w:rPr>
              <w:t xml:space="preserve"> </w:t>
            </w:r>
            <w:r>
              <w:rPr>
                <w:rFonts w:hint="eastAsia" w:ascii="宋体" w:hAnsi="宋体" w:eastAsia="宋体" w:cs="宋体"/>
                <w:b/>
                <w:bCs/>
                <w:spacing w:val="-7"/>
                <w:sz w:val="24"/>
                <w:szCs w:val="24"/>
              </w:rPr>
              <w:t>同一业绩的续签合同不累计得分；</w:t>
            </w:r>
          </w:p>
          <w:p w14:paraId="62813514">
            <w:pPr>
              <w:pStyle w:val="24"/>
              <w:keepNext w:val="0"/>
              <w:keepLines w:val="0"/>
              <w:pageBreakBefore w:val="0"/>
              <w:wordWrap/>
              <w:overflowPunct/>
              <w:topLinePunct w:val="0"/>
              <w:bidi w:val="0"/>
              <w:spacing w:before="4" w:line="440" w:lineRule="exact"/>
              <w:ind w:left="113" w:right="105"/>
              <w:jc w:val="both"/>
              <w:rPr>
                <w:rFonts w:hint="eastAsia" w:ascii="宋体" w:hAnsi="宋体" w:eastAsia="宋体" w:cs="宋体"/>
                <w:b/>
                <w:bCs/>
                <w:spacing w:val="-3"/>
                <w:sz w:val="24"/>
                <w:szCs w:val="24"/>
              </w:rPr>
            </w:pPr>
            <w:r>
              <w:rPr>
                <w:rFonts w:hint="eastAsia" w:ascii="宋体" w:hAnsi="宋体" w:eastAsia="宋体" w:cs="宋体"/>
                <w:b/>
                <w:bCs/>
                <w:spacing w:val="-8"/>
                <w:sz w:val="24"/>
                <w:szCs w:val="24"/>
              </w:rPr>
              <w:t>(</w:t>
            </w:r>
            <w:r>
              <w:rPr>
                <w:rFonts w:hint="eastAsia" w:ascii="宋体" w:hAnsi="宋体" w:eastAsia="宋体" w:cs="宋体"/>
                <w:b/>
                <w:bCs/>
                <w:spacing w:val="-8"/>
                <w:sz w:val="24"/>
                <w:szCs w:val="24"/>
                <w:lang w:val="en-US" w:eastAsia="zh-CN"/>
              </w:rPr>
              <w:t>2</w:t>
            </w:r>
            <w:r>
              <w:rPr>
                <w:rFonts w:hint="eastAsia" w:ascii="宋体" w:hAnsi="宋体" w:eastAsia="宋体" w:cs="宋体"/>
                <w:b/>
                <w:bCs/>
                <w:spacing w:val="-8"/>
                <w:sz w:val="24"/>
                <w:szCs w:val="24"/>
              </w:rPr>
              <w:t>)响应文件中提供业绩合同扫描件</w:t>
            </w:r>
            <w:r>
              <w:rPr>
                <w:rFonts w:hint="eastAsia" w:ascii="宋体" w:hAnsi="宋体" w:eastAsia="宋体" w:cs="宋体"/>
                <w:b/>
                <w:bCs/>
                <w:spacing w:val="-8"/>
                <w:sz w:val="24"/>
                <w:szCs w:val="24"/>
                <w:lang w:eastAsia="zh-CN"/>
              </w:rPr>
              <w:t>（</w:t>
            </w:r>
            <w:r>
              <w:rPr>
                <w:rFonts w:hint="eastAsia" w:ascii="宋体" w:hAnsi="宋体" w:eastAsia="宋体" w:cs="宋体"/>
                <w:b/>
                <w:bCs/>
                <w:spacing w:val="-7"/>
                <w:sz w:val="24"/>
                <w:szCs w:val="24"/>
              </w:rPr>
              <w:t>或影印件</w:t>
            </w:r>
            <w:r>
              <w:rPr>
                <w:rFonts w:hint="eastAsia" w:ascii="宋体" w:hAnsi="宋体" w:eastAsia="宋体" w:cs="宋体"/>
                <w:b/>
                <w:bCs/>
                <w:spacing w:val="-8"/>
                <w:sz w:val="24"/>
                <w:szCs w:val="24"/>
                <w:lang w:eastAsia="zh-CN"/>
              </w:rPr>
              <w:t>）</w:t>
            </w:r>
            <w:r>
              <w:rPr>
                <w:rFonts w:hint="eastAsia" w:ascii="宋体" w:hAnsi="宋体" w:eastAsia="宋体" w:cs="宋体"/>
                <w:b/>
                <w:bCs/>
                <w:spacing w:val="-8"/>
                <w:sz w:val="24"/>
                <w:szCs w:val="24"/>
              </w:rPr>
              <w:t>，若合同中</w:t>
            </w:r>
            <w:r>
              <w:rPr>
                <w:rFonts w:hint="eastAsia" w:ascii="宋体" w:hAnsi="宋体" w:eastAsia="宋体" w:cs="宋体"/>
                <w:b/>
                <w:bCs/>
                <w:spacing w:val="-3"/>
                <w:sz w:val="24"/>
                <w:szCs w:val="24"/>
              </w:rPr>
              <w:t>无法体现签订时间、服务内容等关键评审内容的，须同时提供业主单位（合同甲方）出具的证明材料加以明确说明。</w:t>
            </w:r>
          </w:p>
          <w:p w14:paraId="1461E744">
            <w:pPr>
              <w:pStyle w:val="24"/>
              <w:keepNext w:val="0"/>
              <w:keepLines w:val="0"/>
              <w:pageBreakBefore w:val="0"/>
              <w:wordWrap/>
              <w:overflowPunct/>
              <w:topLinePunct w:val="0"/>
              <w:bidi w:val="0"/>
              <w:spacing w:before="4" w:line="440" w:lineRule="exact"/>
              <w:ind w:left="113" w:right="105"/>
              <w:jc w:val="both"/>
              <w:rPr>
                <w:rFonts w:hint="eastAsia" w:ascii="宋体" w:hAnsi="宋体" w:eastAsia="宋体" w:cs="宋体"/>
                <w:b/>
                <w:bCs/>
                <w:spacing w:val="-3"/>
                <w:sz w:val="24"/>
                <w:szCs w:val="24"/>
              </w:rPr>
            </w:pPr>
            <w:r>
              <w:rPr>
                <w:rFonts w:hint="eastAsia" w:ascii="宋体" w:hAnsi="宋体" w:eastAsia="宋体" w:cs="宋体"/>
                <w:b/>
                <w:bCs/>
                <w:spacing w:val="-2"/>
                <w:sz w:val="24"/>
                <w:szCs w:val="24"/>
              </w:rPr>
              <w:t>(</w:t>
            </w:r>
            <w:r>
              <w:rPr>
                <w:rFonts w:hint="eastAsia" w:ascii="宋体" w:hAnsi="宋体" w:eastAsia="宋体" w:cs="宋体"/>
                <w:b/>
                <w:bCs/>
                <w:spacing w:val="-2"/>
                <w:sz w:val="24"/>
                <w:szCs w:val="24"/>
                <w:lang w:val="en-US" w:eastAsia="zh-CN"/>
              </w:rPr>
              <w:t>3</w:t>
            </w:r>
            <w:r>
              <w:rPr>
                <w:rFonts w:hint="eastAsia" w:ascii="宋体" w:hAnsi="宋体" w:eastAsia="宋体" w:cs="宋体"/>
                <w:b/>
                <w:bCs/>
                <w:spacing w:val="-2"/>
                <w:sz w:val="24"/>
                <w:szCs w:val="24"/>
              </w:rPr>
              <w:t>)党政机关包括党的机关、人大机关、行政</w:t>
            </w:r>
            <w:r>
              <w:rPr>
                <w:rFonts w:hint="eastAsia" w:ascii="宋体" w:hAnsi="宋体" w:eastAsia="宋体" w:cs="宋体"/>
                <w:b/>
                <w:bCs/>
                <w:spacing w:val="-3"/>
                <w:sz w:val="24"/>
                <w:szCs w:val="24"/>
              </w:rPr>
              <w:t>机关、政协机关、审判机关、检察机关，及各级党政机关派出机构、直属事业单位及工会、共青团、妇联等；</w:t>
            </w:r>
          </w:p>
        </w:tc>
        <w:tc>
          <w:tcPr>
            <w:tcW w:w="1063" w:type="dxa"/>
            <w:tcBorders>
              <w:tl2br w:val="nil"/>
              <w:tr2bl w:val="nil"/>
            </w:tcBorders>
            <w:vAlign w:val="center"/>
          </w:tcPr>
          <w:p w14:paraId="1E2F362C">
            <w:pPr>
              <w:pStyle w:val="24"/>
              <w:keepNext w:val="0"/>
              <w:keepLines w:val="0"/>
              <w:pageBreakBefore w:val="0"/>
              <w:wordWrap/>
              <w:overflowPunct/>
              <w:topLinePunct w:val="0"/>
              <w:bidi w:val="0"/>
              <w:spacing w:before="78" w:line="440" w:lineRule="exact"/>
              <w:jc w:val="center"/>
              <w:rPr>
                <w:rFonts w:hint="eastAsia" w:ascii="宋体" w:hAnsi="宋体" w:eastAsia="宋体" w:cs="宋体"/>
                <w:b w:val="0"/>
                <w:bCs w:val="0"/>
                <w:sz w:val="24"/>
                <w:szCs w:val="24"/>
              </w:rPr>
            </w:pPr>
            <w:r>
              <w:rPr>
                <w:rFonts w:hint="eastAsia" w:ascii="宋体" w:hAnsi="宋体" w:eastAsia="宋体" w:cs="宋体"/>
                <w:b w:val="0"/>
                <w:bCs w:val="0"/>
                <w:spacing w:val="-5"/>
                <w:sz w:val="24"/>
                <w:szCs w:val="24"/>
              </w:rPr>
              <w:t>0-</w:t>
            </w:r>
            <w:r>
              <w:rPr>
                <w:rFonts w:hint="eastAsia" w:ascii="宋体" w:hAnsi="宋体" w:eastAsia="宋体" w:cs="宋体"/>
                <w:b w:val="0"/>
                <w:bCs w:val="0"/>
                <w:spacing w:val="-5"/>
                <w:sz w:val="24"/>
                <w:szCs w:val="24"/>
                <w:lang w:val="en-US" w:eastAsia="zh-CN"/>
              </w:rPr>
              <w:t>15</w:t>
            </w:r>
            <w:r>
              <w:rPr>
                <w:rFonts w:hint="eastAsia" w:ascii="宋体" w:hAnsi="宋体" w:eastAsia="宋体" w:cs="宋体"/>
                <w:b w:val="0"/>
                <w:bCs w:val="0"/>
                <w:spacing w:val="-5"/>
                <w:sz w:val="24"/>
                <w:szCs w:val="24"/>
              </w:rPr>
              <w:t>分</w:t>
            </w:r>
          </w:p>
        </w:tc>
      </w:tr>
      <w:tr w14:paraId="1B2014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9" w:hRule="atLeast"/>
          <w:jc w:val="center"/>
        </w:trPr>
        <w:tc>
          <w:tcPr>
            <w:tcW w:w="1155" w:type="dxa"/>
            <w:vMerge w:val="continue"/>
            <w:tcBorders>
              <w:tl2br w:val="nil"/>
              <w:tr2bl w:val="nil"/>
            </w:tcBorders>
            <w:vAlign w:val="center"/>
          </w:tcPr>
          <w:p w14:paraId="5CF3C74C">
            <w:pPr>
              <w:keepNext w:val="0"/>
              <w:keepLines w:val="0"/>
              <w:pageBreakBefore w:val="0"/>
              <w:wordWrap/>
              <w:overflowPunct/>
              <w:topLinePunct w:val="0"/>
              <w:bidi w:val="0"/>
              <w:spacing w:line="440" w:lineRule="exact"/>
              <w:jc w:val="center"/>
              <w:rPr>
                <w:rFonts w:hint="eastAsia" w:ascii="宋体" w:hAnsi="宋体" w:eastAsia="宋体" w:cs="宋体"/>
                <w:sz w:val="24"/>
                <w:szCs w:val="24"/>
              </w:rPr>
            </w:pPr>
          </w:p>
        </w:tc>
        <w:tc>
          <w:tcPr>
            <w:tcW w:w="1163" w:type="dxa"/>
            <w:tcBorders>
              <w:tl2br w:val="nil"/>
              <w:tr2bl w:val="nil"/>
            </w:tcBorders>
            <w:vAlign w:val="center"/>
          </w:tcPr>
          <w:p w14:paraId="4BF0206E">
            <w:pPr>
              <w:keepNext w:val="0"/>
              <w:keepLines w:val="0"/>
              <w:pageBreakBefore w:val="0"/>
              <w:wordWrap/>
              <w:overflowPunct/>
              <w:topLinePunct w:val="0"/>
              <w:bidi w:val="0"/>
              <w:adjustRightInd w:val="0"/>
              <w:snapToGrid w:val="0"/>
              <w:spacing w:line="440" w:lineRule="exact"/>
              <w:ind w:firstLine="0" w:firstLineChars="0"/>
              <w:jc w:val="center"/>
              <w:rPr>
                <w:rFonts w:hint="eastAsia" w:ascii="宋体" w:hAnsi="宋体" w:eastAsia="宋体" w:cs="宋体"/>
                <w:sz w:val="24"/>
                <w:szCs w:val="24"/>
              </w:rPr>
            </w:pPr>
            <w:r>
              <w:rPr>
                <w:rFonts w:hint="eastAsia" w:ascii="宋体" w:hAnsi="宋体" w:eastAsia="宋体" w:cs="宋体"/>
                <w:kern w:val="2"/>
                <w:highlight w:val="none"/>
              </w:rPr>
              <w:t>业绩</w:t>
            </w:r>
            <w:r>
              <w:rPr>
                <w:rFonts w:hint="eastAsia" w:ascii="宋体" w:hAnsi="宋体" w:eastAsia="宋体" w:cs="宋体"/>
                <w:spacing w:val="-6"/>
                <w:sz w:val="24"/>
                <w:szCs w:val="24"/>
              </w:rPr>
              <w:t>评价</w:t>
            </w:r>
          </w:p>
        </w:tc>
        <w:tc>
          <w:tcPr>
            <w:tcW w:w="5788" w:type="dxa"/>
            <w:tcBorders>
              <w:tl2br w:val="nil"/>
              <w:tr2bl w:val="nil"/>
            </w:tcBorders>
            <w:vAlign w:val="center"/>
          </w:tcPr>
          <w:p w14:paraId="5A3ED318">
            <w:pPr>
              <w:pStyle w:val="24"/>
              <w:keepNext w:val="0"/>
              <w:keepLines w:val="0"/>
              <w:pageBreakBefore w:val="0"/>
              <w:wordWrap/>
              <w:overflowPunct/>
              <w:topLinePunct w:val="0"/>
              <w:bidi w:val="0"/>
              <w:spacing w:before="39" w:line="440" w:lineRule="exact"/>
              <w:ind w:left="113" w:right="102" w:firstLine="1"/>
              <w:jc w:val="both"/>
              <w:rPr>
                <w:rFonts w:hint="eastAsia" w:ascii="宋体" w:hAnsi="宋体" w:eastAsia="宋体" w:cs="宋体"/>
                <w:sz w:val="24"/>
                <w:szCs w:val="24"/>
              </w:rPr>
            </w:pPr>
            <w:r>
              <w:rPr>
                <w:rFonts w:hint="eastAsia" w:ascii="宋体" w:hAnsi="宋体" w:eastAsia="宋体" w:cs="宋体"/>
                <w:spacing w:val="5"/>
                <w:sz w:val="24"/>
                <w:szCs w:val="24"/>
              </w:rPr>
              <w:t>上述经磋商小组认可的供应商业绩中，获得业主单位（或合同甲方）业绩履约反馈评价为正向评</w:t>
            </w:r>
            <w:r>
              <w:rPr>
                <w:rFonts w:hint="eastAsia" w:ascii="宋体" w:hAnsi="宋体" w:eastAsia="宋体" w:cs="宋体"/>
                <w:spacing w:val="4"/>
                <w:sz w:val="24"/>
                <w:szCs w:val="24"/>
              </w:rPr>
              <w:t>价（优秀或满意或先</w:t>
            </w:r>
            <w:r>
              <w:rPr>
                <w:rFonts w:hint="eastAsia" w:ascii="宋体" w:hAnsi="宋体" w:eastAsia="宋体" w:cs="宋体"/>
                <w:b w:val="0"/>
                <w:bCs w:val="0"/>
                <w:spacing w:val="4"/>
                <w:sz w:val="24"/>
                <w:szCs w:val="24"/>
              </w:rPr>
              <w:t>进或良好等）的，每提供一</w:t>
            </w:r>
            <w:r>
              <w:rPr>
                <w:rFonts w:hint="eastAsia" w:ascii="宋体" w:hAnsi="宋体" w:eastAsia="宋体" w:cs="宋体"/>
                <w:b w:val="0"/>
                <w:bCs w:val="0"/>
                <w:spacing w:val="-9"/>
                <w:sz w:val="24"/>
                <w:szCs w:val="24"/>
              </w:rPr>
              <w:t>个得</w:t>
            </w:r>
            <w:r>
              <w:rPr>
                <w:rFonts w:hint="eastAsia" w:ascii="宋体" w:hAnsi="宋体" w:eastAsia="宋体" w:cs="宋体"/>
                <w:b w:val="0"/>
                <w:bCs w:val="0"/>
                <w:spacing w:val="-22"/>
                <w:sz w:val="24"/>
                <w:szCs w:val="24"/>
              </w:rPr>
              <w:t xml:space="preserve"> </w:t>
            </w:r>
            <w:r>
              <w:rPr>
                <w:rFonts w:hint="eastAsia" w:ascii="宋体" w:hAnsi="宋体" w:eastAsia="宋体" w:cs="宋体"/>
                <w:b w:val="0"/>
                <w:bCs w:val="0"/>
                <w:spacing w:val="-9"/>
                <w:sz w:val="24"/>
                <w:szCs w:val="24"/>
              </w:rPr>
              <w:t>1</w:t>
            </w:r>
            <w:r>
              <w:rPr>
                <w:rFonts w:hint="eastAsia" w:ascii="宋体" w:hAnsi="宋体" w:eastAsia="宋体" w:cs="宋体"/>
                <w:b w:val="0"/>
                <w:bCs w:val="0"/>
                <w:spacing w:val="-48"/>
                <w:sz w:val="24"/>
                <w:szCs w:val="24"/>
              </w:rPr>
              <w:t xml:space="preserve"> </w:t>
            </w:r>
            <w:r>
              <w:rPr>
                <w:rFonts w:hint="eastAsia" w:ascii="宋体" w:hAnsi="宋体" w:eastAsia="宋体" w:cs="宋体"/>
                <w:b w:val="0"/>
                <w:bCs w:val="0"/>
                <w:spacing w:val="-9"/>
                <w:sz w:val="24"/>
                <w:szCs w:val="24"/>
              </w:rPr>
              <w:t>分，满分</w:t>
            </w:r>
            <w:r>
              <w:rPr>
                <w:rFonts w:hint="eastAsia" w:ascii="宋体" w:hAnsi="宋体" w:eastAsia="宋体" w:cs="宋体"/>
                <w:b w:val="0"/>
                <w:bCs w:val="0"/>
                <w:spacing w:val="-46"/>
                <w:sz w:val="24"/>
                <w:szCs w:val="24"/>
              </w:rPr>
              <w:t xml:space="preserve"> </w:t>
            </w:r>
            <w:r>
              <w:rPr>
                <w:rFonts w:hint="eastAsia" w:ascii="宋体" w:hAnsi="宋体" w:eastAsia="宋体" w:cs="宋体"/>
                <w:b w:val="0"/>
                <w:bCs w:val="0"/>
                <w:spacing w:val="-9"/>
                <w:sz w:val="24"/>
                <w:szCs w:val="24"/>
              </w:rPr>
              <w:t>3</w:t>
            </w:r>
            <w:r>
              <w:rPr>
                <w:rFonts w:hint="eastAsia" w:ascii="宋体" w:hAnsi="宋体" w:eastAsia="宋体" w:cs="宋体"/>
                <w:b w:val="0"/>
                <w:bCs w:val="0"/>
                <w:spacing w:val="-45"/>
                <w:sz w:val="24"/>
                <w:szCs w:val="24"/>
              </w:rPr>
              <w:t xml:space="preserve"> </w:t>
            </w:r>
            <w:r>
              <w:rPr>
                <w:rFonts w:hint="eastAsia" w:ascii="宋体" w:hAnsi="宋体" w:eastAsia="宋体" w:cs="宋体"/>
                <w:b w:val="0"/>
                <w:bCs w:val="0"/>
                <w:spacing w:val="-9"/>
                <w:sz w:val="24"/>
                <w:szCs w:val="24"/>
              </w:rPr>
              <w:t>分。</w:t>
            </w:r>
          </w:p>
          <w:p w14:paraId="7E867622">
            <w:pPr>
              <w:pStyle w:val="24"/>
              <w:keepNext w:val="0"/>
              <w:keepLines w:val="0"/>
              <w:pageBreakBefore w:val="0"/>
              <w:wordWrap/>
              <w:overflowPunct/>
              <w:topLinePunct w:val="0"/>
              <w:bidi w:val="0"/>
              <w:spacing w:before="2" w:line="440" w:lineRule="exact"/>
              <w:ind w:left="111" w:right="105" w:firstLine="1"/>
              <w:jc w:val="both"/>
              <w:rPr>
                <w:rFonts w:hint="eastAsia" w:ascii="宋体" w:hAnsi="宋体" w:eastAsia="宋体" w:cs="宋体"/>
                <w:b/>
                <w:bCs/>
                <w:spacing w:val="-7"/>
                <w:sz w:val="24"/>
                <w:szCs w:val="24"/>
              </w:rPr>
            </w:pPr>
            <w:r>
              <w:rPr>
                <w:rFonts w:hint="eastAsia" w:ascii="宋体" w:hAnsi="宋体" w:eastAsia="宋体" w:cs="宋体"/>
                <w:b/>
                <w:bCs/>
                <w:spacing w:val="-7"/>
                <w:sz w:val="24"/>
                <w:szCs w:val="24"/>
              </w:rPr>
              <w:t>注：（1）响应文件中提供加盖业主单位（或合同甲方）公章的履约反馈等相关证明材料扫描件（或影印件）；</w:t>
            </w:r>
          </w:p>
          <w:p w14:paraId="24D4668D">
            <w:pPr>
              <w:pStyle w:val="24"/>
              <w:keepNext w:val="0"/>
              <w:keepLines w:val="0"/>
              <w:pageBreakBefore w:val="0"/>
              <w:wordWrap/>
              <w:overflowPunct/>
              <w:topLinePunct w:val="0"/>
              <w:bidi w:val="0"/>
              <w:spacing w:before="2" w:line="440" w:lineRule="exact"/>
              <w:ind w:left="111" w:right="105" w:firstLine="1"/>
              <w:jc w:val="both"/>
              <w:rPr>
                <w:rFonts w:hint="eastAsia" w:ascii="宋体" w:hAnsi="宋体" w:eastAsia="宋体" w:cs="宋体"/>
                <w:sz w:val="24"/>
                <w:szCs w:val="24"/>
              </w:rPr>
            </w:pPr>
            <w:r>
              <w:rPr>
                <w:rFonts w:hint="eastAsia" w:ascii="宋体" w:hAnsi="宋体" w:eastAsia="宋体" w:cs="宋体"/>
                <w:b/>
                <w:bCs/>
                <w:spacing w:val="-7"/>
                <w:sz w:val="24"/>
                <w:szCs w:val="24"/>
              </w:rPr>
              <w:t>（2）同一业绩获得多个正向评价的，仅计取一次，不累计得分。</w:t>
            </w:r>
          </w:p>
        </w:tc>
        <w:tc>
          <w:tcPr>
            <w:tcW w:w="1063" w:type="dxa"/>
            <w:tcBorders>
              <w:tl2br w:val="nil"/>
              <w:tr2bl w:val="nil"/>
            </w:tcBorders>
            <w:vAlign w:val="center"/>
          </w:tcPr>
          <w:p w14:paraId="20531326">
            <w:pPr>
              <w:pStyle w:val="24"/>
              <w:keepNext w:val="0"/>
              <w:keepLines w:val="0"/>
              <w:pageBreakBefore w:val="0"/>
              <w:wordWrap/>
              <w:overflowPunct/>
              <w:topLinePunct w:val="0"/>
              <w:bidi w:val="0"/>
              <w:spacing w:before="78" w:line="440" w:lineRule="exact"/>
              <w:jc w:val="center"/>
              <w:rPr>
                <w:rFonts w:hint="eastAsia" w:ascii="宋体" w:hAnsi="宋体" w:eastAsia="宋体" w:cs="宋体"/>
                <w:b w:val="0"/>
                <w:bCs w:val="0"/>
                <w:sz w:val="24"/>
                <w:szCs w:val="24"/>
              </w:rPr>
            </w:pPr>
            <w:r>
              <w:rPr>
                <w:rFonts w:hint="eastAsia" w:ascii="宋体" w:hAnsi="宋体" w:eastAsia="宋体" w:cs="宋体"/>
                <w:b w:val="0"/>
                <w:bCs w:val="0"/>
                <w:spacing w:val="-5"/>
                <w:sz w:val="24"/>
                <w:szCs w:val="24"/>
              </w:rPr>
              <w:t>0-3</w:t>
            </w:r>
            <w:r>
              <w:rPr>
                <w:rFonts w:hint="eastAsia" w:ascii="宋体" w:hAnsi="宋体" w:eastAsia="宋体" w:cs="宋体"/>
                <w:b w:val="0"/>
                <w:bCs w:val="0"/>
                <w:spacing w:val="-48"/>
                <w:sz w:val="24"/>
                <w:szCs w:val="24"/>
              </w:rPr>
              <w:t xml:space="preserve"> </w:t>
            </w:r>
            <w:r>
              <w:rPr>
                <w:rFonts w:hint="eastAsia" w:ascii="宋体" w:hAnsi="宋体" w:eastAsia="宋体" w:cs="宋体"/>
                <w:b w:val="0"/>
                <w:bCs w:val="0"/>
                <w:spacing w:val="-5"/>
                <w:sz w:val="24"/>
                <w:szCs w:val="24"/>
              </w:rPr>
              <w:t>分</w:t>
            </w:r>
          </w:p>
        </w:tc>
      </w:tr>
      <w:tr w14:paraId="2FE5CC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0" w:hRule="atLeast"/>
          <w:jc w:val="center"/>
        </w:trPr>
        <w:tc>
          <w:tcPr>
            <w:tcW w:w="1155" w:type="dxa"/>
            <w:tcBorders>
              <w:tl2br w:val="nil"/>
              <w:tr2bl w:val="nil"/>
            </w:tcBorders>
            <w:vAlign w:val="center"/>
          </w:tcPr>
          <w:p w14:paraId="28D4C321">
            <w:pPr>
              <w:keepNext w:val="0"/>
              <w:keepLines w:val="0"/>
              <w:pageBreakBefore w:val="0"/>
              <w:wordWrap/>
              <w:overflowPunct/>
              <w:topLinePunct w:val="0"/>
              <w:bidi w:val="0"/>
              <w:adjustRightInd w:val="0"/>
              <w:snapToGrid w:val="0"/>
              <w:spacing w:line="440" w:lineRule="exact"/>
              <w:ind w:firstLine="0" w:firstLineChars="0"/>
              <w:jc w:val="center"/>
              <w:rPr>
                <w:rFonts w:hint="eastAsia" w:ascii="宋体" w:hAnsi="宋体" w:eastAsia="宋体" w:cs="宋体"/>
                <w:sz w:val="24"/>
                <w:szCs w:val="24"/>
              </w:rPr>
            </w:pPr>
            <w:r>
              <w:rPr>
                <w:rFonts w:hint="eastAsia" w:ascii="宋体" w:hAnsi="宋体" w:eastAsia="宋体" w:cs="宋体"/>
                <w:spacing w:val="-6"/>
                <w:sz w:val="24"/>
                <w:szCs w:val="24"/>
              </w:rPr>
              <w:t>价格</w:t>
            </w:r>
            <w:r>
              <w:rPr>
                <w:rFonts w:hint="eastAsia" w:ascii="宋体" w:hAnsi="宋体" w:eastAsia="宋体" w:cs="宋体"/>
                <w:sz w:val="24"/>
                <w:szCs w:val="24"/>
              </w:rPr>
              <w:t>分</w:t>
            </w:r>
            <w:r>
              <w:rPr>
                <w:rFonts w:hint="eastAsia" w:ascii="宋体" w:hAnsi="宋体" w:eastAsia="宋体" w:cs="宋体"/>
                <w:sz w:val="24"/>
                <w:szCs w:val="24"/>
                <w:lang w:val="en-US" w:eastAsia="zh-CN"/>
              </w:rPr>
              <w:t xml:space="preserve"> </w:t>
            </w:r>
            <w:r>
              <w:rPr>
                <w:rFonts w:hint="eastAsia" w:ascii="宋体" w:hAnsi="宋体" w:eastAsia="宋体" w:cs="宋体"/>
                <w:spacing w:val="-7"/>
                <w:sz w:val="24"/>
                <w:szCs w:val="24"/>
              </w:rPr>
              <w:t>（</w:t>
            </w:r>
            <w:r>
              <w:rPr>
                <w:rFonts w:hint="eastAsia" w:ascii="宋体" w:hAnsi="宋体" w:eastAsia="宋体" w:cs="宋体"/>
                <w:kern w:val="2"/>
                <w:highlight w:val="none"/>
                <w:lang w:val="en-US" w:eastAsia="zh-CN"/>
              </w:rPr>
              <w:t>10</w:t>
            </w:r>
            <w:r>
              <w:rPr>
                <w:rFonts w:hint="eastAsia" w:ascii="宋体" w:hAnsi="宋体" w:eastAsia="宋体" w:cs="宋体"/>
                <w:spacing w:val="-15"/>
                <w:sz w:val="24"/>
                <w:szCs w:val="24"/>
              </w:rPr>
              <w:t>分）</w:t>
            </w:r>
          </w:p>
        </w:tc>
        <w:tc>
          <w:tcPr>
            <w:tcW w:w="8014" w:type="dxa"/>
            <w:gridSpan w:val="3"/>
            <w:tcBorders>
              <w:tl2br w:val="nil"/>
              <w:tr2bl w:val="nil"/>
            </w:tcBorders>
            <w:vAlign w:val="center"/>
          </w:tcPr>
          <w:p w14:paraId="5F99D963">
            <w:pPr>
              <w:pStyle w:val="24"/>
              <w:keepNext w:val="0"/>
              <w:keepLines w:val="0"/>
              <w:pageBreakBefore w:val="0"/>
              <w:wordWrap/>
              <w:overflowPunct/>
              <w:topLinePunct w:val="0"/>
              <w:bidi w:val="0"/>
              <w:spacing w:before="42" w:line="440" w:lineRule="exact"/>
              <w:ind w:left="117"/>
              <w:jc w:val="both"/>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价格分统一采用低价优先法，即满足磋商文件</w:t>
            </w:r>
            <w:r>
              <w:rPr>
                <w:rFonts w:hint="eastAsia" w:ascii="宋体" w:hAnsi="宋体" w:eastAsia="宋体" w:cs="宋体"/>
                <w:b w:val="0"/>
                <w:bCs w:val="0"/>
                <w:spacing w:val="-4"/>
                <w:sz w:val="24"/>
                <w:szCs w:val="24"/>
              </w:rPr>
              <w:t>要求且最后报价最低的供应</w:t>
            </w:r>
            <w:r>
              <w:rPr>
                <w:rFonts w:hint="eastAsia" w:ascii="宋体" w:hAnsi="宋体" w:eastAsia="宋体" w:cs="宋体"/>
                <w:b w:val="0"/>
                <w:bCs w:val="0"/>
                <w:spacing w:val="-1"/>
                <w:sz w:val="24"/>
                <w:szCs w:val="24"/>
              </w:rPr>
              <w:t>商的价格为磋商基准价，其价格分为满分</w:t>
            </w:r>
            <w:r>
              <w:rPr>
                <w:rFonts w:hint="eastAsia" w:ascii="宋体" w:hAnsi="宋体" w:eastAsia="宋体" w:cs="宋体"/>
                <w:b w:val="0"/>
                <w:bCs w:val="0"/>
                <w:spacing w:val="-1"/>
                <w:sz w:val="24"/>
                <w:szCs w:val="24"/>
                <w:lang w:val="en-US" w:eastAsia="zh-CN"/>
              </w:rPr>
              <w:t>10</w:t>
            </w:r>
            <w:r>
              <w:rPr>
                <w:rFonts w:hint="eastAsia" w:ascii="宋体" w:hAnsi="宋体" w:eastAsia="宋体" w:cs="宋体"/>
                <w:b w:val="0"/>
                <w:bCs w:val="0"/>
                <w:spacing w:val="-1"/>
                <w:sz w:val="24"/>
                <w:szCs w:val="24"/>
              </w:rPr>
              <w:t>分。其他供应商的价格分统</w:t>
            </w:r>
            <w:r>
              <w:rPr>
                <w:rFonts w:hint="eastAsia" w:ascii="宋体" w:hAnsi="宋体" w:eastAsia="宋体" w:cs="宋体"/>
                <w:b w:val="0"/>
                <w:bCs w:val="0"/>
                <w:spacing w:val="-2"/>
                <w:sz w:val="24"/>
                <w:szCs w:val="24"/>
              </w:rPr>
              <w:t>一按照下列公式计算：</w:t>
            </w:r>
          </w:p>
          <w:p w14:paraId="509518E1">
            <w:pPr>
              <w:pStyle w:val="24"/>
              <w:keepNext w:val="0"/>
              <w:keepLines w:val="0"/>
              <w:pageBreakBefore w:val="0"/>
              <w:wordWrap/>
              <w:overflowPunct/>
              <w:topLinePunct w:val="0"/>
              <w:bidi w:val="0"/>
              <w:spacing w:before="40" w:line="440" w:lineRule="exact"/>
              <w:ind w:left="117" w:right="107" w:hanging="3"/>
              <w:jc w:val="both"/>
              <w:rPr>
                <w:rFonts w:hint="eastAsia" w:ascii="宋体" w:hAnsi="宋体" w:eastAsia="宋体" w:cs="宋体"/>
                <w:b w:val="0"/>
                <w:bCs w:val="0"/>
                <w:sz w:val="24"/>
                <w:szCs w:val="24"/>
              </w:rPr>
            </w:pPr>
            <w:r>
              <w:rPr>
                <w:rFonts w:hint="eastAsia" w:ascii="宋体" w:hAnsi="宋体" w:eastAsia="宋体" w:cs="宋体"/>
                <w:b w:val="0"/>
                <w:bCs w:val="0"/>
                <w:sz w:val="24"/>
                <w:szCs w:val="24"/>
              </w:rPr>
              <w:t>磋商报价得分</w:t>
            </w:r>
            <w:r>
              <w:rPr>
                <w:rFonts w:hint="eastAsia" w:ascii="宋体" w:hAnsi="宋体" w:eastAsia="宋体" w:cs="宋体"/>
                <w:b w:val="0"/>
                <w:bCs w:val="0"/>
                <w:spacing w:val="-31"/>
                <w:sz w:val="24"/>
                <w:szCs w:val="24"/>
              </w:rPr>
              <w:t>＝（</w:t>
            </w:r>
            <w:r>
              <w:rPr>
                <w:rFonts w:hint="eastAsia" w:ascii="宋体" w:hAnsi="宋体" w:eastAsia="宋体" w:cs="宋体"/>
                <w:b w:val="0"/>
                <w:bCs w:val="0"/>
                <w:sz w:val="24"/>
                <w:szCs w:val="24"/>
              </w:rPr>
              <w:t>磋商基准价/最后磋商报价）</w:t>
            </w:r>
            <w:r>
              <w:rPr>
                <w:rFonts w:hint="eastAsia" w:ascii="宋体" w:hAnsi="宋体" w:eastAsia="宋体" w:cs="宋体"/>
                <w:b w:val="0"/>
                <w:bCs w:val="0"/>
                <w:spacing w:val="-1"/>
                <w:sz w:val="24"/>
                <w:szCs w:val="24"/>
              </w:rPr>
              <w:t xml:space="preserve"> ×</w:t>
            </w:r>
            <w:r>
              <w:rPr>
                <w:rFonts w:hint="eastAsia" w:ascii="宋体" w:hAnsi="宋体" w:eastAsia="宋体" w:cs="宋体"/>
                <w:b w:val="0"/>
                <w:bCs w:val="0"/>
                <w:spacing w:val="-1"/>
                <w:sz w:val="24"/>
                <w:szCs w:val="24"/>
                <w:lang w:val="en-US" w:eastAsia="zh-CN"/>
              </w:rPr>
              <w:t>10%</w:t>
            </w:r>
            <w:r>
              <w:rPr>
                <w:rFonts w:hint="eastAsia" w:ascii="宋体" w:hAnsi="宋体" w:eastAsia="宋体" w:cs="宋体"/>
                <w:b w:val="0"/>
                <w:bCs w:val="0"/>
                <w:spacing w:val="-1"/>
                <w:sz w:val="24"/>
                <w:szCs w:val="24"/>
              </w:rPr>
              <w:t>× 10</w:t>
            </w:r>
            <w:r>
              <w:rPr>
                <w:rFonts w:hint="eastAsia" w:ascii="宋体" w:hAnsi="宋体" w:eastAsia="宋体" w:cs="宋体"/>
                <w:b w:val="0"/>
                <w:bCs w:val="0"/>
                <w:sz w:val="24"/>
                <w:szCs w:val="24"/>
              </w:rPr>
              <w:t>0</w:t>
            </w:r>
          </w:p>
        </w:tc>
      </w:tr>
    </w:tbl>
    <w:p w14:paraId="5F52C503">
      <w:pPr>
        <w:keepNext w:val="0"/>
        <w:keepLines w:val="0"/>
        <w:pageBreakBefore w:val="0"/>
        <w:widowControl w:val="0"/>
        <w:kinsoku/>
        <w:wordWrap/>
        <w:overflowPunct/>
        <w:topLinePunct w:val="0"/>
        <w:autoSpaceDE/>
        <w:autoSpaceDN/>
        <w:bidi w:val="0"/>
        <w:adjustRightInd/>
        <w:snapToGrid/>
        <w:spacing w:line="420" w:lineRule="exact"/>
        <w:ind w:firstLine="480"/>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2</w:t>
      </w:r>
      <w:r>
        <w:rPr>
          <w:rFonts w:asciiTheme="minorEastAsia" w:hAnsiTheme="minorEastAsia" w:eastAsiaTheme="minorEastAsia"/>
          <w:highlight w:val="none"/>
        </w:rPr>
        <w:t>.</w:t>
      </w:r>
      <w:r>
        <w:rPr>
          <w:rFonts w:hint="eastAsia" w:asciiTheme="minorEastAsia" w:hAnsiTheme="minorEastAsia" w:eastAsiaTheme="minorEastAsia"/>
          <w:highlight w:val="none"/>
        </w:rPr>
        <w:t>2</w:t>
      </w:r>
      <w:r>
        <w:rPr>
          <w:rFonts w:asciiTheme="minorEastAsia" w:hAnsiTheme="minorEastAsia" w:eastAsiaTheme="minorEastAsia"/>
          <w:highlight w:val="none"/>
        </w:rPr>
        <w:t>.3</w:t>
      </w:r>
      <w:r>
        <w:rPr>
          <w:rFonts w:hint="eastAsia" w:asciiTheme="minorEastAsia" w:hAnsiTheme="minorEastAsia" w:eastAsiaTheme="minorEastAsia"/>
          <w:highlight w:val="none"/>
        </w:rPr>
        <w:t>分值汇总</w:t>
      </w:r>
    </w:p>
    <w:p w14:paraId="3C429E13">
      <w:pPr>
        <w:keepNext w:val="0"/>
        <w:keepLines w:val="0"/>
        <w:pageBreakBefore w:val="0"/>
        <w:widowControl w:val="0"/>
        <w:kinsoku/>
        <w:wordWrap/>
        <w:overflowPunct/>
        <w:topLinePunct w:val="0"/>
        <w:autoSpaceDE/>
        <w:autoSpaceDN/>
        <w:bidi w:val="0"/>
        <w:adjustRightInd/>
        <w:snapToGrid/>
        <w:spacing w:line="420" w:lineRule="exact"/>
        <w:ind w:firstLine="480"/>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w:t>
      </w:r>
      <w:r>
        <w:rPr>
          <w:rFonts w:asciiTheme="minorEastAsia" w:hAnsiTheme="minorEastAsia" w:eastAsiaTheme="minorEastAsia"/>
          <w:highlight w:val="none"/>
        </w:rPr>
        <w:t>1）</w:t>
      </w:r>
      <w:r>
        <w:rPr>
          <w:rFonts w:hint="eastAsia" w:asciiTheme="minorEastAsia" w:hAnsiTheme="minorEastAsia" w:eastAsiaTheme="minorEastAsia"/>
          <w:highlight w:val="none"/>
        </w:rPr>
        <w:t>评审委员会</w:t>
      </w:r>
      <w:r>
        <w:rPr>
          <w:rFonts w:asciiTheme="minorEastAsia" w:hAnsiTheme="minorEastAsia" w:eastAsiaTheme="minorEastAsia"/>
          <w:highlight w:val="none"/>
        </w:rPr>
        <w:t>各成员应当独立对每个有效响应的文件进行评价、打分，然后汇总每个</w:t>
      </w:r>
      <w:r>
        <w:rPr>
          <w:rFonts w:hint="eastAsia" w:asciiTheme="minorEastAsia" w:hAnsiTheme="minorEastAsia" w:eastAsiaTheme="minorEastAsia"/>
          <w:highlight w:val="none"/>
        </w:rPr>
        <w:t>供应商</w:t>
      </w:r>
      <w:r>
        <w:rPr>
          <w:rFonts w:asciiTheme="minorEastAsia" w:hAnsiTheme="minorEastAsia" w:eastAsiaTheme="minorEastAsia"/>
          <w:highlight w:val="none"/>
        </w:rPr>
        <w:t>每项评分因素的得分，再取各位评委评分之平均值，四舍五入保留至小数点后两位数，得到该</w:t>
      </w:r>
      <w:r>
        <w:rPr>
          <w:rFonts w:hint="eastAsia" w:asciiTheme="minorEastAsia" w:hAnsiTheme="minorEastAsia" w:eastAsiaTheme="minorEastAsia"/>
          <w:highlight w:val="none"/>
        </w:rPr>
        <w:t>供应商</w:t>
      </w:r>
      <w:r>
        <w:rPr>
          <w:rFonts w:asciiTheme="minorEastAsia" w:hAnsiTheme="minorEastAsia" w:eastAsiaTheme="minorEastAsia"/>
          <w:highlight w:val="none"/>
        </w:rPr>
        <w:t>的技术资信分。</w:t>
      </w:r>
    </w:p>
    <w:p w14:paraId="462C802B">
      <w:pPr>
        <w:keepNext w:val="0"/>
        <w:keepLines w:val="0"/>
        <w:pageBreakBefore w:val="0"/>
        <w:widowControl w:val="0"/>
        <w:kinsoku/>
        <w:wordWrap/>
        <w:overflowPunct/>
        <w:topLinePunct w:val="0"/>
        <w:autoSpaceDE/>
        <w:autoSpaceDN/>
        <w:bidi w:val="0"/>
        <w:adjustRightInd/>
        <w:snapToGrid/>
        <w:spacing w:line="420" w:lineRule="exact"/>
        <w:ind w:firstLine="480"/>
        <w:textAlignment w:val="auto"/>
        <w:rPr>
          <w:rFonts w:asciiTheme="minorEastAsia" w:hAnsiTheme="minorEastAsia" w:eastAsiaTheme="minorEastAsia"/>
          <w:highlight w:val="none"/>
        </w:rPr>
      </w:pPr>
      <w:r>
        <w:rPr>
          <w:rFonts w:hint="eastAsia" w:asciiTheme="minorEastAsia" w:hAnsiTheme="minorEastAsia" w:eastAsiaTheme="minorEastAsia"/>
          <w:highlight w:val="none"/>
        </w:rPr>
        <w:t>（</w:t>
      </w:r>
      <w:r>
        <w:rPr>
          <w:rFonts w:asciiTheme="minorEastAsia" w:hAnsiTheme="minorEastAsia" w:eastAsiaTheme="minorEastAsia"/>
          <w:highlight w:val="none"/>
        </w:rPr>
        <w:t>2）将每个</w:t>
      </w:r>
      <w:r>
        <w:rPr>
          <w:rFonts w:hint="eastAsia" w:asciiTheme="minorEastAsia" w:hAnsiTheme="minorEastAsia" w:eastAsiaTheme="minorEastAsia"/>
          <w:highlight w:val="none"/>
        </w:rPr>
        <w:t>供应商</w:t>
      </w:r>
      <w:r>
        <w:rPr>
          <w:rFonts w:asciiTheme="minorEastAsia" w:hAnsiTheme="minorEastAsia" w:eastAsiaTheme="minorEastAsia"/>
          <w:highlight w:val="none"/>
        </w:rPr>
        <w:t>的技术资信分加上根据上述标准计算出的价格分，即为该</w:t>
      </w:r>
      <w:r>
        <w:rPr>
          <w:rFonts w:hint="eastAsia" w:asciiTheme="minorEastAsia" w:hAnsiTheme="minorEastAsia" w:eastAsiaTheme="minorEastAsia"/>
          <w:highlight w:val="none"/>
        </w:rPr>
        <w:t>供应商</w:t>
      </w:r>
      <w:r>
        <w:rPr>
          <w:rFonts w:asciiTheme="minorEastAsia" w:hAnsiTheme="minorEastAsia" w:eastAsiaTheme="minorEastAsia"/>
          <w:highlight w:val="none"/>
        </w:rPr>
        <w:t>的综合总得分。</w:t>
      </w:r>
    </w:p>
    <w:p w14:paraId="35B7DE53">
      <w:pPr>
        <w:widowControl/>
        <w:ind w:left="0" w:leftChars="0" w:firstLine="0" w:firstLineChars="0"/>
        <w:jc w:val="center"/>
        <w:rPr>
          <w:rFonts w:hint="eastAsia" w:asciiTheme="minorEastAsia" w:hAnsiTheme="minorEastAsia" w:eastAsiaTheme="minorEastAsia"/>
          <w:b/>
          <w:sz w:val="28"/>
          <w:highlight w:val="none"/>
        </w:rPr>
      </w:pPr>
      <w:r>
        <w:rPr>
          <w:rFonts w:asciiTheme="minorEastAsia" w:hAnsiTheme="minorEastAsia" w:eastAsiaTheme="minorEastAsia"/>
          <w:highlight w:val="none"/>
        </w:rPr>
        <w:br w:type="page"/>
      </w:r>
      <w:bookmarkStart w:id="12" w:name="_Toc11803"/>
      <w:r>
        <w:rPr>
          <w:rFonts w:hint="eastAsia" w:asciiTheme="minorEastAsia" w:hAnsiTheme="minorEastAsia" w:eastAsiaTheme="minorEastAsia"/>
          <w:b/>
          <w:sz w:val="28"/>
          <w:highlight w:val="none"/>
        </w:rPr>
        <w:t>第五章  合同</w:t>
      </w:r>
      <w:bookmarkEnd w:id="12"/>
    </w:p>
    <w:p w14:paraId="7B52CD2B">
      <w:pPr>
        <w:widowControl/>
        <w:spacing w:line="240" w:lineRule="auto"/>
        <w:ind w:firstLine="0" w:firstLineChars="0"/>
        <w:jc w:val="center"/>
        <w:rPr>
          <w:rFonts w:cs="宋体"/>
          <w:b/>
          <w:bCs/>
          <w:kern w:val="2"/>
          <w:sz w:val="28"/>
          <w:szCs w:val="28"/>
          <w:highlight w:val="none"/>
        </w:rPr>
      </w:pPr>
      <w:bookmarkStart w:id="13" w:name="OLE_LINK3"/>
      <w:r>
        <w:rPr>
          <w:rFonts w:hint="eastAsia" w:cs="宋体"/>
          <w:b/>
          <w:bCs/>
          <w:kern w:val="2"/>
          <w:sz w:val="28"/>
          <w:szCs w:val="28"/>
          <w:highlight w:val="none"/>
        </w:rPr>
        <w:t>（双方依法签订）</w:t>
      </w:r>
    </w:p>
    <w:p w14:paraId="411EFE84">
      <w:pPr>
        <w:widowControl/>
        <w:spacing w:line="240" w:lineRule="auto"/>
        <w:ind w:firstLine="0" w:firstLineChars="0"/>
        <w:jc w:val="left"/>
        <w:rPr>
          <w:rFonts w:cs="宋体"/>
          <w:b/>
          <w:bCs/>
          <w:kern w:val="2"/>
          <w:sz w:val="32"/>
          <w:szCs w:val="40"/>
          <w:highlight w:val="none"/>
        </w:rPr>
      </w:pPr>
    </w:p>
    <w:p w14:paraId="48B41B5F">
      <w:pPr>
        <w:widowControl/>
        <w:spacing w:line="240" w:lineRule="auto"/>
        <w:ind w:firstLine="0" w:firstLineChars="0"/>
        <w:jc w:val="left"/>
        <w:rPr>
          <w:rFonts w:cs="宋体"/>
          <w:b/>
          <w:bCs/>
          <w:kern w:val="2"/>
          <w:sz w:val="32"/>
          <w:szCs w:val="40"/>
          <w:highlight w:val="none"/>
        </w:rPr>
      </w:pPr>
      <w:r>
        <w:rPr>
          <w:rFonts w:hint="eastAsia" w:cs="宋体"/>
          <w:b/>
          <w:bCs/>
          <w:kern w:val="2"/>
          <w:sz w:val="32"/>
          <w:szCs w:val="40"/>
          <w:highlight w:val="none"/>
        </w:rPr>
        <w:br w:type="page"/>
      </w:r>
    </w:p>
    <w:bookmarkEnd w:id="13"/>
    <w:p w14:paraId="106CD6A0">
      <w:pPr>
        <w:spacing w:before="312" w:beforeLines="100"/>
        <w:ind w:left="0" w:leftChars="0" w:firstLine="0" w:firstLineChars="0"/>
        <w:jc w:val="center"/>
        <w:outlineLvl w:val="1"/>
        <w:rPr>
          <w:rFonts w:hint="eastAsia" w:asciiTheme="minorEastAsia" w:hAnsiTheme="minorEastAsia" w:eastAsiaTheme="minorEastAsia"/>
          <w:b/>
          <w:sz w:val="28"/>
          <w:highlight w:val="none"/>
        </w:rPr>
      </w:pPr>
      <w:bookmarkStart w:id="14" w:name="_Toc13101"/>
      <w:r>
        <w:rPr>
          <w:rFonts w:hint="eastAsia" w:asciiTheme="minorEastAsia" w:hAnsiTheme="minorEastAsia" w:eastAsiaTheme="minorEastAsia"/>
          <w:b/>
          <w:sz w:val="28"/>
          <w:highlight w:val="none"/>
        </w:rPr>
        <w:t>第六章  响应文件格式</w:t>
      </w:r>
      <w:bookmarkEnd w:id="14"/>
    </w:p>
    <w:p w14:paraId="25922F73">
      <w:pPr>
        <w:spacing w:line="900" w:lineRule="exact"/>
        <w:ind w:firstLine="723"/>
        <w:jc w:val="center"/>
        <w:rPr>
          <w:rFonts w:hint="eastAsia" w:asciiTheme="minorEastAsia" w:hAnsiTheme="minorEastAsia" w:eastAsiaTheme="minorEastAsia"/>
          <w:b/>
          <w:sz w:val="36"/>
          <w:szCs w:val="21"/>
          <w:highlight w:val="none"/>
          <w:lang w:eastAsia="zh-CN"/>
        </w:rPr>
      </w:pPr>
      <w:r>
        <w:rPr>
          <w:rFonts w:hint="eastAsia" w:asciiTheme="minorEastAsia" w:hAnsiTheme="minorEastAsia" w:eastAsiaTheme="minorEastAsia"/>
          <w:b/>
          <w:sz w:val="36"/>
          <w:szCs w:val="21"/>
          <w:highlight w:val="none"/>
          <w:lang w:eastAsia="zh-CN"/>
        </w:rPr>
        <w:t>肥西县桃花镇人民政府机关办公区物业服务采购项目</w:t>
      </w:r>
    </w:p>
    <w:p w14:paraId="6483E87F">
      <w:pPr>
        <w:spacing w:line="900" w:lineRule="exact"/>
        <w:ind w:firstLine="1446"/>
        <w:jc w:val="center"/>
        <w:rPr>
          <w:rFonts w:asciiTheme="minorEastAsia" w:hAnsiTheme="minorEastAsia" w:eastAsiaTheme="minorEastAsia"/>
          <w:b/>
          <w:sz w:val="72"/>
          <w:highlight w:val="none"/>
        </w:rPr>
      </w:pPr>
    </w:p>
    <w:p w14:paraId="1F1811DF">
      <w:pPr>
        <w:spacing w:line="900" w:lineRule="exact"/>
        <w:ind w:firstLine="3614" w:firstLineChars="500"/>
        <w:rPr>
          <w:rFonts w:asciiTheme="minorEastAsia" w:hAnsiTheme="minorEastAsia" w:eastAsiaTheme="minorEastAsia"/>
          <w:b/>
          <w:sz w:val="72"/>
          <w:highlight w:val="none"/>
        </w:rPr>
      </w:pPr>
      <w:r>
        <w:rPr>
          <w:rFonts w:hint="eastAsia" w:asciiTheme="minorEastAsia" w:hAnsiTheme="minorEastAsia" w:eastAsiaTheme="minorEastAsia"/>
          <w:b/>
          <w:sz w:val="72"/>
          <w:highlight w:val="none"/>
        </w:rPr>
        <w:t>响</w:t>
      </w:r>
    </w:p>
    <w:p w14:paraId="7CEA9CD9">
      <w:pPr>
        <w:spacing w:line="900" w:lineRule="exact"/>
        <w:ind w:firstLine="1446"/>
        <w:jc w:val="center"/>
        <w:rPr>
          <w:rFonts w:asciiTheme="minorEastAsia" w:hAnsiTheme="minorEastAsia" w:eastAsiaTheme="minorEastAsia"/>
          <w:b/>
          <w:sz w:val="72"/>
          <w:highlight w:val="none"/>
        </w:rPr>
      </w:pPr>
    </w:p>
    <w:p w14:paraId="6EDA97C6">
      <w:pPr>
        <w:spacing w:line="900" w:lineRule="exact"/>
        <w:ind w:firstLine="3614" w:firstLineChars="500"/>
        <w:rPr>
          <w:rFonts w:asciiTheme="minorEastAsia" w:hAnsiTheme="minorEastAsia" w:eastAsiaTheme="minorEastAsia"/>
          <w:b/>
          <w:sz w:val="72"/>
          <w:highlight w:val="none"/>
        </w:rPr>
      </w:pPr>
      <w:r>
        <w:rPr>
          <w:rFonts w:hint="eastAsia" w:asciiTheme="minorEastAsia" w:hAnsiTheme="minorEastAsia" w:eastAsiaTheme="minorEastAsia"/>
          <w:b/>
          <w:sz w:val="72"/>
          <w:highlight w:val="none"/>
        </w:rPr>
        <w:t>应</w:t>
      </w:r>
    </w:p>
    <w:p w14:paraId="578917BB">
      <w:pPr>
        <w:spacing w:line="900" w:lineRule="exact"/>
        <w:ind w:firstLine="1446"/>
        <w:jc w:val="center"/>
        <w:rPr>
          <w:rFonts w:asciiTheme="minorEastAsia" w:hAnsiTheme="minorEastAsia" w:eastAsiaTheme="minorEastAsia"/>
          <w:b/>
          <w:sz w:val="72"/>
          <w:highlight w:val="none"/>
        </w:rPr>
      </w:pPr>
    </w:p>
    <w:p w14:paraId="1BAE5E6F">
      <w:pPr>
        <w:spacing w:line="900" w:lineRule="exact"/>
        <w:ind w:firstLine="3614" w:firstLineChars="500"/>
        <w:rPr>
          <w:rFonts w:asciiTheme="minorEastAsia" w:hAnsiTheme="minorEastAsia" w:eastAsiaTheme="minorEastAsia"/>
          <w:b/>
          <w:sz w:val="72"/>
          <w:highlight w:val="none"/>
        </w:rPr>
      </w:pPr>
      <w:r>
        <w:rPr>
          <w:rFonts w:hint="eastAsia" w:asciiTheme="minorEastAsia" w:hAnsiTheme="minorEastAsia" w:eastAsiaTheme="minorEastAsia"/>
          <w:b/>
          <w:sz w:val="72"/>
          <w:highlight w:val="none"/>
        </w:rPr>
        <w:t>文</w:t>
      </w:r>
    </w:p>
    <w:p w14:paraId="017FD623">
      <w:pPr>
        <w:spacing w:line="900" w:lineRule="exact"/>
        <w:ind w:firstLine="1446"/>
        <w:jc w:val="center"/>
        <w:rPr>
          <w:rFonts w:asciiTheme="minorEastAsia" w:hAnsiTheme="minorEastAsia" w:eastAsiaTheme="minorEastAsia"/>
          <w:b/>
          <w:sz w:val="72"/>
          <w:highlight w:val="none"/>
        </w:rPr>
      </w:pPr>
    </w:p>
    <w:p w14:paraId="09E2DDB9">
      <w:pPr>
        <w:ind w:firstLine="3614" w:firstLineChars="500"/>
        <w:rPr>
          <w:rFonts w:asciiTheme="minorEastAsia" w:hAnsiTheme="minorEastAsia" w:eastAsiaTheme="minorEastAsia"/>
          <w:b/>
          <w:sz w:val="72"/>
          <w:highlight w:val="none"/>
        </w:rPr>
      </w:pPr>
      <w:r>
        <w:rPr>
          <w:rFonts w:hint="eastAsia" w:asciiTheme="minorEastAsia" w:hAnsiTheme="minorEastAsia" w:eastAsiaTheme="minorEastAsia"/>
          <w:b/>
          <w:sz w:val="72"/>
          <w:highlight w:val="none"/>
        </w:rPr>
        <w:t>件</w:t>
      </w:r>
    </w:p>
    <w:p w14:paraId="32674A50">
      <w:pPr>
        <w:spacing w:after="156" w:afterLines="50"/>
        <w:ind w:firstLine="1446"/>
        <w:jc w:val="center"/>
        <w:rPr>
          <w:rFonts w:asciiTheme="minorEastAsia" w:hAnsiTheme="minorEastAsia" w:eastAsiaTheme="minorEastAsia"/>
          <w:b/>
          <w:sz w:val="72"/>
          <w:highlight w:val="none"/>
        </w:rPr>
      </w:pPr>
    </w:p>
    <w:p w14:paraId="13D6CAED">
      <w:pPr>
        <w:spacing w:after="156" w:afterLines="50" w:line="500" w:lineRule="exact"/>
        <w:ind w:firstLine="562"/>
        <w:jc w:val="center"/>
        <w:rPr>
          <w:rFonts w:asciiTheme="minorEastAsia" w:hAnsiTheme="minorEastAsia" w:eastAsiaTheme="minorEastAsia"/>
          <w:b/>
          <w:sz w:val="28"/>
          <w:szCs w:val="28"/>
          <w:highlight w:val="none"/>
        </w:rPr>
      </w:pPr>
    </w:p>
    <w:p w14:paraId="28D8D087">
      <w:pPr>
        <w:spacing w:after="156" w:afterLines="50" w:line="500" w:lineRule="exact"/>
        <w:ind w:firstLine="1446"/>
        <w:jc w:val="center"/>
        <w:rPr>
          <w:rFonts w:asciiTheme="minorEastAsia" w:hAnsiTheme="minorEastAsia" w:eastAsiaTheme="minorEastAsia"/>
          <w:b/>
          <w:sz w:val="72"/>
          <w:highlight w:val="none"/>
        </w:rPr>
      </w:pPr>
    </w:p>
    <w:p w14:paraId="100AD675">
      <w:pPr>
        <w:spacing w:after="156" w:afterLines="50" w:line="500" w:lineRule="exact"/>
        <w:ind w:firstLine="2522" w:firstLineChars="785"/>
        <w:rPr>
          <w:rFonts w:asciiTheme="minorEastAsia" w:hAnsiTheme="minorEastAsia" w:eastAsiaTheme="minorEastAsia"/>
          <w:b/>
          <w:sz w:val="32"/>
          <w:highlight w:val="none"/>
          <w:u w:val="single"/>
        </w:rPr>
      </w:pPr>
      <w:r>
        <w:rPr>
          <w:rFonts w:hint="eastAsia" w:asciiTheme="minorEastAsia" w:hAnsiTheme="minorEastAsia" w:eastAsiaTheme="minorEastAsia"/>
          <w:b/>
          <w:sz w:val="32"/>
          <w:highlight w:val="none"/>
        </w:rPr>
        <w:t>供应商：</w:t>
      </w:r>
      <w:r>
        <w:rPr>
          <w:rFonts w:hint="eastAsia" w:asciiTheme="minorEastAsia" w:hAnsiTheme="minorEastAsia" w:eastAsiaTheme="minorEastAsia"/>
          <w:b/>
          <w:sz w:val="32"/>
          <w:highlight w:val="none"/>
          <w:u w:val="single"/>
        </w:rPr>
        <w:t xml:space="preserve">               </w:t>
      </w:r>
    </w:p>
    <w:p w14:paraId="120A30E0">
      <w:pPr>
        <w:spacing w:after="156" w:afterLines="50" w:line="500" w:lineRule="exact"/>
        <w:ind w:firstLine="643"/>
        <w:jc w:val="center"/>
        <w:rPr>
          <w:rFonts w:asciiTheme="minorEastAsia" w:hAnsiTheme="minorEastAsia" w:eastAsiaTheme="minorEastAsia"/>
          <w:b/>
          <w:sz w:val="32"/>
          <w:highlight w:val="none"/>
        </w:rPr>
      </w:pPr>
      <w:r>
        <w:rPr>
          <w:rFonts w:hint="eastAsia" w:asciiTheme="minorEastAsia" w:hAnsiTheme="minorEastAsia" w:eastAsiaTheme="minorEastAsia"/>
          <w:b/>
          <w:sz w:val="32"/>
          <w:highlight w:val="none"/>
          <w:u w:val="single"/>
        </w:rPr>
        <w:t xml:space="preserve">    </w:t>
      </w:r>
      <w:r>
        <w:rPr>
          <w:rFonts w:hint="eastAsia" w:asciiTheme="minorEastAsia" w:hAnsiTheme="minorEastAsia" w:eastAsiaTheme="minorEastAsia"/>
          <w:b/>
          <w:sz w:val="32"/>
          <w:highlight w:val="none"/>
        </w:rPr>
        <w:t>年</w:t>
      </w:r>
      <w:r>
        <w:rPr>
          <w:rFonts w:hint="eastAsia" w:asciiTheme="minorEastAsia" w:hAnsiTheme="minorEastAsia" w:eastAsiaTheme="minorEastAsia"/>
          <w:b/>
          <w:sz w:val="32"/>
          <w:highlight w:val="none"/>
          <w:u w:val="single"/>
        </w:rPr>
        <w:t xml:space="preserve">  </w:t>
      </w:r>
      <w:r>
        <w:rPr>
          <w:rFonts w:hint="eastAsia" w:asciiTheme="minorEastAsia" w:hAnsiTheme="minorEastAsia" w:eastAsiaTheme="minorEastAsia"/>
          <w:b/>
          <w:sz w:val="32"/>
          <w:highlight w:val="none"/>
        </w:rPr>
        <w:t>月</w:t>
      </w:r>
      <w:r>
        <w:rPr>
          <w:rFonts w:hint="eastAsia" w:asciiTheme="minorEastAsia" w:hAnsiTheme="minorEastAsia" w:eastAsiaTheme="minorEastAsia"/>
          <w:b/>
          <w:sz w:val="32"/>
          <w:highlight w:val="none"/>
          <w:u w:val="single"/>
        </w:rPr>
        <w:t xml:space="preserve">  </w:t>
      </w:r>
      <w:r>
        <w:rPr>
          <w:rFonts w:hint="eastAsia" w:asciiTheme="minorEastAsia" w:hAnsiTheme="minorEastAsia" w:eastAsiaTheme="minorEastAsia"/>
          <w:b/>
          <w:sz w:val="32"/>
          <w:highlight w:val="none"/>
        </w:rPr>
        <w:t>日</w:t>
      </w:r>
    </w:p>
    <w:p w14:paraId="32C67895">
      <w:pPr>
        <w:widowControl/>
        <w:ind w:firstLine="562"/>
        <w:jc w:val="left"/>
        <w:rPr>
          <w:rFonts w:asciiTheme="minorEastAsia" w:hAnsiTheme="minorEastAsia" w:eastAsiaTheme="minorEastAsia"/>
          <w:b/>
          <w:sz w:val="28"/>
          <w:highlight w:val="none"/>
        </w:rPr>
      </w:pPr>
      <w:r>
        <w:rPr>
          <w:rFonts w:asciiTheme="minorEastAsia" w:hAnsiTheme="minorEastAsia" w:eastAsiaTheme="minorEastAsia"/>
          <w:b/>
          <w:sz w:val="28"/>
          <w:highlight w:val="none"/>
        </w:rPr>
        <w:br w:type="page"/>
      </w:r>
    </w:p>
    <w:p w14:paraId="30F59B17">
      <w:pPr>
        <w:ind w:firstLine="482"/>
        <w:jc w:val="center"/>
        <w:outlineLvl w:val="2"/>
        <w:rPr>
          <w:rFonts w:asciiTheme="minorEastAsia" w:hAnsiTheme="minorEastAsia" w:eastAsiaTheme="minorEastAsia"/>
          <w:b/>
          <w:highlight w:val="none"/>
        </w:rPr>
      </w:pPr>
      <w:bookmarkStart w:id="15" w:name="_Toc461053086"/>
      <w:bookmarkStart w:id="16" w:name="_Toc461056631"/>
      <w:bookmarkStart w:id="17" w:name="_Toc520983587"/>
      <w:r>
        <w:rPr>
          <w:rFonts w:hint="eastAsia" w:asciiTheme="minorEastAsia" w:hAnsiTheme="minorEastAsia" w:eastAsiaTheme="minorEastAsia"/>
          <w:b/>
          <w:highlight w:val="none"/>
        </w:rPr>
        <w:t>一</w:t>
      </w:r>
      <w:bookmarkEnd w:id="15"/>
      <w:bookmarkEnd w:id="16"/>
      <w:r>
        <w:rPr>
          <w:rFonts w:hint="eastAsia" w:asciiTheme="minorEastAsia" w:hAnsiTheme="minorEastAsia" w:eastAsiaTheme="minorEastAsia"/>
          <w:b/>
          <w:highlight w:val="none"/>
        </w:rPr>
        <w:t>、报价表格式</w:t>
      </w:r>
      <w:bookmarkEnd w:id="17"/>
    </w:p>
    <w:p w14:paraId="23A1494C">
      <w:pPr>
        <w:spacing w:before="156" w:beforeLines="50" w:after="156" w:afterLines="50"/>
        <w:ind w:firstLine="482"/>
        <w:jc w:val="left"/>
        <w:rPr>
          <w:rFonts w:cs="@仿宋_GB2312" w:asciiTheme="minorEastAsia" w:hAnsiTheme="minorEastAsia" w:eastAsiaTheme="minorEastAsia"/>
          <w:b/>
          <w:kern w:val="2"/>
          <w:szCs w:val="24"/>
          <w:highlight w:val="none"/>
        </w:rPr>
      </w:pPr>
      <w:r>
        <w:rPr>
          <w:rFonts w:hint="eastAsia" w:cs="@仿宋_GB2312" w:asciiTheme="minorEastAsia" w:hAnsiTheme="minorEastAsia" w:eastAsiaTheme="minorEastAsia"/>
          <w:b/>
          <w:kern w:val="2"/>
          <w:szCs w:val="24"/>
          <w:highlight w:val="none"/>
        </w:rPr>
        <w:t>1-1 报价表</w:t>
      </w:r>
    </w:p>
    <w:p w14:paraId="6AEDBFC0">
      <w:pPr>
        <w:snapToGrid w:val="0"/>
        <w:ind w:firstLine="482"/>
        <w:jc w:val="left"/>
        <w:rPr>
          <w:rFonts w:cs="宋体" w:asciiTheme="minorEastAsia" w:hAnsiTheme="minorEastAsia" w:eastAsiaTheme="minorEastAsia"/>
          <w:b/>
          <w:kern w:val="2"/>
          <w:szCs w:val="24"/>
          <w:highlight w:val="none"/>
        </w:rPr>
      </w:pPr>
      <w:r>
        <w:rPr>
          <w:rFonts w:hint="eastAsia" w:cs="宋体" w:asciiTheme="minorEastAsia" w:hAnsiTheme="minorEastAsia" w:eastAsiaTheme="minorEastAsia"/>
          <w:b/>
          <w:kern w:val="2"/>
          <w:szCs w:val="24"/>
          <w:highlight w:val="none"/>
        </w:rPr>
        <w:t>项目名称：</w:t>
      </w:r>
      <w:r>
        <w:rPr>
          <w:rFonts w:hint="eastAsia" w:cs="宋体" w:asciiTheme="minorEastAsia" w:hAnsiTheme="minorEastAsia" w:eastAsiaTheme="minorEastAsia"/>
          <w:b/>
          <w:kern w:val="2"/>
          <w:szCs w:val="24"/>
          <w:highlight w:val="none"/>
          <w:u w:val="single"/>
        </w:rPr>
        <w:t xml:space="preserve"> </w:t>
      </w:r>
      <w:r>
        <w:rPr>
          <w:rFonts w:hint="eastAsia" w:cs="宋体" w:asciiTheme="minorEastAsia" w:hAnsiTheme="minorEastAsia" w:eastAsiaTheme="minorEastAsia"/>
          <w:b/>
          <w:kern w:val="2"/>
          <w:szCs w:val="24"/>
          <w:highlight w:val="none"/>
          <w:u w:val="single"/>
          <w:lang w:eastAsia="zh-CN"/>
        </w:rPr>
        <w:t>肥西县桃花镇人民政府机关办公区物业服务采购项目</w:t>
      </w:r>
      <w:r>
        <w:rPr>
          <w:rFonts w:hint="eastAsia" w:cs="宋体" w:asciiTheme="minorEastAsia" w:hAnsiTheme="minorEastAsia" w:eastAsiaTheme="minorEastAsia"/>
          <w:b/>
          <w:kern w:val="2"/>
          <w:szCs w:val="24"/>
          <w:highlight w:val="none"/>
          <w:u w:val="single"/>
        </w:rPr>
        <w:t xml:space="preserve">    </w:t>
      </w:r>
    </w:p>
    <w:p w14:paraId="2C3BE5EE">
      <w:pPr>
        <w:snapToGrid w:val="0"/>
        <w:spacing w:after="156" w:afterLines="50"/>
        <w:ind w:firstLine="482"/>
        <w:jc w:val="left"/>
        <w:rPr>
          <w:rFonts w:cs="宋体" w:asciiTheme="minorEastAsia" w:hAnsiTheme="minorEastAsia" w:eastAsiaTheme="minorEastAsia"/>
          <w:b/>
          <w:bCs/>
          <w:kern w:val="2"/>
          <w:szCs w:val="24"/>
          <w:highlight w:val="none"/>
          <w:u w:val="single"/>
        </w:rPr>
      </w:pPr>
      <w:r>
        <w:rPr>
          <w:rFonts w:hint="eastAsia" w:cs="宋体" w:asciiTheme="minorEastAsia" w:hAnsiTheme="minorEastAsia" w:eastAsiaTheme="minorEastAsia"/>
          <w:b/>
          <w:kern w:val="2"/>
          <w:szCs w:val="24"/>
          <w:highlight w:val="none"/>
        </w:rPr>
        <w:t>项目编号：</w:t>
      </w:r>
      <w:r>
        <w:rPr>
          <w:rFonts w:hint="eastAsia" w:cs="宋体" w:asciiTheme="minorEastAsia" w:hAnsiTheme="minorEastAsia" w:eastAsiaTheme="minorEastAsia"/>
          <w:b/>
          <w:kern w:val="2"/>
          <w:szCs w:val="24"/>
          <w:highlight w:val="none"/>
          <w:u w:val="single"/>
        </w:rPr>
        <w:t xml:space="preserve"> </w:t>
      </w:r>
      <w:r>
        <w:rPr>
          <w:rFonts w:hint="eastAsia" w:cs="宋体" w:asciiTheme="minorEastAsia" w:hAnsiTheme="minorEastAsia" w:eastAsiaTheme="minorEastAsia"/>
          <w:b/>
          <w:kern w:val="2"/>
          <w:szCs w:val="24"/>
          <w:highlight w:val="none"/>
          <w:u w:val="single"/>
          <w:lang w:eastAsia="zh-CN"/>
        </w:rPr>
        <w:t>2026GSFN0004</w:t>
      </w:r>
      <w:r>
        <w:rPr>
          <w:rFonts w:hint="eastAsia" w:cs="宋体" w:asciiTheme="minorEastAsia" w:hAnsiTheme="minorEastAsia" w:eastAsiaTheme="minorEastAsia"/>
          <w:b/>
          <w:kern w:val="2"/>
          <w:szCs w:val="24"/>
          <w:highlight w:val="none"/>
          <w:u w:val="single"/>
        </w:rPr>
        <w:t xml:space="preserve">    </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8"/>
        <w:gridCol w:w="6064"/>
      </w:tblGrid>
      <w:tr w14:paraId="5E0EA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2A4E0AED">
            <w:pPr>
              <w:ind w:left="0" w:leftChars="0" w:firstLine="0" w:firstLineChars="0"/>
              <w:jc w:val="center"/>
              <w:rPr>
                <w:rFonts w:cs="宋体" w:asciiTheme="minorEastAsia" w:hAnsiTheme="minorEastAsia" w:eastAsiaTheme="minorEastAsia"/>
                <w:b/>
                <w:kern w:val="2"/>
                <w:szCs w:val="24"/>
                <w:highlight w:val="none"/>
              </w:rPr>
            </w:pPr>
            <w:r>
              <w:rPr>
                <w:rFonts w:hint="eastAsia" w:cs="宋体" w:asciiTheme="minorEastAsia" w:hAnsiTheme="minorEastAsia" w:eastAsiaTheme="minorEastAsia"/>
                <w:b/>
                <w:kern w:val="2"/>
                <w:szCs w:val="24"/>
                <w:highlight w:val="none"/>
              </w:rPr>
              <w:t>供应商名称</w:t>
            </w:r>
          </w:p>
        </w:tc>
        <w:tc>
          <w:tcPr>
            <w:tcW w:w="3558" w:type="pct"/>
            <w:tcBorders>
              <w:left w:val="single" w:color="auto" w:sz="4" w:space="0"/>
            </w:tcBorders>
          </w:tcPr>
          <w:p w14:paraId="2FE6592E">
            <w:pPr>
              <w:ind w:left="0" w:leftChars="0" w:firstLine="0" w:firstLineChars="0"/>
              <w:rPr>
                <w:rFonts w:cs="宋体" w:asciiTheme="minorEastAsia" w:hAnsiTheme="minorEastAsia" w:eastAsiaTheme="minorEastAsia"/>
                <w:b/>
                <w:kern w:val="2"/>
                <w:szCs w:val="24"/>
                <w:highlight w:val="none"/>
              </w:rPr>
            </w:pPr>
          </w:p>
        </w:tc>
      </w:tr>
      <w:tr w14:paraId="0327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587AAB7C">
            <w:pPr>
              <w:ind w:left="0" w:leftChars="0" w:firstLine="0" w:firstLineChars="0"/>
              <w:jc w:val="center"/>
              <w:rPr>
                <w:rFonts w:cs="宋体" w:asciiTheme="minorEastAsia" w:hAnsiTheme="minorEastAsia" w:eastAsiaTheme="minorEastAsia"/>
                <w:b/>
                <w:kern w:val="2"/>
                <w:szCs w:val="24"/>
                <w:highlight w:val="none"/>
              </w:rPr>
            </w:pPr>
            <w:r>
              <w:rPr>
                <w:rFonts w:hint="eastAsia" w:cs="宋体" w:asciiTheme="minorEastAsia" w:hAnsiTheme="minorEastAsia" w:eastAsiaTheme="minorEastAsia"/>
                <w:b/>
                <w:bCs/>
                <w:kern w:val="2"/>
                <w:szCs w:val="24"/>
                <w:highlight w:val="none"/>
              </w:rPr>
              <w:t>磋商</w:t>
            </w:r>
            <w:r>
              <w:rPr>
                <w:rFonts w:hint="eastAsia" w:cs="宋体" w:asciiTheme="minorEastAsia" w:hAnsiTheme="minorEastAsia" w:eastAsiaTheme="minorEastAsia"/>
                <w:b/>
                <w:kern w:val="2"/>
                <w:szCs w:val="24"/>
                <w:highlight w:val="none"/>
              </w:rPr>
              <w:t>范围</w:t>
            </w:r>
          </w:p>
        </w:tc>
        <w:tc>
          <w:tcPr>
            <w:tcW w:w="3558" w:type="pct"/>
            <w:tcBorders>
              <w:left w:val="single" w:color="auto" w:sz="4" w:space="0"/>
            </w:tcBorders>
            <w:vAlign w:val="center"/>
          </w:tcPr>
          <w:p w14:paraId="4E50AF54">
            <w:pPr>
              <w:widowControl/>
              <w:ind w:left="0" w:leftChars="0" w:firstLine="0" w:firstLineChars="0"/>
              <w:rPr>
                <w:rFonts w:cs="宋体" w:asciiTheme="minorEastAsia" w:hAnsiTheme="minorEastAsia" w:eastAsiaTheme="minorEastAsia"/>
                <w:b/>
                <w:kern w:val="2"/>
                <w:szCs w:val="24"/>
                <w:highlight w:val="none"/>
              </w:rPr>
            </w:pPr>
            <w:r>
              <w:rPr>
                <w:rFonts w:hint="eastAsia" w:cs="@仿宋_GB2312" w:asciiTheme="minorEastAsia" w:hAnsiTheme="minorEastAsia" w:eastAsiaTheme="minorEastAsia"/>
                <w:kern w:val="2"/>
                <w:szCs w:val="28"/>
                <w:highlight w:val="none"/>
              </w:rPr>
              <w:t>全部</w:t>
            </w:r>
          </w:p>
        </w:tc>
      </w:tr>
      <w:tr w14:paraId="3937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2" w:type="pct"/>
            <w:tcBorders>
              <w:top w:val="single" w:color="auto" w:sz="4" w:space="0"/>
            </w:tcBorders>
            <w:vAlign w:val="center"/>
          </w:tcPr>
          <w:p w14:paraId="11F10DF1">
            <w:pPr>
              <w:ind w:left="0" w:leftChars="0" w:firstLine="0" w:firstLineChars="0"/>
              <w:jc w:val="center"/>
              <w:rPr>
                <w:rFonts w:cs="宋体" w:asciiTheme="minorEastAsia" w:hAnsiTheme="minorEastAsia" w:eastAsiaTheme="minorEastAsia"/>
                <w:b/>
                <w:kern w:val="2"/>
                <w:szCs w:val="24"/>
                <w:highlight w:val="none"/>
              </w:rPr>
            </w:pPr>
            <w:r>
              <w:rPr>
                <w:rFonts w:hint="eastAsia" w:cs="@仿宋_GB2312"/>
                <w:b/>
                <w:kern w:val="2"/>
                <w:highlight w:val="none"/>
              </w:rPr>
              <w:t>报价</w:t>
            </w:r>
          </w:p>
        </w:tc>
        <w:tc>
          <w:tcPr>
            <w:tcW w:w="3558" w:type="pct"/>
            <w:vAlign w:val="center"/>
          </w:tcPr>
          <w:p w14:paraId="3E62776F">
            <w:pPr>
              <w:snapToGrid w:val="0"/>
              <w:ind w:firstLine="0" w:firstLineChars="0"/>
              <w:rPr>
                <w:rFonts w:hint="default" w:eastAsia="宋体" w:cs="宋体"/>
                <w:kern w:val="2"/>
                <w:szCs w:val="24"/>
                <w:highlight w:val="none"/>
                <w:u w:val="single"/>
                <w:lang w:val="en-US" w:eastAsia="zh-CN"/>
              </w:rPr>
            </w:pPr>
            <w:r>
              <w:rPr>
                <w:rFonts w:hint="eastAsia" w:cs="宋体"/>
                <w:kern w:val="2"/>
                <w:szCs w:val="24"/>
                <w:highlight w:val="none"/>
              </w:rPr>
              <w:t>人民币大写：</w:t>
            </w:r>
            <w:r>
              <w:rPr>
                <w:rFonts w:hint="eastAsia" w:cs="宋体"/>
                <w:kern w:val="2"/>
                <w:szCs w:val="24"/>
                <w:highlight w:val="none"/>
                <w:u w:val="single"/>
                <w:lang w:val="en-US" w:eastAsia="zh-CN"/>
              </w:rPr>
              <w:t xml:space="preserve">                 </w:t>
            </w:r>
          </w:p>
          <w:p w14:paraId="082EE995">
            <w:pPr>
              <w:pStyle w:val="26"/>
              <w:spacing w:line="360" w:lineRule="auto"/>
              <w:ind w:left="0" w:leftChars="0" w:firstLine="0" w:firstLineChars="0"/>
              <w:rPr>
                <w:rFonts w:hint="default" w:cs="宋体" w:asciiTheme="minorEastAsia" w:hAnsiTheme="minorEastAsia"/>
                <w:b/>
                <w:kern w:val="2"/>
                <w:highlight w:val="none"/>
                <w:u w:val="none"/>
                <w:lang w:val="en-US" w:eastAsia="zh-CN"/>
              </w:rPr>
            </w:pPr>
            <w:r>
              <w:rPr>
                <w:rFonts w:hint="eastAsia"/>
                <w:highlight w:val="none"/>
                <w:lang w:val="en-US" w:eastAsia="zh-CN"/>
              </w:rPr>
              <w:t>人民币</w:t>
            </w:r>
            <w:r>
              <w:rPr>
                <w:rFonts w:hint="eastAsia"/>
                <w:highlight w:val="none"/>
                <w:lang w:val="en-US"/>
              </w:rPr>
              <w:t>小写：</w:t>
            </w:r>
            <w:r>
              <w:rPr>
                <w:rFonts w:hint="eastAsia"/>
                <w:highlight w:val="none"/>
                <w:u w:val="single"/>
                <w:lang w:val="en-US" w:eastAsia="zh-CN"/>
              </w:rPr>
              <w:t xml:space="preserve">                 </w:t>
            </w:r>
          </w:p>
        </w:tc>
      </w:tr>
      <w:tr w14:paraId="379E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442" w:type="pct"/>
            <w:tcBorders>
              <w:top w:val="single" w:color="auto" w:sz="4" w:space="0"/>
            </w:tcBorders>
            <w:vAlign w:val="center"/>
          </w:tcPr>
          <w:p w14:paraId="536C36CF">
            <w:pPr>
              <w:snapToGrid w:val="0"/>
              <w:ind w:left="0" w:leftChars="0" w:firstLine="0" w:firstLineChars="0"/>
              <w:jc w:val="center"/>
              <w:rPr>
                <w:rFonts w:cs="宋体" w:asciiTheme="minorEastAsia" w:hAnsiTheme="minorEastAsia" w:eastAsiaTheme="minorEastAsia"/>
                <w:b/>
                <w:strike/>
                <w:kern w:val="2"/>
                <w:szCs w:val="24"/>
                <w:highlight w:val="none"/>
              </w:rPr>
            </w:pPr>
            <w:r>
              <w:rPr>
                <w:rFonts w:hint="eastAsia" w:cs="宋体" w:asciiTheme="minorEastAsia" w:hAnsiTheme="minorEastAsia" w:eastAsiaTheme="minorEastAsia"/>
                <w:b/>
                <w:kern w:val="2"/>
                <w:szCs w:val="24"/>
                <w:highlight w:val="none"/>
              </w:rPr>
              <w:t>服务期限</w:t>
            </w:r>
          </w:p>
        </w:tc>
        <w:tc>
          <w:tcPr>
            <w:tcW w:w="3558" w:type="pct"/>
            <w:vAlign w:val="center"/>
          </w:tcPr>
          <w:p w14:paraId="666B6362">
            <w:pPr>
              <w:snapToGrid w:val="0"/>
              <w:ind w:left="0" w:leftChars="0" w:firstLine="0" w:firstLineChars="0"/>
              <w:rPr>
                <w:rFonts w:cs="宋体" w:asciiTheme="minorEastAsia" w:hAnsiTheme="minorEastAsia" w:eastAsiaTheme="minorEastAsia"/>
                <w:b/>
                <w:strike/>
                <w:kern w:val="2"/>
                <w:szCs w:val="24"/>
                <w:highlight w:val="none"/>
              </w:rPr>
            </w:pPr>
          </w:p>
        </w:tc>
      </w:tr>
      <w:tr w14:paraId="1253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1442" w:type="pct"/>
            <w:vAlign w:val="center"/>
          </w:tcPr>
          <w:p w14:paraId="320551BB">
            <w:pPr>
              <w:ind w:left="0" w:leftChars="0" w:firstLine="0" w:firstLineChars="0"/>
              <w:jc w:val="center"/>
              <w:rPr>
                <w:rFonts w:cs="宋体" w:asciiTheme="minorEastAsia" w:hAnsiTheme="minorEastAsia" w:eastAsiaTheme="minorEastAsia"/>
                <w:b/>
                <w:kern w:val="2"/>
                <w:szCs w:val="24"/>
                <w:highlight w:val="none"/>
              </w:rPr>
            </w:pPr>
            <w:r>
              <w:rPr>
                <w:rFonts w:hint="eastAsia" w:cs="宋体" w:asciiTheme="minorEastAsia" w:hAnsiTheme="minorEastAsia" w:eastAsiaTheme="minorEastAsia"/>
                <w:b/>
                <w:kern w:val="2"/>
                <w:szCs w:val="24"/>
                <w:highlight w:val="none"/>
              </w:rPr>
              <w:t>备注说明</w:t>
            </w:r>
          </w:p>
        </w:tc>
        <w:tc>
          <w:tcPr>
            <w:tcW w:w="3558" w:type="pct"/>
          </w:tcPr>
          <w:p w14:paraId="181F61E7">
            <w:pPr>
              <w:ind w:left="0" w:leftChars="0" w:firstLine="0" w:firstLineChars="0"/>
              <w:rPr>
                <w:rFonts w:cs="宋体" w:asciiTheme="minorEastAsia" w:hAnsiTheme="minorEastAsia" w:eastAsiaTheme="minorEastAsia"/>
                <w:b/>
                <w:kern w:val="2"/>
                <w:szCs w:val="24"/>
                <w:highlight w:val="none"/>
              </w:rPr>
            </w:pPr>
            <w:r>
              <w:rPr>
                <w:rFonts w:hint="eastAsia" w:cs="宋体" w:asciiTheme="minorEastAsia" w:hAnsiTheme="minorEastAsia" w:eastAsiaTheme="minorEastAsia"/>
                <w:b/>
                <w:kern w:val="2"/>
                <w:szCs w:val="24"/>
                <w:highlight w:val="none"/>
              </w:rPr>
              <w:t>本项目无二次报价</w:t>
            </w:r>
          </w:p>
        </w:tc>
      </w:tr>
    </w:tbl>
    <w:p w14:paraId="6F8B3870">
      <w:pPr>
        <w:spacing w:line="440" w:lineRule="exact"/>
        <w:ind w:firstLine="4800" w:firstLineChars="2000"/>
        <w:rPr>
          <w:rFonts w:cs="@仿宋_GB2312"/>
          <w:kern w:val="2"/>
          <w:szCs w:val="24"/>
          <w:highlight w:val="none"/>
          <w:u w:val="single"/>
        </w:rPr>
      </w:pPr>
      <w:r>
        <w:rPr>
          <w:rFonts w:hint="eastAsia" w:cs="@仿宋_GB2312"/>
          <w:kern w:val="2"/>
          <w:szCs w:val="24"/>
          <w:highlight w:val="none"/>
        </w:rPr>
        <w:t>供应商电子签章或公章：</w:t>
      </w:r>
      <w:r>
        <w:rPr>
          <w:rFonts w:hint="eastAsia" w:cs="@仿宋_GB2312"/>
          <w:kern w:val="2"/>
          <w:szCs w:val="24"/>
          <w:highlight w:val="none"/>
          <w:u w:val="single"/>
        </w:rPr>
        <w:t xml:space="preserve">     </w:t>
      </w:r>
      <w:r>
        <w:rPr>
          <w:rFonts w:cs="@仿宋_GB2312"/>
          <w:kern w:val="2"/>
          <w:szCs w:val="24"/>
          <w:highlight w:val="none"/>
          <w:u w:val="single"/>
        </w:rPr>
        <w:t xml:space="preserve">    </w:t>
      </w:r>
      <w:r>
        <w:rPr>
          <w:rFonts w:hint="eastAsia" w:cs="@仿宋_GB2312"/>
          <w:kern w:val="2"/>
          <w:szCs w:val="24"/>
          <w:highlight w:val="none"/>
          <w:u w:val="single"/>
        </w:rPr>
        <w:t xml:space="preserve">    </w:t>
      </w:r>
    </w:p>
    <w:p w14:paraId="65A9E8DB">
      <w:pPr>
        <w:spacing w:line="440" w:lineRule="exact"/>
        <w:ind w:firstLine="4800" w:firstLineChars="2000"/>
        <w:rPr>
          <w:rFonts w:cs="@仿宋_GB2312"/>
          <w:kern w:val="2"/>
          <w:szCs w:val="24"/>
          <w:highlight w:val="none"/>
          <w:u w:val="single"/>
        </w:rPr>
      </w:pPr>
      <w:r>
        <w:rPr>
          <w:rFonts w:hint="eastAsia" w:cs="@仿宋_GB2312"/>
          <w:kern w:val="2"/>
          <w:szCs w:val="24"/>
          <w:highlight w:val="none"/>
        </w:rPr>
        <w:t xml:space="preserve">日     </w:t>
      </w:r>
      <w:r>
        <w:rPr>
          <w:rFonts w:cs="@仿宋_GB2312"/>
          <w:kern w:val="2"/>
          <w:szCs w:val="24"/>
          <w:highlight w:val="none"/>
        </w:rPr>
        <w:t xml:space="preserve">    </w:t>
      </w:r>
      <w:r>
        <w:rPr>
          <w:rFonts w:hint="eastAsia" w:cs="@仿宋_GB2312"/>
          <w:kern w:val="2"/>
          <w:szCs w:val="24"/>
          <w:highlight w:val="none"/>
        </w:rPr>
        <w:t xml:space="preserve"> 期：</w:t>
      </w:r>
      <w:r>
        <w:rPr>
          <w:rFonts w:hint="eastAsia" w:cs="@仿宋_GB2312"/>
          <w:kern w:val="2"/>
          <w:szCs w:val="24"/>
          <w:highlight w:val="none"/>
          <w:u w:val="single"/>
        </w:rPr>
        <w:t xml:space="preserve">             </w:t>
      </w:r>
    </w:p>
    <w:p w14:paraId="42961E49">
      <w:pPr>
        <w:adjustRightInd w:val="0"/>
        <w:snapToGrid w:val="0"/>
        <w:ind w:firstLine="482"/>
        <w:rPr>
          <w:rFonts w:cs="宋体" w:asciiTheme="minorEastAsia" w:hAnsiTheme="minorEastAsia" w:eastAsiaTheme="minorEastAsia"/>
          <w:b/>
          <w:bCs/>
          <w:kern w:val="2"/>
          <w:szCs w:val="24"/>
          <w:highlight w:val="none"/>
        </w:rPr>
      </w:pPr>
      <w:r>
        <w:rPr>
          <w:rFonts w:hint="eastAsia" w:cs="宋体" w:asciiTheme="minorEastAsia" w:hAnsiTheme="minorEastAsia" w:eastAsiaTheme="minorEastAsia"/>
          <w:b/>
          <w:bCs/>
          <w:kern w:val="2"/>
          <w:szCs w:val="24"/>
          <w:highlight w:val="none"/>
        </w:rPr>
        <w:t>注：</w:t>
      </w:r>
    </w:p>
    <w:p w14:paraId="0977216E">
      <w:pPr>
        <w:adjustRightInd w:val="0"/>
        <w:snapToGrid w:val="0"/>
        <w:ind w:firstLine="482"/>
        <w:rPr>
          <w:rFonts w:cs="宋体" w:asciiTheme="minorEastAsia" w:hAnsiTheme="minorEastAsia" w:eastAsiaTheme="minorEastAsia"/>
          <w:kern w:val="2"/>
          <w:szCs w:val="24"/>
          <w:highlight w:val="none"/>
        </w:rPr>
      </w:pPr>
      <w:r>
        <w:rPr>
          <w:rFonts w:hint="eastAsia" w:cs="宋体" w:asciiTheme="minorEastAsia" w:hAnsiTheme="minorEastAsia" w:eastAsiaTheme="minorEastAsia"/>
          <w:b/>
          <w:bCs/>
          <w:kern w:val="2"/>
          <w:szCs w:val="24"/>
          <w:highlight w:val="none"/>
        </w:rPr>
        <w:t>1.本表内容根据磋商文件要求包括了磋商文件要求提供的全部内容的所有费用。</w:t>
      </w:r>
    </w:p>
    <w:p w14:paraId="5A836388">
      <w:pPr>
        <w:adjustRightInd w:val="0"/>
        <w:snapToGrid w:val="0"/>
        <w:ind w:firstLine="482"/>
        <w:rPr>
          <w:rFonts w:cs="宋体" w:asciiTheme="minorEastAsia" w:hAnsiTheme="minorEastAsia" w:eastAsiaTheme="minorEastAsia"/>
          <w:b/>
          <w:bCs/>
          <w:kern w:val="2"/>
          <w:szCs w:val="24"/>
          <w:highlight w:val="none"/>
        </w:rPr>
      </w:pPr>
      <w:r>
        <w:rPr>
          <w:rFonts w:hint="eastAsia" w:cs="宋体" w:asciiTheme="minorEastAsia" w:hAnsiTheme="minorEastAsia" w:eastAsiaTheme="minorEastAsia"/>
          <w:b/>
          <w:bCs/>
          <w:kern w:val="2"/>
          <w:szCs w:val="24"/>
          <w:highlight w:val="none"/>
        </w:rPr>
        <w:t>2.特殊事项在备注</w:t>
      </w:r>
      <w:r>
        <w:rPr>
          <w:rFonts w:hint="eastAsia" w:cs="宋体" w:asciiTheme="minorEastAsia" w:hAnsiTheme="minorEastAsia" w:eastAsiaTheme="minorEastAsia"/>
          <w:b/>
          <w:kern w:val="2"/>
          <w:szCs w:val="24"/>
          <w:highlight w:val="none"/>
        </w:rPr>
        <w:t>说明</w:t>
      </w:r>
      <w:r>
        <w:rPr>
          <w:rFonts w:hint="eastAsia" w:cs="宋体" w:asciiTheme="minorEastAsia" w:hAnsiTheme="minorEastAsia" w:eastAsiaTheme="minorEastAsia"/>
          <w:b/>
          <w:bCs/>
          <w:kern w:val="2"/>
          <w:szCs w:val="24"/>
          <w:highlight w:val="none"/>
        </w:rPr>
        <w:t>中注明。</w:t>
      </w:r>
    </w:p>
    <w:p w14:paraId="0DBFA324">
      <w:pPr>
        <w:adjustRightInd w:val="0"/>
        <w:snapToGrid w:val="0"/>
        <w:ind w:firstLine="482"/>
        <w:rPr>
          <w:rFonts w:cs="宋体" w:asciiTheme="minorEastAsia" w:hAnsiTheme="minorEastAsia" w:eastAsiaTheme="minorEastAsia"/>
          <w:b/>
          <w:bCs/>
          <w:kern w:val="2"/>
          <w:szCs w:val="24"/>
          <w:highlight w:val="none"/>
        </w:rPr>
      </w:pPr>
      <w:r>
        <w:rPr>
          <w:rFonts w:cs="宋体" w:asciiTheme="minorEastAsia" w:hAnsiTheme="minorEastAsia" w:eastAsiaTheme="minorEastAsia"/>
          <w:b/>
          <w:bCs/>
          <w:kern w:val="2"/>
          <w:szCs w:val="24"/>
          <w:highlight w:val="none"/>
        </w:rPr>
        <w:br w:type="page"/>
      </w:r>
    </w:p>
    <w:p w14:paraId="2A415AD0">
      <w:pPr>
        <w:ind w:firstLine="482"/>
        <w:jc w:val="center"/>
        <w:outlineLvl w:val="2"/>
        <w:rPr>
          <w:rFonts w:cs="宋体"/>
          <w:sz w:val="32"/>
          <w:szCs w:val="32"/>
          <w:highlight w:val="none"/>
        </w:rPr>
      </w:pPr>
      <w:bookmarkStart w:id="18" w:name="_Toc520983591"/>
      <w:r>
        <w:rPr>
          <w:rFonts w:hint="eastAsia" w:asciiTheme="minorEastAsia" w:hAnsiTheme="minorEastAsia" w:eastAsiaTheme="minorEastAsia"/>
          <w:b/>
          <w:highlight w:val="none"/>
        </w:rPr>
        <w:t>二、供应商综合情况简介</w:t>
      </w:r>
    </w:p>
    <w:p w14:paraId="4669B6B0">
      <w:pPr>
        <w:spacing w:before="156" w:beforeLines="50" w:after="156" w:afterLines="50"/>
        <w:ind w:firstLine="235" w:firstLineChars="98"/>
        <w:jc w:val="center"/>
        <w:rPr>
          <w:rFonts w:cs="Times New Roman"/>
          <w:szCs w:val="28"/>
          <w:highlight w:val="none"/>
        </w:rPr>
      </w:pPr>
      <w:r>
        <w:rPr>
          <w:rFonts w:hint="eastAsia" w:cs="Times New Roman"/>
          <w:szCs w:val="28"/>
          <w:highlight w:val="none"/>
        </w:rPr>
        <w:t>（</w:t>
      </w:r>
      <w:r>
        <w:rPr>
          <w:rFonts w:hint="eastAsia" w:cs="Times New Roman"/>
          <w:szCs w:val="18"/>
          <w:highlight w:val="none"/>
        </w:rPr>
        <w:t>供应商</w:t>
      </w:r>
      <w:r>
        <w:rPr>
          <w:rFonts w:hint="eastAsia" w:cs="Times New Roman"/>
          <w:szCs w:val="28"/>
          <w:highlight w:val="none"/>
        </w:rPr>
        <w:t>可自行制作格式）</w:t>
      </w:r>
    </w:p>
    <w:p w14:paraId="66EE537F">
      <w:pPr>
        <w:widowControl/>
        <w:ind w:firstLine="482"/>
        <w:jc w:val="left"/>
        <w:rPr>
          <w:rFonts w:asciiTheme="minorEastAsia" w:hAnsiTheme="minorEastAsia" w:eastAsiaTheme="minorEastAsia"/>
          <w:b/>
          <w:highlight w:val="none"/>
        </w:rPr>
      </w:pPr>
    </w:p>
    <w:p w14:paraId="7C3DD53F">
      <w:pPr>
        <w:widowControl/>
        <w:ind w:firstLine="482"/>
        <w:jc w:val="left"/>
        <w:rPr>
          <w:rFonts w:asciiTheme="minorEastAsia" w:hAnsiTheme="minorEastAsia" w:eastAsiaTheme="minorEastAsia"/>
          <w:b/>
          <w:highlight w:val="none"/>
        </w:rPr>
      </w:pPr>
      <w:r>
        <w:rPr>
          <w:rFonts w:hint="eastAsia" w:asciiTheme="minorEastAsia" w:hAnsiTheme="minorEastAsia" w:eastAsiaTheme="minorEastAsia"/>
          <w:b/>
          <w:highlight w:val="none"/>
        </w:rPr>
        <w:br w:type="page"/>
      </w:r>
    </w:p>
    <w:p w14:paraId="0B095133">
      <w:pPr>
        <w:ind w:firstLine="482"/>
        <w:jc w:val="center"/>
        <w:outlineLvl w:val="2"/>
        <w:rPr>
          <w:rFonts w:asciiTheme="minorEastAsia" w:hAnsiTheme="minorEastAsia" w:eastAsiaTheme="minorEastAsia"/>
          <w:b/>
          <w:highlight w:val="none"/>
        </w:rPr>
      </w:pPr>
      <w:r>
        <w:rPr>
          <w:rFonts w:hint="eastAsia" w:asciiTheme="minorEastAsia" w:hAnsiTheme="minorEastAsia" w:eastAsiaTheme="minorEastAsia"/>
          <w:b/>
          <w:highlight w:val="none"/>
        </w:rPr>
        <w:t>三、磋商响应函</w:t>
      </w:r>
    </w:p>
    <w:p w14:paraId="18BCA12D">
      <w:pPr>
        <w:ind w:left="0" w:leftChars="0" w:firstLine="0" w:firstLineChars="0"/>
        <w:rPr>
          <w:rFonts w:hint="eastAsia" w:cs="宋体" w:asciiTheme="minorEastAsia" w:hAnsiTheme="minorEastAsia" w:eastAsiaTheme="minorEastAsia"/>
          <w:b/>
          <w:kern w:val="2"/>
          <w:szCs w:val="24"/>
          <w:highlight w:val="none"/>
          <w:u w:val="single"/>
          <w:lang w:eastAsia="zh-CN"/>
        </w:rPr>
      </w:pPr>
      <w:r>
        <w:rPr>
          <w:rFonts w:hint="eastAsia" w:cs="宋体" w:asciiTheme="minorEastAsia" w:hAnsiTheme="minorEastAsia" w:eastAsiaTheme="minorEastAsia"/>
          <w:b/>
          <w:kern w:val="2"/>
          <w:szCs w:val="24"/>
          <w:highlight w:val="none"/>
        </w:rPr>
        <w:t>致：</w:t>
      </w:r>
      <w:r>
        <w:rPr>
          <w:rFonts w:hint="eastAsia" w:cs="宋体" w:asciiTheme="minorEastAsia" w:hAnsiTheme="minorEastAsia" w:eastAsiaTheme="minorEastAsia"/>
          <w:b/>
          <w:kern w:val="2"/>
          <w:szCs w:val="24"/>
          <w:highlight w:val="none"/>
          <w:u w:val="single"/>
          <w:lang w:eastAsia="zh-CN"/>
        </w:rPr>
        <w:t xml:space="preserve">肥西县桃花镇人民政府 </w:t>
      </w:r>
    </w:p>
    <w:p w14:paraId="530C9AE4">
      <w:pPr>
        <w:ind w:left="0" w:leftChars="0" w:firstLine="482" w:firstLineChars="200"/>
        <w:rPr>
          <w:rFonts w:cs="宋体" w:asciiTheme="minorEastAsia" w:hAnsiTheme="minorEastAsia" w:eastAsiaTheme="minorEastAsia"/>
          <w:b/>
          <w:kern w:val="2"/>
          <w:szCs w:val="24"/>
          <w:highlight w:val="none"/>
        </w:rPr>
      </w:pPr>
      <w:r>
        <w:rPr>
          <w:rFonts w:hint="eastAsia" w:cs="宋体" w:asciiTheme="minorEastAsia" w:hAnsiTheme="minorEastAsia" w:eastAsiaTheme="minorEastAsia"/>
          <w:b/>
          <w:kern w:val="2"/>
          <w:szCs w:val="24"/>
          <w:highlight w:val="none"/>
          <w:u w:val="single"/>
        </w:rPr>
        <w:t>肥西县公共资源交易有限责任公司</w:t>
      </w:r>
    </w:p>
    <w:p w14:paraId="4CA62473">
      <w:pPr>
        <w:ind w:firstLine="480"/>
        <w:rPr>
          <w:rFonts w:cs="宋体" w:asciiTheme="minorEastAsia" w:hAnsiTheme="minorEastAsia" w:eastAsiaTheme="minorEastAsia"/>
          <w:kern w:val="2"/>
          <w:szCs w:val="24"/>
          <w:highlight w:val="none"/>
        </w:rPr>
      </w:pPr>
      <w:r>
        <w:rPr>
          <w:rFonts w:hint="eastAsia" w:cs="宋体" w:asciiTheme="minorEastAsia" w:hAnsiTheme="minorEastAsia" w:eastAsiaTheme="minorEastAsia"/>
          <w:kern w:val="2"/>
          <w:szCs w:val="24"/>
          <w:highlight w:val="none"/>
        </w:rPr>
        <w:t>根据贵方的磋商文件，我方承诺如下：</w:t>
      </w:r>
    </w:p>
    <w:p w14:paraId="0810E1F2">
      <w:pPr>
        <w:ind w:firstLine="480"/>
        <w:rPr>
          <w:rFonts w:cs="宋体" w:asciiTheme="minorEastAsia" w:hAnsiTheme="minorEastAsia" w:eastAsiaTheme="minorEastAsia"/>
          <w:kern w:val="2"/>
          <w:szCs w:val="24"/>
          <w:highlight w:val="none"/>
          <w:u w:val="single"/>
        </w:rPr>
      </w:pPr>
      <w:r>
        <w:rPr>
          <w:rFonts w:hint="eastAsia" w:cs="宋体" w:asciiTheme="minorEastAsia" w:hAnsiTheme="minorEastAsia" w:eastAsiaTheme="minorEastAsia"/>
          <w:kern w:val="2"/>
          <w:szCs w:val="24"/>
          <w:highlight w:val="none"/>
        </w:rPr>
        <w:t>1.经踏勘项目现场和研究上述磋商文件的磋商须知、合同条款、业主单位要求及其他有关文件后，我方接受上述文件要求。我方</w:t>
      </w:r>
      <w:r>
        <w:rPr>
          <w:rFonts w:hint="eastAsia" w:cs="宋体" w:asciiTheme="minorEastAsia" w:hAnsiTheme="minorEastAsia" w:eastAsiaTheme="minorEastAsia"/>
          <w:bCs/>
          <w:kern w:val="2"/>
          <w:szCs w:val="24"/>
          <w:highlight w:val="none"/>
        </w:rPr>
        <w:t>承诺按本磋商文件、合同条款和业主单位要求承担上述项目的全部内容。</w:t>
      </w:r>
    </w:p>
    <w:p w14:paraId="0CF1F498">
      <w:pPr>
        <w:ind w:firstLine="480"/>
        <w:rPr>
          <w:rFonts w:cs="宋体" w:asciiTheme="minorEastAsia" w:hAnsiTheme="minorEastAsia" w:eastAsiaTheme="minorEastAsia"/>
          <w:kern w:val="2"/>
          <w:szCs w:val="24"/>
          <w:highlight w:val="none"/>
        </w:rPr>
      </w:pPr>
      <w:r>
        <w:rPr>
          <w:rFonts w:hint="eastAsia" w:cs="宋体" w:asciiTheme="minorEastAsia" w:hAnsiTheme="minorEastAsia" w:eastAsiaTheme="minorEastAsia"/>
          <w:kern w:val="2"/>
          <w:szCs w:val="24"/>
          <w:highlight w:val="none"/>
        </w:rPr>
        <w:t>2.我方已详细审核全部磋商文件，包括磋商文件的补疑、澄清、变更或补充（如有），参考资料及有关附件，我方正式认可并遵守本次磋商文件，并对磋商文件各项条款（包括磋商时间）、规定及要求均无异议。且我方自愿放弃针对上述各项条款提出异议的权利。</w:t>
      </w:r>
    </w:p>
    <w:p w14:paraId="62773EFF">
      <w:pPr>
        <w:ind w:firstLine="480"/>
        <w:rPr>
          <w:highlight w:val="none"/>
        </w:rPr>
      </w:pPr>
      <w:r>
        <w:rPr>
          <w:rFonts w:hint="eastAsia"/>
          <w:highlight w:val="none"/>
        </w:rPr>
        <w:t>3.如我方成交，我方承诺愿意按磋商文件规定缴纳履约保证金和代理费用。按本次磋商文件规定及</w:t>
      </w:r>
      <w:r>
        <w:rPr>
          <w:rFonts w:cs="宋体"/>
          <w:szCs w:val="24"/>
          <w:highlight w:val="none"/>
        </w:rPr>
        <w:t>最终报价</w:t>
      </w:r>
      <w:r>
        <w:rPr>
          <w:rFonts w:hint="eastAsia"/>
          <w:highlight w:val="none"/>
        </w:rPr>
        <w:t>承诺提供服务。</w:t>
      </w:r>
    </w:p>
    <w:p w14:paraId="3D58C025">
      <w:pPr>
        <w:ind w:firstLine="480"/>
        <w:rPr>
          <w:highlight w:val="none"/>
        </w:rPr>
      </w:pPr>
      <w:r>
        <w:rPr>
          <w:rFonts w:hint="eastAsia"/>
          <w:highlight w:val="none"/>
        </w:rPr>
        <w:t>4.我方根据本次磋商文件的规定，严格履行合同的责任和义务</w:t>
      </w:r>
      <w:r>
        <w:rPr>
          <w:highlight w:val="none"/>
        </w:rPr>
        <w:t>,</w:t>
      </w:r>
      <w:r>
        <w:rPr>
          <w:rFonts w:hint="eastAsia"/>
          <w:highlight w:val="none"/>
        </w:rPr>
        <w:t>并保证于你方要求的日期内完成合同规定的全部义务。</w:t>
      </w:r>
    </w:p>
    <w:p w14:paraId="59E431E2">
      <w:pPr>
        <w:ind w:firstLine="480"/>
        <w:rPr>
          <w:highlight w:val="none"/>
        </w:rPr>
      </w:pPr>
      <w:r>
        <w:rPr>
          <w:rFonts w:hint="eastAsia"/>
          <w:highlight w:val="none"/>
        </w:rPr>
        <w:t>5.我方同意按你方要求在磋商规定时间内向你方提供与其磋商有关的任何证据或补充资料，否则，我方的响应文件可被你方拒绝。</w:t>
      </w:r>
    </w:p>
    <w:p w14:paraId="461DBFC3">
      <w:pPr>
        <w:ind w:firstLine="480"/>
        <w:rPr>
          <w:highlight w:val="none"/>
        </w:rPr>
      </w:pPr>
      <w:r>
        <w:rPr>
          <w:rFonts w:hint="eastAsia"/>
          <w:highlight w:val="none"/>
        </w:rPr>
        <w:t>6.我方完全理解你方不一定接受最低报价的磋商。</w:t>
      </w:r>
    </w:p>
    <w:p w14:paraId="02B6C71D">
      <w:pPr>
        <w:ind w:firstLine="480"/>
        <w:rPr>
          <w:highlight w:val="none"/>
        </w:rPr>
      </w:pPr>
      <w:r>
        <w:rPr>
          <w:rFonts w:hint="eastAsia"/>
          <w:highlight w:val="none"/>
        </w:rPr>
        <w:t>7.我方同意磋商文件规定的付款方式、服务期限。</w:t>
      </w:r>
    </w:p>
    <w:p w14:paraId="5CA8E0C7">
      <w:pPr>
        <w:ind w:firstLine="480"/>
        <w:rPr>
          <w:highlight w:val="none"/>
        </w:rPr>
      </w:pPr>
      <w:r>
        <w:rPr>
          <w:rFonts w:hint="eastAsia"/>
          <w:highlight w:val="none"/>
        </w:rPr>
        <w:t>8.我方对响应文件中所提供资料、文件、证书及证件的真实性和有效性负责。</w:t>
      </w:r>
    </w:p>
    <w:p w14:paraId="100DAB60">
      <w:pPr>
        <w:ind w:firstLine="480"/>
        <w:rPr>
          <w:rFonts w:cs="宋体" w:asciiTheme="minorEastAsia" w:hAnsiTheme="minorEastAsia" w:eastAsiaTheme="minorEastAsia"/>
          <w:kern w:val="2"/>
          <w:szCs w:val="24"/>
          <w:highlight w:val="none"/>
        </w:rPr>
      </w:pPr>
      <w:r>
        <w:rPr>
          <w:rFonts w:hint="eastAsia" w:cs="宋体" w:asciiTheme="minorEastAsia" w:hAnsiTheme="minorEastAsia" w:eastAsiaTheme="minorEastAsia"/>
          <w:kern w:val="2"/>
          <w:szCs w:val="24"/>
          <w:highlight w:val="none"/>
        </w:rPr>
        <w:t>9.我方同意所提交的响应文件在磋商文件规定的磋商有效期内有效，在此期间内如果成交，我方将受此约束。</w:t>
      </w:r>
    </w:p>
    <w:p w14:paraId="4C8C97A3">
      <w:pPr>
        <w:ind w:firstLine="480"/>
        <w:rPr>
          <w:rFonts w:cs="宋体" w:asciiTheme="minorEastAsia" w:hAnsiTheme="minorEastAsia" w:eastAsiaTheme="minorEastAsia"/>
          <w:kern w:val="2"/>
          <w:szCs w:val="24"/>
          <w:highlight w:val="none"/>
        </w:rPr>
      </w:pPr>
      <w:r>
        <w:rPr>
          <w:rFonts w:hint="eastAsia" w:cs="宋体" w:asciiTheme="minorEastAsia" w:hAnsiTheme="minorEastAsia" w:eastAsiaTheme="minorEastAsia"/>
          <w:kern w:val="2"/>
          <w:szCs w:val="24"/>
          <w:highlight w:val="none"/>
        </w:rPr>
        <w:t>10.除非另外达成协议并生效，你方的成交通知书和本响应文件以及磋商文件、磋商文件澄清、修改、补充将成为约束双方的合同文件的组成部分。</w:t>
      </w:r>
    </w:p>
    <w:p w14:paraId="13893AD4">
      <w:pPr>
        <w:ind w:firstLine="480"/>
        <w:rPr>
          <w:rFonts w:cs="宋体" w:asciiTheme="minorEastAsia" w:hAnsiTheme="minorEastAsia" w:eastAsiaTheme="minorEastAsia"/>
          <w:kern w:val="2"/>
          <w:szCs w:val="24"/>
          <w:highlight w:val="none"/>
        </w:rPr>
      </w:pPr>
      <w:r>
        <w:rPr>
          <w:rFonts w:hint="eastAsia" w:cs="宋体" w:asciiTheme="minorEastAsia" w:hAnsiTheme="minorEastAsia" w:eastAsiaTheme="minorEastAsia"/>
          <w:kern w:val="2"/>
          <w:szCs w:val="24"/>
          <w:highlight w:val="none"/>
        </w:rPr>
        <w:t>11.我方不存在磋商公告中“供应商资格要求”的“不良信用记录情形”规定的任何一种情形。</w:t>
      </w:r>
    </w:p>
    <w:p w14:paraId="1044CB65">
      <w:pPr>
        <w:ind w:firstLine="482"/>
        <w:rPr>
          <w:rFonts w:cs="宋体" w:asciiTheme="minorEastAsia" w:hAnsiTheme="minorEastAsia" w:eastAsiaTheme="minorEastAsia"/>
          <w:b/>
          <w:bCs/>
          <w:kern w:val="2"/>
          <w:szCs w:val="24"/>
          <w:highlight w:val="none"/>
        </w:rPr>
      </w:pPr>
      <w:r>
        <w:rPr>
          <w:rFonts w:hint="eastAsia" w:cs="宋体" w:asciiTheme="minorEastAsia" w:hAnsiTheme="minorEastAsia" w:eastAsiaTheme="minorEastAsia"/>
          <w:b/>
          <w:bCs/>
          <w:kern w:val="2"/>
          <w:szCs w:val="24"/>
          <w:highlight w:val="none"/>
        </w:rPr>
        <w:t>12.我方声明下述内容真实有效，如有虚假，将依法承担相应责任：</w:t>
      </w:r>
    </w:p>
    <w:p w14:paraId="393E81B0">
      <w:pPr>
        <w:ind w:firstLine="482"/>
        <w:rPr>
          <w:rFonts w:cs="宋体" w:asciiTheme="minorEastAsia" w:hAnsiTheme="minorEastAsia" w:eastAsiaTheme="minorEastAsia"/>
          <w:b/>
          <w:bCs/>
          <w:kern w:val="2"/>
          <w:szCs w:val="24"/>
          <w:highlight w:val="none"/>
        </w:rPr>
      </w:pPr>
      <w:r>
        <w:rPr>
          <w:rFonts w:hint="eastAsia" w:cs="宋体" w:asciiTheme="minorEastAsia" w:hAnsiTheme="minorEastAsia" w:eastAsiaTheme="minorEastAsia"/>
          <w:b/>
          <w:bCs/>
          <w:kern w:val="2"/>
          <w:szCs w:val="24"/>
          <w:highlight w:val="none"/>
        </w:rPr>
        <w:t>与我单位存在单位负责人为同一人或者存在直接控股、管理关系的其他法人单位信息如下：</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1C7D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B538079">
            <w:pPr>
              <w:widowControl/>
              <w:spacing w:before="156" w:beforeLines="50" w:after="10"/>
              <w:ind w:firstLine="480"/>
              <w:jc w:val="center"/>
              <w:rPr>
                <w:rFonts w:cs="宋体"/>
                <w:color w:val="000000"/>
                <w:szCs w:val="24"/>
                <w:highlight w:val="none"/>
                <w:lang w:bidi="ar"/>
              </w:rPr>
            </w:pPr>
            <w:r>
              <w:rPr>
                <w:rFonts w:hint="eastAsia" w:cs="宋体"/>
                <w:color w:val="000000"/>
                <w:szCs w:val="24"/>
                <w:highlight w:val="none"/>
                <w:lang w:bidi="ar"/>
              </w:rPr>
              <w:t>序号</w:t>
            </w:r>
          </w:p>
        </w:tc>
        <w:tc>
          <w:tcPr>
            <w:tcW w:w="2841" w:type="dxa"/>
          </w:tcPr>
          <w:p w14:paraId="32707EB3">
            <w:pPr>
              <w:pStyle w:val="6"/>
              <w:spacing w:before="156" w:beforeLines="50" w:after="10"/>
              <w:ind w:left="300" w:firstLine="480"/>
              <w:jc w:val="center"/>
              <w:rPr>
                <w:rFonts w:ascii="宋体" w:hAnsi="宋体" w:eastAsia="宋体" w:cs="宋体"/>
                <w:color w:val="000000"/>
                <w:highlight w:val="none"/>
                <w:lang w:val="en-US" w:bidi="ar"/>
              </w:rPr>
            </w:pPr>
            <w:r>
              <w:rPr>
                <w:rFonts w:hint="eastAsia" w:ascii="宋体" w:hAnsi="宋体" w:eastAsia="宋体" w:cs="宋体"/>
                <w:color w:val="000000"/>
                <w:highlight w:val="none"/>
                <w:lang w:val="en-US" w:bidi="ar"/>
              </w:rPr>
              <w:t>单位名称</w:t>
            </w:r>
          </w:p>
        </w:tc>
        <w:tc>
          <w:tcPr>
            <w:tcW w:w="2841" w:type="dxa"/>
          </w:tcPr>
          <w:p w14:paraId="26D780A0">
            <w:pPr>
              <w:pStyle w:val="6"/>
              <w:spacing w:before="156" w:beforeLines="50" w:after="10"/>
              <w:ind w:left="300" w:firstLine="480"/>
              <w:jc w:val="center"/>
              <w:rPr>
                <w:rFonts w:ascii="宋体" w:hAnsi="宋体" w:eastAsia="宋体" w:cs="宋体"/>
                <w:color w:val="000000"/>
                <w:highlight w:val="none"/>
                <w:lang w:val="en-US" w:bidi="ar"/>
              </w:rPr>
            </w:pPr>
            <w:r>
              <w:rPr>
                <w:rFonts w:hint="eastAsia" w:ascii="宋体" w:hAnsi="宋体" w:eastAsia="宋体" w:cs="宋体"/>
                <w:color w:val="000000"/>
                <w:highlight w:val="none"/>
                <w:lang w:val="en-US" w:bidi="ar"/>
              </w:rPr>
              <w:t>相互关系</w:t>
            </w:r>
          </w:p>
        </w:tc>
      </w:tr>
      <w:tr w14:paraId="472B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47F6200">
            <w:pPr>
              <w:pStyle w:val="6"/>
              <w:spacing w:before="156" w:beforeLines="50" w:after="10"/>
              <w:ind w:left="300" w:firstLine="480"/>
              <w:jc w:val="center"/>
              <w:rPr>
                <w:rFonts w:ascii="宋体" w:hAnsi="宋体" w:eastAsia="宋体" w:cs="宋体"/>
                <w:color w:val="000000"/>
                <w:highlight w:val="none"/>
                <w:lang w:val="en-US" w:bidi="ar"/>
              </w:rPr>
            </w:pPr>
            <w:r>
              <w:rPr>
                <w:rFonts w:hint="eastAsia" w:ascii="宋体" w:hAnsi="宋体" w:eastAsia="宋体" w:cs="宋体"/>
                <w:color w:val="000000"/>
                <w:highlight w:val="none"/>
                <w:lang w:val="en-US" w:bidi="ar"/>
              </w:rPr>
              <w:t>1</w:t>
            </w:r>
          </w:p>
        </w:tc>
        <w:tc>
          <w:tcPr>
            <w:tcW w:w="2841" w:type="dxa"/>
          </w:tcPr>
          <w:p w14:paraId="030E0EB3">
            <w:pPr>
              <w:pStyle w:val="6"/>
              <w:spacing w:before="156" w:beforeLines="50" w:after="10"/>
              <w:ind w:left="300" w:firstLine="480"/>
              <w:jc w:val="center"/>
              <w:rPr>
                <w:rFonts w:ascii="宋体" w:hAnsi="宋体" w:eastAsia="宋体" w:cs="宋体"/>
                <w:color w:val="000000"/>
                <w:highlight w:val="none"/>
                <w:lang w:val="en-US" w:bidi="ar"/>
              </w:rPr>
            </w:pPr>
          </w:p>
        </w:tc>
        <w:tc>
          <w:tcPr>
            <w:tcW w:w="2841" w:type="dxa"/>
          </w:tcPr>
          <w:p w14:paraId="6CA744C8">
            <w:pPr>
              <w:pStyle w:val="6"/>
              <w:spacing w:before="156" w:beforeLines="50" w:after="10"/>
              <w:ind w:left="300" w:firstLine="480"/>
              <w:jc w:val="center"/>
              <w:rPr>
                <w:rFonts w:ascii="宋体" w:hAnsi="宋体" w:eastAsia="宋体" w:cs="宋体"/>
                <w:color w:val="000000"/>
                <w:highlight w:val="none"/>
                <w:lang w:val="en-US" w:bidi="ar"/>
              </w:rPr>
            </w:pPr>
          </w:p>
        </w:tc>
      </w:tr>
      <w:tr w14:paraId="6CFC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F15CDD6">
            <w:pPr>
              <w:pStyle w:val="6"/>
              <w:spacing w:before="156" w:beforeLines="50" w:after="10"/>
              <w:ind w:left="300" w:firstLine="480"/>
              <w:jc w:val="center"/>
              <w:rPr>
                <w:rFonts w:ascii="宋体" w:hAnsi="宋体" w:eastAsia="宋体" w:cs="宋体"/>
                <w:color w:val="000000"/>
                <w:highlight w:val="none"/>
                <w:lang w:val="en-US" w:bidi="ar"/>
              </w:rPr>
            </w:pPr>
            <w:r>
              <w:rPr>
                <w:rFonts w:hint="eastAsia" w:ascii="宋体" w:hAnsi="宋体" w:eastAsia="宋体" w:cs="宋体"/>
                <w:color w:val="000000"/>
                <w:highlight w:val="none"/>
                <w:lang w:val="en-US" w:bidi="ar"/>
              </w:rPr>
              <w:t>2</w:t>
            </w:r>
          </w:p>
        </w:tc>
        <w:tc>
          <w:tcPr>
            <w:tcW w:w="2841" w:type="dxa"/>
          </w:tcPr>
          <w:p w14:paraId="0C12425A">
            <w:pPr>
              <w:pStyle w:val="6"/>
              <w:spacing w:before="156" w:beforeLines="50" w:after="10"/>
              <w:ind w:left="300" w:firstLine="480"/>
              <w:jc w:val="center"/>
              <w:rPr>
                <w:rFonts w:ascii="宋体" w:hAnsi="宋体" w:eastAsia="宋体" w:cs="宋体"/>
                <w:color w:val="000000"/>
                <w:highlight w:val="none"/>
                <w:lang w:val="en-US" w:bidi="ar"/>
              </w:rPr>
            </w:pPr>
          </w:p>
        </w:tc>
        <w:tc>
          <w:tcPr>
            <w:tcW w:w="2841" w:type="dxa"/>
          </w:tcPr>
          <w:p w14:paraId="2B7D5BF4">
            <w:pPr>
              <w:pStyle w:val="6"/>
              <w:spacing w:before="156" w:beforeLines="50" w:after="10"/>
              <w:ind w:left="300" w:firstLine="480"/>
              <w:jc w:val="center"/>
              <w:rPr>
                <w:rFonts w:ascii="宋体" w:hAnsi="宋体" w:eastAsia="宋体" w:cs="宋体"/>
                <w:color w:val="000000"/>
                <w:highlight w:val="none"/>
                <w:lang w:val="en-US" w:bidi="ar"/>
              </w:rPr>
            </w:pPr>
          </w:p>
        </w:tc>
      </w:tr>
      <w:tr w14:paraId="107C8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33A176E">
            <w:pPr>
              <w:pStyle w:val="6"/>
              <w:spacing w:before="156" w:beforeLines="50" w:after="10"/>
              <w:ind w:left="300" w:firstLine="480"/>
              <w:jc w:val="center"/>
              <w:rPr>
                <w:rFonts w:ascii="宋体" w:hAnsi="宋体" w:eastAsia="宋体" w:cs="宋体"/>
                <w:color w:val="000000"/>
                <w:highlight w:val="none"/>
                <w:lang w:val="en-US" w:bidi="ar"/>
              </w:rPr>
            </w:pPr>
          </w:p>
        </w:tc>
        <w:tc>
          <w:tcPr>
            <w:tcW w:w="2841" w:type="dxa"/>
          </w:tcPr>
          <w:p w14:paraId="5B6A0C27">
            <w:pPr>
              <w:pStyle w:val="6"/>
              <w:spacing w:before="156" w:beforeLines="50" w:after="10"/>
              <w:ind w:left="300" w:firstLine="480"/>
              <w:jc w:val="center"/>
              <w:rPr>
                <w:rFonts w:ascii="宋体" w:hAnsi="宋体" w:eastAsia="宋体" w:cs="宋体"/>
                <w:color w:val="000000"/>
                <w:highlight w:val="none"/>
                <w:lang w:val="en-US" w:bidi="ar"/>
              </w:rPr>
            </w:pPr>
          </w:p>
        </w:tc>
        <w:tc>
          <w:tcPr>
            <w:tcW w:w="2841" w:type="dxa"/>
          </w:tcPr>
          <w:p w14:paraId="3B67C44E">
            <w:pPr>
              <w:pStyle w:val="6"/>
              <w:spacing w:before="156" w:beforeLines="50" w:after="10"/>
              <w:ind w:left="300" w:firstLine="480"/>
              <w:jc w:val="center"/>
              <w:rPr>
                <w:rFonts w:ascii="宋体" w:hAnsi="宋体" w:eastAsia="宋体" w:cs="宋体"/>
                <w:color w:val="000000"/>
                <w:highlight w:val="none"/>
                <w:lang w:val="en-US" w:bidi="ar"/>
              </w:rPr>
            </w:pPr>
          </w:p>
        </w:tc>
      </w:tr>
    </w:tbl>
    <w:p w14:paraId="755B0944">
      <w:pPr>
        <w:ind w:firstLine="480"/>
        <w:rPr>
          <w:rFonts w:cs="宋体" w:asciiTheme="minorEastAsia" w:hAnsiTheme="minorEastAsia" w:eastAsiaTheme="minorEastAsia"/>
          <w:kern w:val="2"/>
          <w:szCs w:val="24"/>
          <w:highlight w:val="none"/>
        </w:rPr>
      </w:pPr>
    </w:p>
    <w:p w14:paraId="78B49361">
      <w:pPr>
        <w:ind w:firstLine="480"/>
        <w:rPr>
          <w:highlight w:val="none"/>
        </w:rPr>
      </w:pPr>
      <w:r>
        <w:rPr>
          <w:rFonts w:cs="宋体" w:asciiTheme="minorEastAsia" w:hAnsiTheme="minorEastAsia" w:eastAsiaTheme="minorEastAsia"/>
          <w:kern w:val="2"/>
          <w:szCs w:val="24"/>
          <w:highlight w:val="none"/>
        </w:rPr>
        <w:t>1</w:t>
      </w:r>
      <w:r>
        <w:rPr>
          <w:rFonts w:hint="eastAsia" w:cs="宋体" w:asciiTheme="minorEastAsia" w:hAnsiTheme="minorEastAsia" w:eastAsiaTheme="minorEastAsia"/>
          <w:kern w:val="2"/>
          <w:szCs w:val="24"/>
          <w:highlight w:val="none"/>
        </w:rPr>
        <w:t>3.其他补充说明：</w:t>
      </w:r>
      <w:r>
        <w:rPr>
          <w:rFonts w:hint="eastAsia" w:cs="宋体" w:asciiTheme="minorEastAsia" w:hAnsiTheme="minorEastAsia" w:eastAsiaTheme="minorEastAsia"/>
          <w:kern w:val="2"/>
          <w:szCs w:val="24"/>
          <w:highlight w:val="none"/>
          <w:u w:val="single"/>
        </w:rPr>
        <w:t xml:space="preserve">             补充说明事项（如有）       </w:t>
      </w:r>
    </w:p>
    <w:p w14:paraId="6FCE4092">
      <w:pPr>
        <w:pStyle w:val="12"/>
        <w:ind w:firstLine="240"/>
        <w:rPr>
          <w:highlight w:val="none"/>
        </w:rPr>
      </w:pPr>
    </w:p>
    <w:p w14:paraId="68C44FBC">
      <w:pPr>
        <w:ind w:firstLine="4800" w:firstLineChars="2000"/>
        <w:rPr>
          <w:rFonts w:cs="@仿宋_GB2312"/>
          <w:kern w:val="2"/>
          <w:highlight w:val="none"/>
        </w:rPr>
      </w:pPr>
      <w:r>
        <w:rPr>
          <w:rFonts w:hint="eastAsia" w:cs="@仿宋_GB2312"/>
          <w:kern w:val="2"/>
          <w:szCs w:val="24"/>
          <w:highlight w:val="none"/>
        </w:rPr>
        <w:t>供应商电子签章或公章</w:t>
      </w:r>
      <w:r>
        <w:rPr>
          <w:rFonts w:hint="eastAsia" w:cs="@仿宋_GB2312"/>
          <w:kern w:val="2"/>
          <w:highlight w:val="none"/>
        </w:rPr>
        <w:t>：</w:t>
      </w:r>
      <w:r>
        <w:rPr>
          <w:rFonts w:hint="eastAsia" w:cs="@仿宋_GB2312"/>
          <w:kern w:val="2"/>
          <w:highlight w:val="none"/>
          <w:u w:val="single"/>
        </w:rPr>
        <w:t xml:space="preserve">             </w:t>
      </w:r>
    </w:p>
    <w:p w14:paraId="47775770">
      <w:pPr>
        <w:ind w:firstLine="4800" w:firstLineChars="2000"/>
        <w:rPr>
          <w:rFonts w:cs="@仿宋_GB2312"/>
          <w:kern w:val="2"/>
          <w:highlight w:val="none"/>
          <w:u w:val="single"/>
        </w:rPr>
      </w:pPr>
      <w:r>
        <w:rPr>
          <w:rFonts w:hint="eastAsia" w:cs="@仿宋_GB2312"/>
          <w:kern w:val="2"/>
          <w:highlight w:val="none"/>
        </w:rPr>
        <w:t>日          期：</w:t>
      </w:r>
      <w:r>
        <w:rPr>
          <w:rFonts w:hint="eastAsia" w:cs="@仿宋_GB2312"/>
          <w:kern w:val="2"/>
          <w:highlight w:val="none"/>
          <w:u w:val="single"/>
        </w:rPr>
        <w:t xml:space="preserve">             </w:t>
      </w:r>
    </w:p>
    <w:p w14:paraId="276F3309">
      <w:pPr>
        <w:widowControl/>
        <w:ind w:firstLine="480"/>
        <w:jc w:val="left"/>
        <w:rPr>
          <w:highlight w:val="none"/>
        </w:rPr>
      </w:pPr>
      <w:r>
        <w:rPr>
          <w:highlight w:val="none"/>
        </w:rPr>
        <w:br w:type="page"/>
      </w:r>
    </w:p>
    <w:p w14:paraId="46E1BE23">
      <w:pPr>
        <w:ind w:firstLine="482"/>
        <w:jc w:val="center"/>
        <w:outlineLvl w:val="2"/>
        <w:rPr>
          <w:rFonts w:asciiTheme="minorEastAsia" w:hAnsiTheme="minorEastAsia" w:eastAsiaTheme="minorEastAsia"/>
          <w:b/>
          <w:highlight w:val="none"/>
        </w:rPr>
      </w:pPr>
      <w:r>
        <w:rPr>
          <w:rFonts w:hint="eastAsia" w:asciiTheme="minorEastAsia" w:hAnsiTheme="minorEastAsia" w:eastAsiaTheme="minorEastAsia"/>
          <w:b/>
          <w:highlight w:val="none"/>
        </w:rPr>
        <w:t>四、无不良信用记录声明函</w:t>
      </w:r>
    </w:p>
    <w:p w14:paraId="0DF0CFE7">
      <w:pPr>
        <w:ind w:firstLine="480"/>
        <w:jc w:val="center"/>
        <w:rPr>
          <w:szCs w:val="24"/>
          <w:highlight w:val="none"/>
        </w:rPr>
      </w:pPr>
      <w:r>
        <w:rPr>
          <w:rFonts w:hint="eastAsia"/>
          <w:szCs w:val="24"/>
          <w:highlight w:val="none"/>
        </w:rPr>
        <w:t>（联合体参加磋商的，联合体双方均须提供）</w:t>
      </w:r>
    </w:p>
    <w:p w14:paraId="3017CA09">
      <w:pPr>
        <w:ind w:firstLine="480"/>
        <w:rPr>
          <w:szCs w:val="24"/>
          <w:highlight w:val="none"/>
        </w:rPr>
      </w:pPr>
      <w:r>
        <w:rPr>
          <w:rFonts w:hint="eastAsia"/>
          <w:szCs w:val="24"/>
          <w:highlight w:val="none"/>
        </w:rPr>
        <w:t>1、本单位郑重声明，我单位无以下不良信用记录情形：</w:t>
      </w:r>
    </w:p>
    <w:p w14:paraId="1FB9EC6B">
      <w:pPr>
        <w:ind w:firstLine="480"/>
        <w:rPr>
          <w:szCs w:val="24"/>
          <w:highlight w:val="none"/>
        </w:rPr>
      </w:pPr>
      <w:r>
        <w:rPr>
          <w:rFonts w:hint="eastAsia"/>
          <w:szCs w:val="24"/>
          <w:highlight w:val="none"/>
        </w:rPr>
        <w:t>（1）在最近三年内（自磋商截止之日向前追溯3年，下同）有骗取成交或严重违约或重大工程质量事故或重大生产安全事故的（以相关行业主管部门的行政处罚决定或司法机关出具的有关法律文书为准），但前述行政处罚已完成信用修复的，自行政处罚作出机关或信用修复主管部门同意修复之日起满一年的，不受三年期限限制；</w:t>
      </w:r>
    </w:p>
    <w:p w14:paraId="3BB05767">
      <w:pPr>
        <w:ind w:firstLine="480"/>
        <w:rPr>
          <w:szCs w:val="24"/>
          <w:highlight w:val="none"/>
        </w:rPr>
      </w:pPr>
      <w:r>
        <w:rPr>
          <w:rFonts w:hint="eastAsia"/>
          <w:szCs w:val="24"/>
          <w:highlight w:val="none"/>
        </w:rPr>
        <w:t>（2）被责令停业，暂扣或吊销执照，或吊销资质证书；</w:t>
      </w:r>
    </w:p>
    <w:p w14:paraId="745A21DF">
      <w:pPr>
        <w:ind w:firstLine="480"/>
        <w:rPr>
          <w:szCs w:val="24"/>
          <w:highlight w:val="none"/>
        </w:rPr>
      </w:pPr>
      <w:r>
        <w:rPr>
          <w:rFonts w:hint="eastAsia"/>
          <w:szCs w:val="24"/>
          <w:highlight w:val="none"/>
        </w:rPr>
        <w:t>（3）进入清算程序，或被宣告破产，或其他丧失履约能力的情形；</w:t>
      </w:r>
    </w:p>
    <w:p w14:paraId="43F3601C">
      <w:pPr>
        <w:ind w:firstLine="480"/>
        <w:rPr>
          <w:szCs w:val="24"/>
          <w:highlight w:val="none"/>
        </w:rPr>
      </w:pPr>
      <w:r>
        <w:rPr>
          <w:rFonts w:hint="eastAsia"/>
          <w:szCs w:val="24"/>
          <w:highlight w:val="none"/>
        </w:rPr>
        <w:t>（4）在国家企业信用信息公示系统（http://www.gsxt.gov.cn/）中被列入严重违法失信企业名单；</w:t>
      </w:r>
    </w:p>
    <w:p w14:paraId="33FAD3B2">
      <w:pPr>
        <w:ind w:firstLine="480"/>
        <w:rPr>
          <w:szCs w:val="24"/>
          <w:highlight w:val="none"/>
        </w:rPr>
      </w:pPr>
      <w:r>
        <w:rPr>
          <w:rFonts w:hint="eastAsia"/>
          <w:szCs w:val="24"/>
          <w:highlight w:val="none"/>
        </w:rPr>
        <w:t>（5）在“信用中国”网站（http://www.creditchina.gov.cn/）中被列入失信被执行人名单；</w:t>
      </w:r>
    </w:p>
    <w:p w14:paraId="06DA2CE5">
      <w:pPr>
        <w:ind w:firstLine="480"/>
        <w:rPr>
          <w:szCs w:val="24"/>
          <w:highlight w:val="none"/>
        </w:rPr>
      </w:pPr>
      <w:r>
        <w:rPr>
          <w:rFonts w:hint="eastAsia"/>
          <w:szCs w:val="24"/>
          <w:highlight w:val="none"/>
        </w:rPr>
        <w:t>（6）在“信用中国”网站（http://www.creditchina.gov.cn/）中被列入重大税收违法案件当事人名单；</w:t>
      </w:r>
    </w:p>
    <w:p w14:paraId="0B581A38">
      <w:pPr>
        <w:ind w:firstLine="480"/>
        <w:rPr>
          <w:szCs w:val="24"/>
          <w:highlight w:val="none"/>
        </w:rPr>
      </w:pPr>
      <w:r>
        <w:rPr>
          <w:rFonts w:hint="eastAsia"/>
          <w:szCs w:val="24"/>
          <w:highlight w:val="none"/>
        </w:rPr>
        <w:t>（7）供应商被设区的市级及以上建设行政主管部门/房屋建筑和市政基础设施工程招标投标活动的监督部门因安全生产责任事故限制本次磋商项目工程所在地或公共资源交易平台所在地承接新的工程项目且在限制期内。</w:t>
      </w:r>
    </w:p>
    <w:p w14:paraId="0D09CC4B">
      <w:pPr>
        <w:ind w:firstLine="480"/>
        <w:rPr>
          <w:szCs w:val="24"/>
          <w:highlight w:val="none"/>
        </w:rPr>
      </w:pPr>
      <w:r>
        <w:rPr>
          <w:rFonts w:hint="eastAsia"/>
          <w:szCs w:val="24"/>
          <w:highlight w:val="none"/>
        </w:rPr>
        <w:t>本单位对上述声明的真实性负责。如有虚假，将依法承担相应责任。</w:t>
      </w:r>
    </w:p>
    <w:p w14:paraId="42C7DE76">
      <w:pPr>
        <w:ind w:firstLine="480"/>
        <w:rPr>
          <w:szCs w:val="24"/>
          <w:highlight w:val="none"/>
        </w:rPr>
      </w:pPr>
    </w:p>
    <w:p w14:paraId="663EFD6C">
      <w:pPr>
        <w:ind w:firstLine="560"/>
        <w:jc w:val="right"/>
        <w:rPr>
          <w:sz w:val="28"/>
          <w:szCs w:val="28"/>
          <w:highlight w:val="none"/>
        </w:rPr>
      </w:pPr>
    </w:p>
    <w:p w14:paraId="0F9890CC">
      <w:pPr>
        <w:ind w:left="5280" w:leftChars="2200" w:firstLine="480"/>
        <w:jc w:val="left"/>
        <w:rPr>
          <w:szCs w:val="24"/>
          <w:highlight w:val="none"/>
        </w:rPr>
      </w:pPr>
      <w:r>
        <w:rPr>
          <w:rFonts w:hint="eastAsia"/>
          <w:szCs w:val="24"/>
          <w:highlight w:val="none"/>
        </w:rPr>
        <w:t>供应商电子签章：</w:t>
      </w:r>
      <w:r>
        <w:rPr>
          <w:rFonts w:hint="eastAsia"/>
          <w:szCs w:val="24"/>
          <w:highlight w:val="none"/>
          <w:u w:val="single"/>
          <w:lang w:val="en-US" w:eastAsia="zh-CN"/>
        </w:rPr>
        <w:t xml:space="preserve">        </w:t>
      </w:r>
      <w:r>
        <w:rPr>
          <w:rFonts w:hint="eastAsia"/>
          <w:szCs w:val="24"/>
          <w:highlight w:val="none"/>
        </w:rPr>
        <w:t xml:space="preserve">                     </w:t>
      </w:r>
    </w:p>
    <w:p w14:paraId="1B556866">
      <w:pPr>
        <w:ind w:left="5280" w:leftChars="2200" w:firstLine="480"/>
        <w:jc w:val="left"/>
        <w:rPr>
          <w:rFonts w:asciiTheme="minorEastAsia" w:hAnsiTheme="minorEastAsia" w:eastAsiaTheme="minorEastAsia"/>
          <w:b/>
          <w:highlight w:val="none"/>
        </w:rPr>
      </w:pPr>
      <w:r>
        <w:rPr>
          <w:rFonts w:hint="eastAsia"/>
          <w:szCs w:val="24"/>
          <w:highlight w:val="none"/>
        </w:rPr>
        <w:t>日期：</w:t>
      </w:r>
      <w:r>
        <w:rPr>
          <w:rFonts w:hint="eastAsia"/>
          <w:szCs w:val="24"/>
          <w:highlight w:val="none"/>
          <w:u w:val="single"/>
          <w:lang w:val="en-US" w:eastAsia="zh-CN"/>
        </w:rPr>
        <w:t xml:space="preserve">                </w:t>
      </w:r>
      <w:r>
        <w:rPr>
          <w:rFonts w:hint="eastAsia" w:asciiTheme="minorEastAsia" w:hAnsiTheme="minorEastAsia" w:eastAsiaTheme="minorEastAsia"/>
          <w:b/>
          <w:szCs w:val="24"/>
          <w:highlight w:val="none"/>
        </w:rPr>
        <w:t xml:space="preserve">                 </w:t>
      </w:r>
      <w:r>
        <w:rPr>
          <w:rFonts w:hint="eastAsia" w:asciiTheme="minorEastAsia" w:hAnsiTheme="minorEastAsia" w:eastAsiaTheme="minorEastAsia"/>
          <w:b/>
          <w:highlight w:val="none"/>
        </w:rPr>
        <w:t xml:space="preserve">    </w:t>
      </w:r>
    </w:p>
    <w:p w14:paraId="57FE9F14">
      <w:pPr>
        <w:widowControl/>
        <w:ind w:firstLine="482"/>
        <w:jc w:val="left"/>
        <w:rPr>
          <w:rFonts w:asciiTheme="minorEastAsia" w:hAnsiTheme="minorEastAsia" w:eastAsiaTheme="minorEastAsia"/>
          <w:b/>
          <w:highlight w:val="none"/>
        </w:rPr>
      </w:pPr>
      <w:r>
        <w:rPr>
          <w:rFonts w:hint="eastAsia" w:asciiTheme="minorEastAsia" w:hAnsiTheme="minorEastAsia" w:eastAsiaTheme="minorEastAsia"/>
          <w:b/>
          <w:highlight w:val="none"/>
        </w:rPr>
        <w:br w:type="page"/>
      </w:r>
    </w:p>
    <w:bookmarkEnd w:id="18"/>
    <w:p w14:paraId="55E0C82C">
      <w:pPr>
        <w:ind w:firstLine="482"/>
        <w:jc w:val="center"/>
        <w:outlineLvl w:val="2"/>
        <w:rPr>
          <w:rFonts w:asciiTheme="minorEastAsia" w:hAnsiTheme="minorEastAsia" w:eastAsiaTheme="minorEastAsia"/>
          <w:b/>
          <w:highlight w:val="none"/>
        </w:rPr>
      </w:pPr>
      <w:bookmarkStart w:id="19" w:name="_Toc121626298"/>
      <w:bookmarkStart w:id="20" w:name="_Toc516969106"/>
      <w:bookmarkStart w:id="21" w:name="_Toc204594911"/>
      <w:bookmarkStart w:id="22" w:name="_Toc520983594"/>
      <w:r>
        <w:rPr>
          <w:rFonts w:hint="eastAsia" w:asciiTheme="minorEastAsia" w:hAnsiTheme="minorEastAsia" w:eastAsiaTheme="minorEastAsia"/>
          <w:b/>
          <w:highlight w:val="none"/>
        </w:rPr>
        <w:t>五、授权书</w:t>
      </w:r>
      <w:bookmarkEnd w:id="19"/>
      <w:bookmarkEnd w:id="20"/>
      <w:bookmarkEnd w:id="21"/>
      <w:bookmarkEnd w:id="22"/>
    </w:p>
    <w:p w14:paraId="272A6787">
      <w:pPr>
        <w:ind w:firstLine="482"/>
        <w:jc w:val="center"/>
        <w:rPr>
          <w:rFonts w:asciiTheme="minorEastAsia" w:hAnsiTheme="minorEastAsia" w:eastAsiaTheme="minorEastAsia"/>
          <w:b/>
          <w:highlight w:val="none"/>
        </w:rPr>
      </w:pPr>
    </w:p>
    <w:p w14:paraId="3C41EBA8">
      <w:pPr>
        <w:pStyle w:val="7"/>
        <w:snapToGrid w:val="0"/>
        <w:ind w:firstLine="480"/>
        <w:jc w:val="left"/>
        <w:rPr>
          <w:rFonts w:hAnsi="宋体" w:eastAsia="宋体"/>
          <w:szCs w:val="28"/>
          <w:highlight w:val="none"/>
        </w:rPr>
      </w:pPr>
      <w:r>
        <w:rPr>
          <w:rFonts w:hint="eastAsia" w:hAnsi="宋体" w:eastAsia="宋体"/>
          <w:szCs w:val="28"/>
          <w:highlight w:val="none"/>
        </w:rPr>
        <w:t>本授权书声明：</w:t>
      </w:r>
      <w:r>
        <w:rPr>
          <w:rFonts w:hint="eastAsia" w:hAnsi="宋体" w:eastAsia="宋体"/>
          <w:szCs w:val="28"/>
          <w:highlight w:val="none"/>
          <w:u w:val="single"/>
        </w:rPr>
        <w:t xml:space="preserve">           </w:t>
      </w:r>
      <w:r>
        <w:rPr>
          <w:rFonts w:hint="eastAsia" w:hAnsi="宋体" w:eastAsia="宋体"/>
          <w:szCs w:val="28"/>
          <w:highlight w:val="none"/>
        </w:rPr>
        <w:t>（供应商名称）授权</w:t>
      </w:r>
      <w:r>
        <w:rPr>
          <w:rFonts w:hint="eastAsia" w:hAnsi="宋体" w:eastAsia="宋体"/>
          <w:szCs w:val="28"/>
          <w:highlight w:val="none"/>
          <w:u w:val="single"/>
        </w:rPr>
        <w:t xml:space="preserve">       </w:t>
      </w:r>
      <w:r>
        <w:rPr>
          <w:rFonts w:hint="eastAsia" w:hAnsi="宋体" w:eastAsia="宋体"/>
          <w:szCs w:val="28"/>
          <w:highlight w:val="none"/>
        </w:rPr>
        <w:t>（供应商授权代表姓名）代表我方参加本项目</w:t>
      </w:r>
      <w:r>
        <w:rPr>
          <w:rFonts w:hint="eastAsia" w:hAnsi="宋体" w:eastAsia="宋体"/>
          <w:bCs/>
          <w:szCs w:val="28"/>
          <w:highlight w:val="none"/>
        </w:rPr>
        <w:t>磋商活动</w:t>
      </w:r>
      <w:r>
        <w:rPr>
          <w:rFonts w:hint="eastAsia" w:hAnsi="宋体" w:eastAsia="宋体"/>
          <w:szCs w:val="28"/>
          <w:highlight w:val="none"/>
        </w:rPr>
        <w:t>，全权代表我方处理磋商过程的一切事宜，包括但不限于：提交响应文件、参与磋商、签约等。供应商授权代表在磋商活动过程中所签署的一切文件和处理与之有关的一切事务，本公司均予以认可并对此承担责任。供应商授权代表无转委托权。特此授权。</w:t>
      </w:r>
    </w:p>
    <w:p w14:paraId="16B303A4">
      <w:pPr>
        <w:pStyle w:val="7"/>
        <w:snapToGrid w:val="0"/>
        <w:ind w:firstLine="480"/>
        <w:jc w:val="left"/>
        <w:rPr>
          <w:rFonts w:hAnsi="宋体" w:eastAsia="宋体"/>
          <w:szCs w:val="28"/>
          <w:highlight w:val="none"/>
        </w:rPr>
      </w:pPr>
      <w:r>
        <w:rPr>
          <w:rFonts w:hint="eastAsia" w:hAnsi="宋体" w:eastAsia="宋体"/>
          <w:szCs w:val="28"/>
          <w:highlight w:val="none"/>
        </w:rPr>
        <w:t>本授权书自出具之日起生效。</w:t>
      </w:r>
    </w:p>
    <w:p w14:paraId="7612D91C">
      <w:pPr>
        <w:pStyle w:val="7"/>
        <w:snapToGrid w:val="0"/>
        <w:ind w:firstLine="480"/>
        <w:jc w:val="left"/>
        <w:rPr>
          <w:rFonts w:hAnsi="宋体" w:eastAsia="宋体"/>
          <w:highlight w:val="none"/>
        </w:rPr>
      </w:pPr>
      <w:r>
        <w:rPr>
          <w:rFonts w:hint="eastAsia" w:ascii="宋体" w:hAnsi="宋体" w:eastAsia="宋体" w:cs="宋体"/>
          <w:sz w:val="24"/>
          <w:szCs w:val="28"/>
          <w:highlight w:val="none"/>
        </w:rPr>
        <w:t>授权代表</w:t>
      </w:r>
      <w:r>
        <w:rPr>
          <w:rFonts w:hint="eastAsia" w:ascii="宋体" w:hAnsi="宋体" w:eastAsia="宋体" w:cs="宋体"/>
          <w:sz w:val="24"/>
          <w:highlight w:val="none"/>
        </w:rPr>
        <w:t>身份证明扫描件：</w:t>
      </w:r>
    </w:p>
    <w:p w14:paraId="4874C6E1">
      <w:pPr>
        <w:pStyle w:val="7"/>
        <w:snapToGrid w:val="0"/>
        <w:ind w:firstLine="480"/>
        <w:jc w:val="left"/>
        <w:rPr>
          <w:rFonts w:hAnsi="宋体" w:eastAsia="宋体"/>
          <w:highlight w:val="none"/>
        </w:rPr>
      </w:pPr>
    </w:p>
    <w:p w14:paraId="0340EC1B">
      <w:pPr>
        <w:pStyle w:val="7"/>
        <w:snapToGrid w:val="0"/>
        <w:ind w:firstLine="480"/>
        <w:jc w:val="left"/>
        <w:rPr>
          <w:rFonts w:hAnsi="宋体" w:eastAsia="宋体"/>
          <w:highlight w:val="none"/>
        </w:rPr>
      </w:pPr>
    </w:p>
    <w:p w14:paraId="7B8E2746">
      <w:pPr>
        <w:pStyle w:val="7"/>
        <w:snapToGrid w:val="0"/>
        <w:ind w:firstLine="480"/>
        <w:jc w:val="left"/>
        <w:rPr>
          <w:rFonts w:hAnsi="宋体" w:eastAsia="宋体"/>
          <w:highlight w:val="none"/>
        </w:rPr>
      </w:pPr>
    </w:p>
    <w:p w14:paraId="5CA79EB9">
      <w:pPr>
        <w:pStyle w:val="7"/>
        <w:snapToGrid w:val="0"/>
        <w:ind w:firstLine="480"/>
        <w:jc w:val="left"/>
        <w:rPr>
          <w:rFonts w:hAnsi="宋体" w:eastAsia="宋体"/>
          <w:highlight w:val="none"/>
        </w:rPr>
      </w:pPr>
    </w:p>
    <w:p w14:paraId="540AE922">
      <w:pPr>
        <w:pStyle w:val="7"/>
        <w:snapToGrid w:val="0"/>
        <w:ind w:firstLine="480"/>
        <w:jc w:val="left"/>
        <w:rPr>
          <w:rFonts w:hAnsi="宋体" w:eastAsia="宋体"/>
          <w:szCs w:val="28"/>
          <w:highlight w:val="none"/>
          <w:u w:val="single"/>
        </w:rPr>
      </w:pPr>
      <w:r>
        <w:rPr>
          <w:rFonts w:hint="eastAsia" w:hAnsi="宋体" w:eastAsia="宋体"/>
          <w:szCs w:val="28"/>
          <w:highlight w:val="none"/>
        </w:rPr>
        <w:t>授权代表联系方式：</w:t>
      </w:r>
      <w:r>
        <w:rPr>
          <w:rFonts w:hint="eastAsia" w:hAnsi="宋体" w:eastAsia="宋体"/>
          <w:szCs w:val="28"/>
          <w:highlight w:val="none"/>
          <w:u w:val="single"/>
        </w:rPr>
        <w:t xml:space="preserve">          （请填写手机号码）</w:t>
      </w:r>
    </w:p>
    <w:p w14:paraId="3B340885">
      <w:pPr>
        <w:pStyle w:val="7"/>
        <w:snapToGrid w:val="0"/>
        <w:ind w:firstLine="480"/>
        <w:jc w:val="left"/>
        <w:rPr>
          <w:rFonts w:hAnsi="宋体" w:eastAsia="宋体"/>
          <w:szCs w:val="28"/>
          <w:highlight w:val="none"/>
        </w:rPr>
      </w:pPr>
    </w:p>
    <w:p w14:paraId="4087948B">
      <w:pPr>
        <w:ind w:firstLine="360" w:firstLineChars="150"/>
        <w:rPr>
          <w:szCs w:val="28"/>
          <w:highlight w:val="none"/>
        </w:rPr>
      </w:pPr>
      <w:r>
        <w:rPr>
          <w:rFonts w:hint="eastAsia"/>
          <w:szCs w:val="28"/>
          <w:highlight w:val="none"/>
        </w:rPr>
        <w:t>特此声明。</w:t>
      </w:r>
    </w:p>
    <w:p w14:paraId="442CD1DD">
      <w:pPr>
        <w:ind w:firstLine="480"/>
        <w:rPr>
          <w:szCs w:val="28"/>
          <w:highlight w:val="none"/>
        </w:rPr>
      </w:pPr>
    </w:p>
    <w:p w14:paraId="53E6A931">
      <w:pPr>
        <w:ind w:firstLine="480"/>
        <w:rPr>
          <w:bCs/>
          <w:szCs w:val="28"/>
          <w:highlight w:val="none"/>
        </w:rPr>
      </w:pPr>
      <w:r>
        <w:rPr>
          <w:rFonts w:hint="eastAsia" w:cs="@仿宋_GB2312"/>
          <w:kern w:val="2"/>
          <w:szCs w:val="24"/>
          <w:highlight w:val="none"/>
        </w:rPr>
        <w:t>供应商电子签章或公章</w:t>
      </w:r>
      <w:r>
        <w:rPr>
          <w:rFonts w:hint="eastAsia"/>
          <w:bCs/>
          <w:szCs w:val="28"/>
          <w:highlight w:val="none"/>
        </w:rPr>
        <w:t>：</w:t>
      </w:r>
      <w:r>
        <w:rPr>
          <w:rFonts w:hint="eastAsia"/>
          <w:bCs/>
          <w:szCs w:val="28"/>
          <w:highlight w:val="none"/>
          <w:u w:val="single"/>
        </w:rPr>
        <w:t xml:space="preserve">                    </w:t>
      </w:r>
    </w:p>
    <w:p w14:paraId="3D0792F2">
      <w:pPr>
        <w:ind w:firstLine="480"/>
        <w:rPr>
          <w:szCs w:val="28"/>
          <w:highlight w:val="none"/>
        </w:rPr>
      </w:pPr>
      <w:r>
        <w:rPr>
          <w:rFonts w:hint="eastAsia"/>
          <w:szCs w:val="28"/>
          <w:highlight w:val="none"/>
        </w:rPr>
        <w:t>日      期：</w:t>
      </w:r>
      <w:r>
        <w:rPr>
          <w:rFonts w:hint="eastAsia"/>
          <w:szCs w:val="28"/>
          <w:highlight w:val="none"/>
          <w:u w:val="single"/>
        </w:rPr>
        <w:t xml:space="preserve">          </w:t>
      </w:r>
      <w:r>
        <w:rPr>
          <w:rFonts w:hint="eastAsia"/>
          <w:szCs w:val="28"/>
          <w:highlight w:val="none"/>
          <w:u w:val="single"/>
          <w:lang w:val="en-US" w:eastAsia="zh-CN"/>
        </w:rPr>
        <w:t xml:space="preserve">          </w:t>
      </w:r>
      <w:r>
        <w:rPr>
          <w:rFonts w:hint="eastAsia"/>
          <w:szCs w:val="28"/>
          <w:highlight w:val="none"/>
          <w:u w:val="single"/>
        </w:rPr>
        <w:t xml:space="preserve">          </w:t>
      </w:r>
    </w:p>
    <w:p w14:paraId="0ADB79C9">
      <w:pPr>
        <w:ind w:firstLine="480"/>
        <w:rPr>
          <w:szCs w:val="28"/>
          <w:highlight w:val="none"/>
        </w:rPr>
      </w:pPr>
    </w:p>
    <w:p w14:paraId="03814665">
      <w:pPr>
        <w:ind w:firstLine="480"/>
        <w:rPr>
          <w:szCs w:val="28"/>
          <w:highlight w:val="none"/>
        </w:rPr>
      </w:pPr>
    </w:p>
    <w:p w14:paraId="75AE7632">
      <w:pPr>
        <w:pStyle w:val="7"/>
        <w:snapToGrid w:val="0"/>
        <w:ind w:firstLine="480"/>
        <w:jc w:val="left"/>
        <w:rPr>
          <w:rFonts w:hAnsi="宋体" w:eastAsia="宋体"/>
          <w:szCs w:val="28"/>
          <w:highlight w:val="none"/>
        </w:rPr>
      </w:pPr>
      <w:r>
        <w:rPr>
          <w:rFonts w:hint="eastAsia" w:hAnsi="宋体" w:eastAsia="宋体"/>
          <w:szCs w:val="28"/>
          <w:highlight w:val="none"/>
        </w:rPr>
        <w:t>注：</w:t>
      </w:r>
    </w:p>
    <w:p w14:paraId="006DCD2D">
      <w:pPr>
        <w:pStyle w:val="7"/>
        <w:snapToGrid w:val="0"/>
        <w:ind w:firstLine="480"/>
        <w:jc w:val="left"/>
        <w:rPr>
          <w:rFonts w:hAnsi="宋体" w:eastAsia="宋体"/>
          <w:szCs w:val="28"/>
          <w:highlight w:val="none"/>
        </w:rPr>
      </w:pPr>
      <w:r>
        <w:rPr>
          <w:rFonts w:hint="eastAsia" w:hAnsi="宋体" w:eastAsia="宋体"/>
          <w:szCs w:val="28"/>
          <w:highlight w:val="none"/>
        </w:rPr>
        <w:t>1.本项目只允许有唯一的供应商授权代表；</w:t>
      </w:r>
    </w:p>
    <w:p w14:paraId="2DDEEF5A">
      <w:pPr>
        <w:ind w:firstLine="480"/>
        <w:jc w:val="left"/>
        <w:rPr>
          <w:highlight w:val="none"/>
        </w:rPr>
      </w:pPr>
      <w:r>
        <w:rPr>
          <w:rFonts w:hint="eastAsia"/>
          <w:highlight w:val="none"/>
        </w:rPr>
        <w:t>2.法定代表人参加磋商的无需提供授权书，仅提供法定代表人身份证明书。</w:t>
      </w:r>
    </w:p>
    <w:p w14:paraId="6CA727C9">
      <w:pPr>
        <w:widowControl/>
        <w:ind w:firstLine="480"/>
        <w:jc w:val="left"/>
        <w:rPr>
          <w:highlight w:val="none"/>
        </w:rPr>
      </w:pPr>
      <w:r>
        <w:rPr>
          <w:highlight w:val="none"/>
        </w:rPr>
        <w:br w:type="page"/>
      </w:r>
    </w:p>
    <w:p w14:paraId="11846561">
      <w:pPr>
        <w:keepNext/>
        <w:keepLines/>
        <w:spacing w:before="260" w:after="260" w:line="416" w:lineRule="auto"/>
        <w:ind w:firstLine="482"/>
        <w:jc w:val="center"/>
        <w:outlineLvl w:val="2"/>
        <w:rPr>
          <w:rFonts w:cs="@仿宋_GB2312" w:asciiTheme="minorEastAsia" w:hAnsiTheme="minorEastAsia" w:eastAsiaTheme="minorEastAsia"/>
          <w:b/>
          <w:bCs/>
          <w:kern w:val="2"/>
          <w:szCs w:val="24"/>
          <w:highlight w:val="none"/>
        </w:rPr>
      </w:pPr>
      <w:r>
        <w:rPr>
          <w:rFonts w:hint="eastAsia" w:cs="@仿宋_GB2312" w:asciiTheme="minorEastAsia" w:hAnsiTheme="minorEastAsia" w:eastAsiaTheme="minorEastAsia"/>
          <w:b/>
          <w:bCs/>
          <w:kern w:val="2"/>
          <w:szCs w:val="24"/>
          <w:highlight w:val="none"/>
        </w:rPr>
        <w:t>六、法定代表人身份证明书</w:t>
      </w:r>
    </w:p>
    <w:p w14:paraId="1F5C027E">
      <w:pPr>
        <w:autoSpaceDE w:val="0"/>
        <w:autoSpaceDN w:val="0"/>
        <w:adjustRightInd w:val="0"/>
        <w:ind w:firstLine="413"/>
        <w:jc w:val="center"/>
        <w:rPr>
          <w:rFonts w:ascii="@仿宋_GB2312" w:eastAsia="@仿宋_GB2312" w:cs="宋体"/>
          <w:b/>
          <w:kern w:val="2"/>
          <w:sz w:val="21"/>
          <w:szCs w:val="24"/>
          <w:highlight w:val="none"/>
          <w:lang w:val="zh-CN"/>
        </w:rPr>
      </w:pPr>
    </w:p>
    <w:p w14:paraId="0B192A9D">
      <w:pPr>
        <w:snapToGrid w:val="0"/>
        <w:ind w:firstLine="480"/>
        <w:jc w:val="left"/>
        <w:rPr>
          <w:rFonts w:ascii="Calibri" w:hAnsi="Calibri" w:cs="Times New Roman"/>
          <w:kern w:val="2"/>
          <w:szCs w:val="28"/>
          <w:highlight w:val="none"/>
        </w:rPr>
      </w:pPr>
      <w:r>
        <w:rPr>
          <w:rFonts w:hint="eastAsia" w:ascii="Calibri" w:hAnsi="Calibri" w:cs="Times New Roman"/>
          <w:kern w:val="2"/>
          <w:szCs w:val="28"/>
          <w:highlight w:val="none"/>
        </w:rPr>
        <w:t>单位名称：</w:t>
      </w:r>
      <w:r>
        <w:rPr>
          <w:rFonts w:hint="eastAsia" w:ascii="Calibri" w:hAnsi="Calibri" w:cs="Times New Roman"/>
          <w:kern w:val="2"/>
          <w:szCs w:val="28"/>
          <w:highlight w:val="none"/>
          <w:u w:val="single"/>
        </w:rPr>
        <w:t xml:space="preserve">                            </w:t>
      </w:r>
      <w:r>
        <w:rPr>
          <w:rFonts w:ascii="Calibri" w:hAnsi="Calibri" w:cs="Times New Roman"/>
          <w:kern w:val="2"/>
          <w:szCs w:val="28"/>
          <w:highlight w:val="none"/>
          <w:u w:val="single"/>
        </w:rPr>
        <w:t xml:space="preserve">    </w:t>
      </w:r>
      <w:r>
        <w:rPr>
          <w:rFonts w:hint="eastAsia" w:ascii="Calibri" w:hAnsi="Calibri" w:cs="Times New Roman"/>
          <w:kern w:val="2"/>
          <w:szCs w:val="28"/>
          <w:highlight w:val="none"/>
          <w:u w:val="single"/>
        </w:rPr>
        <w:t xml:space="preserve">          </w:t>
      </w:r>
    </w:p>
    <w:p w14:paraId="694AB2F8">
      <w:pPr>
        <w:snapToGrid w:val="0"/>
        <w:ind w:firstLine="480"/>
        <w:jc w:val="left"/>
        <w:rPr>
          <w:rFonts w:ascii="Calibri" w:hAnsi="Calibri" w:cs="Times New Roman"/>
          <w:kern w:val="2"/>
          <w:szCs w:val="28"/>
          <w:highlight w:val="none"/>
        </w:rPr>
      </w:pPr>
      <w:r>
        <w:rPr>
          <w:rFonts w:hint="eastAsia" w:ascii="Calibri" w:hAnsi="Calibri" w:cs="Times New Roman"/>
          <w:kern w:val="2"/>
          <w:szCs w:val="28"/>
          <w:highlight w:val="none"/>
        </w:rPr>
        <w:t>单位性质：</w:t>
      </w:r>
      <w:r>
        <w:rPr>
          <w:rFonts w:hint="eastAsia" w:ascii="Calibri" w:hAnsi="Calibri" w:cs="Times New Roman"/>
          <w:kern w:val="2"/>
          <w:szCs w:val="28"/>
          <w:highlight w:val="none"/>
          <w:u w:val="single"/>
        </w:rPr>
        <w:t xml:space="preserve">                             </w:t>
      </w:r>
      <w:r>
        <w:rPr>
          <w:rFonts w:ascii="Calibri" w:hAnsi="Calibri" w:cs="Times New Roman"/>
          <w:kern w:val="2"/>
          <w:szCs w:val="28"/>
          <w:highlight w:val="none"/>
          <w:u w:val="single"/>
        </w:rPr>
        <w:t xml:space="preserve">    </w:t>
      </w:r>
      <w:r>
        <w:rPr>
          <w:rFonts w:hint="eastAsia" w:ascii="Calibri" w:hAnsi="Calibri" w:cs="Times New Roman"/>
          <w:kern w:val="2"/>
          <w:szCs w:val="28"/>
          <w:highlight w:val="none"/>
          <w:u w:val="single"/>
        </w:rPr>
        <w:t xml:space="preserve">         </w:t>
      </w:r>
    </w:p>
    <w:p w14:paraId="2482B366">
      <w:pPr>
        <w:snapToGrid w:val="0"/>
        <w:ind w:firstLine="480"/>
        <w:jc w:val="left"/>
        <w:rPr>
          <w:rFonts w:ascii="Calibri" w:hAnsi="Calibri" w:cs="Times New Roman"/>
          <w:kern w:val="2"/>
          <w:szCs w:val="28"/>
          <w:highlight w:val="none"/>
        </w:rPr>
      </w:pPr>
      <w:r>
        <w:rPr>
          <w:rFonts w:hint="eastAsia" w:ascii="Calibri" w:hAnsi="Calibri" w:cs="Times New Roman"/>
          <w:kern w:val="2"/>
          <w:szCs w:val="28"/>
          <w:highlight w:val="none"/>
        </w:rPr>
        <w:t>地    址：</w:t>
      </w:r>
      <w:r>
        <w:rPr>
          <w:rFonts w:hint="eastAsia" w:ascii="Calibri" w:hAnsi="Calibri" w:cs="Times New Roman"/>
          <w:kern w:val="2"/>
          <w:szCs w:val="28"/>
          <w:highlight w:val="none"/>
          <w:u w:val="single"/>
        </w:rPr>
        <w:t xml:space="preserve">                             </w:t>
      </w:r>
      <w:r>
        <w:rPr>
          <w:rFonts w:ascii="Calibri" w:hAnsi="Calibri" w:cs="Times New Roman"/>
          <w:kern w:val="2"/>
          <w:szCs w:val="28"/>
          <w:highlight w:val="none"/>
          <w:u w:val="single"/>
        </w:rPr>
        <w:t xml:space="preserve">    </w:t>
      </w:r>
      <w:r>
        <w:rPr>
          <w:rFonts w:hint="eastAsia" w:ascii="Calibri" w:hAnsi="Calibri" w:cs="Times New Roman"/>
          <w:kern w:val="2"/>
          <w:szCs w:val="28"/>
          <w:highlight w:val="none"/>
          <w:u w:val="single"/>
        </w:rPr>
        <w:t xml:space="preserve">         </w:t>
      </w:r>
    </w:p>
    <w:p w14:paraId="24397C15">
      <w:pPr>
        <w:snapToGrid w:val="0"/>
        <w:ind w:firstLine="480"/>
        <w:jc w:val="left"/>
        <w:rPr>
          <w:rFonts w:ascii="Calibri" w:hAnsi="Calibri" w:cs="Times New Roman"/>
          <w:kern w:val="2"/>
          <w:szCs w:val="28"/>
          <w:highlight w:val="none"/>
        </w:rPr>
      </w:pPr>
      <w:r>
        <w:rPr>
          <w:rFonts w:hint="eastAsia" w:ascii="Calibri" w:hAnsi="Calibri" w:cs="Times New Roman"/>
          <w:kern w:val="2"/>
          <w:szCs w:val="28"/>
          <w:highlight w:val="none"/>
        </w:rPr>
        <w:t>成立时间：</w:t>
      </w:r>
      <w:r>
        <w:rPr>
          <w:rFonts w:hint="eastAsia" w:ascii="Calibri" w:hAnsi="Calibri" w:cs="Times New Roman"/>
          <w:kern w:val="2"/>
          <w:szCs w:val="28"/>
          <w:highlight w:val="none"/>
          <w:u w:val="single"/>
        </w:rPr>
        <w:t xml:space="preserve">              </w:t>
      </w:r>
      <w:r>
        <w:rPr>
          <w:rFonts w:hint="eastAsia" w:ascii="Calibri" w:hAnsi="Calibri" w:cs="Times New Roman"/>
          <w:kern w:val="2"/>
          <w:szCs w:val="28"/>
          <w:highlight w:val="none"/>
        </w:rPr>
        <w:t>年</w:t>
      </w:r>
      <w:r>
        <w:rPr>
          <w:rFonts w:hint="eastAsia" w:ascii="Calibri" w:hAnsi="Calibri" w:cs="Times New Roman"/>
          <w:kern w:val="2"/>
          <w:szCs w:val="28"/>
          <w:highlight w:val="none"/>
          <w:u w:val="single"/>
        </w:rPr>
        <w:t xml:space="preserve">         </w:t>
      </w:r>
      <w:r>
        <w:rPr>
          <w:rFonts w:hint="eastAsia" w:ascii="Calibri" w:hAnsi="Calibri" w:cs="Times New Roman"/>
          <w:kern w:val="2"/>
          <w:szCs w:val="28"/>
          <w:highlight w:val="none"/>
        </w:rPr>
        <w:t>月</w:t>
      </w:r>
      <w:r>
        <w:rPr>
          <w:rFonts w:hint="eastAsia" w:ascii="Calibri" w:hAnsi="Calibri" w:cs="Times New Roman"/>
          <w:kern w:val="2"/>
          <w:szCs w:val="28"/>
          <w:highlight w:val="none"/>
          <w:u w:val="single"/>
        </w:rPr>
        <w:t xml:space="preserve">        </w:t>
      </w:r>
      <w:r>
        <w:rPr>
          <w:rFonts w:hint="eastAsia" w:ascii="Calibri" w:hAnsi="Calibri" w:cs="Times New Roman"/>
          <w:kern w:val="2"/>
          <w:szCs w:val="28"/>
          <w:highlight w:val="none"/>
        </w:rPr>
        <w:t>日</w:t>
      </w:r>
    </w:p>
    <w:p w14:paraId="242FC977">
      <w:pPr>
        <w:snapToGrid w:val="0"/>
        <w:ind w:firstLine="480"/>
        <w:jc w:val="left"/>
        <w:rPr>
          <w:rFonts w:ascii="Calibri" w:hAnsi="Calibri" w:cs="Times New Roman"/>
          <w:kern w:val="2"/>
          <w:szCs w:val="28"/>
          <w:highlight w:val="none"/>
        </w:rPr>
      </w:pPr>
      <w:r>
        <w:rPr>
          <w:rFonts w:hint="eastAsia" w:ascii="Calibri" w:hAnsi="Calibri" w:cs="Times New Roman"/>
          <w:kern w:val="2"/>
          <w:szCs w:val="28"/>
          <w:highlight w:val="none"/>
        </w:rPr>
        <w:t>经营期限：</w:t>
      </w:r>
      <w:r>
        <w:rPr>
          <w:rFonts w:hint="eastAsia" w:ascii="Calibri" w:hAnsi="Calibri" w:cs="Times New Roman"/>
          <w:kern w:val="2"/>
          <w:szCs w:val="28"/>
          <w:highlight w:val="none"/>
          <w:u w:val="single"/>
        </w:rPr>
        <w:t xml:space="preserve">                               </w:t>
      </w:r>
      <w:r>
        <w:rPr>
          <w:rFonts w:ascii="Calibri" w:hAnsi="Calibri" w:cs="Times New Roman"/>
          <w:kern w:val="2"/>
          <w:szCs w:val="28"/>
          <w:highlight w:val="none"/>
          <w:u w:val="single"/>
        </w:rPr>
        <w:t xml:space="preserve">    </w:t>
      </w:r>
      <w:r>
        <w:rPr>
          <w:rFonts w:hint="eastAsia" w:ascii="Calibri" w:hAnsi="Calibri" w:cs="Times New Roman"/>
          <w:kern w:val="2"/>
          <w:szCs w:val="28"/>
          <w:highlight w:val="none"/>
          <w:u w:val="single"/>
        </w:rPr>
        <w:t xml:space="preserve"> </w:t>
      </w:r>
      <w:r>
        <w:rPr>
          <w:rFonts w:ascii="Calibri" w:hAnsi="Calibri" w:cs="Times New Roman"/>
          <w:kern w:val="2"/>
          <w:szCs w:val="28"/>
          <w:highlight w:val="none"/>
          <w:u w:val="single"/>
        </w:rPr>
        <w:t xml:space="preserve"> </w:t>
      </w:r>
      <w:r>
        <w:rPr>
          <w:rFonts w:hint="eastAsia" w:ascii="Calibri" w:hAnsi="Calibri" w:cs="Times New Roman"/>
          <w:kern w:val="2"/>
          <w:szCs w:val="28"/>
          <w:highlight w:val="none"/>
          <w:u w:val="single"/>
        </w:rPr>
        <w:t xml:space="preserve">     </w:t>
      </w:r>
    </w:p>
    <w:p w14:paraId="23F8BAA5">
      <w:pPr>
        <w:snapToGrid w:val="0"/>
        <w:ind w:firstLine="480"/>
        <w:jc w:val="left"/>
        <w:rPr>
          <w:rFonts w:ascii="Calibri" w:hAnsi="Calibri" w:cs="Times New Roman"/>
          <w:kern w:val="2"/>
          <w:szCs w:val="28"/>
          <w:highlight w:val="none"/>
        </w:rPr>
      </w:pPr>
      <w:r>
        <w:rPr>
          <w:rFonts w:hint="eastAsia" w:ascii="Calibri" w:hAnsi="Calibri" w:cs="Times New Roman"/>
          <w:kern w:val="2"/>
          <w:szCs w:val="28"/>
          <w:highlight w:val="none"/>
        </w:rPr>
        <w:t>姓    名：</w:t>
      </w:r>
      <w:r>
        <w:rPr>
          <w:rFonts w:hint="eastAsia" w:ascii="Calibri" w:hAnsi="Calibri" w:cs="Times New Roman"/>
          <w:kern w:val="2"/>
          <w:szCs w:val="28"/>
          <w:highlight w:val="none"/>
          <w:u w:val="single"/>
        </w:rPr>
        <w:t xml:space="preserve">                  </w:t>
      </w:r>
      <w:r>
        <w:rPr>
          <w:rFonts w:hint="eastAsia" w:ascii="Calibri" w:hAnsi="Calibri" w:cs="Times New Roman"/>
          <w:kern w:val="2"/>
          <w:szCs w:val="28"/>
          <w:highlight w:val="none"/>
        </w:rPr>
        <w:t xml:space="preserve"> 性 </w:t>
      </w:r>
      <w:r>
        <w:rPr>
          <w:rFonts w:ascii="Calibri" w:hAnsi="Calibri" w:cs="Times New Roman"/>
          <w:kern w:val="2"/>
          <w:szCs w:val="28"/>
          <w:highlight w:val="none"/>
        </w:rPr>
        <w:t xml:space="preserve">  </w:t>
      </w:r>
      <w:r>
        <w:rPr>
          <w:rFonts w:hint="eastAsia" w:ascii="Calibri" w:hAnsi="Calibri" w:cs="Times New Roman"/>
          <w:kern w:val="2"/>
          <w:szCs w:val="28"/>
          <w:highlight w:val="none"/>
        </w:rPr>
        <w:t xml:space="preserve"> 别：</w:t>
      </w:r>
      <w:r>
        <w:rPr>
          <w:rFonts w:hint="eastAsia" w:ascii="Calibri" w:hAnsi="Calibri" w:cs="Times New Roman"/>
          <w:kern w:val="2"/>
          <w:szCs w:val="28"/>
          <w:highlight w:val="none"/>
          <w:u w:val="single"/>
        </w:rPr>
        <w:t xml:space="preserve">             </w:t>
      </w:r>
    </w:p>
    <w:p w14:paraId="65F74D5E">
      <w:pPr>
        <w:snapToGrid w:val="0"/>
        <w:ind w:firstLine="480"/>
        <w:jc w:val="left"/>
        <w:rPr>
          <w:rFonts w:ascii="Calibri" w:hAnsi="Calibri" w:cs="Times New Roman"/>
          <w:kern w:val="2"/>
          <w:szCs w:val="28"/>
          <w:highlight w:val="none"/>
          <w:u w:val="single"/>
        </w:rPr>
      </w:pPr>
      <w:r>
        <w:rPr>
          <w:rFonts w:hint="eastAsia" w:ascii="Calibri" w:hAnsi="Calibri" w:cs="Times New Roman"/>
          <w:kern w:val="2"/>
          <w:szCs w:val="28"/>
          <w:highlight w:val="none"/>
        </w:rPr>
        <w:t>年    龄：</w:t>
      </w:r>
      <w:r>
        <w:rPr>
          <w:rFonts w:hint="eastAsia" w:ascii="Calibri" w:hAnsi="Calibri" w:cs="Times New Roman"/>
          <w:kern w:val="2"/>
          <w:szCs w:val="28"/>
          <w:highlight w:val="none"/>
          <w:u w:val="single"/>
        </w:rPr>
        <w:t xml:space="preserve">                  </w:t>
      </w:r>
      <w:r>
        <w:rPr>
          <w:rFonts w:hint="eastAsia" w:ascii="Calibri" w:hAnsi="Calibri" w:cs="Times New Roman"/>
          <w:kern w:val="2"/>
          <w:szCs w:val="28"/>
          <w:highlight w:val="none"/>
        </w:rPr>
        <w:t xml:space="preserve"> 职    务：</w:t>
      </w:r>
      <w:r>
        <w:rPr>
          <w:rFonts w:hint="eastAsia" w:ascii="Calibri" w:hAnsi="Calibri" w:cs="Times New Roman"/>
          <w:kern w:val="2"/>
          <w:szCs w:val="28"/>
          <w:highlight w:val="none"/>
          <w:u w:val="single"/>
        </w:rPr>
        <w:t xml:space="preserve">             </w:t>
      </w:r>
    </w:p>
    <w:p w14:paraId="6A0E5522">
      <w:pPr>
        <w:snapToGrid w:val="0"/>
        <w:ind w:firstLine="480"/>
        <w:jc w:val="left"/>
        <w:rPr>
          <w:rFonts w:ascii="Calibri" w:hAnsi="Calibri" w:cs="Times New Roman"/>
          <w:kern w:val="2"/>
          <w:szCs w:val="28"/>
          <w:highlight w:val="none"/>
        </w:rPr>
      </w:pPr>
      <w:r>
        <w:rPr>
          <w:rFonts w:hint="eastAsia" w:ascii="Calibri" w:hAnsi="Calibri" w:cs="Times New Roman"/>
          <w:kern w:val="2"/>
          <w:szCs w:val="28"/>
          <w:highlight w:val="none"/>
        </w:rPr>
        <w:t>联系</w:t>
      </w:r>
      <w:r>
        <w:rPr>
          <w:rFonts w:ascii="Calibri" w:hAnsi="Calibri" w:cs="Times New Roman"/>
          <w:kern w:val="2"/>
          <w:szCs w:val="28"/>
          <w:highlight w:val="none"/>
        </w:rPr>
        <w:t>电话</w:t>
      </w:r>
      <w:r>
        <w:rPr>
          <w:rFonts w:hint="eastAsia" w:ascii="Calibri" w:hAnsi="Calibri" w:cs="Times New Roman"/>
          <w:kern w:val="2"/>
          <w:szCs w:val="28"/>
          <w:highlight w:val="none"/>
        </w:rPr>
        <w:t>：</w:t>
      </w:r>
      <w:r>
        <w:rPr>
          <w:rFonts w:hint="eastAsia" w:ascii="Calibri" w:hAnsi="Calibri" w:cs="Times New Roman"/>
          <w:kern w:val="2"/>
          <w:szCs w:val="28"/>
          <w:highlight w:val="none"/>
          <w:u w:val="single"/>
        </w:rPr>
        <w:t xml:space="preserve">                  </w:t>
      </w:r>
      <w:r>
        <w:rPr>
          <w:rFonts w:hint="eastAsia" w:ascii="Calibri" w:hAnsi="Calibri" w:cs="Times New Roman"/>
          <w:kern w:val="2"/>
          <w:szCs w:val="28"/>
          <w:highlight w:val="none"/>
        </w:rPr>
        <w:t xml:space="preserve"> 手机号码：</w:t>
      </w:r>
      <w:r>
        <w:rPr>
          <w:rFonts w:hint="eastAsia" w:ascii="Calibri" w:hAnsi="Calibri" w:cs="Times New Roman"/>
          <w:kern w:val="2"/>
          <w:szCs w:val="28"/>
          <w:highlight w:val="none"/>
          <w:u w:val="single"/>
        </w:rPr>
        <w:t xml:space="preserve">             </w:t>
      </w:r>
    </w:p>
    <w:p w14:paraId="75989FAE">
      <w:pPr>
        <w:snapToGrid w:val="0"/>
        <w:ind w:firstLine="480"/>
        <w:jc w:val="left"/>
        <w:rPr>
          <w:rFonts w:ascii="Calibri" w:hAnsi="Calibri" w:cs="Times New Roman"/>
          <w:kern w:val="2"/>
          <w:szCs w:val="28"/>
          <w:highlight w:val="none"/>
        </w:rPr>
      </w:pPr>
      <w:r>
        <w:rPr>
          <w:rFonts w:hint="eastAsia" w:ascii="Calibri" w:hAnsi="Calibri" w:cs="Times New Roman"/>
          <w:kern w:val="2"/>
          <w:szCs w:val="28"/>
          <w:highlight w:val="none"/>
          <w:u w:val="single"/>
        </w:rPr>
        <w:t xml:space="preserve">        </w:t>
      </w:r>
      <w:r>
        <w:rPr>
          <w:rFonts w:hint="eastAsia" w:ascii="Calibri" w:hAnsi="Calibri" w:cs="Times New Roman"/>
          <w:kern w:val="2"/>
          <w:szCs w:val="28"/>
          <w:highlight w:val="none"/>
        </w:rPr>
        <w:t xml:space="preserve">系  </w:t>
      </w:r>
      <w:r>
        <w:rPr>
          <w:rFonts w:hint="eastAsia" w:ascii="Calibri" w:hAnsi="Calibri" w:cs="Times New Roman"/>
          <w:kern w:val="2"/>
          <w:szCs w:val="28"/>
          <w:highlight w:val="none"/>
          <w:u w:val="single"/>
        </w:rPr>
        <w:t xml:space="preserve">   （供应商单位名称）       </w:t>
      </w:r>
      <w:r>
        <w:rPr>
          <w:rFonts w:hint="eastAsia" w:ascii="Calibri" w:hAnsi="Calibri" w:cs="Times New Roman"/>
          <w:kern w:val="2"/>
          <w:szCs w:val="28"/>
          <w:highlight w:val="none"/>
        </w:rPr>
        <w:t>的法定代表人。</w:t>
      </w:r>
    </w:p>
    <w:p w14:paraId="47ACAC43">
      <w:pPr>
        <w:spacing w:before="62" w:beforeLines="20" w:after="62" w:afterLines="20" w:line="540" w:lineRule="exact"/>
        <w:ind w:firstLine="480"/>
        <w:rPr>
          <w:rFonts w:ascii="@仿宋_GB2312" w:hAnsi="Calibri" w:eastAsia="@仿宋_GB2312" w:cs="宋体"/>
          <w:kern w:val="2"/>
          <w:szCs w:val="24"/>
          <w:highlight w:val="none"/>
        </w:rPr>
      </w:pPr>
    </w:p>
    <w:p w14:paraId="723BFCAE">
      <w:pPr>
        <w:spacing w:before="62" w:beforeLines="20" w:after="62" w:afterLines="20" w:line="540" w:lineRule="exact"/>
        <w:ind w:left="480" w:leftChars="200" w:firstLine="240" w:firstLineChars="100"/>
        <w:rPr>
          <w:rFonts w:ascii="Calibri" w:hAnsi="Calibri" w:cs="宋体"/>
          <w:kern w:val="2"/>
          <w:szCs w:val="24"/>
          <w:highlight w:val="none"/>
        </w:rPr>
      </w:pPr>
      <w:r>
        <w:rPr>
          <w:rFonts w:hint="eastAsia" w:ascii="Calibri" w:hAnsi="Calibri" w:cs="宋体"/>
          <w:kern w:val="2"/>
          <w:szCs w:val="24"/>
          <w:highlight w:val="none"/>
        </w:rPr>
        <w:t>特此证明。</w:t>
      </w:r>
    </w:p>
    <w:p w14:paraId="398755A3">
      <w:pPr>
        <w:tabs>
          <w:tab w:val="left" w:pos="720"/>
          <w:tab w:val="left" w:pos="900"/>
        </w:tabs>
        <w:spacing w:before="62" w:beforeLines="20" w:after="62" w:afterLines="20" w:line="540" w:lineRule="exact"/>
        <w:ind w:firstLine="480"/>
        <w:rPr>
          <w:rFonts w:ascii="Calibri" w:hAnsi="Calibri" w:cs="宋体"/>
          <w:kern w:val="2"/>
          <w:szCs w:val="24"/>
          <w:highlight w:val="none"/>
        </w:rPr>
      </w:pPr>
      <w:r>
        <w:rPr>
          <w:rFonts w:hint="eastAsia" w:ascii="Calibri" w:hAnsi="Calibri" w:cs="宋体"/>
          <w:kern w:val="2"/>
          <w:szCs w:val="24"/>
          <w:highlight w:val="none"/>
        </w:rPr>
        <w:t>附：法定代表人身份证扫描件</w:t>
      </w:r>
    </w:p>
    <w:p w14:paraId="0DBE04E5">
      <w:pPr>
        <w:tabs>
          <w:tab w:val="left" w:pos="720"/>
          <w:tab w:val="left" w:pos="900"/>
        </w:tabs>
        <w:spacing w:before="62" w:beforeLines="20" w:after="62" w:afterLines="20" w:line="540" w:lineRule="exact"/>
        <w:ind w:firstLine="480"/>
        <w:rPr>
          <w:rFonts w:ascii="@仿宋_GB2312" w:hAnsi="Calibri" w:eastAsia="@仿宋_GB2312" w:cs="宋体"/>
          <w:kern w:val="2"/>
          <w:szCs w:val="24"/>
          <w:highlight w:val="none"/>
        </w:rPr>
      </w:pPr>
    </w:p>
    <w:p w14:paraId="53C1A6C1">
      <w:pPr>
        <w:tabs>
          <w:tab w:val="left" w:pos="720"/>
          <w:tab w:val="left" w:pos="900"/>
        </w:tabs>
        <w:spacing w:before="62" w:beforeLines="20" w:after="62" w:afterLines="20" w:line="540" w:lineRule="exact"/>
        <w:ind w:firstLine="4560" w:firstLineChars="1900"/>
        <w:rPr>
          <w:rFonts w:ascii="@仿宋_GB2312" w:hAnsi="Calibri" w:eastAsia="@仿宋_GB2312" w:cs="宋体"/>
          <w:kern w:val="2"/>
          <w:szCs w:val="24"/>
          <w:highlight w:val="none"/>
        </w:rPr>
      </w:pPr>
    </w:p>
    <w:p w14:paraId="2919D434">
      <w:pPr>
        <w:ind w:firstLine="3840" w:firstLineChars="1600"/>
        <w:rPr>
          <w:rFonts w:cs="宋体"/>
          <w:kern w:val="2"/>
          <w:szCs w:val="24"/>
          <w:highlight w:val="none"/>
        </w:rPr>
      </w:pPr>
      <w:r>
        <w:rPr>
          <w:rFonts w:hint="eastAsia" w:cs="@仿宋_GB2312"/>
          <w:kern w:val="2"/>
          <w:szCs w:val="24"/>
          <w:highlight w:val="none"/>
        </w:rPr>
        <w:t>供应商电子签章或公章</w:t>
      </w:r>
      <w:r>
        <w:rPr>
          <w:rFonts w:hint="eastAsia" w:cs="宋体"/>
          <w:kern w:val="2"/>
          <w:szCs w:val="24"/>
          <w:highlight w:val="none"/>
        </w:rPr>
        <w:t>：</w:t>
      </w:r>
      <w:r>
        <w:rPr>
          <w:rFonts w:cs="宋体"/>
          <w:kern w:val="2"/>
          <w:szCs w:val="24"/>
          <w:highlight w:val="none"/>
          <w:u w:val="single"/>
        </w:rPr>
        <w:t xml:space="preserve">        </w:t>
      </w:r>
      <w:r>
        <w:rPr>
          <w:rFonts w:hint="eastAsia" w:cs="宋体"/>
          <w:kern w:val="2"/>
          <w:szCs w:val="24"/>
          <w:highlight w:val="none"/>
          <w:u w:val="single"/>
        </w:rPr>
        <w:t xml:space="preserve">      </w:t>
      </w:r>
      <w:r>
        <w:rPr>
          <w:rFonts w:cs="宋体"/>
          <w:kern w:val="2"/>
          <w:szCs w:val="24"/>
          <w:highlight w:val="none"/>
          <w:u w:val="single"/>
        </w:rPr>
        <w:t xml:space="preserve">       </w:t>
      </w:r>
    </w:p>
    <w:p w14:paraId="4F82048E">
      <w:pPr>
        <w:ind w:firstLine="3840" w:firstLineChars="1600"/>
        <w:rPr>
          <w:rFonts w:cs="宋体"/>
          <w:kern w:val="2"/>
          <w:szCs w:val="24"/>
          <w:highlight w:val="none"/>
        </w:rPr>
      </w:pPr>
      <w:r>
        <w:rPr>
          <w:rFonts w:hint="eastAsia" w:cs="宋体"/>
          <w:kern w:val="2"/>
          <w:szCs w:val="24"/>
          <w:highlight w:val="none"/>
        </w:rPr>
        <w:t>日</w:t>
      </w:r>
      <w:r>
        <w:rPr>
          <w:rFonts w:cs="宋体"/>
          <w:kern w:val="2"/>
          <w:szCs w:val="24"/>
          <w:highlight w:val="none"/>
        </w:rPr>
        <w:t xml:space="preserve">   </w:t>
      </w:r>
      <w:r>
        <w:rPr>
          <w:rFonts w:hint="eastAsia" w:cs="宋体"/>
          <w:kern w:val="2"/>
          <w:szCs w:val="24"/>
          <w:highlight w:val="none"/>
        </w:rPr>
        <w:t xml:space="preserve">    </w:t>
      </w:r>
      <w:r>
        <w:rPr>
          <w:rFonts w:cs="宋体"/>
          <w:kern w:val="2"/>
          <w:szCs w:val="24"/>
          <w:highlight w:val="none"/>
        </w:rPr>
        <w:t xml:space="preserve">   </w:t>
      </w:r>
      <w:r>
        <w:rPr>
          <w:rFonts w:hint="eastAsia" w:cs="宋体"/>
          <w:kern w:val="2"/>
          <w:szCs w:val="24"/>
          <w:highlight w:val="none"/>
        </w:rPr>
        <w:t>期：</w:t>
      </w:r>
      <w:r>
        <w:rPr>
          <w:rFonts w:cs="宋体"/>
          <w:kern w:val="2"/>
          <w:szCs w:val="24"/>
          <w:highlight w:val="none"/>
          <w:u w:val="single"/>
        </w:rPr>
        <w:t xml:space="preserve">           </w:t>
      </w:r>
      <w:r>
        <w:rPr>
          <w:rFonts w:hint="eastAsia" w:cs="宋体"/>
          <w:kern w:val="2"/>
          <w:szCs w:val="24"/>
          <w:highlight w:val="none"/>
          <w:u w:val="single"/>
        </w:rPr>
        <w:t xml:space="preserve"> </w:t>
      </w:r>
      <w:r>
        <w:rPr>
          <w:rFonts w:cs="宋体"/>
          <w:kern w:val="2"/>
          <w:szCs w:val="24"/>
          <w:highlight w:val="none"/>
          <w:u w:val="single"/>
        </w:rPr>
        <w:t xml:space="preserve">    </w:t>
      </w:r>
      <w:r>
        <w:rPr>
          <w:rFonts w:hint="eastAsia" w:cs="宋体"/>
          <w:kern w:val="2"/>
          <w:szCs w:val="24"/>
          <w:highlight w:val="none"/>
          <w:u w:val="single"/>
        </w:rPr>
        <w:t xml:space="preserve">  </w:t>
      </w:r>
      <w:r>
        <w:rPr>
          <w:rFonts w:cs="宋体"/>
          <w:kern w:val="2"/>
          <w:szCs w:val="24"/>
          <w:highlight w:val="none"/>
          <w:u w:val="single"/>
        </w:rPr>
        <w:t xml:space="preserve">   </w:t>
      </w:r>
    </w:p>
    <w:p w14:paraId="3A88BFC9">
      <w:pPr>
        <w:widowControl/>
        <w:ind w:firstLine="480"/>
        <w:jc w:val="left"/>
        <w:rPr>
          <w:rFonts w:cs="@仿宋_GB2312" w:asciiTheme="minorEastAsia" w:hAnsiTheme="minorEastAsia" w:eastAsiaTheme="minorEastAsia"/>
          <w:b/>
          <w:bCs/>
          <w:kern w:val="2"/>
          <w:szCs w:val="24"/>
          <w:highlight w:val="none"/>
        </w:rPr>
      </w:pPr>
      <w:r>
        <w:rPr>
          <w:rFonts w:cs="@仿宋_GB2312" w:asciiTheme="minorEastAsia" w:hAnsiTheme="minorEastAsia" w:eastAsiaTheme="minorEastAsia"/>
          <w:kern w:val="2"/>
          <w:szCs w:val="24"/>
          <w:highlight w:val="none"/>
        </w:rPr>
        <w:br w:type="page"/>
      </w:r>
    </w:p>
    <w:p w14:paraId="2288B7B2">
      <w:pPr>
        <w:keepNext/>
        <w:keepLines/>
        <w:spacing w:before="260" w:after="260" w:line="416" w:lineRule="auto"/>
        <w:ind w:firstLine="482"/>
        <w:jc w:val="center"/>
        <w:outlineLvl w:val="2"/>
        <w:rPr>
          <w:rFonts w:cs="@仿宋_GB2312" w:asciiTheme="minorEastAsia" w:hAnsiTheme="minorEastAsia" w:eastAsiaTheme="minorEastAsia"/>
          <w:b/>
          <w:bCs/>
          <w:kern w:val="2"/>
          <w:szCs w:val="24"/>
          <w:highlight w:val="none"/>
        </w:rPr>
      </w:pPr>
      <w:r>
        <w:rPr>
          <w:rFonts w:hint="eastAsia" w:cs="@仿宋_GB2312" w:asciiTheme="minorEastAsia" w:hAnsiTheme="minorEastAsia" w:eastAsiaTheme="minorEastAsia"/>
          <w:b/>
          <w:bCs/>
          <w:kern w:val="2"/>
          <w:szCs w:val="24"/>
          <w:highlight w:val="none"/>
        </w:rPr>
        <w:t>七、业绩及证明材料</w:t>
      </w:r>
    </w:p>
    <w:p w14:paraId="2D1551F9">
      <w:pPr>
        <w:keepNext/>
        <w:keepLines/>
        <w:numPr>
          <w:ilvl w:val="0"/>
          <w:numId w:val="3"/>
        </w:numPr>
        <w:ind w:firstLine="480"/>
        <w:jc w:val="center"/>
        <w:rPr>
          <w:szCs w:val="24"/>
          <w:highlight w:val="none"/>
        </w:rPr>
      </w:pPr>
      <w:r>
        <w:rPr>
          <w:rFonts w:hint="eastAsia"/>
          <w:szCs w:val="24"/>
          <w:highlight w:val="none"/>
        </w:rPr>
        <w:t>业绩表</w:t>
      </w:r>
    </w:p>
    <w:p w14:paraId="3D349FB2">
      <w:pPr>
        <w:keepNext/>
        <w:keepLines/>
        <w:ind w:firstLine="480"/>
        <w:jc w:val="center"/>
        <w:rPr>
          <w:szCs w:val="24"/>
          <w:highlight w:val="none"/>
        </w:rPr>
      </w:pPr>
      <w:r>
        <w:rPr>
          <w:rFonts w:hint="eastAsia"/>
          <w:szCs w:val="24"/>
          <w:highlight w:val="none"/>
        </w:rPr>
        <w:t>（格式仅供参考）</w:t>
      </w:r>
    </w:p>
    <w:p w14:paraId="61FC1765">
      <w:pPr>
        <w:ind w:firstLine="420"/>
        <w:rPr>
          <w:rFonts w:eastAsia="@仿宋_GB2312" w:cs="@仿宋_GB2312"/>
          <w:kern w:val="2"/>
          <w:sz w:val="21"/>
          <w:highlight w:val="none"/>
        </w:rPr>
      </w:pP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1655"/>
        <w:gridCol w:w="1490"/>
        <w:gridCol w:w="1565"/>
        <w:gridCol w:w="1778"/>
        <w:gridCol w:w="1086"/>
      </w:tblGrid>
      <w:tr w14:paraId="260D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57" w:type="pct"/>
            <w:vAlign w:val="center"/>
          </w:tcPr>
          <w:p w14:paraId="0FA35990">
            <w:pPr>
              <w:ind w:firstLine="0" w:firstLineChars="0"/>
              <w:jc w:val="center"/>
              <w:rPr>
                <w:rFonts w:cs="宋体" w:asciiTheme="minorEastAsia" w:hAnsiTheme="minorEastAsia" w:eastAsiaTheme="minorEastAsia"/>
                <w:b/>
                <w:kern w:val="2"/>
                <w:szCs w:val="24"/>
                <w:highlight w:val="none"/>
              </w:rPr>
            </w:pPr>
            <w:r>
              <w:rPr>
                <w:rFonts w:hint="eastAsia" w:cs="宋体" w:asciiTheme="minorEastAsia" w:hAnsiTheme="minorEastAsia" w:eastAsiaTheme="minorEastAsia"/>
                <w:b/>
                <w:kern w:val="2"/>
                <w:szCs w:val="24"/>
                <w:highlight w:val="none"/>
              </w:rPr>
              <w:t>序号</w:t>
            </w:r>
          </w:p>
        </w:tc>
        <w:tc>
          <w:tcPr>
            <w:tcW w:w="971" w:type="pct"/>
            <w:vAlign w:val="center"/>
          </w:tcPr>
          <w:p w14:paraId="0B7A728C">
            <w:pPr>
              <w:ind w:firstLine="0" w:firstLineChars="0"/>
              <w:jc w:val="center"/>
              <w:rPr>
                <w:rFonts w:cs="宋体" w:asciiTheme="minorEastAsia" w:hAnsiTheme="minorEastAsia" w:eastAsiaTheme="minorEastAsia"/>
                <w:b/>
                <w:kern w:val="2"/>
                <w:szCs w:val="24"/>
                <w:highlight w:val="none"/>
              </w:rPr>
            </w:pPr>
            <w:r>
              <w:rPr>
                <w:rFonts w:hint="eastAsia" w:cs="宋体" w:asciiTheme="minorEastAsia" w:hAnsiTheme="minorEastAsia" w:eastAsiaTheme="minorEastAsia"/>
                <w:b/>
                <w:kern w:val="2"/>
                <w:szCs w:val="24"/>
                <w:highlight w:val="none"/>
              </w:rPr>
              <w:t>项目名称</w:t>
            </w:r>
          </w:p>
        </w:tc>
        <w:tc>
          <w:tcPr>
            <w:tcW w:w="874" w:type="pct"/>
            <w:vAlign w:val="center"/>
          </w:tcPr>
          <w:p w14:paraId="5F399128">
            <w:pPr>
              <w:widowControl/>
              <w:ind w:firstLine="0" w:firstLineChars="0"/>
              <w:jc w:val="center"/>
              <w:rPr>
                <w:rFonts w:cs="宋体" w:asciiTheme="minorEastAsia" w:hAnsiTheme="minorEastAsia" w:eastAsiaTheme="minorEastAsia"/>
                <w:b/>
                <w:kern w:val="2"/>
                <w:szCs w:val="24"/>
                <w:highlight w:val="none"/>
              </w:rPr>
            </w:pPr>
            <w:r>
              <w:rPr>
                <w:rFonts w:hint="eastAsia" w:cs="宋体" w:asciiTheme="minorEastAsia" w:hAnsiTheme="minorEastAsia" w:eastAsiaTheme="minorEastAsia"/>
                <w:b/>
                <w:kern w:val="2"/>
                <w:szCs w:val="24"/>
                <w:highlight w:val="none"/>
              </w:rPr>
              <w:t>项目内容</w:t>
            </w:r>
          </w:p>
        </w:tc>
        <w:tc>
          <w:tcPr>
            <w:tcW w:w="918" w:type="pct"/>
            <w:vAlign w:val="center"/>
          </w:tcPr>
          <w:p w14:paraId="633C8848">
            <w:pPr>
              <w:widowControl/>
              <w:ind w:firstLine="0" w:firstLineChars="0"/>
              <w:jc w:val="center"/>
              <w:rPr>
                <w:rFonts w:cs="宋体" w:asciiTheme="minorEastAsia" w:hAnsiTheme="minorEastAsia" w:eastAsiaTheme="minorEastAsia"/>
                <w:b/>
                <w:kern w:val="2"/>
                <w:szCs w:val="24"/>
                <w:highlight w:val="none"/>
              </w:rPr>
            </w:pPr>
            <w:r>
              <w:rPr>
                <w:rFonts w:hint="eastAsia" w:cs="宋体" w:asciiTheme="minorEastAsia" w:hAnsiTheme="minorEastAsia" w:eastAsiaTheme="minorEastAsia"/>
                <w:b/>
                <w:kern w:val="2"/>
                <w:szCs w:val="24"/>
                <w:highlight w:val="none"/>
              </w:rPr>
              <w:t>合同总金额</w:t>
            </w:r>
          </w:p>
        </w:tc>
        <w:tc>
          <w:tcPr>
            <w:tcW w:w="1043" w:type="pct"/>
            <w:vAlign w:val="center"/>
          </w:tcPr>
          <w:p w14:paraId="36AB300E">
            <w:pPr>
              <w:widowControl/>
              <w:ind w:firstLine="0" w:firstLineChars="0"/>
              <w:jc w:val="center"/>
              <w:rPr>
                <w:rFonts w:cs="宋体" w:asciiTheme="minorEastAsia" w:hAnsiTheme="minorEastAsia" w:eastAsiaTheme="minorEastAsia"/>
                <w:b/>
                <w:kern w:val="2"/>
                <w:szCs w:val="24"/>
                <w:highlight w:val="none"/>
              </w:rPr>
            </w:pPr>
            <w:r>
              <w:rPr>
                <w:rFonts w:hint="eastAsia" w:cs="宋体" w:asciiTheme="minorEastAsia" w:hAnsiTheme="minorEastAsia" w:eastAsiaTheme="minorEastAsia"/>
                <w:b/>
                <w:kern w:val="2"/>
                <w:szCs w:val="24"/>
                <w:highlight w:val="none"/>
              </w:rPr>
              <w:t>业绩合同甲方及联系电话</w:t>
            </w:r>
          </w:p>
        </w:tc>
        <w:tc>
          <w:tcPr>
            <w:tcW w:w="636" w:type="pct"/>
            <w:vAlign w:val="center"/>
          </w:tcPr>
          <w:p w14:paraId="2BBECDB7">
            <w:pPr>
              <w:ind w:firstLine="0" w:firstLineChars="0"/>
              <w:jc w:val="center"/>
              <w:rPr>
                <w:rFonts w:cs="宋体" w:asciiTheme="minorEastAsia" w:hAnsiTheme="minorEastAsia" w:eastAsiaTheme="minorEastAsia"/>
                <w:b/>
                <w:kern w:val="2"/>
                <w:szCs w:val="24"/>
                <w:highlight w:val="none"/>
              </w:rPr>
            </w:pPr>
            <w:r>
              <w:rPr>
                <w:rFonts w:hint="eastAsia" w:cs="宋体" w:asciiTheme="minorEastAsia" w:hAnsiTheme="minorEastAsia" w:eastAsiaTheme="minorEastAsia"/>
                <w:b/>
                <w:kern w:val="2"/>
                <w:szCs w:val="24"/>
                <w:highlight w:val="none"/>
              </w:rPr>
              <w:t>备注</w:t>
            </w:r>
          </w:p>
        </w:tc>
      </w:tr>
      <w:tr w14:paraId="13C7A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000" w:type="pct"/>
            <w:gridSpan w:val="6"/>
            <w:vAlign w:val="center"/>
          </w:tcPr>
          <w:p w14:paraId="420AAF38">
            <w:pPr>
              <w:ind w:firstLine="0" w:firstLineChars="0"/>
              <w:jc w:val="center"/>
              <w:rPr>
                <w:rFonts w:cs="宋体" w:asciiTheme="minorEastAsia" w:hAnsiTheme="minorEastAsia" w:eastAsiaTheme="minorEastAsia"/>
                <w:bCs/>
                <w:kern w:val="2"/>
                <w:szCs w:val="24"/>
                <w:highlight w:val="none"/>
              </w:rPr>
            </w:pPr>
            <w:r>
              <w:rPr>
                <w:rFonts w:hint="eastAsia" w:cs="宋体" w:asciiTheme="minorEastAsia" w:hAnsiTheme="minorEastAsia" w:eastAsiaTheme="minorEastAsia"/>
                <w:bCs/>
                <w:kern w:val="2"/>
                <w:szCs w:val="24"/>
                <w:highlight w:val="none"/>
              </w:rPr>
              <w:t>供应商初审业绩（资格门槛业绩，如有）</w:t>
            </w:r>
          </w:p>
        </w:tc>
      </w:tr>
      <w:tr w14:paraId="4427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pct"/>
            <w:vAlign w:val="center"/>
          </w:tcPr>
          <w:p w14:paraId="2F94247D">
            <w:pPr>
              <w:ind w:firstLine="0" w:firstLineChars="0"/>
              <w:jc w:val="center"/>
              <w:rPr>
                <w:rFonts w:cs="宋体" w:asciiTheme="minorEastAsia" w:hAnsiTheme="minorEastAsia" w:eastAsiaTheme="minorEastAsia"/>
                <w:bCs/>
                <w:kern w:val="2"/>
                <w:szCs w:val="24"/>
                <w:highlight w:val="none"/>
              </w:rPr>
            </w:pPr>
            <w:r>
              <w:rPr>
                <w:rFonts w:hint="eastAsia" w:cs="宋体" w:asciiTheme="minorEastAsia" w:hAnsiTheme="minorEastAsia" w:eastAsiaTheme="minorEastAsia"/>
                <w:bCs/>
                <w:kern w:val="2"/>
                <w:szCs w:val="24"/>
                <w:highlight w:val="none"/>
              </w:rPr>
              <w:t>1</w:t>
            </w:r>
          </w:p>
        </w:tc>
        <w:tc>
          <w:tcPr>
            <w:tcW w:w="971" w:type="pct"/>
            <w:vAlign w:val="center"/>
          </w:tcPr>
          <w:p w14:paraId="18F8F272">
            <w:pPr>
              <w:ind w:firstLine="0" w:firstLineChars="0"/>
              <w:rPr>
                <w:rFonts w:cs="宋体" w:asciiTheme="minorEastAsia" w:hAnsiTheme="minorEastAsia" w:eastAsiaTheme="minorEastAsia"/>
                <w:bCs/>
                <w:kern w:val="2"/>
                <w:szCs w:val="24"/>
                <w:highlight w:val="none"/>
              </w:rPr>
            </w:pPr>
          </w:p>
        </w:tc>
        <w:tc>
          <w:tcPr>
            <w:tcW w:w="874" w:type="pct"/>
            <w:vAlign w:val="center"/>
          </w:tcPr>
          <w:p w14:paraId="4B2BC4D0">
            <w:pPr>
              <w:ind w:firstLine="0" w:firstLineChars="0"/>
              <w:rPr>
                <w:rFonts w:cs="宋体" w:asciiTheme="minorEastAsia" w:hAnsiTheme="minorEastAsia" w:eastAsiaTheme="minorEastAsia"/>
                <w:bCs/>
                <w:kern w:val="2"/>
                <w:szCs w:val="24"/>
                <w:highlight w:val="none"/>
              </w:rPr>
            </w:pPr>
          </w:p>
        </w:tc>
        <w:tc>
          <w:tcPr>
            <w:tcW w:w="918" w:type="pct"/>
            <w:vAlign w:val="center"/>
          </w:tcPr>
          <w:p w14:paraId="1E2B307A">
            <w:pPr>
              <w:ind w:firstLine="0" w:firstLineChars="0"/>
              <w:rPr>
                <w:rFonts w:cs="宋体" w:asciiTheme="minorEastAsia" w:hAnsiTheme="minorEastAsia" w:eastAsiaTheme="minorEastAsia"/>
                <w:bCs/>
                <w:kern w:val="2"/>
                <w:szCs w:val="24"/>
                <w:highlight w:val="none"/>
              </w:rPr>
            </w:pPr>
          </w:p>
        </w:tc>
        <w:tc>
          <w:tcPr>
            <w:tcW w:w="1043" w:type="pct"/>
            <w:vAlign w:val="center"/>
          </w:tcPr>
          <w:p w14:paraId="2E380D89">
            <w:pPr>
              <w:ind w:firstLine="0" w:firstLineChars="0"/>
              <w:rPr>
                <w:rFonts w:cs="宋体" w:asciiTheme="minorEastAsia" w:hAnsiTheme="minorEastAsia" w:eastAsiaTheme="minorEastAsia"/>
                <w:bCs/>
                <w:kern w:val="2"/>
                <w:szCs w:val="24"/>
                <w:highlight w:val="none"/>
              </w:rPr>
            </w:pPr>
          </w:p>
        </w:tc>
        <w:tc>
          <w:tcPr>
            <w:tcW w:w="636" w:type="pct"/>
            <w:vAlign w:val="center"/>
          </w:tcPr>
          <w:p w14:paraId="19990AF8">
            <w:pPr>
              <w:ind w:firstLine="0" w:firstLineChars="0"/>
              <w:rPr>
                <w:rFonts w:cs="宋体" w:asciiTheme="minorEastAsia" w:hAnsiTheme="minorEastAsia" w:eastAsiaTheme="minorEastAsia"/>
                <w:bCs/>
                <w:kern w:val="2"/>
                <w:szCs w:val="24"/>
                <w:highlight w:val="none"/>
              </w:rPr>
            </w:pPr>
          </w:p>
        </w:tc>
      </w:tr>
      <w:tr w14:paraId="68B3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14:paraId="5793217B">
            <w:pPr>
              <w:ind w:firstLine="0" w:firstLineChars="0"/>
              <w:jc w:val="center"/>
              <w:rPr>
                <w:rFonts w:cs="宋体" w:asciiTheme="minorEastAsia" w:hAnsiTheme="minorEastAsia" w:eastAsiaTheme="minorEastAsia"/>
                <w:bCs/>
                <w:kern w:val="2"/>
                <w:szCs w:val="24"/>
                <w:highlight w:val="none"/>
              </w:rPr>
            </w:pPr>
            <w:r>
              <w:rPr>
                <w:rFonts w:hint="eastAsia" w:cs="宋体" w:asciiTheme="minorEastAsia" w:hAnsiTheme="minorEastAsia" w:eastAsiaTheme="minorEastAsia"/>
                <w:bCs/>
                <w:kern w:val="2"/>
                <w:szCs w:val="24"/>
                <w:highlight w:val="none"/>
              </w:rPr>
              <w:t>项目负责人初审业绩（资格门槛业绩，如有）</w:t>
            </w:r>
          </w:p>
        </w:tc>
      </w:tr>
      <w:tr w14:paraId="607F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pct"/>
            <w:vAlign w:val="center"/>
          </w:tcPr>
          <w:p w14:paraId="679A3192">
            <w:pPr>
              <w:ind w:firstLine="0" w:firstLineChars="0"/>
              <w:jc w:val="center"/>
              <w:rPr>
                <w:rFonts w:cs="宋体" w:asciiTheme="minorEastAsia" w:hAnsiTheme="minorEastAsia" w:eastAsiaTheme="minorEastAsia"/>
                <w:bCs/>
                <w:kern w:val="2"/>
                <w:szCs w:val="24"/>
                <w:highlight w:val="none"/>
              </w:rPr>
            </w:pPr>
            <w:r>
              <w:rPr>
                <w:rFonts w:hint="eastAsia" w:cs="宋体" w:asciiTheme="minorEastAsia" w:hAnsiTheme="minorEastAsia" w:eastAsiaTheme="minorEastAsia"/>
                <w:bCs/>
                <w:kern w:val="2"/>
                <w:szCs w:val="24"/>
                <w:highlight w:val="none"/>
              </w:rPr>
              <w:t>1</w:t>
            </w:r>
          </w:p>
        </w:tc>
        <w:tc>
          <w:tcPr>
            <w:tcW w:w="971" w:type="pct"/>
            <w:vAlign w:val="center"/>
          </w:tcPr>
          <w:p w14:paraId="514931CD">
            <w:pPr>
              <w:ind w:firstLine="0" w:firstLineChars="0"/>
              <w:rPr>
                <w:rFonts w:cs="宋体" w:asciiTheme="minorEastAsia" w:hAnsiTheme="minorEastAsia" w:eastAsiaTheme="minorEastAsia"/>
                <w:bCs/>
                <w:kern w:val="2"/>
                <w:szCs w:val="24"/>
                <w:highlight w:val="none"/>
              </w:rPr>
            </w:pPr>
          </w:p>
        </w:tc>
        <w:tc>
          <w:tcPr>
            <w:tcW w:w="874" w:type="pct"/>
            <w:vAlign w:val="center"/>
          </w:tcPr>
          <w:p w14:paraId="5400C3FF">
            <w:pPr>
              <w:ind w:firstLine="0" w:firstLineChars="0"/>
              <w:rPr>
                <w:rFonts w:cs="宋体" w:asciiTheme="minorEastAsia" w:hAnsiTheme="minorEastAsia" w:eastAsiaTheme="minorEastAsia"/>
                <w:bCs/>
                <w:kern w:val="2"/>
                <w:szCs w:val="24"/>
                <w:highlight w:val="none"/>
              </w:rPr>
            </w:pPr>
          </w:p>
        </w:tc>
        <w:tc>
          <w:tcPr>
            <w:tcW w:w="918" w:type="pct"/>
            <w:vAlign w:val="center"/>
          </w:tcPr>
          <w:p w14:paraId="02293EBA">
            <w:pPr>
              <w:ind w:firstLine="0" w:firstLineChars="0"/>
              <w:rPr>
                <w:rFonts w:cs="宋体" w:asciiTheme="minorEastAsia" w:hAnsiTheme="minorEastAsia" w:eastAsiaTheme="minorEastAsia"/>
                <w:bCs/>
                <w:kern w:val="2"/>
                <w:szCs w:val="24"/>
                <w:highlight w:val="none"/>
              </w:rPr>
            </w:pPr>
          </w:p>
        </w:tc>
        <w:tc>
          <w:tcPr>
            <w:tcW w:w="1043" w:type="pct"/>
            <w:vAlign w:val="center"/>
          </w:tcPr>
          <w:p w14:paraId="6D70CB46">
            <w:pPr>
              <w:ind w:firstLine="0" w:firstLineChars="0"/>
              <w:rPr>
                <w:rFonts w:cs="宋体" w:asciiTheme="minorEastAsia" w:hAnsiTheme="minorEastAsia" w:eastAsiaTheme="minorEastAsia"/>
                <w:bCs/>
                <w:kern w:val="2"/>
                <w:szCs w:val="24"/>
                <w:highlight w:val="none"/>
              </w:rPr>
            </w:pPr>
          </w:p>
        </w:tc>
        <w:tc>
          <w:tcPr>
            <w:tcW w:w="636" w:type="pct"/>
            <w:vAlign w:val="center"/>
          </w:tcPr>
          <w:p w14:paraId="33CF3B76">
            <w:pPr>
              <w:ind w:firstLine="0" w:firstLineChars="0"/>
              <w:rPr>
                <w:rFonts w:cs="宋体" w:asciiTheme="minorEastAsia" w:hAnsiTheme="minorEastAsia" w:eastAsiaTheme="minorEastAsia"/>
                <w:bCs/>
                <w:kern w:val="2"/>
                <w:szCs w:val="24"/>
                <w:highlight w:val="none"/>
              </w:rPr>
            </w:pPr>
          </w:p>
        </w:tc>
      </w:tr>
      <w:tr w14:paraId="7ADC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14:paraId="01C273AA">
            <w:pPr>
              <w:ind w:firstLine="0" w:firstLineChars="0"/>
              <w:jc w:val="center"/>
              <w:rPr>
                <w:rFonts w:cs="宋体" w:asciiTheme="minorEastAsia" w:hAnsiTheme="minorEastAsia" w:eastAsiaTheme="minorEastAsia"/>
                <w:bCs/>
                <w:kern w:val="2"/>
                <w:szCs w:val="24"/>
                <w:highlight w:val="none"/>
              </w:rPr>
            </w:pPr>
            <w:r>
              <w:rPr>
                <w:rFonts w:hint="eastAsia" w:cs="宋体" w:asciiTheme="minorEastAsia" w:hAnsiTheme="minorEastAsia" w:eastAsiaTheme="minorEastAsia"/>
                <w:bCs/>
                <w:kern w:val="2"/>
                <w:szCs w:val="24"/>
                <w:highlight w:val="none"/>
              </w:rPr>
              <w:t>供应商评审业绩（打分业绩，如有）</w:t>
            </w:r>
          </w:p>
        </w:tc>
      </w:tr>
      <w:tr w14:paraId="48B07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pct"/>
            <w:vAlign w:val="center"/>
          </w:tcPr>
          <w:p w14:paraId="01A9A8BC">
            <w:pPr>
              <w:ind w:firstLine="0" w:firstLineChars="0"/>
              <w:jc w:val="center"/>
              <w:rPr>
                <w:rFonts w:cs="宋体" w:asciiTheme="minorEastAsia" w:hAnsiTheme="minorEastAsia" w:eastAsiaTheme="minorEastAsia"/>
                <w:bCs/>
                <w:kern w:val="2"/>
                <w:szCs w:val="24"/>
                <w:highlight w:val="none"/>
              </w:rPr>
            </w:pPr>
            <w:r>
              <w:rPr>
                <w:rFonts w:hint="eastAsia" w:cs="宋体" w:asciiTheme="minorEastAsia" w:hAnsiTheme="minorEastAsia" w:eastAsiaTheme="minorEastAsia"/>
                <w:bCs/>
                <w:kern w:val="2"/>
                <w:szCs w:val="24"/>
                <w:highlight w:val="none"/>
              </w:rPr>
              <w:t>1</w:t>
            </w:r>
          </w:p>
        </w:tc>
        <w:tc>
          <w:tcPr>
            <w:tcW w:w="971" w:type="pct"/>
            <w:vAlign w:val="center"/>
          </w:tcPr>
          <w:p w14:paraId="33D153D4">
            <w:pPr>
              <w:ind w:firstLine="0" w:firstLineChars="0"/>
              <w:rPr>
                <w:rFonts w:cs="宋体" w:asciiTheme="minorEastAsia" w:hAnsiTheme="minorEastAsia" w:eastAsiaTheme="minorEastAsia"/>
                <w:bCs/>
                <w:kern w:val="2"/>
                <w:szCs w:val="24"/>
                <w:highlight w:val="none"/>
              </w:rPr>
            </w:pPr>
          </w:p>
        </w:tc>
        <w:tc>
          <w:tcPr>
            <w:tcW w:w="874" w:type="pct"/>
            <w:vAlign w:val="center"/>
          </w:tcPr>
          <w:p w14:paraId="596F8680">
            <w:pPr>
              <w:ind w:firstLine="0" w:firstLineChars="0"/>
              <w:rPr>
                <w:rFonts w:cs="宋体" w:asciiTheme="minorEastAsia" w:hAnsiTheme="minorEastAsia" w:eastAsiaTheme="minorEastAsia"/>
                <w:bCs/>
                <w:kern w:val="2"/>
                <w:szCs w:val="24"/>
                <w:highlight w:val="none"/>
              </w:rPr>
            </w:pPr>
          </w:p>
        </w:tc>
        <w:tc>
          <w:tcPr>
            <w:tcW w:w="918" w:type="pct"/>
            <w:vAlign w:val="center"/>
          </w:tcPr>
          <w:p w14:paraId="69909AE0">
            <w:pPr>
              <w:ind w:firstLine="0" w:firstLineChars="0"/>
              <w:rPr>
                <w:rFonts w:cs="宋体" w:asciiTheme="minorEastAsia" w:hAnsiTheme="minorEastAsia" w:eastAsiaTheme="minorEastAsia"/>
                <w:bCs/>
                <w:kern w:val="2"/>
                <w:szCs w:val="24"/>
                <w:highlight w:val="none"/>
              </w:rPr>
            </w:pPr>
          </w:p>
        </w:tc>
        <w:tc>
          <w:tcPr>
            <w:tcW w:w="1043" w:type="pct"/>
            <w:vAlign w:val="center"/>
          </w:tcPr>
          <w:p w14:paraId="3080CEFC">
            <w:pPr>
              <w:ind w:firstLine="0" w:firstLineChars="0"/>
              <w:rPr>
                <w:rFonts w:cs="宋体" w:asciiTheme="minorEastAsia" w:hAnsiTheme="minorEastAsia" w:eastAsiaTheme="minorEastAsia"/>
                <w:bCs/>
                <w:kern w:val="2"/>
                <w:szCs w:val="24"/>
                <w:highlight w:val="none"/>
              </w:rPr>
            </w:pPr>
          </w:p>
        </w:tc>
        <w:tc>
          <w:tcPr>
            <w:tcW w:w="636" w:type="pct"/>
            <w:vAlign w:val="center"/>
          </w:tcPr>
          <w:p w14:paraId="526C43B6">
            <w:pPr>
              <w:ind w:firstLine="0" w:firstLineChars="0"/>
              <w:rPr>
                <w:rFonts w:cs="宋体" w:asciiTheme="minorEastAsia" w:hAnsiTheme="minorEastAsia" w:eastAsiaTheme="minorEastAsia"/>
                <w:bCs/>
                <w:kern w:val="2"/>
                <w:szCs w:val="24"/>
                <w:highlight w:val="none"/>
              </w:rPr>
            </w:pPr>
          </w:p>
        </w:tc>
      </w:tr>
      <w:tr w14:paraId="0BA5B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pct"/>
            <w:vAlign w:val="center"/>
          </w:tcPr>
          <w:p w14:paraId="4530EC6A">
            <w:pPr>
              <w:ind w:firstLine="0" w:firstLineChars="0"/>
              <w:jc w:val="center"/>
              <w:rPr>
                <w:rFonts w:cs="宋体" w:asciiTheme="minorEastAsia" w:hAnsiTheme="minorEastAsia" w:eastAsiaTheme="minorEastAsia"/>
                <w:bCs/>
                <w:kern w:val="2"/>
                <w:szCs w:val="24"/>
                <w:highlight w:val="none"/>
              </w:rPr>
            </w:pPr>
            <w:r>
              <w:rPr>
                <w:rFonts w:hint="eastAsia" w:cs="宋体" w:asciiTheme="minorEastAsia" w:hAnsiTheme="minorEastAsia" w:eastAsiaTheme="minorEastAsia"/>
                <w:bCs/>
                <w:kern w:val="2"/>
                <w:szCs w:val="24"/>
                <w:highlight w:val="none"/>
              </w:rPr>
              <w:t>2</w:t>
            </w:r>
          </w:p>
        </w:tc>
        <w:tc>
          <w:tcPr>
            <w:tcW w:w="971" w:type="pct"/>
            <w:vAlign w:val="center"/>
          </w:tcPr>
          <w:p w14:paraId="3E8E8CB7">
            <w:pPr>
              <w:ind w:firstLine="0" w:firstLineChars="0"/>
              <w:rPr>
                <w:rFonts w:cs="宋体" w:asciiTheme="minorEastAsia" w:hAnsiTheme="minorEastAsia" w:eastAsiaTheme="minorEastAsia"/>
                <w:bCs/>
                <w:kern w:val="2"/>
                <w:szCs w:val="24"/>
                <w:highlight w:val="none"/>
              </w:rPr>
            </w:pPr>
          </w:p>
        </w:tc>
        <w:tc>
          <w:tcPr>
            <w:tcW w:w="874" w:type="pct"/>
            <w:vAlign w:val="center"/>
          </w:tcPr>
          <w:p w14:paraId="09DE2740">
            <w:pPr>
              <w:ind w:firstLine="0" w:firstLineChars="0"/>
              <w:rPr>
                <w:rFonts w:cs="宋体" w:asciiTheme="minorEastAsia" w:hAnsiTheme="minorEastAsia" w:eastAsiaTheme="minorEastAsia"/>
                <w:bCs/>
                <w:kern w:val="2"/>
                <w:szCs w:val="24"/>
                <w:highlight w:val="none"/>
              </w:rPr>
            </w:pPr>
          </w:p>
        </w:tc>
        <w:tc>
          <w:tcPr>
            <w:tcW w:w="918" w:type="pct"/>
            <w:vAlign w:val="center"/>
          </w:tcPr>
          <w:p w14:paraId="612E53D0">
            <w:pPr>
              <w:ind w:firstLine="0" w:firstLineChars="0"/>
              <w:rPr>
                <w:rFonts w:cs="宋体" w:asciiTheme="minorEastAsia" w:hAnsiTheme="minorEastAsia" w:eastAsiaTheme="minorEastAsia"/>
                <w:bCs/>
                <w:kern w:val="2"/>
                <w:szCs w:val="24"/>
                <w:highlight w:val="none"/>
              </w:rPr>
            </w:pPr>
          </w:p>
        </w:tc>
        <w:tc>
          <w:tcPr>
            <w:tcW w:w="1043" w:type="pct"/>
            <w:vAlign w:val="center"/>
          </w:tcPr>
          <w:p w14:paraId="53B95FEA">
            <w:pPr>
              <w:ind w:firstLine="0" w:firstLineChars="0"/>
              <w:rPr>
                <w:rFonts w:cs="宋体" w:asciiTheme="minorEastAsia" w:hAnsiTheme="minorEastAsia" w:eastAsiaTheme="minorEastAsia"/>
                <w:bCs/>
                <w:kern w:val="2"/>
                <w:szCs w:val="24"/>
                <w:highlight w:val="none"/>
              </w:rPr>
            </w:pPr>
          </w:p>
        </w:tc>
        <w:tc>
          <w:tcPr>
            <w:tcW w:w="636" w:type="pct"/>
            <w:vAlign w:val="center"/>
          </w:tcPr>
          <w:p w14:paraId="0BB2F395">
            <w:pPr>
              <w:ind w:firstLine="0" w:firstLineChars="0"/>
              <w:rPr>
                <w:rFonts w:cs="宋体" w:asciiTheme="minorEastAsia" w:hAnsiTheme="minorEastAsia" w:eastAsiaTheme="minorEastAsia"/>
                <w:bCs/>
                <w:kern w:val="2"/>
                <w:szCs w:val="24"/>
                <w:highlight w:val="none"/>
              </w:rPr>
            </w:pPr>
          </w:p>
        </w:tc>
      </w:tr>
      <w:tr w14:paraId="5CC88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14:paraId="12ECD5B6">
            <w:pPr>
              <w:ind w:firstLine="0" w:firstLineChars="0"/>
              <w:jc w:val="center"/>
              <w:rPr>
                <w:rFonts w:cs="宋体" w:asciiTheme="minorEastAsia" w:hAnsiTheme="minorEastAsia" w:eastAsiaTheme="minorEastAsia"/>
                <w:bCs/>
                <w:kern w:val="2"/>
                <w:szCs w:val="24"/>
                <w:highlight w:val="none"/>
              </w:rPr>
            </w:pPr>
            <w:r>
              <w:rPr>
                <w:rFonts w:hint="eastAsia" w:cs="宋体" w:asciiTheme="minorEastAsia" w:hAnsiTheme="minorEastAsia" w:eastAsiaTheme="minorEastAsia"/>
                <w:bCs/>
                <w:kern w:val="2"/>
                <w:szCs w:val="24"/>
                <w:highlight w:val="none"/>
              </w:rPr>
              <w:t>项目负责人评审业绩（打分业绩，如有）</w:t>
            </w:r>
          </w:p>
        </w:tc>
      </w:tr>
      <w:tr w14:paraId="7556A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pct"/>
            <w:vAlign w:val="center"/>
          </w:tcPr>
          <w:p w14:paraId="6EC606E2">
            <w:pPr>
              <w:ind w:firstLine="0" w:firstLineChars="0"/>
              <w:jc w:val="center"/>
              <w:rPr>
                <w:rFonts w:cs="宋体" w:asciiTheme="minorEastAsia" w:hAnsiTheme="minorEastAsia" w:eastAsiaTheme="minorEastAsia"/>
                <w:bCs/>
                <w:kern w:val="2"/>
                <w:szCs w:val="24"/>
                <w:highlight w:val="none"/>
              </w:rPr>
            </w:pPr>
            <w:r>
              <w:rPr>
                <w:rFonts w:hint="eastAsia" w:cs="宋体" w:asciiTheme="minorEastAsia" w:hAnsiTheme="minorEastAsia" w:eastAsiaTheme="minorEastAsia"/>
                <w:bCs/>
                <w:kern w:val="2"/>
                <w:szCs w:val="24"/>
                <w:highlight w:val="none"/>
              </w:rPr>
              <w:t>1</w:t>
            </w:r>
          </w:p>
        </w:tc>
        <w:tc>
          <w:tcPr>
            <w:tcW w:w="971" w:type="pct"/>
            <w:vAlign w:val="center"/>
          </w:tcPr>
          <w:p w14:paraId="7067FCCA">
            <w:pPr>
              <w:ind w:firstLine="0" w:firstLineChars="0"/>
              <w:rPr>
                <w:rFonts w:cs="宋体" w:asciiTheme="minorEastAsia" w:hAnsiTheme="minorEastAsia" w:eastAsiaTheme="minorEastAsia"/>
                <w:b/>
                <w:kern w:val="2"/>
                <w:szCs w:val="24"/>
                <w:highlight w:val="none"/>
              </w:rPr>
            </w:pPr>
          </w:p>
        </w:tc>
        <w:tc>
          <w:tcPr>
            <w:tcW w:w="874" w:type="pct"/>
            <w:vAlign w:val="center"/>
          </w:tcPr>
          <w:p w14:paraId="10389887">
            <w:pPr>
              <w:ind w:firstLine="0" w:firstLineChars="0"/>
              <w:rPr>
                <w:rFonts w:cs="宋体" w:asciiTheme="minorEastAsia" w:hAnsiTheme="minorEastAsia" w:eastAsiaTheme="minorEastAsia"/>
                <w:b/>
                <w:kern w:val="2"/>
                <w:szCs w:val="24"/>
                <w:highlight w:val="none"/>
              </w:rPr>
            </w:pPr>
          </w:p>
        </w:tc>
        <w:tc>
          <w:tcPr>
            <w:tcW w:w="918" w:type="pct"/>
            <w:vAlign w:val="center"/>
          </w:tcPr>
          <w:p w14:paraId="7EF812B0">
            <w:pPr>
              <w:ind w:firstLine="0" w:firstLineChars="0"/>
              <w:rPr>
                <w:rFonts w:cs="宋体" w:asciiTheme="minorEastAsia" w:hAnsiTheme="minorEastAsia" w:eastAsiaTheme="minorEastAsia"/>
                <w:b/>
                <w:kern w:val="2"/>
                <w:szCs w:val="24"/>
                <w:highlight w:val="none"/>
              </w:rPr>
            </w:pPr>
          </w:p>
        </w:tc>
        <w:tc>
          <w:tcPr>
            <w:tcW w:w="1043" w:type="pct"/>
            <w:vAlign w:val="center"/>
          </w:tcPr>
          <w:p w14:paraId="6221A2FC">
            <w:pPr>
              <w:ind w:firstLine="0" w:firstLineChars="0"/>
              <w:rPr>
                <w:rFonts w:cs="宋体" w:asciiTheme="minorEastAsia" w:hAnsiTheme="minorEastAsia" w:eastAsiaTheme="minorEastAsia"/>
                <w:b/>
                <w:kern w:val="2"/>
                <w:szCs w:val="24"/>
                <w:highlight w:val="none"/>
              </w:rPr>
            </w:pPr>
          </w:p>
        </w:tc>
        <w:tc>
          <w:tcPr>
            <w:tcW w:w="636" w:type="pct"/>
            <w:vAlign w:val="center"/>
          </w:tcPr>
          <w:p w14:paraId="6FB4B3A9">
            <w:pPr>
              <w:ind w:firstLine="0" w:firstLineChars="0"/>
              <w:rPr>
                <w:rFonts w:cs="宋体" w:asciiTheme="minorEastAsia" w:hAnsiTheme="minorEastAsia" w:eastAsiaTheme="minorEastAsia"/>
                <w:b/>
                <w:kern w:val="2"/>
                <w:szCs w:val="24"/>
                <w:highlight w:val="none"/>
              </w:rPr>
            </w:pPr>
          </w:p>
        </w:tc>
      </w:tr>
      <w:tr w14:paraId="5BE83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pct"/>
            <w:vAlign w:val="center"/>
          </w:tcPr>
          <w:p w14:paraId="6A47585A">
            <w:pPr>
              <w:ind w:firstLine="0" w:firstLineChars="0"/>
              <w:jc w:val="center"/>
              <w:rPr>
                <w:rFonts w:cs="宋体" w:asciiTheme="minorEastAsia" w:hAnsiTheme="minorEastAsia" w:eastAsiaTheme="minorEastAsia"/>
                <w:bCs/>
                <w:kern w:val="2"/>
                <w:szCs w:val="24"/>
                <w:highlight w:val="none"/>
              </w:rPr>
            </w:pPr>
            <w:r>
              <w:rPr>
                <w:rFonts w:hint="eastAsia" w:cs="宋体" w:asciiTheme="minorEastAsia" w:hAnsiTheme="minorEastAsia" w:eastAsiaTheme="minorEastAsia"/>
                <w:bCs/>
                <w:kern w:val="2"/>
                <w:szCs w:val="24"/>
                <w:highlight w:val="none"/>
              </w:rPr>
              <w:t>2</w:t>
            </w:r>
          </w:p>
        </w:tc>
        <w:tc>
          <w:tcPr>
            <w:tcW w:w="971" w:type="pct"/>
            <w:vAlign w:val="center"/>
          </w:tcPr>
          <w:p w14:paraId="1C99982F">
            <w:pPr>
              <w:ind w:firstLine="0" w:firstLineChars="0"/>
              <w:rPr>
                <w:rFonts w:cs="宋体" w:asciiTheme="minorEastAsia" w:hAnsiTheme="minorEastAsia" w:eastAsiaTheme="minorEastAsia"/>
                <w:b/>
                <w:kern w:val="2"/>
                <w:szCs w:val="24"/>
                <w:highlight w:val="none"/>
              </w:rPr>
            </w:pPr>
          </w:p>
        </w:tc>
        <w:tc>
          <w:tcPr>
            <w:tcW w:w="874" w:type="pct"/>
            <w:vAlign w:val="center"/>
          </w:tcPr>
          <w:p w14:paraId="7DDBBE92">
            <w:pPr>
              <w:ind w:firstLine="0" w:firstLineChars="0"/>
              <w:rPr>
                <w:rFonts w:cs="宋体" w:asciiTheme="minorEastAsia" w:hAnsiTheme="minorEastAsia" w:eastAsiaTheme="minorEastAsia"/>
                <w:b/>
                <w:kern w:val="2"/>
                <w:szCs w:val="24"/>
                <w:highlight w:val="none"/>
              </w:rPr>
            </w:pPr>
          </w:p>
        </w:tc>
        <w:tc>
          <w:tcPr>
            <w:tcW w:w="918" w:type="pct"/>
            <w:vAlign w:val="center"/>
          </w:tcPr>
          <w:p w14:paraId="081EE318">
            <w:pPr>
              <w:ind w:firstLine="0" w:firstLineChars="0"/>
              <w:rPr>
                <w:rFonts w:cs="宋体" w:asciiTheme="minorEastAsia" w:hAnsiTheme="minorEastAsia" w:eastAsiaTheme="minorEastAsia"/>
                <w:b/>
                <w:kern w:val="2"/>
                <w:szCs w:val="24"/>
                <w:highlight w:val="none"/>
              </w:rPr>
            </w:pPr>
          </w:p>
        </w:tc>
        <w:tc>
          <w:tcPr>
            <w:tcW w:w="1043" w:type="pct"/>
            <w:vAlign w:val="center"/>
          </w:tcPr>
          <w:p w14:paraId="0A58BB1C">
            <w:pPr>
              <w:ind w:firstLine="0" w:firstLineChars="0"/>
              <w:rPr>
                <w:rFonts w:cs="宋体" w:asciiTheme="minorEastAsia" w:hAnsiTheme="minorEastAsia" w:eastAsiaTheme="minorEastAsia"/>
                <w:b/>
                <w:kern w:val="2"/>
                <w:szCs w:val="24"/>
                <w:highlight w:val="none"/>
              </w:rPr>
            </w:pPr>
          </w:p>
        </w:tc>
        <w:tc>
          <w:tcPr>
            <w:tcW w:w="636" w:type="pct"/>
            <w:vAlign w:val="center"/>
          </w:tcPr>
          <w:p w14:paraId="3E084475">
            <w:pPr>
              <w:ind w:firstLine="0" w:firstLineChars="0"/>
              <w:rPr>
                <w:rFonts w:cs="宋体" w:asciiTheme="minorEastAsia" w:hAnsiTheme="minorEastAsia" w:eastAsiaTheme="minorEastAsia"/>
                <w:b/>
                <w:kern w:val="2"/>
                <w:szCs w:val="24"/>
                <w:highlight w:val="none"/>
              </w:rPr>
            </w:pPr>
          </w:p>
        </w:tc>
      </w:tr>
      <w:tr w14:paraId="69D9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pct"/>
            <w:vAlign w:val="center"/>
          </w:tcPr>
          <w:p w14:paraId="46BE4AC0">
            <w:pPr>
              <w:ind w:firstLine="0" w:firstLineChars="0"/>
              <w:jc w:val="center"/>
              <w:rPr>
                <w:rFonts w:cs="宋体" w:asciiTheme="minorEastAsia" w:hAnsiTheme="minorEastAsia" w:eastAsiaTheme="minorEastAsia"/>
                <w:bCs/>
                <w:kern w:val="2"/>
                <w:szCs w:val="24"/>
                <w:highlight w:val="none"/>
              </w:rPr>
            </w:pPr>
            <w:r>
              <w:rPr>
                <w:rFonts w:hint="eastAsia" w:cs="宋体" w:asciiTheme="minorEastAsia" w:hAnsiTheme="minorEastAsia" w:eastAsiaTheme="minorEastAsia"/>
                <w:bCs/>
                <w:kern w:val="2"/>
                <w:szCs w:val="24"/>
                <w:highlight w:val="none"/>
              </w:rPr>
              <w:t>……</w:t>
            </w:r>
          </w:p>
        </w:tc>
        <w:tc>
          <w:tcPr>
            <w:tcW w:w="971" w:type="pct"/>
            <w:vAlign w:val="center"/>
          </w:tcPr>
          <w:p w14:paraId="39936C16">
            <w:pPr>
              <w:ind w:firstLine="0" w:firstLineChars="0"/>
              <w:rPr>
                <w:rFonts w:cs="宋体" w:asciiTheme="minorEastAsia" w:hAnsiTheme="minorEastAsia" w:eastAsiaTheme="minorEastAsia"/>
                <w:b/>
                <w:kern w:val="2"/>
                <w:szCs w:val="24"/>
                <w:highlight w:val="none"/>
              </w:rPr>
            </w:pPr>
          </w:p>
        </w:tc>
        <w:tc>
          <w:tcPr>
            <w:tcW w:w="874" w:type="pct"/>
            <w:vAlign w:val="center"/>
          </w:tcPr>
          <w:p w14:paraId="006286CA">
            <w:pPr>
              <w:ind w:firstLine="0" w:firstLineChars="0"/>
              <w:rPr>
                <w:rFonts w:cs="宋体" w:asciiTheme="minorEastAsia" w:hAnsiTheme="minorEastAsia" w:eastAsiaTheme="minorEastAsia"/>
                <w:b/>
                <w:kern w:val="2"/>
                <w:szCs w:val="24"/>
                <w:highlight w:val="none"/>
              </w:rPr>
            </w:pPr>
          </w:p>
        </w:tc>
        <w:tc>
          <w:tcPr>
            <w:tcW w:w="918" w:type="pct"/>
            <w:vAlign w:val="center"/>
          </w:tcPr>
          <w:p w14:paraId="4EE7A6FD">
            <w:pPr>
              <w:ind w:firstLine="0" w:firstLineChars="0"/>
              <w:rPr>
                <w:rFonts w:cs="宋体" w:asciiTheme="minorEastAsia" w:hAnsiTheme="minorEastAsia" w:eastAsiaTheme="minorEastAsia"/>
                <w:b/>
                <w:kern w:val="2"/>
                <w:szCs w:val="24"/>
                <w:highlight w:val="none"/>
              </w:rPr>
            </w:pPr>
          </w:p>
        </w:tc>
        <w:tc>
          <w:tcPr>
            <w:tcW w:w="1043" w:type="pct"/>
            <w:vAlign w:val="center"/>
          </w:tcPr>
          <w:p w14:paraId="2CA3E5B8">
            <w:pPr>
              <w:ind w:firstLine="0" w:firstLineChars="0"/>
              <w:rPr>
                <w:rFonts w:cs="宋体" w:asciiTheme="minorEastAsia" w:hAnsiTheme="minorEastAsia" w:eastAsiaTheme="minorEastAsia"/>
                <w:b/>
                <w:kern w:val="2"/>
                <w:szCs w:val="24"/>
                <w:highlight w:val="none"/>
              </w:rPr>
            </w:pPr>
          </w:p>
        </w:tc>
        <w:tc>
          <w:tcPr>
            <w:tcW w:w="636" w:type="pct"/>
            <w:vAlign w:val="center"/>
          </w:tcPr>
          <w:p w14:paraId="7C05BC29">
            <w:pPr>
              <w:ind w:firstLine="0" w:firstLineChars="0"/>
              <w:rPr>
                <w:rFonts w:cs="宋体" w:asciiTheme="minorEastAsia" w:hAnsiTheme="minorEastAsia" w:eastAsiaTheme="minorEastAsia"/>
                <w:b/>
                <w:kern w:val="2"/>
                <w:szCs w:val="24"/>
                <w:highlight w:val="none"/>
              </w:rPr>
            </w:pPr>
          </w:p>
        </w:tc>
      </w:tr>
    </w:tbl>
    <w:p w14:paraId="7D885636">
      <w:pPr>
        <w:widowControl/>
        <w:ind w:firstLine="482"/>
        <w:jc w:val="left"/>
        <w:rPr>
          <w:rFonts w:asciiTheme="minorEastAsia" w:hAnsiTheme="minorEastAsia" w:eastAsiaTheme="minorEastAsia"/>
          <w:b/>
          <w:highlight w:val="none"/>
        </w:rPr>
      </w:pPr>
    </w:p>
    <w:p w14:paraId="428C28B1">
      <w:pPr>
        <w:keepNext/>
        <w:keepLines/>
        <w:ind w:firstLine="480"/>
        <w:rPr>
          <w:szCs w:val="24"/>
          <w:highlight w:val="none"/>
        </w:rPr>
      </w:pPr>
    </w:p>
    <w:p w14:paraId="46189849">
      <w:pPr>
        <w:keepNext/>
        <w:keepLines/>
        <w:numPr>
          <w:ilvl w:val="0"/>
          <w:numId w:val="3"/>
        </w:numPr>
        <w:ind w:firstLine="480"/>
        <w:jc w:val="center"/>
        <w:rPr>
          <w:szCs w:val="24"/>
          <w:highlight w:val="none"/>
        </w:rPr>
      </w:pPr>
      <w:r>
        <w:rPr>
          <w:rFonts w:hint="eastAsia"/>
          <w:szCs w:val="24"/>
          <w:highlight w:val="none"/>
        </w:rPr>
        <w:t>业绩证明材料</w:t>
      </w:r>
    </w:p>
    <w:p w14:paraId="1ECE725F">
      <w:pPr>
        <w:keepNext/>
        <w:keepLines/>
        <w:ind w:firstLine="480"/>
        <w:jc w:val="center"/>
        <w:rPr>
          <w:highlight w:val="none"/>
        </w:rPr>
      </w:pPr>
      <w:r>
        <w:rPr>
          <w:rFonts w:hint="eastAsia"/>
          <w:szCs w:val="24"/>
          <w:highlight w:val="none"/>
        </w:rPr>
        <w:t>（建议与上述“（一）业绩表”填写的业绩一一对应）</w:t>
      </w:r>
      <w:r>
        <w:rPr>
          <w:rFonts w:asciiTheme="minorEastAsia" w:hAnsiTheme="minorEastAsia" w:eastAsiaTheme="minorEastAsia"/>
          <w:b/>
          <w:highlight w:val="none"/>
        </w:rPr>
        <w:br w:type="page"/>
      </w:r>
    </w:p>
    <w:p w14:paraId="7DA6370D">
      <w:pPr>
        <w:ind w:firstLine="482"/>
        <w:jc w:val="center"/>
        <w:outlineLvl w:val="2"/>
        <w:rPr>
          <w:rFonts w:asciiTheme="minorEastAsia" w:hAnsiTheme="minorEastAsia" w:eastAsiaTheme="minorEastAsia"/>
          <w:b/>
          <w:highlight w:val="none"/>
        </w:rPr>
      </w:pPr>
      <w:r>
        <w:rPr>
          <w:rFonts w:hint="eastAsia" w:asciiTheme="minorEastAsia" w:hAnsiTheme="minorEastAsia" w:eastAsiaTheme="minorEastAsia"/>
          <w:b/>
          <w:highlight w:val="none"/>
          <w:lang w:val="en-US" w:eastAsia="zh-CN"/>
        </w:rPr>
        <w:t>八</w:t>
      </w:r>
      <w:r>
        <w:rPr>
          <w:rFonts w:hint="eastAsia" w:asciiTheme="minorEastAsia" w:hAnsiTheme="minorEastAsia" w:eastAsiaTheme="minorEastAsia"/>
          <w:b/>
          <w:highlight w:val="none"/>
        </w:rPr>
        <w:t>、磋商保证金及电子交易服务费用</w:t>
      </w:r>
    </w:p>
    <w:p w14:paraId="142B982E">
      <w:pPr>
        <w:snapToGrid w:val="0"/>
        <w:ind w:firstLine="0" w:firstLineChars="0"/>
        <w:jc w:val="center"/>
        <w:rPr>
          <w:rFonts w:cs="Times New Roman"/>
          <w:szCs w:val="28"/>
          <w:highlight w:val="none"/>
        </w:rPr>
      </w:pPr>
      <w:r>
        <w:rPr>
          <w:rFonts w:hint="eastAsia" w:cs="Times New Roman"/>
          <w:szCs w:val="28"/>
          <w:highlight w:val="none"/>
        </w:rPr>
        <w:t>供应商应在此提供银行回单的扫描件。</w:t>
      </w:r>
    </w:p>
    <w:p w14:paraId="2845F771">
      <w:pPr>
        <w:widowControl/>
        <w:spacing w:line="240" w:lineRule="auto"/>
        <w:ind w:firstLine="0" w:firstLineChars="0"/>
        <w:jc w:val="center"/>
        <w:rPr>
          <w:rFonts w:cs="@仿宋_GB2312"/>
          <w:b/>
          <w:bCs/>
          <w:kern w:val="2"/>
          <w:szCs w:val="24"/>
          <w:highlight w:val="none"/>
        </w:rPr>
      </w:pPr>
    </w:p>
    <w:p w14:paraId="02BF8814">
      <w:pPr>
        <w:widowControl/>
        <w:spacing w:line="240" w:lineRule="auto"/>
        <w:ind w:firstLine="0" w:firstLineChars="0"/>
        <w:jc w:val="center"/>
        <w:rPr>
          <w:rFonts w:cs="@仿宋_GB2312"/>
          <w:b/>
          <w:bCs/>
          <w:kern w:val="2"/>
          <w:szCs w:val="24"/>
          <w:highlight w:val="none"/>
        </w:rPr>
      </w:pPr>
    </w:p>
    <w:p w14:paraId="11949EA8">
      <w:pPr>
        <w:widowControl/>
        <w:spacing w:line="240" w:lineRule="auto"/>
        <w:ind w:firstLine="0" w:firstLineChars="0"/>
        <w:jc w:val="center"/>
        <w:rPr>
          <w:rFonts w:cs="@仿宋_GB2312"/>
          <w:b/>
          <w:bCs/>
          <w:kern w:val="2"/>
          <w:szCs w:val="24"/>
          <w:highlight w:val="none"/>
        </w:rPr>
      </w:pPr>
    </w:p>
    <w:p w14:paraId="32190C75">
      <w:pPr>
        <w:widowControl/>
        <w:spacing w:line="240" w:lineRule="auto"/>
        <w:ind w:firstLine="0" w:firstLineChars="0"/>
        <w:jc w:val="center"/>
        <w:rPr>
          <w:rFonts w:cs="@仿宋_GB2312"/>
          <w:b/>
          <w:bCs/>
          <w:kern w:val="2"/>
          <w:szCs w:val="24"/>
          <w:highlight w:val="none"/>
        </w:rPr>
      </w:pPr>
    </w:p>
    <w:p w14:paraId="66D87144">
      <w:pPr>
        <w:widowControl/>
        <w:spacing w:line="240" w:lineRule="auto"/>
        <w:ind w:firstLine="0" w:firstLineChars="0"/>
        <w:jc w:val="center"/>
        <w:rPr>
          <w:rFonts w:cs="@仿宋_GB2312"/>
          <w:b/>
          <w:bCs/>
          <w:kern w:val="2"/>
          <w:szCs w:val="24"/>
          <w:highlight w:val="none"/>
        </w:rPr>
      </w:pPr>
    </w:p>
    <w:p w14:paraId="4E7B70FA">
      <w:pPr>
        <w:widowControl/>
        <w:spacing w:line="240" w:lineRule="auto"/>
        <w:ind w:firstLine="0" w:firstLineChars="0"/>
        <w:jc w:val="center"/>
        <w:rPr>
          <w:rFonts w:cs="@仿宋_GB2312"/>
          <w:b/>
          <w:bCs/>
          <w:kern w:val="2"/>
          <w:szCs w:val="24"/>
          <w:highlight w:val="none"/>
        </w:rPr>
      </w:pPr>
    </w:p>
    <w:p w14:paraId="2F0E8B47">
      <w:pPr>
        <w:widowControl/>
        <w:spacing w:line="240" w:lineRule="auto"/>
        <w:ind w:firstLine="0" w:firstLineChars="0"/>
        <w:jc w:val="center"/>
        <w:rPr>
          <w:rFonts w:cs="@仿宋_GB2312"/>
          <w:b/>
          <w:bCs/>
          <w:kern w:val="2"/>
          <w:szCs w:val="24"/>
          <w:highlight w:val="none"/>
        </w:rPr>
      </w:pPr>
    </w:p>
    <w:p w14:paraId="09B58B6C">
      <w:pPr>
        <w:widowControl/>
        <w:spacing w:line="240" w:lineRule="auto"/>
        <w:ind w:firstLine="0" w:firstLineChars="0"/>
        <w:jc w:val="center"/>
        <w:rPr>
          <w:rFonts w:cs="@仿宋_GB2312"/>
          <w:b/>
          <w:bCs/>
          <w:kern w:val="2"/>
          <w:szCs w:val="24"/>
          <w:highlight w:val="none"/>
        </w:rPr>
      </w:pPr>
    </w:p>
    <w:p w14:paraId="27FAC653">
      <w:pPr>
        <w:widowControl/>
        <w:spacing w:line="240" w:lineRule="auto"/>
        <w:ind w:firstLine="0" w:firstLineChars="0"/>
        <w:jc w:val="center"/>
        <w:rPr>
          <w:rFonts w:cs="@仿宋_GB2312"/>
          <w:b/>
          <w:bCs/>
          <w:kern w:val="2"/>
          <w:szCs w:val="24"/>
          <w:highlight w:val="none"/>
        </w:rPr>
      </w:pPr>
    </w:p>
    <w:p w14:paraId="21A7556F">
      <w:pPr>
        <w:widowControl/>
        <w:spacing w:line="240" w:lineRule="auto"/>
        <w:ind w:firstLine="0" w:firstLineChars="0"/>
        <w:jc w:val="center"/>
        <w:rPr>
          <w:rFonts w:cs="@仿宋_GB2312"/>
          <w:b/>
          <w:bCs/>
          <w:kern w:val="2"/>
          <w:szCs w:val="24"/>
          <w:highlight w:val="none"/>
        </w:rPr>
      </w:pPr>
    </w:p>
    <w:p w14:paraId="6B29386B">
      <w:pPr>
        <w:widowControl/>
        <w:spacing w:line="240" w:lineRule="auto"/>
        <w:ind w:firstLine="0" w:firstLineChars="0"/>
        <w:jc w:val="center"/>
        <w:rPr>
          <w:rFonts w:cs="@仿宋_GB2312"/>
          <w:b/>
          <w:bCs/>
          <w:kern w:val="2"/>
          <w:szCs w:val="24"/>
          <w:highlight w:val="none"/>
        </w:rPr>
      </w:pPr>
    </w:p>
    <w:p w14:paraId="1F0DF3B0">
      <w:pPr>
        <w:widowControl/>
        <w:spacing w:line="240" w:lineRule="auto"/>
        <w:ind w:firstLine="0" w:firstLineChars="0"/>
        <w:jc w:val="center"/>
        <w:rPr>
          <w:rFonts w:cs="@仿宋_GB2312"/>
          <w:b/>
          <w:bCs/>
          <w:kern w:val="2"/>
          <w:szCs w:val="24"/>
          <w:highlight w:val="none"/>
        </w:rPr>
      </w:pPr>
    </w:p>
    <w:p w14:paraId="059AF13C">
      <w:pPr>
        <w:widowControl/>
        <w:spacing w:line="240" w:lineRule="auto"/>
        <w:ind w:firstLine="0" w:firstLineChars="0"/>
        <w:jc w:val="center"/>
        <w:rPr>
          <w:rFonts w:cs="@仿宋_GB2312"/>
          <w:b/>
          <w:bCs/>
          <w:kern w:val="2"/>
          <w:szCs w:val="24"/>
          <w:highlight w:val="none"/>
        </w:rPr>
      </w:pPr>
    </w:p>
    <w:p w14:paraId="385E7945">
      <w:pPr>
        <w:spacing w:after="120" w:line="480" w:lineRule="auto"/>
        <w:ind w:firstLine="482"/>
        <w:rPr>
          <w:rFonts w:cs="宋体"/>
          <w:b/>
          <w:bCs/>
          <w:kern w:val="2"/>
          <w:szCs w:val="24"/>
          <w:highlight w:val="none"/>
        </w:rPr>
      </w:pPr>
      <w:r>
        <w:rPr>
          <w:rFonts w:hint="eastAsia" w:cs="宋体"/>
          <w:b/>
          <w:bCs/>
          <w:kern w:val="2"/>
          <w:szCs w:val="24"/>
          <w:highlight w:val="none"/>
        </w:rPr>
        <w:t>如需开具电子交易服务费用发票请在本页附上开票信息，开票信息按照下列格式填写，发票开具后可在单位税务数字账户中查收，如未填写或填写不完整后期自行带转账回单至肥光办公区3号楼2楼窗口开具。</w:t>
      </w:r>
    </w:p>
    <w:p w14:paraId="732F1EDB">
      <w:pPr>
        <w:ind w:firstLine="0" w:firstLineChars="0"/>
        <w:rPr>
          <w:rFonts w:cs="宋体"/>
          <w:b/>
          <w:kern w:val="2"/>
          <w:szCs w:val="24"/>
          <w:highlight w:val="none"/>
        </w:rPr>
      </w:pPr>
      <w:r>
        <w:rPr>
          <w:rFonts w:hint="eastAsia" w:cs="宋体"/>
          <w:b/>
          <w:kern w:val="2"/>
          <w:szCs w:val="24"/>
          <w:highlight w:val="none"/>
        </w:rPr>
        <w:t>开票信息：</w:t>
      </w:r>
    </w:p>
    <w:p w14:paraId="40FE51F7">
      <w:pPr>
        <w:spacing w:after="120"/>
        <w:ind w:firstLine="0" w:firstLineChars="0"/>
        <w:rPr>
          <w:rFonts w:cs="宋体"/>
          <w:b/>
          <w:kern w:val="2"/>
          <w:szCs w:val="24"/>
          <w:highlight w:val="none"/>
        </w:rPr>
      </w:pPr>
      <w:r>
        <w:rPr>
          <w:rFonts w:hint="eastAsia" w:cs="宋体"/>
          <w:b/>
          <w:kern w:val="2"/>
          <w:szCs w:val="24"/>
          <w:highlight w:val="none"/>
        </w:rPr>
        <w:t>发票类型：</w:t>
      </w:r>
      <w:r>
        <w:rPr>
          <w:rFonts w:hint="eastAsia" w:cs="宋体"/>
          <w:b/>
          <w:kern w:val="2"/>
          <w:szCs w:val="24"/>
          <w:highlight w:val="none"/>
          <w:u w:val="single"/>
        </w:rPr>
        <w:t xml:space="preserve">               </w:t>
      </w:r>
      <w:r>
        <w:rPr>
          <w:rFonts w:hint="eastAsia" w:cs="宋体"/>
          <w:b/>
          <w:kern w:val="2"/>
          <w:szCs w:val="24"/>
          <w:highlight w:val="none"/>
        </w:rPr>
        <w:t>（专票或普票）</w:t>
      </w:r>
    </w:p>
    <w:p w14:paraId="751FC09C">
      <w:pPr>
        <w:ind w:firstLine="0" w:firstLineChars="0"/>
        <w:rPr>
          <w:rFonts w:cs="宋体"/>
          <w:b/>
          <w:kern w:val="2"/>
          <w:szCs w:val="24"/>
          <w:highlight w:val="none"/>
        </w:rPr>
      </w:pPr>
      <w:r>
        <w:rPr>
          <w:rFonts w:hint="eastAsia" w:cs="宋体"/>
          <w:b/>
          <w:kern w:val="2"/>
          <w:szCs w:val="24"/>
          <w:highlight w:val="none"/>
        </w:rPr>
        <w:t>公司名称：</w:t>
      </w:r>
      <w:r>
        <w:rPr>
          <w:rFonts w:hint="eastAsia" w:cs="宋体"/>
          <w:kern w:val="1"/>
          <w:szCs w:val="24"/>
          <w:highlight w:val="none"/>
        </w:rPr>
        <w:t xml:space="preserve"> </w:t>
      </w:r>
      <w:r>
        <w:rPr>
          <w:rFonts w:hint="eastAsia" w:cs="宋体"/>
          <w:kern w:val="1"/>
          <w:szCs w:val="24"/>
          <w:highlight w:val="none"/>
          <w:u w:val="single"/>
        </w:rPr>
        <w:t xml:space="preserve">                           </w:t>
      </w:r>
      <w:r>
        <w:rPr>
          <w:rFonts w:hint="eastAsia" w:cs="宋体"/>
          <w:kern w:val="1"/>
          <w:szCs w:val="24"/>
          <w:highlight w:val="none"/>
        </w:rPr>
        <w:t xml:space="preserve">     </w:t>
      </w:r>
    </w:p>
    <w:p w14:paraId="070950B6">
      <w:pPr>
        <w:widowControl/>
        <w:ind w:firstLine="0" w:firstLineChars="0"/>
        <w:jc w:val="left"/>
        <w:rPr>
          <w:rFonts w:cs="宋体"/>
          <w:b/>
          <w:kern w:val="2"/>
          <w:szCs w:val="24"/>
          <w:highlight w:val="none"/>
          <w:u w:val="single"/>
        </w:rPr>
      </w:pPr>
      <w:r>
        <w:rPr>
          <w:rFonts w:hint="eastAsia" w:cs="宋体"/>
          <w:b/>
          <w:kern w:val="2"/>
          <w:szCs w:val="24"/>
          <w:highlight w:val="none"/>
        </w:rPr>
        <w:t>纳税识别号：</w:t>
      </w:r>
      <w:r>
        <w:rPr>
          <w:rFonts w:hint="eastAsia" w:cs="宋体"/>
          <w:b/>
          <w:kern w:val="2"/>
          <w:szCs w:val="24"/>
          <w:highlight w:val="none"/>
          <w:u w:val="single"/>
        </w:rPr>
        <w:t xml:space="preserve">                          </w:t>
      </w:r>
    </w:p>
    <w:p w14:paraId="380A9F8E">
      <w:pPr>
        <w:widowControl/>
        <w:ind w:firstLine="0" w:firstLineChars="0"/>
        <w:jc w:val="left"/>
        <w:rPr>
          <w:rFonts w:cs="宋体"/>
          <w:b/>
          <w:kern w:val="2"/>
          <w:szCs w:val="24"/>
          <w:highlight w:val="none"/>
          <w:u w:val="single"/>
        </w:rPr>
      </w:pPr>
      <w:r>
        <w:rPr>
          <w:rFonts w:hint="eastAsia" w:cs="宋体"/>
          <w:b/>
          <w:kern w:val="2"/>
          <w:szCs w:val="24"/>
          <w:highlight w:val="none"/>
        </w:rPr>
        <w:t>开户行名称：</w:t>
      </w:r>
      <w:r>
        <w:rPr>
          <w:rFonts w:hint="eastAsia" w:cs="宋体"/>
          <w:b/>
          <w:kern w:val="2"/>
          <w:szCs w:val="24"/>
          <w:highlight w:val="none"/>
          <w:u w:val="single"/>
        </w:rPr>
        <w:t xml:space="preserve">                          </w:t>
      </w:r>
    </w:p>
    <w:p w14:paraId="6E7985A5">
      <w:pPr>
        <w:widowControl/>
        <w:spacing w:line="240" w:lineRule="auto"/>
        <w:ind w:firstLine="0" w:firstLineChars="0"/>
        <w:jc w:val="left"/>
        <w:rPr>
          <w:rFonts w:cs="宋体"/>
          <w:b/>
          <w:bCs/>
          <w:kern w:val="2"/>
          <w:szCs w:val="24"/>
          <w:highlight w:val="none"/>
        </w:rPr>
      </w:pPr>
      <w:r>
        <w:rPr>
          <w:rFonts w:hint="eastAsia" w:cs="宋体"/>
          <w:b/>
          <w:kern w:val="2"/>
          <w:szCs w:val="24"/>
          <w:highlight w:val="none"/>
        </w:rPr>
        <w:t>开户行账号：</w:t>
      </w:r>
      <w:r>
        <w:rPr>
          <w:rFonts w:hint="eastAsia" w:cs="宋体"/>
          <w:b/>
          <w:kern w:val="2"/>
          <w:szCs w:val="24"/>
          <w:highlight w:val="none"/>
          <w:u w:val="single"/>
        </w:rPr>
        <w:t xml:space="preserve">                          </w:t>
      </w:r>
    </w:p>
    <w:p w14:paraId="654E1AE1">
      <w:pPr>
        <w:widowControl/>
        <w:spacing w:line="240" w:lineRule="auto"/>
        <w:ind w:firstLine="0" w:firstLineChars="0"/>
        <w:rPr>
          <w:rFonts w:cs="@仿宋_GB2312"/>
          <w:b/>
          <w:bCs/>
          <w:kern w:val="2"/>
          <w:szCs w:val="24"/>
          <w:highlight w:val="none"/>
        </w:rPr>
      </w:pPr>
    </w:p>
    <w:p w14:paraId="1D074C14">
      <w:pPr>
        <w:widowControl/>
        <w:spacing w:line="240" w:lineRule="auto"/>
        <w:ind w:firstLine="0" w:firstLineChars="0"/>
        <w:jc w:val="center"/>
        <w:rPr>
          <w:rFonts w:cs="@仿宋_GB2312"/>
          <w:b/>
          <w:bCs/>
          <w:kern w:val="2"/>
          <w:szCs w:val="24"/>
          <w:highlight w:val="none"/>
        </w:rPr>
      </w:pPr>
    </w:p>
    <w:p w14:paraId="6B8F2973">
      <w:pPr>
        <w:widowControl/>
        <w:spacing w:line="240" w:lineRule="auto"/>
        <w:ind w:firstLine="0" w:firstLineChars="0"/>
        <w:jc w:val="left"/>
        <w:rPr>
          <w:rFonts w:asciiTheme="minorEastAsia" w:hAnsiTheme="minorEastAsia" w:eastAsiaTheme="minorEastAsia"/>
          <w:b/>
          <w:highlight w:val="none"/>
        </w:rPr>
      </w:pPr>
      <w:r>
        <w:rPr>
          <w:rFonts w:hint="eastAsia" w:asciiTheme="minorEastAsia" w:hAnsiTheme="minorEastAsia" w:eastAsiaTheme="minorEastAsia"/>
          <w:b/>
          <w:highlight w:val="none"/>
        </w:rPr>
        <w:br w:type="page"/>
      </w:r>
    </w:p>
    <w:p w14:paraId="2A1A40C0">
      <w:pPr>
        <w:ind w:firstLine="482"/>
        <w:jc w:val="center"/>
        <w:outlineLvl w:val="2"/>
        <w:rPr>
          <w:rFonts w:hint="eastAsia" w:asciiTheme="minorEastAsia" w:hAnsiTheme="minorEastAsia" w:eastAsiaTheme="minorEastAsia"/>
          <w:b/>
          <w:highlight w:val="none"/>
          <w:lang w:val="en-US" w:eastAsia="zh-CN"/>
        </w:rPr>
      </w:pPr>
      <w:r>
        <w:rPr>
          <w:rFonts w:hint="eastAsia" w:asciiTheme="minorEastAsia" w:hAnsiTheme="minorEastAsia" w:eastAsiaTheme="minorEastAsia"/>
          <w:b/>
          <w:highlight w:val="none"/>
          <w:lang w:val="en-US" w:eastAsia="zh-CN"/>
        </w:rPr>
        <w:t>九、人员配备</w:t>
      </w:r>
    </w:p>
    <w:p w14:paraId="28B80F4C">
      <w:pPr>
        <w:ind w:firstLine="482"/>
        <w:jc w:val="center"/>
        <w:outlineLvl w:val="2"/>
        <w:rPr>
          <w:rFonts w:hint="eastAsia" w:asciiTheme="minorEastAsia" w:hAnsiTheme="minorEastAsia" w:eastAsiaTheme="minorEastAsia"/>
          <w:b/>
          <w:highlight w:val="none"/>
          <w:lang w:val="en-US" w:eastAsia="zh-CN"/>
        </w:rPr>
      </w:pPr>
    </w:p>
    <w:p w14:paraId="1264682F">
      <w:pPr>
        <w:ind w:firstLine="482"/>
        <w:jc w:val="center"/>
        <w:outlineLvl w:val="2"/>
        <w:rPr>
          <w:rFonts w:hint="eastAsia" w:asciiTheme="minorEastAsia" w:hAnsiTheme="minorEastAsia" w:eastAsiaTheme="minorEastAsia"/>
          <w:b/>
          <w:highlight w:val="none"/>
          <w:lang w:val="en-US" w:eastAsia="zh-CN"/>
        </w:rPr>
      </w:pPr>
    </w:p>
    <w:p w14:paraId="1696B9A3">
      <w:pPr>
        <w:ind w:firstLine="482"/>
        <w:jc w:val="center"/>
        <w:outlineLvl w:val="2"/>
        <w:rPr>
          <w:rFonts w:hint="eastAsia" w:asciiTheme="minorEastAsia" w:hAnsiTheme="minorEastAsia" w:eastAsiaTheme="minorEastAsia"/>
          <w:b/>
          <w:highlight w:val="none"/>
          <w:lang w:val="en-US" w:eastAsia="zh-CN"/>
        </w:rPr>
      </w:pPr>
    </w:p>
    <w:p w14:paraId="64B8D77E">
      <w:pPr>
        <w:ind w:firstLine="482"/>
        <w:jc w:val="center"/>
        <w:outlineLvl w:val="2"/>
        <w:rPr>
          <w:rFonts w:hint="eastAsia" w:asciiTheme="minorEastAsia" w:hAnsiTheme="minorEastAsia" w:eastAsiaTheme="minorEastAsia"/>
          <w:b/>
          <w:highlight w:val="none"/>
          <w:lang w:val="en-US" w:eastAsia="zh-CN"/>
        </w:rPr>
      </w:pPr>
    </w:p>
    <w:p w14:paraId="16EDFC0A">
      <w:pPr>
        <w:ind w:firstLine="482"/>
        <w:jc w:val="center"/>
        <w:outlineLvl w:val="2"/>
        <w:rPr>
          <w:rFonts w:hint="eastAsia" w:asciiTheme="minorEastAsia" w:hAnsiTheme="minorEastAsia" w:eastAsiaTheme="minorEastAsia"/>
          <w:b/>
          <w:highlight w:val="none"/>
          <w:lang w:val="en-US" w:eastAsia="zh-CN"/>
        </w:rPr>
      </w:pPr>
    </w:p>
    <w:p w14:paraId="5684A7F5">
      <w:pPr>
        <w:ind w:firstLine="482"/>
        <w:jc w:val="center"/>
        <w:outlineLvl w:val="2"/>
        <w:rPr>
          <w:rFonts w:hint="eastAsia" w:asciiTheme="minorEastAsia" w:hAnsiTheme="minorEastAsia" w:eastAsiaTheme="minorEastAsia"/>
          <w:b/>
          <w:highlight w:val="none"/>
          <w:lang w:val="en-US" w:eastAsia="zh-CN"/>
        </w:rPr>
      </w:pPr>
    </w:p>
    <w:p w14:paraId="27FB2A8D">
      <w:pPr>
        <w:ind w:firstLine="482"/>
        <w:jc w:val="center"/>
        <w:outlineLvl w:val="2"/>
        <w:rPr>
          <w:rFonts w:hint="eastAsia" w:asciiTheme="minorEastAsia" w:hAnsiTheme="minorEastAsia" w:eastAsiaTheme="minorEastAsia"/>
          <w:b/>
          <w:highlight w:val="none"/>
          <w:lang w:val="en-US" w:eastAsia="zh-CN"/>
        </w:rPr>
      </w:pPr>
    </w:p>
    <w:p w14:paraId="27F10B43">
      <w:pPr>
        <w:ind w:firstLine="482"/>
        <w:jc w:val="center"/>
        <w:outlineLvl w:val="2"/>
        <w:rPr>
          <w:rFonts w:hint="eastAsia" w:asciiTheme="minorEastAsia" w:hAnsiTheme="minorEastAsia" w:eastAsiaTheme="minorEastAsia"/>
          <w:b/>
          <w:highlight w:val="none"/>
          <w:lang w:val="en-US" w:eastAsia="zh-CN"/>
        </w:rPr>
      </w:pPr>
    </w:p>
    <w:p w14:paraId="673F7670">
      <w:pPr>
        <w:ind w:firstLine="482"/>
        <w:jc w:val="center"/>
        <w:outlineLvl w:val="2"/>
        <w:rPr>
          <w:rFonts w:hint="eastAsia" w:asciiTheme="minorEastAsia" w:hAnsiTheme="minorEastAsia" w:eastAsiaTheme="minorEastAsia"/>
          <w:b/>
          <w:highlight w:val="none"/>
          <w:lang w:val="en-US" w:eastAsia="zh-CN"/>
        </w:rPr>
      </w:pPr>
    </w:p>
    <w:p w14:paraId="5E9AA33E">
      <w:pPr>
        <w:ind w:firstLine="482"/>
        <w:jc w:val="center"/>
        <w:outlineLvl w:val="2"/>
        <w:rPr>
          <w:rFonts w:hint="eastAsia" w:asciiTheme="minorEastAsia" w:hAnsiTheme="minorEastAsia" w:eastAsiaTheme="minorEastAsia"/>
          <w:b/>
          <w:highlight w:val="none"/>
          <w:lang w:val="en-US" w:eastAsia="zh-CN"/>
        </w:rPr>
      </w:pPr>
    </w:p>
    <w:p w14:paraId="1D546189">
      <w:pPr>
        <w:ind w:firstLine="482"/>
        <w:jc w:val="center"/>
        <w:outlineLvl w:val="2"/>
        <w:rPr>
          <w:rFonts w:hint="eastAsia" w:asciiTheme="minorEastAsia" w:hAnsiTheme="minorEastAsia" w:eastAsiaTheme="minorEastAsia"/>
          <w:b/>
          <w:highlight w:val="none"/>
          <w:lang w:val="en-US" w:eastAsia="zh-CN"/>
        </w:rPr>
      </w:pPr>
    </w:p>
    <w:p w14:paraId="0DF758C2">
      <w:pPr>
        <w:ind w:firstLine="482"/>
        <w:jc w:val="center"/>
        <w:outlineLvl w:val="2"/>
        <w:rPr>
          <w:rFonts w:hint="eastAsia" w:asciiTheme="minorEastAsia" w:hAnsiTheme="minorEastAsia" w:eastAsiaTheme="minorEastAsia"/>
          <w:b/>
          <w:highlight w:val="none"/>
          <w:lang w:val="en-US" w:eastAsia="zh-CN"/>
        </w:rPr>
      </w:pPr>
    </w:p>
    <w:p w14:paraId="1D8F8A82">
      <w:pPr>
        <w:ind w:firstLine="482"/>
        <w:jc w:val="center"/>
        <w:outlineLvl w:val="2"/>
        <w:rPr>
          <w:rFonts w:hint="eastAsia" w:asciiTheme="minorEastAsia" w:hAnsiTheme="minorEastAsia" w:eastAsiaTheme="minorEastAsia"/>
          <w:b/>
          <w:highlight w:val="none"/>
          <w:lang w:val="en-US" w:eastAsia="zh-CN"/>
        </w:rPr>
      </w:pPr>
    </w:p>
    <w:p w14:paraId="4C4540F8">
      <w:pPr>
        <w:ind w:firstLine="482"/>
        <w:jc w:val="center"/>
        <w:outlineLvl w:val="2"/>
        <w:rPr>
          <w:rFonts w:hint="eastAsia" w:asciiTheme="minorEastAsia" w:hAnsiTheme="minorEastAsia" w:eastAsiaTheme="minorEastAsia"/>
          <w:b/>
          <w:highlight w:val="none"/>
          <w:lang w:val="en-US" w:eastAsia="zh-CN"/>
        </w:rPr>
      </w:pPr>
    </w:p>
    <w:p w14:paraId="4F2FA698">
      <w:pPr>
        <w:ind w:firstLine="482"/>
        <w:jc w:val="center"/>
        <w:outlineLvl w:val="2"/>
        <w:rPr>
          <w:rFonts w:hint="eastAsia" w:asciiTheme="minorEastAsia" w:hAnsiTheme="minorEastAsia" w:eastAsiaTheme="minorEastAsia"/>
          <w:b/>
          <w:highlight w:val="none"/>
          <w:lang w:val="en-US" w:eastAsia="zh-CN"/>
        </w:rPr>
      </w:pPr>
    </w:p>
    <w:p w14:paraId="1C6464AE">
      <w:pPr>
        <w:ind w:firstLine="482"/>
        <w:jc w:val="center"/>
        <w:outlineLvl w:val="2"/>
        <w:rPr>
          <w:rFonts w:hint="eastAsia" w:asciiTheme="minorEastAsia" w:hAnsiTheme="minorEastAsia" w:eastAsiaTheme="minorEastAsia"/>
          <w:b/>
          <w:highlight w:val="none"/>
          <w:lang w:val="en-US" w:eastAsia="zh-CN"/>
        </w:rPr>
      </w:pPr>
    </w:p>
    <w:p w14:paraId="11F57797">
      <w:pPr>
        <w:ind w:firstLine="482"/>
        <w:jc w:val="center"/>
        <w:outlineLvl w:val="2"/>
        <w:rPr>
          <w:rFonts w:hint="eastAsia" w:asciiTheme="minorEastAsia" w:hAnsiTheme="minorEastAsia" w:eastAsiaTheme="minorEastAsia"/>
          <w:b/>
          <w:highlight w:val="none"/>
          <w:lang w:val="en-US" w:eastAsia="zh-CN"/>
        </w:rPr>
      </w:pPr>
    </w:p>
    <w:p w14:paraId="77D42264">
      <w:pPr>
        <w:ind w:firstLine="482"/>
        <w:jc w:val="center"/>
        <w:outlineLvl w:val="2"/>
        <w:rPr>
          <w:rFonts w:hint="eastAsia" w:asciiTheme="minorEastAsia" w:hAnsiTheme="minorEastAsia" w:eastAsiaTheme="minorEastAsia"/>
          <w:b/>
          <w:highlight w:val="none"/>
          <w:lang w:val="en-US" w:eastAsia="zh-CN"/>
        </w:rPr>
      </w:pPr>
    </w:p>
    <w:p w14:paraId="39022012">
      <w:pPr>
        <w:ind w:firstLine="482"/>
        <w:jc w:val="center"/>
        <w:outlineLvl w:val="2"/>
        <w:rPr>
          <w:rFonts w:hint="eastAsia" w:asciiTheme="minorEastAsia" w:hAnsiTheme="minorEastAsia" w:eastAsiaTheme="minorEastAsia"/>
          <w:b/>
          <w:highlight w:val="none"/>
          <w:lang w:val="en-US" w:eastAsia="zh-CN"/>
        </w:rPr>
      </w:pPr>
    </w:p>
    <w:p w14:paraId="44412A07">
      <w:pPr>
        <w:ind w:firstLine="482"/>
        <w:jc w:val="center"/>
        <w:outlineLvl w:val="2"/>
        <w:rPr>
          <w:rFonts w:hint="eastAsia" w:asciiTheme="minorEastAsia" w:hAnsiTheme="minorEastAsia" w:eastAsiaTheme="minorEastAsia"/>
          <w:b/>
          <w:highlight w:val="none"/>
          <w:lang w:val="en-US" w:eastAsia="zh-CN"/>
        </w:rPr>
      </w:pPr>
    </w:p>
    <w:p w14:paraId="05464FAC">
      <w:pPr>
        <w:ind w:firstLine="482"/>
        <w:jc w:val="center"/>
        <w:outlineLvl w:val="2"/>
        <w:rPr>
          <w:rFonts w:hint="eastAsia" w:asciiTheme="minorEastAsia" w:hAnsiTheme="minorEastAsia" w:eastAsiaTheme="minorEastAsia"/>
          <w:b/>
          <w:highlight w:val="none"/>
          <w:lang w:val="en-US" w:eastAsia="zh-CN"/>
        </w:rPr>
      </w:pPr>
    </w:p>
    <w:p w14:paraId="1B709BD5">
      <w:pPr>
        <w:ind w:firstLine="482"/>
        <w:jc w:val="center"/>
        <w:outlineLvl w:val="2"/>
        <w:rPr>
          <w:rFonts w:hint="eastAsia" w:asciiTheme="minorEastAsia" w:hAnsiTheme="minorEastAsia" w:eastAsiaTheme="minorEastAsia"/>
          <w:b/>
          <w:highlight w:val="none"/>
          <w:lang w:val="en-US" w:eastAsia="zh-CN"/>
        </w:rPr>
      </w:pPr>
    </w:p>
    <w:p w14:paraId="0256AB89">
      <w:pPr>
        <w:ind w:firstLine="482"/>
        <w:jc w:val="center"/>
        <w:outlineLvl w:val="2"/>
        <w:rPr>
          <w:rFonts w:hint="eastAsia" w:asciiTheme="minorEastAsia" w:hAnsiTheme="minorEastAsia" w:eastAsiaTheme="minorEastAsia"/>
          <w:b/>
          <w:highlight w:val="none"/>
          <w:lang w:val="en-US" w:eastAsia="zh-CN"/>
        </w:rPr>
      </w:pPr>
    </w:p>
    <w:p w14:paraId="099162FC">
      <w:pPr>
        <w:ind w:firstLine="482"/>
        <w:jc w:val="center"/>
        <w:outlineLvl w:val="2"/>
        <w:rPr>
          <w:rFonts w:hint="eastAsia" w:asciiTheme="minorEastAsia" w:hAnsiTheme="minorEastAsia" w:eastAsiaTheme="minorEastAsia"/>
          <w:b/>
          <w:highlight w:val="none"/>
          <w:lang w:val="en-US" w:eastAsia="zh-CN"/>
        </w:rPr>
      </w:pPr>
    </w:p>
    <w:p w14:paraId="56454D79">
      <w:pPr>
        <w:ind w:firstLine="482"/>
        <w:jc w:val="center"/>
        <w:outlineLvl w:val="2"/>
        <w:rPr>
          <w:rFonts w:hint="eastAsia" w:asciiTheme="minorEastAsia" w:hAnsiTheme="minorEastAsia" w:eastAsiaTheme="minorEastAsia"/>
          <w:b/>
          <w:highlight w:val="none"/>
          <w:lang w:val="en-US" w:eastAsia="zh-CN"/>
        </w:rPr>
      </w:pPr>
    </w:p>
    <w:p w14:paraId="00352418">
      <w:pPr>
        <w:ind w:firstLine="482"/>
        <w:jc w:val="center"/>
        <w:outlineLvl w:val="2"/>
        <w:rPr>
          <w:rFonts w:hint="eastAsia" w:asciiTheme="minorEastAsia" w:hAnsiTheme="minorEastAsia" w:eastAsiaTheme="minorEastAsia"/>
          <w:b/>
          <w:highlight w:val="none"/>
          <w:lang w:val="en-US" w:eastAsia="zh-CN"/>
        </w:rPr>
      </w:pPr>
    </w:p>
    <w:p w14:paraId="4B6289FA">
      <w:pPr>
        <w:ind w:firstLine="482"/>
        <w:jc w:val="center"/>
        <w:outlineLvl w:val="2"/>
        <w:rPr>
          <w:rFonts w:hint="eastAsia" w:asciiTheme="minorEastAsia" w:hAnsiTheme="minorEastAsia" w:eastAsiaTheme="minorEastAsia"/>
          <w:b/>
          <w:highlight w:val="none"/>
          <w:lang w:val="en-US" w:eastAsia="zh-CN"/>
        </w:rPr>
      </w:pPr>
    </w:p>
    <w:p w14:paraId="1D8D9949">
      <w:pPr>
        <w:ind w:firstLine="482"/>
        <w:jc w:val="center"/>
        <w:outlineLvl w:val="2"/>
        <w:rPr>
          <w:rFonts w:hint="eastAsia" w:asciiTheme="minorEastAsia" w:hAnsiTheme="minorEastAsia" w:eastAsiaTheme="minorEastAsia"/>
          <w:b/>
          <w:highlight w:val="none"/>
          <w:lang w:val="en-US" w:eastAsia="zh-CN"/>
        </w:rPr>
      </w:pPr>
    </w:p>
    <w:p w14:paraId="15526E35">
      <w:pPr>
        <w:ind w:firstLine="482"/>
        <w:jc w:val="center"/>
        <w:outlineLvl w:val="2"/>
        <w:rPr>
          <w:rFonts w:hint="default" w:asciiTheme="minorEastAsia" w:hAnsiTheme="minorEastAsia" w:eastAsiaTheme="minorEastAsia"/>
          <w:b/>
          <w:highlight w:val="none"/>
          <w:lang w:val="en-US" w:eastAsia="zh-CN"/>
        </w:rPr>
      </w:pPr>
      <w:r>
        <w:rPr>
          <w:rFonts w:hint="eastAsia" w:asciiTheme="minorEastAsia" w:hAnsiTheme="minorEastAsia" w:eastAsiaTheme="minorEastAsia"/>
          <w:b/>
          <w:highlight w:val="none"/>
          <w:lang w:val="en-US" w:eastAsia="zh-CN"/>
        </w:rPr>
        <w:t>十、供应商荣誉</w:t>
      </w:r>
    </w:p>
    <w:p w14:paraId="08014922">
      <w:pPr>
        <w:ind w:firstLine="482"/>
        <w:jc w:val="center"/>
        <w:outlineLvl w:val="2"/>
        <w:rPr>
          <w:rFonts w:hint="eastAsia" w:asciiTheme="minorEastAsia" w:hAnsiTheme="minorEastAsia" w:eastAsiaTheme="minorEastAsia"/>
          <w:b/>
          <w:highlight w:val="none"/>
          <w:lang w:val="en-US" w:eastAsia="zh-CN"/>
        </w:rPr>
      </w:pPr>
    </w:p>
    <w:p w14:paraId="0A3A0CBE">
      <w:pPr>
        <w:ind w:firstLine="482"/>
        <w:jc w:val="center"/>
        <w:outlineLvl w:val="2"/>
        <w:rPr>
          <w:rFonts w:hint="eastAsia" w:asciiTheme="minorEastAsia" w:hAnsiTheme="minorEastAsia" w:eastAsiaTheme="minorEastAsia"/>
          <w:b/>
          <w:highlight w:val="none"/>
          <w:lang w:val="en-US" w:eastAsia="zh-CN"/>
        </w:rPr>
      </w:pPr>
    </w:p>
    <w:p w14:paraId="1AF43DEA">
      <w:pPr>
        <w:ind w:firstLine="482"/>
        <w:jc w:val="center"/>
        <w:outlineLvl w:val="2"/>
        <w:rPr>
          <w:rFonts w:hint="eastAsia" w:asciiTheme="minorEastAsia" w:hAnsiTheme="minorEastAsia" w:eastAsiaTheme="minorEastAsia"/>
          <w:b/>
          <w:highlight w:val="none"/>
          <w:lang w:val="en-US" w:eastAsia="zh-CN"/>
        </w:rPr>
      </w:pPr>
    </w:p>
    <w:p w14:paraId="6237F8A8">
      <w:pPr>
        <w:ind w:firstLine="482"/>
        <w:jc w:val="center"/>
        <w:outlineLvl w:val="2"/>
        <w:rPr>
          <w:rFonts w:hint="eastAsia" w:asciiTheme="minorEastAsia" w:hAnsiTheme="minorEastAsia" w:eastAsiaTheme="minorEastAsia"/>
          <w:b/>
          <w:highlight w:val="none"/>
          <w:lang w:val="en-US" w:eastAsia="zh-CN"/>
        </w:rPr>
      </w:pPr>
    </w:p>
    <w:p w14:paraId="76FB19CA">
      <w:pPr>
        <w:ind w:firstLine="482"/>
        <w:jc w:val="center"/>
        <w:outlineLvl w:val="2"/>
        <w:rPr>
          <w:rFonts w:hint="eastAsia" w:asciiTheme="minorEastAsia" w:hAnsiTheme="minorEastAsia" w:eastAsiaTheme="minorEastAsia"/>
          <w:b/>
          <w:highlight w:val="none"/>
          <w:lang w:val="en-US" w:eastAsia="zh-CN"/>
        </w:rPr>
      </w:pPr>
    </w:p>
    <w:p w14:paraId="018EE98F">
      <w:pPr>
        <w:ind w:firstLine="482"/>
        <w:jc w:val="center"/>
        <w:outlineLvl w:val="2"/>
        <w:rPr>
          <w:rFonts w:hint="eastAsia" w:asciiTheme="minorEastAsia" w:hAnsiTheme="minorEastAsia" w:eastAsiaTheme="minorEastAsia"/>
          <w:b/>
          <w:highlight w:val="none"/>
          <w:lang w:val="en-US" w:eastAsia="zh-CN"/>
        </w:rPr>
      </w:pPr>
    </w:p>
    <w:p w14:paraId="0D3988C5">
      <w:pPr>
        <w:ind w:firstLine="482"/>
        <w:jc w:val="center"/>
        <w:outlineLvl w:val="2"/>
        <w:rPr>
          <w:rFonts w:hint="eastAsia" w:asciiTheme="minorEastAsia" w:hAnsiTheme="minorEastAsia" w:eastAsiaTheme="minorEastAsia"/>
          <w:b/>
          <w:highlight w:val="none"/>
          <w:lang w:val="en-US" w:eastAsia="zh-CN"/>
        </w:rPr>
      </w:pPr>
    </w:p>
    <w:p w14:paraId="206D3A62">
      <w:pPr>
        <w:ind w:firstLine="482"/>
        <w:jc w:val="center"/>
        <w:outlineLvl w:val="2"/>
        <w:rPr>
          <w:rFonts w:hint="eastAsia" w:asciiTheme="minorEastAsia" w:hAnsiTheme="minorEastAsia" w:eastAsiaTheme="minorEastAsia"/>
          <w:b/>
          <w:highlight w:val="none"/>
          <w:lang w:val="en-US" w:eastAsia="zh-CN"/>
        </w:rPr>
      </w:pPr>
    </w:p>
    <w:p w14:paraId="7FC8AC98">
      <w:pPr>
        <w:ind w:firstLine="482"/>
        <w:jc w:val="center"/>
        <w:outlineLvl w:val="2"/>
        <w:rPr>
          <w:rFonts w:hint="eastAsia" w:asciiTheme="minorEastAsia" w:hAnsiTheme="minorEastAsia" w:eastAsiaTheme="minorEastAsia"/>
          <w:b/>
          <w:highlight w:val="none"/>
          <w:lang w:val="en-US" w:eastAsia="zh-CN"/>
        </w:rPr>
      </w:pPr>
    </w:p>
    <w:p w14:paraId="2D56E138">
      <w:pPr>
        <w:ind w:firstLine="482"/>
        <w:jc w:val="center"/>
        <w:outlineLvl w:val="2"/>
        <w:rPr>
          <w:rFonts w:hint="eastAsia" w:asciiTheme="minorEastAsia" w:hAnsiTheme="minorEastAsia" w:eastAsiaTheme="minorEastAsia"/>
          <w:b/>
          <w:highlight w:val="none"/>
          <w:lang w:val="en-US" w:eastAsia="zh-CN"/>
        </w:rPr>
      </w:pPr>
    </w:p>
    <w:p w14:paraId="5487D18F">
      <w:pPr>
        <w:ind w:firstLine="482"/>
        <w:jc w:val="center"/>
        <w:outlineLvl w:val="2"/>
        <w:rPr>
          <w:rFonts w:hint="eastAsia" w:asciiTheme="minorEastAsia" w:hAnsiTheme="minorEastAsia" w:eastAsiaTheme="minorEastAsia"/>
          <w:b/>
          <w:highlight w:val="none"/>
          <w:lang w:val="en-US" w:eastAsia="zh-CN"/>
        </w:rPr>
      </w:pPr>
    </w:p>
    <w:p w14:paraId="24A935EA">
      <w:pPr>
        <w:ind w:firstLine="482"/>
        <w:jc w:val="center"/>
        <w:outlineLvl w:val="2"/>
        <w:rPr>
          <w:rFonts w:hint="eastAsia" w:asciiTheme="minorEastAsia" w:hAnsiTheme="minorEastAsia" w:eastAsiaTheme="minorEastAsia"/>
          <w:b/>
          <w:highlight w:val="none"/>
          <w:lang w:val="en-US" w:eastAsia="zh-CN"/>
        </w:rPr>
      </w:pPr>
    </w:p>
    <w:p w14:paraId="5383D2D8">
      <w:pPr>
        <w:ind w:firstLine="482"/>
        <w:jc w:val="center"/>
        <w:outlineLvl w:val="2"/>
        <w:rPr>
          <w:rFonts w:hint="eastAsia" w:asciiTheme="minorEastAsia" w:hAnsiTheme="minorEastAsia" w:eastAsiaTheme="minorEastAsia"/>
          <w:b/>
          <w:highlight w:val="none"/>
          <w:lang w:val="en-US" w:eastAsia="zh-CN"/>
        </w:rPr>
      </w:pPr>
    </w:p>
    <w:p w14:paraId="507E016E">
      <w:pPr>
        <w:ind w:firstLine="482"/>
        <w:jc w:val="center"/>
        <w:outlineLvl w:val="2"/>
        <w:rPr>
          <w:rFonts w:hint="eastAsia" w:asciiTheme="minorEastAsia" w:hAnsiTheme="minorEastAsia" w:eastAsiaTheme="minorEastAsia"/>
          <w:b/>
          <w:highlight w:val="none"/>
          <w:lang w:val="en-US" w:eastAsia="zh-CN"/>
        </w:rPr>
      </w:pPr>
    </w:p>
    <w:p w14:paraId="4D9080CD">
      <w:pPr>
        <w:ind w:firstLine="482"/>
        <w:jc w:val="center"/>
        <w:outlineLvl w:val="2"/>
        <w:rPr>
          <w:rFonts w:hint="eastAsia" w:asciiTheme="minorEastAsia" w:hAnsiTheme="minorEastAsia" w:eastAsiaTheme="minorEastAsia"/>
          <w:b/>
          <w:highlight w:val="none"/>
          <w:lang w:val="en-US" w:eastAsia="zh-CN"/>
        </w:rPr>
      </w:pPr>
    </w:p>
    <w:p w14:paraId="455213AA">
      <w:pPr>
        <w:ind w:firstLine="482"/>
        <w:jc w:val="center"/>
        <w:outlineLvl w:val="2"/>
        <w:rPr>
          <w:rFonts w:hint="eastAsia" w:asciiTheme="minorEastAsia" w:hAnsiTheme="minorEastAsia" w:eastAsiaTheme="minorEastAsia"/>
          <w:b/>
          <w:highlight w:val="none"/>
          <w:lang w:val="en-US" w:eastAsia="zh-CN"/>
        </w:rPr>
      </w:pPr>
    </w:p>
    <w:p w14:paraId="57ABF430">
      <w:pPr>
        <w:ind w:firstLine="482"/>
        <w:jc w:val="center"/>
        <w:outlineLvl w:val="2"/>
        <w:rPr>
          <w:rFonts w:hint="eastAsia" w:asciiTheme="minorEastAsia" w:hAnsiTheme="minorEastAsia" w:eastAsiaTheme="minorEastAsia"/>
          <w:b/>
          <w:highlight w:val="none"/>
          <w:lang w:val="en-US" w:eastAsia="zh-CN"/>
        </w:rPr>
      </w:pPr>
    </w:p>
    <w:p w14:paraId="7F4AD56E">
      <w:pPr>
        <w:ind w:firstLine="482"/>
        <w:jc w:val="center"/>
        <w:outlineLvl w:val="2"/>
        <w:rPr>
          <w:rFonts w:hint="eastAsia" w:asciiTheme="minorEastAsia" w:hAnsiTheme="minorEastAsia" w:eastAsiaTheme="minorEastAsia"/>
          <w:b/>
          <w:highlight w:val="none"/>
          <w:lang w:val="en-US" w:eastAsia="zh-CN"/>
        </w:rPr>
      </w:pPr>
    </w:p>
    <w:p w14:paraId="45205450">
      <w:pPr>
        <w:ind w:firstLine="482"/>
        <w:jc w:val="center"/>
        <w:outlineLvl w:val="2"/>
        <w:rPr>
          <w:rFonts w:hint="eastAsia" w:asciiTheme="minorEastAsia" w:hAnsiTheme="minorEastAsia" w:eastAsiaTheme="minorEastAsia"/>
          <w:b/>
          <w:highlight w:val="none"/>
          <w:lang w:val="en-US" w:eastAsia="zh-CN"/>
        </w:rPr>
      </w:pPr>
    </w:p>
    <w:p w14:paraId="475EDDEE">
      <w:pPr>
        <w:ind w:firstLine="482"/>
        <w:jc w:val="center"/>
        <w:outlineLvl w:val="2"/>
        <w:rPr>
          <w:rFonts w:hint="eastAsia" w:asciiTheme="minorEastAsia" w:hAnsiTheme="minorEastAsia" w:eastAsiaTheme="minorEastAsia"/>
          <w:b/>
          <w:highlight w:val="none"/>
          <w:lang w:val="en-US" w:eastAsia="zh-CN"/>
        </w:rPr>
      </w:pPr>
    </w:p>
    <w:p w14:paraId="7E55E45F">
      <w:pPr>
        <w:ind w:firstLine="482"/>
        <w:jc w:val="center"/>
        <w:outlineLvl w:val="2"/>
        <w:rPr>
          <w:rFonts w:hint="eastAsia" w:asciiTheme="minorEastAsia" w:hAnsiTheme="minorEastAsia" w:eastAsiaTheme="minorEastAsia"/>
          <w:b/>
          <w:highlight w:val="none"/>
          <w:lang w:val="en-US" w:eastAsia="zh-CN"/>
        </w:rPr>
      </w:pPr>
    </w:p>
    <w:p w14:paraId="2EA6CDF0">
      <w:pPr>
        <w:ind w:firstLine="482"/>
        <w:jc w:val="center"/>
        <w:outlineLvl w:val="2"/>
        <w:rPr>
          <w:rFonts w:hint="eastAsia" w:asciiTheme="minorEastAsia" w:hAnsiTheme="minorEastAsia" w:eastAsiaTheme="minorEastAsia"/>
          <w:b/>
          <w:highlight w:val="none"/>
          <w:lang w:val="en-US" w:eastAsia="zh-CN"/>
        </w:rPr>
      </w:pPr>
    </w:p>
    <w:p w14:paraId="1115E482">
      <w:pPr>
        <w:ind w:firstLine="482"/>
        <w:jc w:val="center"/>
        <w:outlineLvl w:val="2"/>
        <w:rPr>
          <w:rFonts w:hint="eastAsia" w:asciiTheme="minorEastAsia" w:hAnsiTheme="minorEastAsia" w:eastAsiaTheme="minorEastAsia"/>
          <w:b/>
          <w:highlight w:val="none"/>
          <w:lang w:val="en-US" w:eastAsia="zh-CN"/>
        </w:rPr>
      </w:pPr>
    </w:p>
    <w:p w14:paraId="376079FC">
      <w:pPr>
        <w:ind w:firstLine="482"/>
        <w:jc w:val="center"/>
        <w:outlineLvl w:val="2"/>
        <w:rPr>
          <w:rFonts w:hint="eastAsia" w:asciiTheme="minorEastAsia" w:hAnsiTheme="minorEastAsia" w:eastAsiaTheme="minorEastAsia"/>
          <w:b/>
          <w:highlight w:val="none"/>
          <w:lang w:val="en-US" w:eastAsia="zh-CN"/>
        </w:rPr>
      </w:pPr>
    </w:p>
    <w:p w14:paraId="79943411">
      <w:pPr>
        <w:ind w:firstLine="482"/>
        <w:jc w:val="center"/>
        <w:outlineLvl w:val="2"/>
        <w:rPr>
          <w:rFonts w:hint="eastAsia" w:asciiTheme="minorEastAsia" w:hAnsiTheme="minorEastAsia" w:eastAsiaTheme="minorEastAsia"/>
          <w:b/>
          <w:highlight w:val="none"/>
          <w:lang w:val="en-US" w:eastAsia="zh-CN"/>
        </w:rPr>
      </w:pPr>
    </w:p>
    <w:p w14:paraId="77043BA8">
      <w:pPr>
        <w:ind w:firstLine="482"/>
        <w:jc w:val="center"/>
        <w:outlineLvl w:val="2"/>
        <w:rPr>
          <w:rFonts w:hint="eastAsia" w:asciiTheme="minorEastAsia" w:hAnsiTheme="minorEastAsia" w:eastAsiaTheme="minorEastAsia"/>
          <w:b/>
          <w:highlight w:val="none"/>
          <w:lang w:val="en-US" w:eastAsia="zh-CN"/>
        </w:rPr>
      </w:pPr>
    </w:p>
    <w:p w14:paraId="29FEF23F">
      <w:pPr>
        <w:ind w:firstLine="482"/>
        <w:jc w:val="center"/>
        <w:outlineLvl w:val="2"/>
        <w:rPr>
          <w:rFonts w:hint="eastAsia" w:asciiTheme="minorEastAsia" w:hAnsiTheme="minorEastAsia" w:eastAsiaTheme="minorEastAsia"/>
          <w:b/>
          <w:highlight w:val="none"/>
          <w:lang w:val="en-US" w:eastAsia="zh-CN"/>
        </w:rPr>
      </w:pPr>
    </w:p>
    <w:p w14:paraId="4C957284">
      <w:pPr>
        <w:ind w:firstLine="482"/>
        <w:jc w:val="center"/>
        <w:outlineLvl w:val="2"/>
        <w:rPr>
          <w:rFonts w:hint="eastAsia" w:asciiTheme="minorEastAsia" w:hAnsiTheme="minorEastAsia" w:eastAsiaTheme="minorEastAsia"/>
          <w:b/>
          <w:highlight w:val="none"/>
          <w:lang w:val="en-US" w:eastAsia="zh-CN"/>
        </w:rPr>
      </w:pPr>
    </w:p>
    <w:p w14:paraId="351048FD">
      <w:pPr>
        <w:ind w:firstLine="482"/>
        <w:jc w:val="center"/>
        <w:outlineLvl w:val="2"/>
        <w:rPr>
          <w:rFonts w:asciiTheme="minorEastAsia" w:hAnsiTheme="minorEastAsia" w:eastAsiaTheme="minorEastAsia"/>
          <w:b/>
          <w:highlight w:val="none"/>
        </w:rPr>
      </w:pPr>
      <w:r>
        <w:rPr>
          <w:rFonts w:hint="eastAsia" w:asciiTheme="minorEastAsia" w:hAnsiTheme="minorEastAsia" w:eastAsiaTheme="minorEastAsia"/>
          <w:b/>
          <w:highlight w:val="none"/>
          <w:lang w:val="en-US" w:eastAsia="zh-CN"/>
        </w:rPr>
        <w:t>十一</w:t>
      </w:r>
      <w:r>
        <w:rPr>
          <w:rFonts w:hint="eastAsia" w:asciiTheme="minorEastAsia" w:hAnsiTheme="minorEastAsia" w:eastAsiaTheme="minorEastAsia"/>
          <w:b/>
          <w:highlight w:val="none"/>
        </w:rPr>
        <w:t>、其他相关证明材料</w:t>
      </w:r>
    </w:p>
    <w:p w14:paraId="08FB9765">
      <w:pPr>
        <w:ind w:firstLine="480"/>
        <w:jc w:val="center"/>
        <w:rPr>
          <w:szCs w:val="24"/>
          <w:highlight w:val="none"/>
        </w:rPr>
      </w:pPr>
      <w:bookmarkStart w:id="23" w:name="_Toc19685"/>
      <w:bookmarkStart w:id="24" w:name="_Toc29973"/>
      <w:r>
        <w:rPr>
          <w:rFonts w:hint="eastAsia"/>
          <w:szCs w:val="24"/>
          <w:highlight w:val="none"/>
        </w:rPr>
        <w:t>供应商按照第四章评审方法和标准放置的其他资料。</w:t>
      </w:r>
      <w:bookmarkEnd w:id="23"/>
      <w:bookmarkEnd w:id="24"/>
    </w:p>
    <w:p w14:paraId="2F8C84DA">
      <w:pPr>
        <w:ind w:firstLine="480"/>
        <w:rPr>
          <w:szCs w:val="22"/>
          <w:highlight w:val="none"/>
        </w:rPr>
      </w:pPr>
      <w:r>
        <w:rPr>
          <w:rFonts w:hint="eastAsia"/>
          <w:szCs w:val="22"/>
          <w:highlight w:val="none"/>
        </w:rPr>
        <w:br w:type="page"/>
      </w:r>
    </w:p>
    <w:p w14:paraId="2DEC06B9">
      <w:pPr>
        <w:ind w:firstLine="883"/>
        <w:rPr>
          <w:rFonts w:cs="宋体"/>
          <w:b/>
          <w:bCs/>
          <w:sz w:val="44"/>
          <w:szCs w:val="44"/>
          <w:highlight w:val="none"/>
        </w:rPr>
      </w:pPr>
      <w:r>
        <w:rPr>
          <w:rFonts w:hint="eastAsia" w:cs="宋体"/>
          <w:b/>
          <w:bCs/>
          <w:sz w:val="44"/>
          <w:szCs w:val="44"/>
          <w:highlight w:val="none"/>
        </w:rPr>
        <w:t>附件：全流程电子招标采购具体要求</w:t>
      </w:r>
      <w:r>
        <w:rPr>
          <w:rStyle w:val="17"/>
          <w:rFonts w:hint="eastAsia" w:cs="宋体"/>
          <w:b/>
          <w:bCs/>
          <w:sz w:val="44"/>
          <w:szCs w:val="44"/>
          <w:highlight w:val="none"/>
        </w:rPr>
        <w:footnoteReference w:id="0"/>
      </w:r>
    </w:p>
    <w:p w14:paraId="4DEC45C4">
      <w:pPr>
        <w:spacing w:line="400" w:lineRule="exact"/>
        <w:ind w:firstLine="480"/>
        <w:rPr>
          <w:rFonts w:cs="宋体"/>
          <w:szCs w:val="24"/>
          <w:highlight w:val="none"/>
        </w:rPr>
      </w:pPr>
      <w:r>
        <w:rPr>
          <w:rFonts w:hint="eastAsia" w:cs="宋体"/>
          <w:szCs w:val="24"/>
          <w:highlight w:val="none"/>
        </w:rPr>
        <w:t>说明：当采用非招标方式进行全流程电子采购活动时，按照本规定执行，其中本要求“供应商”按“</w:t>
      </w:r>
      <w:r>
        <w:rPr>
          <w:rFonts w:hint="eastAsia"/>
          <w:szCs w:val="18"/>
          <w:highlight w:val="none"/>
        </w:rPr>
        <w:t>供应商</w:t>
      </w:r>
      <w:r>
        <w:rPr>
          <w:rFonts w:hint="eastAsia" w:cs="宋体"/>
          <w:szCs w:val="24"/>
          <w:highlight w:val="none"/>
        </w:rPr>
        <w:t>”理解，“投标文件”按“响应文件”理解，“招标文件”按“采购文件”理解，“投标文件递交截止时间”按“首次递交响应文件截止时间”理解，“开标”按“开启响应文件”理解，“评审委员会”按“评审小组”理解，“投标无效”按“响应文件无效”理解。</w:t>
      </w:r>
    </w:p>
    <w:p w14:paraId="3EF3D604">
      <w:pPr>
        <w:spacing w:line="400" w:lineRule="exact"/>
        <w:ind w:firstLine="480"/>
        <w:rPr>
          <w:rFonts w:cs="宋体"/>
          <w:szCs w:val="24"/>
          <w:highlight w:val="none"/>
        </w:rPr>
      </w:pPr>
    </w:p>
    <w:p w14:paraId="6467D399">
      <w:pPr>
        <w:spacing w:line="400" w:lineRule="exact"/>
        <w:ind w:firstLine="480"/>
        <w:rPr>
          <w:rFonts w:cs="宋体"/>
          <w:szCs w:val="24"/>
          <w:highlight w:val="none"/>
        </w:rPr>
      </w:pPr>
      <w:r>
        <w:rPr>
          <w:rFonts w:hint="eastAsia" w:cs="宋体"/>
          <w:szCs w:val="24"/>
          <w:highlight w:val="none"/>
        </w:rPr>
        <w:t>一、</w:t>
      </w:r>
      <w:r>
        <w:rPr>
          <w:rFonts w:hint="eastAsia" w:cs="宋体"/>
          <w:highlight w:val="none"/>
        </w:rPr>
        <w:t>CA</w:t>
      </w:r>
      <w:r>
        <w:rPr>
          <w:rFonts w:hint="eastAsia" w:cs="宋体"/>
          <w:szCs w:val="24"/>
          <w:highlight w:val="none"/>
        </w:rPr>
        <w:t>证书办理和注意事项</w:t>
      </w:r>
    </w:p>
    <w:p w14:paraId="22941297">
      <w:pPr>
        <w:spacing w:line="400" w:lineRule="exact"/>
        <w:ind w:firstLine="480"/>
        <w:rPr>
          <w:rFonts w:cs="宋体"/>
          <w:highlight w:val="none"/>
        </w:rPr>
      </w:pPr>
      <w:r>
        <w:rPr>
          <w:rFonts w:hint="eastAsia" w:cs="宋体"/>
          <w:szCs w:val="24"/>
          <w:highlight w:val="none"/>
        </w:rPr>
        <w:t>1.本项目采用全流程电子招标采购方式，</w:t>
      </w:r>
      <w:r>
        <w:rPr>
          <w:rFonts w:hint="eastAsia" w:cs="宋体"/>
          <w:highlight w:val="none"/>
        </w:rPr>
        <w:t>潜在</w:t>
      </w:r>
      <w:r>
        <w:rPr>
          <w:rFonts w:hint="eastAsia"/>
          <w:szCs w:val="18"/>
          <w:highlight w:val="none"/>
        </w:rPr>
        <w:t>供应商</w:t>
      </w:r>
      <w:r>
        <w:rPr>
          <w:rFonts w:hint="eastAsia" w:cs="宋体"/>
          <w:highlight w:val="none"/>
        </w:rPr>
        <w:t>应及时办理CA证书，用于对投标文件进行电子签章及加、解密。</w:t>
      </w:r>
    </w:p>
    <w:p w14:paraId="55A444BA">
      <w:pPr>
        <w:spacing w:line="400" w:lineRule="exact"/>
        <w:ind w:firstLine="480"/>
        <w:rPr>
          <w:rFonts w:cs="宋体"/>
          <w:bCs/>
          <w:highlight w:val="none"/>
        </w:rPr>
      </w:pPr>
      <w:r>
        <w:rPr>
          <w:rFonts w:hint="eastAsia" w:cs="宋体"/>
          <w:szCs w:val="24"/>
          <w:highlight w:val="none"/>
        </w:rPr>
        <w:t>2.CA</w:t>
      </w:r>
      <w:r>
        <w:rPr>
          <w:rFonts w:hint="eastAsia" w:cs="宋体"/>
          <w:highlight w:val="none"/>
        </w:rPr>
        <w:t>证书</w:t>
      </w:r>
      <w:r>
        <w:rPr>
          <w:rFonts w:hint="eastAsia" w:cs="宋体"/>
          <w:szCs w:val="24"/>
          <w:highlight w:val="none"/>
        </w:rPr>
        <w:t>办理详见</w:t>
      </w:r>
      <w:r>
        <w:rPr>
          <w:rFonts w:hint="eastAsia" w:cs="宋体"/>
          <w:bCs/>
          <w:highlight w:val="none"/>
        </w:rPr>
        <w:t>《优质采平台CA数字证书办理说明》：</w:t>
      </w:r>
    </w:p>
    <w:p w14:paraId="78AECCF3">
      <w:pPr>
        <w:spacing w:line="400" w:lineRule="exact"/>
        <w:ind w:firstLine="480"/>
        <w:rPr>
          <w:rFonts w:cs="宋体"/>
          <w:b/>
          <w:bCs/>
          <w:highlight w:val="none"/>
        </w:rPr>
      </w:pPr>
      <w:r>
        <w:rPr>
          <w:highlight w:val="none"/>
        </w:rPr>
        <w:fldChar w:fldCharType="begin"/>
      </w:r>
      <w:r>
        <w:rPr>
          <w:highlight w:val="none"/>
        </w:rPr>
        <w:instrText xml:space="preserve"> HYPERLINK "http://www.youzhicai.com/ActivityTopic/AdviceDetail/8f80a7ec-911f-4c4d-a123-f8849880f045" </w:instrText>
      </w:r>
      <w:r>
        <w:rPr>
          <w:highlight w:val="none"/>
        </w:rPr>
        <w:fldChar w:fldCharType="separate"/>
      </w:r>
      <w:r>
        <w:rPr>
          <w:rStyle w:val="16"/>
          <w:rFonts w:hint="eastAsia" w:cs="宋体"/>
          <w:bCs/>
          <w:color w:val="auto"/>
          <w:highlight w:val="none"/>
        </w:rPr>
        <w:t>http://www.youzhicai.com/ActivityTopic/AdviceDetail/8f80a7ec-911f-4c4d-a123-f</w:t>
      </w:r>
      <w:bookmarkStart w:id="25" w:name="_Hlt105085547"/>
      <w:bookmarkStart w:id="26" w:name="_Hlt105085548"/>
      <w:r>
        <w:rPr>
          <w:rStyle w:val="16"/>
          <w:rFonts w:hint="eastAsia" w:cs="宋体"/>
          <w:bCs/>
          <w:color w:val="auto"/>
          <w:highlight w:val="none"/>
        </w:rPr>
        <w:t>8</w:t>
      </w:r>
      <w:bookmarkEnd w:id="25"/>
      <w:bookmarkEnd w:id="26"/>
      <w:r>
        <w:rPr>
          <w:rStyle w:val="16"/>
          <w:rFonts w:hint="eastAsia" w:cs="宋体"/>
          <w:bCs/>
          <w:color w:val="auto"/>
          <w:highlight w:val="none"/>
        </w:rPr>
        <w:t>849880f045</w:t>
      </w:r>
      <w:r>
        <w:rPr>
          <w:rStyle w:val="16"/>
          <w:rFonts w:hint="eastAsia" w:cs="宋体"/>
          <w:bCs/>
          <w:color w:val="auto"/>
          <w:highlight w:val="none"/>
        </w:rPr>
        <w:fldChar w:fldCharType="end"/>
      </w:r>
      <w:r>
        <w:rPr>
          <w:rFonts w:hint="eastAsia" w:cs="宋体"/>
          <w:bCs/>
          <w:highlight w:val="none"/>
        </w:rPr>
        <w:t>。</w:t>
      </w:r>
    </w:p>
    <w:p w14:paraId="328EC523">
      <w:pPr>
        <w:spacing w:line="400" w:lineRule="exact"/>
        <w:ind w:firstLine="480"/>
        <w:rPr>
          <w:rFonts w:cs="宋体"/>
          <w:highlight w:val="none"/>
        </w:rPr>
      </w:pPr>
      <w:r>
        <w:rPr>
          <w:rFonts w:hint="eastAsia" w:cs="宋体"/>
          <w:szCs w:val="24"/>
          <w:highlight w:val="none"/>
        </w:rPr>
        <w:t>3.CA</w:t>
      </w:r>
      <w:r>
        <w:rPr>
          <w:rFonts w:hint="eastAsia" w:cs="宋体"/>
          <w:highlight w:val="none"/>
        </w:rPr>
        <w:t>证书</w:t>
      </w:r>
      <w:r>
        <w:rPr>
          <w:rFonts w:hint="eastAsia" w:cs="宋体"/>
          <w:szCs w:val="24"/>
          <w:highlight w:val="none"/>
        </w:rPr>
        <w:t>到期或即将到期，须在递交投标文件前办理续期。</w:t>
      </w:r>
    </w:p>
    <w:p w14:paraId="7E7979CF">
      <w:pPr>
        <w:spacing w:line="400" w:lineRule="exact"/>
        <w:ind w:firstLine="480"/>
        <w:rPr>
          <w:rFonts w:cs="宋体"/>
          <w:highlight w:val="none"/>
        </w:rPr>
      </w:pPr>
      <w:r>
        <w:rPr>
          <w:rFonts w:hint="eastAsia" w:cs="宋体"/>
          <w:szCs w:val="24"/>
          <w:highlight w:val="none"/>
        </w:rPr>
        <w:t>4.CA锁</w:t>
      </w:r>
      <w:r>
        <w:rPr>
          <w:rFonts w:hint="eastAsia" w:cs="宋体"/>
          <w:highlight w:val="none"/>
        </w:rPr>
        <w:t>遗失、损坏等无法使用，须在递交投标文件前补办CA锁。</w:t>
      </w:r>
    </w:p>
    <w:p w14:paraId="66002DC2">
      <w:pPr>
        <w:spacing w:line="400" w:lineRule="exact"/>
        <w:ind w:firstLine="480"/>
        <w:rPr>
          <w:rFonts w:cs="宋体"/>
          <w:highlight w:val="none"/>
        </w:rPr>
      </w:pPr>
      <w:r>
        <w:rPr>
          <w:rFonts w:hint="eastAsia" w:cs="宋体"/>
          <w:szCs w:val="24"/>
          <w:highlight w:val="none"/>
        </w:rPr>
        <w:t>5.企业</w:t>
      </w:r>
      <w:r>
        <w:rPr>
          <w:rFonts w:hint="eastAsia" w:cs="宋体"/>
          <w:highlight w:val="none"/>
        </w:rPr>
        <w:t>信息（包括但不限于企业名称和法定代表人信息）发生变更的，须在递交投标文件前变更CA证书。</w:t>
      </w:r>
    </w:p>
    <w:p w14:paraId="0E487AF2">
      <w:pPr>
        <w:spacing w:line="400" w:lineRule="exact"/>
        <w:ind w:firstLine="480"/>
        <w:rPr>
          <w:rFonts w:cs="宋体"/>
          <w:szCs w:val="24"/>
          <w:highlight w:val="none"/>
        </w:rPr>
      </w:pPr>
      <w:r>
        <w:rPr>
          <w:rFonts w:hint="eastAsia" w:cs="宋体"/>
          <w:szCs w:val="24"/>
          <w:highlight w:val="none"/>
        </w:rPr>
        <w:tab/>
      </w:r>
      <w:r>
        <w:rPr>
          <w:rFonts w:hint="eastAsia" w:cs="宋体"/>
          <w:szCs w:val="24"/>
          <w:highlight w:val="none"/>
        </w:rPr>
        <w:t>6.</w:t>
      </w:r>
      <w:r>
        <w:rPr>
          <w:rFonts w:hint="eastAsia"/>
          <w:szCs w:val="18"/>
          <w:highlight w:val="none"/>
        </w:rPr>
        <w:t xml:space="preserve"> 供应商</w:t>
      </w:r>
      <w:r>
        <w:rPr>
          <w:rFonts w:hint="eastAsia" w:cs="宋体"/>
          <w:szCs w:val="24"/>
          <w:highlight w:val="none"/>
        </w:rPr>
        <w:t>由于</w:t>
      </w:r>
      <w:r>
        <w:rPr>
          <w:rFonts w:hint="eastAsia" w:cs="宋体"/>
          <w:highlight w:val="none"/>
        </w:rPr>
        <w:t>CA证书</w:t>
      </w:r>
      <w:r>
        <w:rPr>
          <w:rFonts w:hint="eastAsia" w:cs="宋体"/>
          <w:szCs w:val="24"/>
          <w:highlight w:val="none"/>
        </w:rPr>
        <w:t>遗失、损坏、更换、续期、企业信息变更等情况导致投标文件无法解密的，由</w:t>
      </w:r>
      <w:r>
        <w:rPr>
          <w:rFonts w:hint="eastAsia"/>
          <w:szCs w:val="18"/>
          <w:highlight w:val="none"/>
        </w:rPr>
        <w:t>供应商</w:t>
      </w:r>
      <w:r>
        <w:rPr>
          <w:rFonts w:hint="eastAsia" w:cs="宋体"/>
          <w:szCs w:val="24"/>
          <w:highlight w:val="none"/>
        </w:rPr>
        <w:t>自行承担责任；</w:t>
      </w:r>
    </w:p>
    <w:p w14:paraId="7F04FD18">
      <w:pPr>
        <w:spacing w:line="400" w:lineRule="exact"/>
        <w:ind w:firstLine="480"/>
        <w:rPr>
          <w:rFonts w:cs="宋体"/>
          <w:szCs w:val="24"/>
          <w:highlight w:val="none"/>
        </w:rPr>
      </w:pPr>
      <w:r>
        <w:rPr>
          <w:rFonts w:hint="eastAsia" w:cs="宋体"/>
          <w:szCs w:val="24"/>
          <w:highlight w:val="none"/>
        </w:rPr>
        <w:t>7.加密和解密投标文件</w:t>
      </w:r>
      <w:r>
        <w:rPr>
          <w:rFonts w:hint="eastAsia" w:cs="宋体"/>
          <w:highlight w:val="none"/>
        </w:rPr>
        <w:t>必须使用同一个CA证书</w:t>
      </w:r>
      <w:r>
        <w:rPr>
          <w:rFonts w:hint="eastAsia" w:cs="宋体"/>
          <w:szCs w:val="24"/>
          <w:highlight w:val="none"/>
        </w:rPr>
        <w:t>。</w:t>
      </w:r>
    </w:p>
    <w:p w14:paraId="262229ED">
      <w:pPr>
        <w:spacing w:line="400" w:lineRule="exact"/>
        <w:ind w:firstLine="480"/>
        <w:rPr>
          <w:rFonts w:cs="宋体"/>
          <w:szCs w:val="24"/>
          <w:highlight w:val="none"/>
        </w:rPr>
      </w:pPr>
      <w:r>
        <w:rPr>
          <w:rFonts w:hint="eastAsia" w:cs="宋体"/>
          <w:szCs w:val="24"/>
          <w:highlight w:val="none"/>
        </w:rPr>
        <w:t>二、制作、签章、加密、上传电子投标文件</w:t>
      </w:r>
    </w:p>
    <w:p w14:paraId="34A002EC">
      <w:pPr>
        <w:spacing w:line="400" w:lineRule="exact"/>
        <w:ind w:firstLine="480"/>
        <w:rPr>
          <w:rStyle w:val="16"/>
          <w:rFonts w:cs="宋体"/>
          <w:color w:val="auto"/>
          <w:highlight w:val="none"/>
        </w:rPr>
      </w:pPr>
      <w:r>
        <w:rPr>
          <w:rFonts w:hint="eastAsia" w:cs="宋体"/>
          <w:szCs w:val="24"/>
          <w:highlight w:val="none"/>
        </w:rPr>
        <w:t>8.本项目采用全流程电子化招标采购方式，潜在</w:t>
      </w:r>
      <w:r>
        <w:rPr>
          <w:rFonts w:hint="eastAsia"/>
          <w:szCs w:val="18"/>
          <w:highlight w:val="none"/>
        </w:rPr>
        <w:t>供应商</w:t>
      </w:r>
      <w:r>
        <w:rPr>
          <w:rFonts w:hint="eastAsia" w:cs="宋体"/>
          <w:highlight w:val="none"/>
        </w:rPr>
        <w:t>需使用</w:t>
      </w:r>
      <w:r>
        <w:rPr>
          <w:rFonts w:hint="eastAsia" w:cs="宋体"/>
          <w:szCs w:val="24"/>
          <w:highlight w:val="none"/>
        </w:rPr>
        <w:t>“优质采投标工具客户端”（以下简称“投标工具”）制作</w:t>
      </w:r>
      <w:r>
        <w:rPr>
          <w:rFonts w:hint="eastAsia" w:cs="宋体"/>
          <w:highlight w:val="none"/>
        </w:rPr>
        <w:t>电子投标文件，</w:t>
      </w:r>
      <w:r>
        <w:rPr>
          <w:rFonts w:hint="eastAsia" w:cs="宋体"/>
          <w:szCs w:val="24"/>
          <w:highlight w:val="none"/>
        </w:rPr>
        <w:t>投标工具及操作说明下载地址：</w:t>
      </w:r>
      <w:r>
        <w:rPr>
          <w:highlight w:val="none"/>
        </w:rPr>
        <w:fldChar w:fldCharType="begin"/>
      </w:r>
      <w:r>
        <w:rPr>
          <w:highlight w:val="none"/>
        </w:rPr>
        <w:instrText xml:space="preserve"> HYPERLINK "https://toolcdn.youzhicai.com/tools/BidderTools.zip" </w:instrText>
      </w:r>
      <w:r>
        <w:rPr>
          <w:highlight w:val="none"/>
        </w:rPr>
        <w:fldChar w:fldCharType="separate"/>
      </w:r>
      <w:r>
        <w:rPr>
          <w:rStyle w:val="16"/>
          <w:rFonts w:hint="eastAsia" w:cs="宋体"/>
          <w:color w:val="auto"/>
          <w:highlight w:val="none"/>
        </w:rPr>
        <w:t>https://toolcdn.youzhicai.com/tools/BidderTools.zip</w:t>
      </w:r>
      <w:r>
        <w:rPr>
          <w:rStyle w:val="16"/>
          <w:rFonts w:hint="eastAsia" w:cs="宋体"/>
          <w:color w:val="auto"/>
          <w:highlight w:val="none"/>
        </w:rPr>
        <w:fldChar w:fldCharType="end"/>
      </w:r>
      <w:r>
        <w:rPr>
          <w:rStyle w:val="16"/>
          <w:rFonts w:hint="eastAsia" w:cs="宋体"/>
          <w:color w:val="auto"/>
          <w:highlight w:val="none"/>
        </w:rPr>
        <w:t>。</w:t>
      </w:r>
    </w:p>
    <w:p w14:paraId="555BC6C9">
      <w:pPr>
        <w:spacing w:line="400" w:lineRule="exact"/>
        <w:ind w:firstLine="480"/>
        <w:rPr>
          <w:rStyle w:val="16"/>
          <w:rFonts w:cs="宋体"/>
          <w:color w:val="auto"/>
          <w:highlight w:val="none"/>
          <w:u w:val="none"/>
        </w:rPr>
      </w:pPr>
      <w:r>
        <w:rPr>
          <w:rStyle w:val="16"/>
          <w:rFonts w:hint="eastAsia" w:cs="宋体"/>
          <w:color w:val="auto"/>
          <w:highlight w:val="none"/>
          <w:u w:val="none"/>
        </w:rPr>
        <w:tab/>
      </w:r>
      <w:r>
        <w:rPr>
          <w:rStyle w:val="16"/>
          <w:rFonts w:hint="eastAsia" w:cs="宋体"/>
          <w:color w:val="auto"/>
          <w:highlight w:val="none"/>
          <w:u w:val="none"/>
        </w:rPr>
        <w:t>8.1.投标工具建议在window7或windows10操作系统下使用；</w:t>
      </w:r>
    </w:p>
    <w:p w14:paraId="237B33DA">
      <w:pPr>
        <w:spacing w:line="400" w:lineRule="exact"/>
        <w:ind w:firstLine="480"/>
        <w:rPr>
          <w:rFonts w:cs="宋体"/>
          <w:bCs/>
          <w:sz w:val="18"/>
          <w:highlight w:val="none"/>
        </w:rPr>
      </w:pPr>
      <w:r>
        <w:rPr>
          <w:rStyle w:val="16"/>
          <w:rFonts w:hint="eastAsia" w:cs="宋体"/>
          <w:color w:val="auto"/>
          <w:highlight w:val="none"/>
          <w:u w:val="none"/>
        </w:rPr>
        <w:tab/>
      </w:r>
      <w:r>
        <w:rPr>
          <w:rStyle w:val="16"/>
          <w:rFonts w:hint="eastAsia" w:cs="宋体"/>
          <w:color w:val="auto"/>
          <w:highlight w:val="none"/>
          <w:u w:val="none"/>
        </w:rPr>
        <w:t>8.2.电子投标文件编制建议使用</w:t>
      </w:r>
      <w:r>
        <w:rPr>
          <w:rFonts w:hint="eastAsia" w:cs="宋体"/>
          <w:highlight w:val="none"/>
        </w:rPr>
        <w:t>office2010版本。</w:t>
      </w:r>
    </w:p>
    <w:p w14:paraId="301A0A39">
      <w:pPr>
        <w:wordWrap w:val="0"/>
        <w:spacing w:line="400" w:lineRule="exact"/>
        <w:ind w:firstLine="480"/>
        <w:rPr>
          <w:rFonts w:cs="宋体"/>
          <w:bCs/>
          <w:highlight w:val="none"/>
          <w:u w:val="single"/>
        </w:rPr>
      </w:pPr>
      <w:r>
        <w:rPr>
          <w:rFonts w:hint="eastAsia" w:cs="宋体"/>
          <w:szCs w:val="24"/>
          <w:highlight w:val="none"/>
        </w:rPr>
        <w:tab/>
      </w:r>
      <w:r>
        <w:rPr>
          <w:rFonts w:hint="eastAsia" w:cs="宋体"/>
          <w:szCs w:val="24"/>
          <w:highlight w:val="none"/>
        </w:rPr>
        <w:t>9.</w:t>
      </w:r>
      <w:r>
        <w:rPr>
          <w:rFonts w:hint="eastAsia" w:cs="宋体"/>
          <w:highlight w:val="none"/>
        </w:rPr>
        <w:t>潜在</w:t>
      </w:r>
      <w:r>
        <w:rPr>
          <w:rFonts w:hint="eastAsia"/>
          <w:szCs w:val="18"/>
          <w:highlight w:val="none"/>
        </w:rPr>
        <w:t>供应商</w:t>
      </w:r>
      <w:r>
        <w:rPr>
          <w:rFonts w:hint="eastAsia" w:cs="宋体"/>
          <w:highlight w:val="none"/>
        </w:rPr>
        <w:t>制作电子投标文件后，需在</w:t>
      </w:r>
      <w:r>
        <w:rPr>
          <w:rFonts w:hint="eastAsia" w:cs="宋体"/>
          <w:szCs w:val="24"/>
          <w:highlight w:val="none"/>
        </w:rPr>
        <w:t>投标工具</w:t>
      </w:r>
      <w:r>
        <w:rPr>
          <w:rFonts w:hint="eastAsia" w:cs="宋体"/>
          <w:highlight w:val="none"/>
        </w:rPr>
        <w:t>对电子投标文件进行电子签章（项目有特殊说明的除外），并使用CA</w:t>
      </w:r>
      <w:r>
        <w:rPr>
          <w:rFonts w:hint="eastAsia" w:cs="宋体"/>
          <w:szCs w:val="24"/>
          <w:highlight w:val="none"/>
        </w:rPr>
        <w:t>证书进行</w:t>
      </w:r>
      <w:r>
        <w:rPr>
          <w:rFonts w:hint="eastAsia" w:cs="宋体"/>
          <w:highlight w:val="none"/>
        </w:rPr>
        <w:t>加密。在</w:t>
      </w:r>
      <w:r>
        <w:rPr>
          <w:rFonts w:hint="eastAsia" w:cs="宋体"/>
          <w:szCs w:val="24"/>
          <w:highlight w:val="none"/>
        </w:rPr>
        <w:t>投标工具使用CA证书</w:t>
      </w:r>
      <w:r>
        <w:rPr>
          <w:rFonts w:hint="eastAsia" w:cs="宋体"/>
          <w:highlight w:val="none"/>
        </w:rPr>
        <w:t>时需安装“优质采数字证书助手”</w:t>
      </w:r>
      <w:r>
        <w:rPr>
          <w:rFonts w:hint="eastAsia" w:cs="宋体"/>
          <w:szCs w:val="24"/>
          <w:highlight w:val="none"/>
        </w:rPr>
        <w:t xml:space="preserve"> （即数字证书驱动）</w:t>
      </w:r>
      <w:r>
        <w:rPr>
          <w:rFonts w:hint="eastAsia" w:cs="宋体"/>
          <w:highlight w:val="none"/>
        </w:rPr>
        <w:t>，下载地址：</w:t>
      </w:r>
      <w:r>
        <w:rPr>
          <w:highlight w:val="none"/>
        </w:rPr>
        <w:fldChar w:fldCharType="begin"/>
      </w:r>
      <w:r>
        <w:rPr>
          <w:highlight w:val="none"/>
        </w:rPr>
        <w:instrText xml:space="preserve"> HYPERLINK "https://toolcdn.youzhicai.com/ca.zip" </w:instrText>
      </w:r>
      <w:r>
        <w:rPr>
          <w:highlight w:val="none"/>
        </w:rPr>
        <w:fldChar w:fldCharType="separate"/>
      </w:r>
      <w:r>
        <w:rPr>
          <w:rStyle w:val="16"/>
          <w:rFonts w:hint="eastAsia" w:cs="宋体"/>
          <w:color w:val="auto"/>
          <w:highlight w:val="none"/>
        </w:rPr>
        <w:t>https://toolcdn.youzhicai.com/ca.zip</w:t>
      </w:r>
      <w:r>
        <w:rPr>
          <w:rStyle w:val="16"/>
          <w:rFonts w:hint="eastAsia" w:cs="宋体"/>
          <w:color w:val="auto"/>
          <w:highlight w:val="none"/>
        </w:rPr>
        <w:fldChar w:fldCharType="end"/>
      </w:r>
      <w:r>
        <w:rPr>
          <w:rStyle w:val="16"/>
          <w:rFonts w:hint="eastAsia" w:cs="宋体"/>
          <w:color w:val="auto"/>
          <w:highlight w:val="none"/>
        </w:rPr>
        <w:t>。</w:t>
      </w:r>
    </w:p>
    <w:p w14:paraId="220DF888">
      <w:pPr>
        <w:wordWrap w:val="0"/>
        <w:spacing w:line="400" w:lineRule="exact"/>
        <w:ind w:firstLine="480"/>
        <w:rPr>
          <w:rFonts w:cs="宋体"/>
          <w:szCs w:val="24"/>
          <w:highlight w:val="none"/>
        </w:rPr>
      </w:pPr>
      <w:r>
        <w:rPr>
          <w:rFonts w:hint="eastAsia" w:cs="宋体"/>
          <w:highlight w:val="none"/>
        </w:rPr>
        <w:tab/>
      </w:r>
      <w:r>
        <w:rPr>
          <w:rFonts w:hint="eastAsia" w:cs="宋体"/>
          <w:szCs w:val="24"/>
          <w:highlight w:val="none"/>
        </w:rPr>
        <w:t>10.潜在</w:t>
      </w:r>
      <w:r>
        <w:rPr>
          <w:rFonts w:hint="eastAsia"/>
          <w:szCs w:val="18"/>
          <w:highlight w:val="none"/>
        </w:rPr>
        <w:t>供应商</w:t>
      </w:r>
      <w:r>
        <w:rPr>
          <w:rFonts w:hint="eastAsia" w:cs="宋体"/>
          <w:szCs w:val="24"/>
          <w:highlight w:val="none"/>
        </w:rPr>
        <w:t>完成制作、签章、加密投标文件后，需在</w:t>
      </w:r>
      <w:r>
        <w:rPr>
          <w:rFonts w:hint="eastAsia" w:cs="宋体"/>
          <w:highlight w:val="none"/>
        </w:rPr>
        <w:t>招标文件规定的投标截止时间前在</w:t>
      </w:r>
      <w:r>
        <w:rPr>
          <w:rFonts w:hint="eastAsia" w:cs="宋体"/>
          <w:szCs w:val="24"/>
          <w:highlight w:val="none"/>
        </w:rPr>
        <w:t>投标工具</w:t>
      </w:r>
      <w:r>
        <w:rPr>
          <w:rFonts w:hint="eastAsia" w:cs="宋体"/>
          <w:highlight w:val="none"/>
        </w:rPr>
        <w:t>完成上传。</w:t>
      </w:r>
      <w:r>
        <w:rPr>
          <w:rFonts w:hint="eastAsia" w:cs="宋体"/>
          <w:szCs w:val="24"/>
          <w:highlight w:val="none"/>
        </w:rPr>
        <w:t>投标截止时间以优质采云采购平台（</w:t>
      </w:r>
      <w:r>
        <w:rPr>
          <w:rFonts w:cs="宋体"/>
          <w:szCs w:val="24"/>
          <w:highlight w:val="none"/>
        </w:rPr>
        <w:t>http://www.youzhicai.com/</w:t>
      </w:r>
      <w:r>
        <w:rPr>
          <w:rFonts w:hint="eastAsia" w:cs="宋体"/>
          <w:szCs w:val="24"/>
          <w:highlight w:val="none"/>
        </w:rPr>
        <w:t>）系统的时间为准，如未在投标截止时间前完成电子投标文件上传，系统将自动关闭上传通道。潜在</w:t>
      </w:r>
      <w:r>
        <w:rPr>
          <w:rFonts w:hint="eastAsia"/>
          <w:szCs w:val="18"/>
          <w:highlight w:val="none"/>
        </w:rPr>
        <w:t>供应商</w:t>
      </w:r>
      <w:r>
        <w:rPr>
          <w:rFonts w:hint="eastAsia" w:cs="宋体"/>
          <w:szCs w:val="24"/>
          <w:highlight w:val="none"/>
        </w:rPr>
        <w:t>未完成电子投标文件上传的，视为没有递交投标文件。</w:t>
      </w:r>
    </w:p>
    <w:p w14:paraId="0570BA9D">
      <w:pPr>
        <w:wordWrap w:val="0"/>
        <w:spacing w:line="400" w:lineRule="exact"/>
        <w:ind w:firstLine="480"/>
        <w:rPr>
          <w:rFonts w:cs="宋体"/>
          <w:szCs w:val="24"/>
          <w:highlight w:val="none"/>
        </w:rPr>
      </w:pPr>
      <w:r>
        <w:rPr>
          <w:rFonts w:hint="eastAsia" w:cs="宋体"/>
          <w:szCs w:val="24"/>
          <w:highlight w:val="none"/>
        </w:rPr>
        <w:t>11.潜在</w:t>
      </w:r>
      <w:r>
        <w:rPr>
          <w:rFonts w:hint="eastAsia"/>
          <w:szCs w:val="18"/>
          <w:highlight w:val="none"/>
        </w:rPr>
        <w:t>供应商</w:t>
      </w:r>
      <w:r>
        <w:rPr>
          <w:rFonts w:hint="eastAsia" w:cs="宋体"/>
          <w:szCs w:val="24"/>
          <w:highlight w:val="none"/>
        </w:rPr>
        <w:t>在投标文件递交截止时间前，可以对其所递交的电子投标文件进行撤回，修改后重新上传。</w:t>
      </w:r>
    </w:p>
    <w:p w14:paraId="13905671">
      <w:pPr>
        <w:spacing w:line="400" w:lineRule="exact"/>
        <w:ind w:firstLine="480"/>
        <w:rPr>
          <w:rFonts w:cs="宋体"/>
          <w:szCs w:val="24"/>
          <w:highlight w:val="none"/>
        </w:rPr>
      </w:pPr>
      <w:r>
        <w:rPr>
          <w:rFonts w:hint="eastAsia" w:cs="宋体"/>
          <w:szCs w:val="24"/>
          <w:highlight w:val="none"/>
        </w:rPr>
        <w:t>12.潜在</w:t>
      </w:r>
      <w:r>
        <w:rPr>
          <w:rFonts w:hint="eastAsia"/>
          <w:szCs w:val="18"/>
          <w:highlight w:val="none"/>
        </w:rPr>
        <w:t>供应商</w:t>
      </w:r>
      <w:r>
        <w:rPr>
          <w:rFonts w:hint="eastAsia" w:cs="宋体"/>
          <w:szCs w:val="24"/>
          <w:highlight w:val="none"/>
        </w:rPr>
        <w:t>在制作、签章、加密、上传电子投标文件过程中，若存在技术操作问题，请及时联系优质采云采购平台客服人员，客服电话：400-0099-555，0551-62220164。</w:t>
      </w:r>
    </w:p>
    <w:p w14:paraId="6598C53A">
      <w:pPr>
        <w:spacing w:line="400" w:lineRule="exact"/>
        <w:ind w:firstLine="480"/>
        <w:rPr>
          <w:rFonts w:cs="宋体"/>
          <w:szCs w:val="24"/>
          <w:highlight w:val="none"/>
        </w:rPr>
      </w:pPr>
      <w:r>
        <w:rPr>
          <w:rFonts w:hint="eastAsia" w:cs="宋体"/>
          <w:szCs w:val="24"/>
          <w:highlight w:val="none"/>
        </w:rPr>
        <w:t>三、开标和解密</w:t>
      </w:r>
    </w:p>
    <w:p w14:paraId="66A1BE17">
      <w:pPr>
        <w:spacing w:line="400" w:lineRule="exact"/>
        <w:ind w:firstLine="480"/>
        <w:rPr>
          <w:rFonts w:cs="宋体"/>
          <w:szCs w:val="24"/>
          <w:highlight w:val="none"/>
        </w:rPr>
      </w:pPr>
      <w:r>
        <w:rPr>
          <w:rFonts w:hint="eastAsia" w:cs="宋体"/>
          <w:szCs w:val="24"/>
          <w:highlight w:val="none"/>
        </w:rPr>
        <w:t>13.</w:t>
      </w:r>
      <w:r>
        <w:rPr>
          <w:rFonts w:hint="eastAsia"/>
          <w:szCs w:val="18"/>
          <w:highlight w:val="none"/>
        </w:rPr>
        <w:t>业主单位</w:t>
      </w:r>
      <w:r>
        <w:rPr>
          <w:rFonts w:hint="eastAsia" w:cs="宋体"/>
          <w:szCs w:val="24"/>
          <w:highlight w:val="none"/>
        </w:rPr>
        <w:t>或代理机构工作人员（以下简称工作人员）根据有关规定登录系统组织开标。投标文件递交截止时间后由</w:t>
      </w:r>
      <w:r>
        <w:rPr>
          <w:rFonts w:hint="eastAsia"/>
          <w:szCs w:val="18"/>
          <w:highlight w:val="none"/>
        </w:rPr>
        <w:t>供应商</w:t>
      </w:r>
      <w:r>
        <w:rPr>
          <w:rFonts w:hint="eastAsia" w:cs="宋体"/>
          <w:szCs w:val="24"/>
          <w:highlight w:val="none"/>
        </w:rPr>
        <w:t>使用</w:t>
      </w:r>
      <w:r>
        <w:rPr>
          <w:rFonts w:hint="eastAsia" w:cs="宋体"/>
          <w:highlight w:val="none"/>
        </w:rPr>
        <w:t>CA证书</w:t>
      </w:r>
      <w:r>
        <w:rPr>
          <w:rFonts w:hint="eastAsia" w:cs="宋体"/>
          <w:szCs w:val="24"/>
          <w:highlight w:val="none"/>
        </w:rPr>
        <w:t>解密投标文件，工作人员导入已解密投标文件并公布开标结果。</w:t>
      </w:r>
    </w:p>
    <w:p w14:paraId="7688F8F8">
      <w:pPr>
        <w:spacing w:line="400" w:lineRule="exact"/>
        <w:ind w:firstLine="480"/>
        <w:rPr>
          <w:rFonts w:cs="宋体"/>
          <w:szCs w:val="24"/>
          <w:highlight w:val="none"/>
        </w:rPr>
      </w:pPr>
      <w:r>
        <w:rPr>
          <w:rFonts w:hint="eastAsia" w:cs="宋体"/>
          <w:szCs w:val="24"/>
          <w:highlight w:val="none"/>
        </w:rPr>
        <w:t>14.投标文件可远程解密，</w:t>
      </w:r>
      <w:r>
        <w:rPr>
          <w:rFonts w:hint="eastAsia"/>
          <w:szCs w:val="18"/>
          <w:highlight w:val="none"/>
        </w:rPr>
        <w:t>供应商</w:t>
      </w:r>
      <w:r>
        <w:rPr>
          <w:rFonts w:hint="eastAsia" w:cs="宋体"/>
          <w:szCs w:val="24"/>
          <w:highlight w:val="none"/>
        </w:rPr>
        <w:t>无需到达开标现场。招标文件“</w:t>
      </w:r>
      <w:r>
        <w:rPr>
          <w:rFonts w:hint="eastAsia"/>
          <w:szCs w:val="18"/>
          <w:highlight w:val="none"/>
        </w:rPr>
        <w:t>供应商</w:t>
      </w:r>
      <w:r>
        <w:rPr>
          <w:rFonts w:hint="eastAsia" w:cs="宋体"/>
          <w:szCs w:val="24"/>
          <w:highlight w:val="none"/>
        </w:rPr>
        <w:t>须知”中另有规定的，从其规定。</w:t>
      </w:r>
    </w:p>
    <w:p w14:paraId="1AC43BD5">
      <w:pPr>
        <w:spacing w:line="400" w:lineRule="exact"/>
        <w:ind w:firstLine="480"/>
        <w:rPr>
          <w:rFonts w:cs="宋体"/>
          <w:szCs w:val="24"/>
          <w:highlight w:val="none"/>
        </w:rPr>
      </w:pPr>
      <w:r>
        <w:rPr>
          <w:rFonts w:hint="eastAsia" w:cs="宋体"/>
          <w:szCs w:val="24"/>
          <w:highlight w:val="none"/>
        </w:rPr>
        <w:t>15.潜在</w:t>
      </w:r>
      <w:r>
        <w:rPr>
          <w:rFonts w:hint="eastAsia"/>
          <w:szCs w:val="18"/>
          <w:highlight w:val="none"/>
        </w:rPr>
        <w:t>供应商</w:t>
      </w:r>
      <w:r>
        <w:rPr>
          <w:rFonts w:hint="eastAsia" w:cs="宋体"/>
          <w:szCs w:val="24"/>
          <w:highlight w:val="none"/>
        </w:rPr>
        <w:t>须按照招标文件的要求在投标文件递交截止时间前登录投标工具并保持在线，关注开标互动大厅消息直到项目评审结束。</w:t>
      </w:r>
    </w:p>
    <w:p w14:paraId="5D1FB22A">
      <w:pPr>
        <w:spacing w:line="400" w:lineRule="exact"/>
        <w:ind w:firstLine="480"/>
        <w:rPr>
          <w:rFonts w:cs="宋体"/>
          <w:szCs w:val="24"/>
          <w:highlight w:val="none"/>
        </w:rPr>
      </w:pPr>
      <w:r>
        <w:rPr>
          <w:rFonts w:hint="eastAsia" w:cs="宋体"/>
          <w:szCs w:val="24"/>
          <w:highlight w:val="none"/>
        </w:rPr>
        <w:t>16.投标文件解密时限为投标文件递交截止时间后30分钟（招标文件“</w:t>
      </w:r>
      <w:r>
        <w:rPr>
          <w:rFonts w:hint="eastAsia"/>
          <w:szCs w:val="18"/>
          <w:highlight w:val="none"/>
        </w:rPr>
        <w:t>供应商</w:t>
      </w:r>
      <w:r>
        <w:rPr>
          <w:rFonts w:hint="eastAsia" w:cs="宋体"/>
          <w:szCs w:val="24"/>
          <w:highlight w:val="none"/>
        </w:rPr>
        <w:t>须知”中另有规定的，从其规定）。潜在</w:t>
      </w:r>
      <w:r>
        <w:rPr>
          <w:rFonts w:hint="eastAsia"/>
          <w:szCs w:val="18"/>
          <w:highlight w:val="none"/>
        </w:rPr>
        <w:t>供应商</w:t>
      </w:r>
      <w:r>
        <w:rPr>
          <w:rFonts w:hint="eastAsia" w:cs="宋体"/>
          <w:szCs w:val="24"/>
          <w:highlight w:val="none"/>
        </w:rPr>
        <w:t>须在投标文件解密时限内完成投标文件解密，未能成功解密的视为放弃投标。招标文件“</w:t>
      </w:r>
      <w:r>
        <w:rPr>
          <w:rFonts w:hint="eastAsia"/>
          <w:szCs w:val="18"/>
          <w:highlight w:val="none"/>
        </w:rPr>
        <w:t>供应商</w:t>
      </w:r>
      <w:r>
        <w:rPr>
          <w:rFonts w:hint="eastAsia" w:cs="宋体"/>
          <w:szCs w:val="24"/>
          <w:highlight w:val="none"/>
        </w:rPr>
        <w:t>须知”中对投标文件解密设有线下补救方案的，执行该补救方案。</w:t>
      </w:r>
    </w:p>
    <w:p w14:paraId="5D3BCE37">
      <w:pPr>
        <w:spacing w:line="400" w:lineRule="exact"/>
        <w:ind w:firstLine="480"/>
        <w:rPr>
          <w:rFonts w:cs="宋体"/>
          <w:szCs w:val="24"/>
          <w:highlight w:val="none"/>
        </w:rPr>
      </w:pPr>
      <w:r>
        <w:rPr>
          <w:rFonts w:hint="eastAsia" w:cs="宋体"/>
          <w:szCs w:val="24"/>
          <w:highlight w:val="none"/>
        </w:rPr>
        <w:t>四、评审和询标</w:t>
      </w:r>
    </w:p>
    <w:p w14:paraId="46DBF641">
      <w:pPr>
        <w:spacing w:line="400" w:lineRule="exact"/>
        <w:ind w:firstLine="480"/>
        <w:rPr>
          <w:rFonts w:cs="宋体"/>
          <w:szCs w:val="24"/>
          <w:highlight w:val="none"/>
        </w:rPr>
      </w:pPr>
      <w:r>
        <w:rPr>
          <w:rFonts w:hint="eastAsia" w:cs="宋体"/>
          <w:szCs w:val="24"/>
          <w:highlight w:val="none"/>
        </w:rPr>
        <w:t>17.评审委员会通过优质采电子评审工具将需要澄清、说明或补正的内容以询标函的形式发送给</w:t>
      </w:r>
      <w:r>
        <w:rPr>
          <w:rFonts w:hint="eastAsia"/>
          <w:szCs w:val="18"/>
          <w:highlight w:val="none"/>
        </w:rPr>
        <w:t>供应商</w:t>
      </w:r>
      <w:r>
        <w:rPr>
          <w:rFonts w:hint="eastAsia" w:cs="宋体"/>
          <w:szCs w:val="24"/>
          <w:highlight w:val="none"/>
        </w:rPr>
        <w:t>，</w:t>
      </w:r>
      <w:r>
        <w:rPr>
          <w:rFonts w:hint="eastAsia"/>
          <w:szCs w:val="18"/>
          <w:highlight w:val="none"/>
        </w:rPr>
        <w:t>供应商</w:t>
      </w:r>
      <w:r>
        <w:rPr>
          <w:rFonts w:hint="eastAsia" w:cs="宋体"/>
          <w:szCs w:val="24"/>
          <w:highlight w:val="none"/>
        </w:rPr>
        <w:t>应登录投标工具并保持在线状态，以便及时接收评审委员会可能发出的询标函，并在询标函载明的时间内回复，若</w:t>
      </w:r>
      <w:r>
        <w:rPr>
          <w:rFonts w:hint="eastAsia"/>
          <w:szCs w:val="18"/>
          <w:highlight w:val="none"/>
        </w:rPr>
        <w:t>供应商</w:t>
      </w:r>
      <w:r>
        <w:rPr>
          <w:rFonts w:hint="eastAsia" w:cs="宋体"/>
          <w:szCs w:val="24"/>
          <w:highlight w:val="none"/>
        </w:rPr>
        <w:t>未及时回复，视为放弃澄清。</w:t>
      </w:r>
    </w:p>
    <w:p w14:paraId="11C60149">
      <w:pPr>
        <w:spacing w:line="400" w:lineRule="exact"/>
        <w:ind w:firstLine="480"/>
        <w:rPr>
          <w:rFonts w:cs="宋体"/>
          <w:highlight w:val="none"/>
        </w:rPr>
      </w:pPr>
      <w:r>
        <w:rPr>
          <w:rFonts w:hint="eastAsia" w:cs="宋体"/>
          <w:highlight w:val="none"/>
        </w:rPr>
        <w:t>五、异常情形</w:t>
      </w:r>
    </w:p>
    <w:p w14:paraId="5C587348">
      <w:pPr>
        <w:spacing w:line="400" w:lineRule="exact"/>
        <w:ind w:firstLine="480"/>
        <w:rPr>
          <w:rFonts w:cs="宋体"/>
          <w:szCs w:val="24"/>
          <w:highlight w:val="none"/>
        </w:rPr>
      </w:pPr>
      <w:r>
        <w:rPr>
          <w:rFonts w:hint="eastAsia" w:cs="宋体"/>
          <w:szCs w:val="24"/>
          <w:highlight w:val="none"/>
        </w:rPr>
        <w:t>18.出现下列情形导致电子交易系统无法正常运行，影响招投标过程的公平、公正和信息安全，经第三方机构认定后，各方当事人免责：</w:t>
      </w:r>
    </w:p>
    <w:p w14:paraId="787E375F">
      <w:pPr>
        <w:spacing w:line="400" w:lineRule="exact"/>
        <w:ind w:firstLine="480"/>
        <w:rPr>
          <w:rFonts w:cs="宋体"/>
          <w:szCs w:val="24"/>
          <w:highlight w:val="none"/>
        </w:rPr>
      </w:pPr>
      <w:r>
        <w:rPr>
          <w:rFonts w:hint="eastAsia" w:cs="宋体"/>
          <w:szCs w:val="24"/>
          <w:highlight w:val="none"/>
        </w:rPr>
        <w:t>(1)网络、服务器、数据库发生故障造成无法访问或使用的；</w:t>
      </w:r>
    </w:p>
    <w:p w14:paraId="5FC67A0F">
      <w:pPr>
        <w:spacing w:line="400" w:lineRule="exact"/>
        <w:ind w:firstLine="480"/>
        <w:rPr>
          <w:rFonts w:cs="宋体"/>
          <w:szCs w:val="24"/>
          <w:highlight w:val="none"/>
        </w:rPr>
      </w:pPr>
      <w:r>
        <w:rPr>
          <w:rFonts w:hint="eastAsia" w:cs="宋体"/>
          <w:szCs w:val="24"/>
          <w:highlight w:val="none"/>
        </w:rPr>
        <w:t>(2)电力系统发生故障导致电子服务系统或电子交易系统无法运行；</w:t>
      </w:r>
    </w:p>
    <w:p w14:paraId="6A1044D6">
      <w:pPr>
        <w:spacing w:line="400" w:lineRule="exact"/>
        <w:ind w:firstLine="480"/>
        <w:rPr>
          <w:rFonts w:cs="宋体"/>
          <w:szCs w:val="24"/>
          <w:highlight w:val="none"/>
        </w:rPr>
      </w:pPr>
      <w:r>
        <w:rPr>
          <w:rFonts w:hint="eastAsia" w:cs="宋体"/>
          <w:szCs w:val="24"/>
          <w:highlight w:val="none"/>
        </w:rPr>
        <w:t>(3)出现网络攻击、病毒入侵以及电子服务系统或电子交易系统安全漏洞导致无法正常提供服务的；</w:t>
      </w:r>
    </w:p>
    <w:p w14:paraId="4A646AE8">
      <w:pPr>
        <w:spacing w:line="400" w:lineRule="exact"/>
        <w:ind w:firstLine="480"/>
        <w:rPr>
          <w:rFonts w:cs="宋体"/>
          <w:szCs w:val="24"/>
          <w:highlight w:val="none"/>
        </w:rPr>
      </w:pPr>
      <w:r>
        <w:rPr>
          <w:rFonts w:hint="eastAsia" w:cs="宋体"/>
          <w:szCs w:val="24"/>
          <w:highlight w:val="none"/>
        </w:rPr>
        <w:t>(4)其他无法保证招投标过程公平、公正和信息安全的情形。</w:t>
      </w:r>
    </w:p>
    <w:p w14:paraId="1CFF58B9">
      <w:pPr>
        <w:spacing w:line="400" w:lineRule="exact"/>
        <w:ind w:firstLine="480"/>
        <w:rPr>
          <w:rFonts w:cs="宋体"/>
          <w:highlight w:val="none"/>
        </w:rPr>
      </w:pPr>
      <w:r>
        <w:rPr>
          <w:rFonts w:hint="eastAsia" w:cs="宋体"/>
          <w:highlight w:val="none"/>
        </w:rPr>
        <w:t>六、异常情形处理</w:t>
      </w:r>
    </w:p>
    <w:p w14:paraId="46E436A5">
      <w:pPr>
        <w:spacing w:line="400" w:lineRule="exact"/>
        <w:ind w:firstLine="480"/>
        <w:rPr>
          <w:rFonts w:cs="宋体"/>
          <w:highlight w:val="none"/>
        </w:rPr>
      </w:pPr>
      <w:r>
        <w:rPr>
          <w:rFonts w:hint="eastAsia" w:cs="宋体"/>
          <w:highlight w:val="none"/>
        </w:rPr>
        <w:t>19.出现上述情形，优质采平台及时组织相关方查明原因，排除故障。若能保证在开标前恢复系统运行的，招投标程序继续进行；若导致开评审程序无法按时开展，但能在原开标时间后2小时内恢复系统运行的，招投标程序继续进行；若导致开评审程序无法按时开展，在原开标时间后2小时内无法恢复系统运行的，按以下程序操作：</w:t>
      </w:r>
    </w:p>
    <w:p w14:paraId="32717E4A">
      <w:pPr>
        <w:spacing w:line="400" w:lineRule="exact"/>
        <w:ind w:firstLine="480"/>
        <w:rPr>
          <w:rFonts w:cs="宋体"/>
          <w:highlight w:val="none"/>
        </w:rPr>
      </w:pPr>
      <w:r>
        <w:rPr>
          <w:rFonts w:hint="eastAsia" w:cs="宋体"/>
          <w:highlight w:val="none"/>
        </w:rPr>
        <w:t>（1）项目中止，中止期限由</w:t>
      </w:r>
      <w:r>
        <w:rPr>
          <w:rFonts w:hint="eastAsia"/>
          <w:szCs w:val="18"/>
          <w:highlight w:val="none"/>
        </w:rPr>
        <w:t>业主单位</w:t>
      </w:r>
      <w:r>
        <w:rPr>
          <w:rFonts w:hint="eastAsia" w:cs="宋体"/>
          <w:highlight w:val="none"/>
        </w:rPr>
        <w:t>或代理机构根据项目具体情况确定。中止期限届满后中止情形尚未消除的，</w:t>
      </w:r>
      <w:r>
        <w:rPr>
          <w:rFonts w:hint="eastAsia"/>
          <w:szCs w:val="18"/>
          <w:highlight w:val="none"/>
        </w:rPr>
        <w:t>业主单位</w:t>
      </w:r>
      <w:r>
        <w:rPr>
          <w:rFonts w:hint="eastAsia" w:cs="宋体"/>
          <w:highlight w:val="none"/>
        </w:rPr>
        <w:t>或代理机构可以根据实际情况决定延长中止期限。决定延长中止期限的，应向</w:t>
      </w:r>
      <w:r>
        <w:rPr>
          <w:rFonts w:hint="eastAsia"/>
          <w:szCs w:val="18"/>
          <w:highlight w:val="none"/>
        </w:rPr>
        <w:t>供应商</w:t>
      </w:r>
      <w:r>
        <w:rPr>
          <w:rFonts w:hint="eastAsia" w:cs="宋体"/>
          <w:highlight w:val="none"/>
        </w:rPr>
        <w:t>发出延长中止期限通知，并发布公布。</w:t>
      </w:r>
    </w:p>
    <w:p w14:paraId="0D0EF9F7">
      <w:pPr>
        <w:spacing w:line="400" w:lineRule="exact"/>
        <w:ind w:firstLine="480"/>
        <w:rPr>
          <w:rFonts w:cs="宋体"/>
          <w:highlight w:val="none"/>
        </w:rPr>
      </w:pPr>
      <w:r>
        <w:rPr>
          <w:rFonts w:hint="eastAsia" w:cs="宋体"/>
          <w:highlight w:val="none"/>
        </w:rPr>
        <w:t>（2）项目恢复，导致项目中止的情形消除后，</w:t>
      </w:r>
      <w:r>
        <w:rPr>
          <w:rFonts w:hint="eastAsia"/>
          <w:szCs w:val="18"/>
          <w:highlight w:val="none"/>
        </w:rPr>
        <w:t>业主单位</w:t>
      </w:r>
      <w:r>
        <w:rPr>
          <w:rFonts w:hint="eastAsia" w:cs="宋体"/>
          <w:highlight w:val="none"/>
        </w:rPr>
        <w:t>或代理机构应当尽快恢复招投标程序，向</w:t>
      </w:r>
      <w:r>
        <w:rPr>
          <w:rFonts w:hint="eastAsia"/>
          <w:szCs w:val="18"/>
          <w:highlight w:val="none"/>
        </w:rPr>
        <w:t>供应商</w:t>
      </w:r>
      <w:r>
        <w:rPr>
          <w:rFonts w:hint="eastAsia" w:cs="宋体"/>
          <w:highlight w:val="none"/>
        </w:rPr>
        <w:t>发出恢复交易通知，并发布公布；已发出延长中止期限通知的，按通知执行。</w:t>
      </w:r>
    </w:p>
    <w:p w14:paraId="705A58A2">
      <w:pPr>
        <w:ind w:firstLine="480"/>
        <w:rPr>
          <w:highlight w:val="none"/>
        </w:rPr>
      </w:pPr>
    </w:p>
    <w:p w14:paraId="2FF64BD1">
      <w:pPr>
        <w:ind w:firstLine="721"/>
        <w:jc w:val="center"/>
        <w:rPr>
          <w:rFonts w:ascii="华文宋体" w:hAnsi="华文宋体" w:eastAsia="华文宋体" w:cs="华文宋体"/>
          <w:b/>
          <w:bCs/>
          <w:sz w:val="36"/>
          <w:szCs w:val="44"/>
          <w:highlight w:val="none"/>
        </w:rPr>
      </w:pPr>
    </w:p>
    <w:p w14:paraId="1E034C32">
      <w:pPr>
        <w:ind w:firstLine="721"/>
        <w:jc w:val="center"/>
        <w:rPr>
          <w:rFonts w:ascii="华文宋体" w:hAnsi="华文宋体" w:eastAsia="华文宋体" w:cs="华文宋体"/>
          <w:b/>
          <w:bCs/>
          <w:sz w:val="36"/>
          <w:szCs w:val="44"/>
          <w:highlight w:val="none"/>
        </w:rPr>
      </w:pPr>
    </w:p>
    <w:p w14:paraId="1A396DD2">
      <w:pPr>
        <w:ind w:firstLine="721"/>
        <w:jc w:val="center"/>
        <w:rPr>
          <w:rFonts w:ascii="华文宋体" w:hAnsi="华文宋体" w:eastAsia="华文宋体" w:cs="华文宋体"/>
          <w:b/>
          <w:bCs/>
          <w:sz w:val="36"/>
          <w:szCs w:val="44"/>
          <w:highlight w:val="none"/>
        </w:rPr>
      </w:pPr>
    </w:p>
    <w:p w14:paraId="430759E6">
      <w:pPr>
        <w:ind w:firstLine="721"/>
        <w:jc w:val="center"/>
        <w:rPr>
          <w:rFonts w:ascii="华文宋体" w:hAnsi="华文宋体" w:eastAsia="华文宋体" w:cs="华文宋体"/>
          <w:b/>
          <w:bCs/>
          <w:sz w:val="36"/>
          <w:szCs w:val="44"/>
          <w:highlight w:val="none"/>
        </w:rPr>
      </w:pPr>
    </w:p>
    <w:p w14:paraId="1E851CF4">
      <w:pPr>
        <w:ind w:firstLine="721"/>
        <w:jc w:val="center"/>
        <w:rPr>
          <w:rFonts w:ascii="华文宋体" w:hAnsi="华文宋体" w:eastAsia="华文宋体" w:cs="华文宋体"/>
          <w:b/>
          <w:bCs/>
          <w:sz w:val="36"/>
          <w:szCs w:val="44"/>
          <w:highlight w:val="none"/>
        </w:rPr>
      </w:pPr>
    </w:p>
    <w:p w14:paraId="72E15DC2">
      <w:pPr>
        <w:ind w:firstLine="721"/>
        <w:jc w:val="center"/>
        <w:rPr>
          <w:rFonts w:ascii="华文宋体" w:hAnsi="华文宋体" w:eastAsia="华文宋体" w:cs="华文宋体"/>
          <w:b/>
          <w:bCs/>
          <w:sz w:val="36"/>
          <w:szCs w:val="44"/>
          <w:highlight w:val="none"/>
        </w:rPr>
      </w:pPr>
    </w:p>
    <w:p w14:paraId="3827C4FA">
      <w:pPr>
        <w:ind w:firstLine="721"/>
        <w:jc w:val="center"/>
        <w:rPr>
          <w:rFonts w:ascii="华文宋体" w:hAnsi="华文宋体" w:eastAsia="华文宋体" w:cs="华文宋体"/>
          <w:b/>
          <w:bCs/>
          <w:sz w:val="36"/>
          <w:szCs w:val="44"/>
          <w:highlight w:val="none"/>
        </w:rPr>
      </w:pPr>
    </w:p>
    <w:p w14:paraId="6831882E">
      <w:pPr>
        <w:ind w:firstLine="721"/>
        <w:jc w:val="center"/>
        <w:rPr>
          <w:rFonts w:ascii="华文宋体" w:hAnsi="华文宋体" w:eastAsia="华文宋体" w:cs="华文宋体"/>
          <w:b/>
          <w:bCs/>
          <w:sz w:val="36"/>
          <w:szCs w:val="44"/>
          <w:highlight w:val="none"/>
        </w:rPr>
      </w:pPr>
    </w:p>
    <w:p w14:paraId="2788DBE0">
      <w:pPr>
        <w:ind w:firstLine="721"/>
        <w:jc w:val="center"/>
        <w:rPr>
          <w:rFonts w:ascii="华文宋体" w:hAnsi="华文宋体" w:eastAsia="华文宋体" w:cs="华文宋体"/>
          <w:b/>
          <w:bCs/>
          <w:sz w:val="36"/>
          <w:szCs w:val="44"/>
          <w:highlight w:val="none"/>
        </w:rPr>
      </w:pPr>
    </w:p>
    <w:p w14:paraId="0EA2BC83">
      <w:pPr>
        <w:ind w:firstLine="721"/>
        <w:jc w:val="center"/>
        <w:rPr>
          <w:rFonts w:ascii="华文宋体" w:hAnsi="华文宋体" w:eastAsia="华文宋体" w:cs="华文宋体"/>
          <w:b/>
          <w:bCs/>
          <w:sz w:val="36"/>
          <w:szCs w:val="44"/>
          <w:highlight w:val="none"/>
        </w:rPr>
      </w:pPr>
    </w:p>
    <w:p w14:paraId="3A749510">
      <w:pPr>
        <w:ind w:firstLine="721"/>
        <w:jc w:val="center"/>
        <w:rPr>
          <w:rFonts w:ascii="华文宋体" w:hAnsi="华文宋体" w:eastAsia="华文宋体" w:cs="华文宋体"/>
          <w:b/>
          <w:bCs/>
          <w:sz w:val="36"/>
          <w:szCs w:val="44"/>
          <w:highlight w:val="none"/>
        </w:rPr>
      </w:pPr>
    </w:p>
    <w:p w14:paraId="5ED064AC">
      <w:pPr>
        <w:ind w:firstLine="721"/>
        <w:jc w:val="center"/>
        <w:rPr>
          <w:rFonts w:ascii="华文宋体" w:hAnsi="华文宋体" w:eastAsia="华文宋体" w:cs="华文宋体"/>
          <w:b/>
          <w:bCs/>
          <w:sz w:val="36"/>
          <w:szCs w:val="44"/>
          <w:highlight w:val="none"/>
        </w:rPr>
      </w:pPr>
    </w:p>
    <w:p w14:paraId="32CFE2DA">
      <w:pPr>
        <w:ind w:firstLine="721"/>
        <w:jc w:val="center"/>
        <w:rPr>
          <w:rFonts w:ascii="华文宋体" w:hAnsi="华文宋体" w:eastAsia="华文宋体" w:cs="华文宋体"/>
          <w:b/>
          <w:bCs/>
          <w:sz w:val="36"/>
          <w:szCs w:val="44"/>
          <w:highlight w:val="none"/>
        </w:rPr>
      </w:pPr>
    </w:p>
    <w:p w14:paraId="50B9B157">
      <w:pPr>
        <w:ind w:left="0" w:leftChars="0" w:firstLine="0" w:firstLineChars="0"/>
      </w:pPr>
    </w:p>
    <w:sectPr>
      <w:headerReference r:id="rId11" w:type="default"/>
      <w:footerReference r:id="rId12"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简标宋">
    <w:altName w:val="@宋体"/>
    <w:panose1 w:val="00000000000000000000"/>
    <w:charset w:val="86"/>
    <w:family w:val="auto"/>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宋体">
    <w:panose1 w:val="02010600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方正兰亭黑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4E828">
    <w:pPr>
      <w:pStyle w:val="8"/>
      <w:ind w:firstLine="360"/>
      <w:jc w:val="center"/>
    </w:pPr>
  </w:p>
  <w:p w14:paraId="06519F13">
    <w:pPr>
      <w:pStyle w:val="8"/>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8D45D">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DBC48">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5530867"/>
    </w:sdtPr>
    <w:sdtContent>
      <w:p w14:paraId="3DD51B8F">
        <w:pPr>
          <w:pStyle w:val="8"/>
          <w:ind w:firstLine="360"/>
          <w:jc w:val="center"/>
        </w:pPr>
        <w:r>
          <w:fldChar w:fldCharType="begin"/>
        </w:r>
        <w:r>
          <w:instrText xml:space="preserve">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360" w:lineRule="auto"/>
        <w:ind w:firstLine="480"/>
      </w:pPr>
      <w:r>
        <w:separator/>
      </w:r>
    </w:p>
  </w:footnote>
  <w:footnote w:type="continuationSeparator" w:id="3">
    <w:p>
      <w:pPr>
        <w:spacing w:line="360" w:lineRule="auto"/>
        <w:ind w:firstLine="480"/>
      </w:pPr>
      <w:r>
        <w:continuationSeparator/>
      </w:r>
    </w:p>
  </w:footnote>
  <w:footnote w:id="0">
    <w:p w14:paraId="2704B6C4">
      <w:pPr>
        <w:pStyle w:val="10"/>
        <w:ind w:firstLine="360"/>
      </w:pPr>
      <w:r>
        <w:rPr>
          <w:rStyle w:val="17"/>
        </w:rPr>
        <w:footnoteRef/>
      </w:r>
      <w:r>
        <w:rPr>
          <w:rFonts w:hint="eastAsia"/>
        </w:rPr>
        <w:t>解密、询标时间可以根据项目情况予以调整。其他内容如需调整，请联系优质采后予以办理。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283F7">
    <w:pPr>
      <w:pStyle w:val="9"/>
      <w:ind w:firstLine="360"/>
      <w:jc w:val="left"/>
      <w:rPr>
        <w:rFonts w:eastAsiaTheme="minorEastAsia"/>
      </w:rPr>
    </w:pPr>
    <w:r>
      <w:rPr>
        <w:rFonts w:hint="eastAsia"/>
      </w:rPr>
      <w:t>磋商文件示范文本—服务</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0D8A3">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45152">
    <w:pPr>
      <w:pStyle w:val="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13FD0">
    <w:pPr>
      <w:pStyle w:val="9"/>
      <w:pBdr>
        <w:bottom w:val="single" w:color="auto" w:sz="4" w:space="1"/>
      </w:pBdr>
      <w:ind w:firstLine="360"/>
      <w:jc w:val="left"/>
    </w:pPr>
    <w:r>
      <w:rPr>
        <w:rFonts w:hint="eastAsia"/>
      </w:rPr>
      <w:t>磋商文件示范文本—服务</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BF16BB"/>
    <w:multiLevelType w:val="singleLevel"/>
    <w:tmpl w:val="9EBF16BB"/>
    <w:lvl w:ilvl="0" w:tentative="0">
      <w:start w:val="5"/>
      <w:numFmt w:val="decimal"/>
      <w:lvlText w:val="%1."/>
      <w:lvlJc w:val="left"/>
      <w:pPr>
        <w:tabs>
          <w:tab w:val="left" w:pos="312"/>
        </w:tabs>
      </w:pPr>
    </w:lvl>
  </w:abstractNum>
  <w:abstractNum w:abstractNumId="1">
    <w:nsid w:val="BC5BF4D1"/>
    <w:multiLevelType w:val="singleLevel"/>
    <w:tmpl w:val="BC5BF4D1"/>
    <w:lvl w:ilvl="0" w:tentative="0">
      <w:start w:val="1"/>
      <w:numFmt w:val="chineseCounting"/>
      <w:suff w:val="nothing"/>
      <w:lvlText w:val="（%1）"/>
      <w:lvlJc w:val="left"/>
      <w:rPr>
        <w:rFonts w:hint="eastAsia"/>
      </w:rPr>
    </w:lvl>
  </w:abstractNum>
  <w:abstractNum w:abstractNumId="2">
    <w:nsid w:val="F71D34CA"/>
    <w:multiLevelType w:val="singleLevel"/>
    <w:tmpl w:val="F71D34CA"/>
    <w:lvl w:ilvl="0" w:tentative="0">
      <w:start w:val="1"/>
      <w:numFmt w:val="chineseCounting"/>
      <w:suff w:val="space"/>
      <w:lvlText w:val="第%1章"/>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4D3508"/>
    <w:rsid w:val="0E4D3508"/>
    <w:rsid w:val="15127C5A"/>
    <w:rsid w:val="60191968"/>
    <w:rsid w:val="67246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宋体" w:hAnsi="宋体" w:eastAsia="宋体" w:cstheme="minorBidi"/>
      <w:sz w:val="24"/>
      <w:lang w:val="en-US" w:eastAsia="zh-CN" w:bidi="ar-SA"/>
    </w:rPr>
  </w:style>
  <w:style w:type="paragraph" w:styleId="5">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5">
    <w:name w:val="Default Paragraph Font"/>
    <w:semiHidden/>
    <w:qFormat/>
    <w:uiPriority w:val="0"/>
  </w:style>
  <w:style w:type="table" w:default="1" w:styleId="13">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ind w:left="420" w:firstLine="420" w:firstLineChars="200"/>
    </w:pPr>
  </w:style>
  <w:style w:type="paragraph" w:styleId="3">
    <w:name w:val="Body Text Indent"/>
    <w:basedOn w:val="1"/>
    <w:next w:val="4"/>
    <w:unhideWhenUsed/>
    <w:qFormat/>
    <w:uiPriority w:val="0"/>
    <w:pPr>
      <w:spacing w:after="120"/>
      <w:ind w:left="420" w:leftChars="200"/>
    </w:pPr>
    <w:rPr>
      <w:rFonts w:asciiTheme="minorHAnsi" w:hAnsiTheme="minorHAnsi"/>
      <w:kern w:val="2"/>
      <w:sz w:val="21"/>
      <w:szCs w:val="22"/>
    </w:rPr>
  </w:style>
  <w:style w:type="paragraph" w:styleId="4">
    <w:name w:val="envelope return"/>
    <w:basedOn w:val="1"/>
    <w:qFormat/>
    <w:uiPriority w:val="0"/>
  </w:style>
  <w:style w:type="paragraph" w:styleId="6">
    <w:name w:val="Body Text"/>
    <w:basedOn w:val="1"/>
    <w:qFormat/>
    <w:uiPriority w:val="0"/>
    <w:pPr>
      <w:spacing w:after="120"/>
    </w:pPr>
    <w:rPr>
      <w:rFonts w:ascii="@微软简标宋" w:hAnsi="@微软简标宋" w:eastAsia="@微软简标宋" w:cs="@微软简标宋"/>
      <w:szCs w:val="24"/>
      <w:lang w:val="zh-CN"/>
    </w:rPr>
  </w:style>
  <w:style w:type="paragraph" w:styleId="7">
    <w:name w:val="Plain Text"/>
    <w:basedOn w:val="1"/>
    <w:qFormat/>
    <w:uiPriority w:val="0"/>
    <w:rPr>
      <w:rFonts w:hAnsi="Courier New" w:eastAsiaTheme="minorEastAsia"/>
      <w:szCs w:val="22"/>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unhideWhenUsed/>
    <w:qFormat/>
    <w:uiPriority w:val="0"/>
    <w:pPr>
      <w:snapToGrid w:val="0"/>
      <w:jc w:val="left"/>
    </w:pPr>
    <w:rPr>
      <w:rFonts w:ascii="Times New Roman" w:hAnsi="Times New Roman" w:cs="Times New Roman"/>
      <w:kern w:val="2"/>
      <w:sz w:val="18"/>
      <w:szCs w:val="18"/>
      <w:lang w:val="zh-CN"/>
    </w:rPr>
  </w:style>
  <w:style w:type="paragraph" w:styleId="11">
    <w:name w:val="toc 2"/>
    <w:basedOn w:val="1"/>
    <w:next w:val="1"/>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12">
    <w:name w:val="Body Text First Indent"/>
    <w:basedOn w:val="6"/>
    <w:unhideWhenUsed/>
    <w:qFormat/>
    <w:uiPriority w:val="99"/>
    <w:pPr>
      <w:ind w:firstLine="420" w:firstLineChars="100"/>
    </w:pPr>
  </w:style>
  <w:style w:type="table" w:styleId="14">
    <w:name w:val="Table Grid"/>
    <w:basedOn w:val="13"/>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unhideWhenUsed/>
    <w:qFormat/>
    <w:uiPriority w:val="99"/>
    <w:rPr>
      <w:color w:val="0026E5" w:themeColor="hyperlink"/>
      <w:u w:val="single"/>
      <w14:textFill>
        <w14:solidFill>
          <w14:schemeClr w14:val="hlink"/>
        </w14:solidFill>
      </w14:textFill>
    </w:rPr>
  </w:style>
  <w:style w:type="character" w:styleId="17">
    <w:name w:val="footnote reference"/>
    <w:unhideWhenUsed/>
    <w:qFormat/>
    <w:uiPriority w:val="0"/>
    <w:rPr>
      <w:vertAlign w:val="superscript"/>
    </w:rPr>
  </w:style>
  <w:style w:type="paragraph" w:customStyle="1" w:styleId="18">
    <w:name w:val="五级目录"/>
    <w:basedOn w:val="1"/>
    <w:qFormat/>
    <w:uiPriority w:val="0"/>
    <w:pPr>
      <w:ind w:left="150" w:leftChars="150"/>
      <w:outlineLvl w:val="4"/>
    </w:pPr>
    <w:rPr>
      <w:rFonts w:ascii="黑体" w:hAnsi="Times New Roman"/>
      <w:szCs w:val="28"/>
    </w:rPr>
  </w:style>
  <w:style w:type="paragraph" w:customStyle="1" w:styleId="19">
    <w:name w:val="正文（缩进）"/>
    <w:basedOn w:val="1"/>
    <w:qFormat/>
    <w:uiPriority w:val="0"/>
    <w:pPr>
      <w:widowControl/>
      <w:spacing w:before="156" w:after="156"/>
      <w:ind w:firstLine="480"/>
      <w:jc w:val="left"/>
    </w:pPr>
    <w:rPr>
      <w:szCs w:val="24"/>
    </w:rPr>
  </w:style>
  <w:style w:type="paragraph" w:customStyle="1" w:styleId="20">
    <w:name w:val="xl31"/>
    <w:basedOn w:val="1"/>
    <w:qFormat/>
    <w:uiPriority w:val="0"/>
    <w:pPr>
      <w:ind w:firstLine="0" w:firstLineChars="0"/>
    </w:pPr>
    <w:rPr>
      <w:rFonts w:cs="宋体"/>
      <w:bCs/>
      <w:color w:val="000000" w:themeColor="text1"/>
      <w:szCs w:val="24"/>
      <w14:textFill>
        <w14:solidFill>
          <w14:schemeClr w14:val="tx1"/>
        </w14:solidFill>
      </w14:textFill>
    </w:rPr>
  </w:style>
  <w:style w:type="paragraph" w:customStyle="1" w:styleId="21">
    <w:name w:val="D&amp;L"/>
    <w:basedOn w:val="9"/>
    <w:qFormat/>
    <w:uiPriority w:val="0"/>
    <w:pPr>
      <w:pBdr>
        <w:bottom w:val="none" w:color="auto" w:sz="0" w:space="0"/>
      </w:pBdr>
      <w:snapToGrid/>
    </w:pPr>
    <w:rPr>
      <w:rFonts w:cs="宋体"/>
      <w:bCs/>
      <w:kern w:val="2"/>
      <w:sz w:val="24"/>
      <w:szCs w:val="24"/>
    </w:rPr>
  </w:style>
  <w:style w:type="paragraph" w:customStyle="1" w:styleId="22">
    <w:name w:val="普通 (Web)"/>
    <w:basedOn w:val="1"/>
    <w:qFormat/>
    <w:uiPriority w:val="0"/>
    <w:pPr>
      <w:widowControl/>
      <w:tabs>
        <w:tab w:val="left" w:pos="1152"/>
      </w:tabs>
      <w:ind w:firstLine="0" w:firstLineChars="0"/>
      <w:jc w:val="left"/>
    </w:pPr>
    <w:rPr>
      <w:rFonts w:cs="宋体"/>
      <w:b/>
      <w:color w:val="000000" w:themeColor="text1"/>
      <w:szCs w:val="24"/>
      <w14:textFill>
        <w14:solidFill>
          <w14:schemeClr w14:val="tx1"/>
        </w14:solidFill>
      </w14:textFill>
    </w:rPr>
  </w:style>
  <w:style w:type="paragraph" w:customStyle="1" w:styleId="23">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Table Text"/>
    <w:basedOn w:val="1"/>
    <w:semiHidden/>
    <w:qFormat/>
    <w:uiPriority w:val="0"/>
    <w:pPr>
      <w:widowControl/>
      <w:kinsoku w:val="0"/>
      <w:autoSpaceDE w:val="0"/>
      <w:autoSpaceDN w:val="0"/>
      <w:adjustRightInd w:val="0"/>
      <w:snapToGrid w:val="0"/>
      <w:spacing w:line="240" w:lineRule="auto"/>
      <w:ind w:firstLine="0" w:firstLineChars="0"/>
      <w:jc w:val="left"/>
      <w:textAlignment w:val="baseline"/>
    </w:pPr>
    <w:rPr>
      <w:rFonts w:cs="宋体"/>
      <w:snapToGrid w:val="0"/>
      <w:color w:val="000000"/>
      <w:szCs w:val="24"/>
      <w:lang w:eastAsia="en-US"/>
    </w:rPr>
  </w:style>
  <w:style w:type="table" w:customStyle="1" w:styleId="25">
    <w:name w:val="Table Normal"/>
    <w:autoRedefine/>
    <w:semiHidden/>
    <w:unhideWhenUsed/>
    <w:qFormat/>
    <w:uiPriority w:val="0"/>
    <w:tblPr>
      <w:tblCellMar>
        <w:top w:w="0" w:type="dxa"/>
        <w:left w:w="0" w:type="dxa"/>
        <w:bottom w:w="0" w:type="dxa"/>
        <w:right w:w="0" w:type="dxa"/>
      </w:tblCellMar>
    </w:tblPr>
  </w:style>
  <w:style w:type="paragraph" w:customStyle="1" w:styleId="26">
    <w:name w:val="BodyText1I"/>
    <w:basedOn w:val="27"/>
    <w:qFormat/>
    <w:uiPriority w:val="0"/>
    <w:pPr>
      <w:ind w:firstLine="420" w:firstLineChars="100"/>
    </w:pPr>
  </w:style>
  <w:style w:type="paragraph" w:customStyle="1" w:styleId="27">
    <w:name w:val="BodyText"/>
    <w:basedOn w:val="1"/>
    <w:next w:val="28"/>
    <w:qFormat/>
    <w:uiPriority w:val="0"/>
    <w:pPr>
      <w:widowControl/>
      <w:snapToGrid w:val="0"/>
      <w:spacing w:line="240" w:lineRule="auto"/>
      <w:jc w:val="left"/>
      <w:textAlignment w:val="baseline"/>
    </w:pPr>
    <w:rPr>
      <w:color w:val="000000"/>
      <w:szCs w:val="24"/>
      <w:lang w:val="zh-CN" w:bidi="zh-CN"/>
    </w:rPr>
  </w:style>
  <w:style w:type="paragraph" w:customStyle="1" w:styleId="28">
    <w:name w:val="Acetate"/>
    <w:basedOn w:val="1"/>
    <w:qFormat/>
    <w:uiPriority w:val="0"/>
    <w:pPr>
      <w:widowControl/>
      <w:snapToGrid w:val="0"/>
      <w:spacing w:line="240" w:lineRule="auto"/>
      <w:jc w:val="left"/>
      <w:textAlignment w:val="baseline"/>
    </w:pPr>
    <w:rPr>
      <w:rFonts w:ascii="Times New Roman" w:hAnsi="Times New Roman" w:eastAsia="Arial"/>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51</Pages>
  <Words>0</Words>
  <Characters>0</Characters>
  <Lines>0</Lines>
  <Paragraphs>0</Paragraphs>
  <TotalTime>31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2026-08-31T08:53:00Z</dcterms:created>
  <dc:creator>唐晶晶</dc:creator>
  <cp:lastModifiedBy>唐晶晶</cp:lastModifiedBy>
  <dcterms:modified xsi:type="dcterms:W3CDTF">2026-08-31T09:27:00Z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B66EC33CCF0840AF9574AB2E119E5263_11</vt:lpwstr>
  </property>
  <property fmtid="{D5CDD505-2E9C-101B-9397-08002B2CF9AE}" pid="4" name="KSOTemplateDocerSaveRecord">
    <vt:lpwstr>eyJoZGlkIjoiNGNlMGMwZDBhYWZhOTllNjljOGQ4MzE3OWEwNDRhMWMiLCJ1c2VySWQiOiIxNTY2MDI5NTY5In0=</vt:lpwstr>
  </property>
</Properties>
</file>