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86820">
      <w:pPr>
        <w:tabs>
          <w:tab w:val="left" w:pos="315"/>
          <w:tab w:val="left" w:pos="8820"/>
        </w:tabs>
        <w:spacing w:before="240" w:beforeLines="100" w:after="120" w:afterLines="50" w:line="500" w:lineRule="exact"/>
        <w:ind w:right="254" w:rightChars="127"/>
        <w:rPr>
          <w:rFonts w:hint="eastAsia"/>
          <w:b/>
          <w:bCs/>
          <w:sz w:val="52"/>
          <w:szCs w:val="52"/>
          <w:highlight w:val="none"/>
        </w:rPr>
      </w:pPr>
      <w:bookmarkStart w:id="0" w:name="_Hlk9544796"/>
    </w:p>
    <w:bookmarkEnd w:id="0"/>
    <w:p w14:paraId="4B338A00">
      <w:pPr>
        <w:tabs>
          <w:tab w:val="left" w:pos="315"/>
          <w:tab w:val="left" w:pos="8820"/>
        </w:tabs>
        <w:spacing w:before="240" w:beforeLines="100" w:after="120" w:afterLines="50" w:line="500" w:lineRule="exact"/>
        <w:ind w:right="254" w:rightChars="127"/>
        <w:jc w:val="center"/>
        <w:rPr>
          <w:rFonts w:hint="eastAsia" w:cs="宋体"/>
          <w:b/>
          <w:bCs/>
          <w:sz w:val="52"/>
          <w:szCs w:val="52"/>
          <w:highlight w:val="none"/>
        </w:rPr>
      </w:pPr>
      <w:r>
        <w:rPr>
          <w:rFonts w:hint="eastAsia" w:cs="宋体"/>
          <w:b/>
          <w:bCs/>
          <w:sz w:val="52"/>
          <w:szCs w:val="52"/>
          <w:highlight w:val="none"/>
        </w:rPr>
        <w:t>工程类磋商文件</w:t>
      </w:r>
    </w:p>
    <w:p w14:paraId="10D11CED">
      <w:pPr>
        <w:tabs>
          <w:tab w:val="left" w:pos="315"/>
          <w:tab w:val="left" w:pos="8820"/>
        </w:tabs>
        <w:spacing w:before="240" w:beforeLines="100" w:after="120" w:afterLines="50" w:line="500" w:lineRule="exact"/>
        <w:ind w:right="254" w:rightChars="127"/>
        <w:jc w:val="center"/>
        <w:rPr>
          <w:rFonts w:hint="eastAsia" w:cs="宋体"/>
          <w:bCs/>
          <w:sz w:val="44"/>
          <w:szCs w:val="44"/>
          <w:highlight w:val="none"/>
        </w:rPr>
      </w:pPr>
    </w:p>
    <w:p w14:paraId="7C4402C9">
      <w:pPr>
        <w:tabs>
          <w:tab w:val="left" w:pos="315"/>
          <w:tab w:val="left" w:pos="8820"/>
        </w:tabs>
        <w:spacing w:before="240" w:beforeLines="100" w:after="120" w:afterLines="50" w:line="500" w:lineRule="exact"/>
        <w:ind w:right="254" w:rightChars="127"/>
        <w:jc w:val="center"/>
        <w:rPr>
          <w:rFonts w:hint="eastAsia" w:cs="宋体"/>
          <w:bCs/>
          <w:sz w:val="44"/>
          <w:szCs w:val="44"/>
          <w:highlight w:val="none"/>
        </w:rPr>
      </w:pPr>
    </w:p>
    <w:p w14:paraId="42F2BF00">
      <w:pPr>
        <w:tabs>
          <w:tab w:val="left" w:pos="315"/>
          <w:tab w:val="left" w:pos="8820"/>
        </w:tabs>
        <w:spacing w:before="240" w:beforeLines="100" w:after="120" w:afterLines="50" w:line="500" w:lineRule="exact"/>
        <w:ind w:right="254" w:rightChars="127"/>
        <w:jc w:val="center"/>
        <w:rPr>
          <w:rFonts w:hint="eastAsia" w:cs="宋体"/>
          <w:bCs/>
          <w:sz w:val="44"/>
          <w:szCs w:val="44"/>
          <w:highlight w:val="none"/>
        </w:rPr>
      </w:pPr>
      <w:r>
        <w:rPr>
          <w:rFonts w:hint="eastAsia" w:cs="宋体"/>
          <w:highlight w:val="none"/>
        </w:rPr>
        <w:drawing>
          <wp:anchor distT="0" distB="0" distL="114300" distR="114300" simplePos="0" relativeHeight="251660288" behindDoc="0" locked="0" layoutInCell="1" allowOverlap="1">
            <wp:simplePos x="0" y="0"/>
            <wp:positionH relativeFrom="column">
              <wp:posOffset>1711960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733550" cy="1743075"/>
                    </a:xfrm>
                    <a:prstGeom prst="rect">
                      <a:avLst/>
                    </a:prstGeom>
                    <a:noFill/>
                    <a:ln>
                      <a:noFill/>
                    </a:ln>
                  </pic:spPr>
                </pic:pic>
              </a:graphicData>
            </a:graphic>
          </wp:anchor>
        </w:drawing>
      </w:r>
    </w:p>
    <w:p w14:paraId="632E61BC">
      <w:pPr>
        <w:tabs>
          <w:tab w:val="left" w:pos="315"/>
          <w:tab w:val="left" w:pos="8820"/>
        </w:tabs>
        <w:spacing w:before="240" w:beforeLines="100" w:after="120" w:afterLines="50" w:line="500" w:lineRule="exact"/>
        <w:ind w:right="254" w:rightChars="127"/>
        <w:jc w:val="center"/>
        <w:rPr>
          <w:rFonts w:hint="eastAsia" w:cs="宋体"/>
          <w:b/>
          <w:bCs/>
          <w:sz w:val="44"/>
          <w:szCs w:val="44"/>
          <w:highlight w:val="none"/>
        </w:rPr>
      </w:pPr>
    </w:p>
    <w:p w14:paraId="29074A71">
      <w:pPr>
        <w:tabs>
          <w:tab w:val="left" w:pos="315"/>
          <w:tab w:val="left" w:pos="8820"/>
        </w:tabs>
        <w:spacing w:before="240" w:beforeLines="100" w:after="120" w:afterLines="50" w:line="500" w:lineRule="exact"/>
        <w:ind w:right="254" w:rightChars="127"/>
        <w:jc w:val="center"/>
        <w:rPr>
          <w:rFonts w:hint="eastAsia" w:cs="宋体"/>
          <w:b/>
          <w:bCs/>
          <w:sz w:val="44"/>
          <w:szCs w:val="44"/>
          <w:highlight w:val="none"/>
        </w:rPr>
      </w:pPr>
    </w:p>
    <w:p w14:paraId="5B6C9492">
      <w:pPr>
        <w:tabs>
          <w:tab w:val="left" w:pos="315"/>
          <w:tab w:val="left" w:pos="8820"/>
        </w:tabs>
        <w:spacing w:before="240" w:beforeLines="100" w:after="120" w:afterLines="50" w:line="500" w:lineRule="exact"/>
        <w:ind w:right="254" w:rightChars="127"/>
        <w:jc w:val="center"/>
        <w:rPr>
          <w:rFonts w:hint="eastAsia" w:cs="宋体"/>
          <w:b/>
          <w:bCs/>
          <w:sz w:val="44"/>
          <w:szCs w:val="44"/>
          <w:highlight w:val="none"/>
        </w:rPr>
      </w:pPr>
    </w:p>
    <w:p w14:paraId="0D72D660">
      <w:pPr>
        <w:tabs>
          <w:tab w:val="left" w:pos="315"/>
          <w:tab w:val="left" w:pos="8820"/>
        </w:tabs>
        <w:spacing w:before="240" w:beforeLines="100" w:after="120" w:afterLines="50" w:line="500" w:lineRule="exact"/>
        <w:ind w:right="254" w:rightChars="127"/>
        <w:rPr>
          <w:rFonts w:hint="eastAsia" w:cs="宋体"/>
          <w:b/>
          <w:bCs/>
          <w:sz w:val="44"/>
          <w:szCs w:val="44"/>
          <w:highlight w:val="none"/>
        </w:rPr>
      </w:pPr>
    </w:p>
    <w:p w14:paraId="3E705A3B">
      <w:pPr>
        <w:tabs>
          <w:tab w:val="left" w:pos="315"/>
          <w:tab w:val="left" w:pos="8820"/>
        </w:tabs>
        <w:spacing w:before="240" w:beforeLines="100" w:after="120" w:afterLines="50" w:line="500" w:lineRule="exact"/>
        <w:ind w:right="254" w:rightChars="127"/>
        <w:rPr>
          <w:rFonts w:hint="eastAsia" w:cs="宋体"/>
          <w:b/>
          <w:bCs/>
          <w:sz w:val="44"/>
          <w:szCs w:val="44"/>
          <w:highlight w:val="none"/>
        </w:rPr>
      </w:pPr>
    </w:p>
    <w:p w14:paraId="04DFD54B">
      <w:pPr>
        <w:tabs>
          <w:tab w:val="left" w:pos="315"/>
          <w:tab w:val="left" w:pos="8820"/>
        </w:tabs>
        <w:spacing w:before="240" w:beforeLines="100" w:after="120" w:afterLines="50" w:line="500" w:lineRule="exact"/>
        <w:ind w:right="254" w:rightChars="127"/>
        <w:rPr>
          <w:rFonts w:hint="eastAsia" w:cs="宋体"/>
          <w:b/>
          <w:bCs/>
          <w:sz w:val="44"/>
          <w:szCs w:val="44"/>
          <w:highlight w:val="none"/>
        </w:rPr>
      </w:pPr>
    </w:p>
    <w:p w14:paraId="19030F03">
      <w:pPr>
        <w:tabs>
          <w:tab w:val="left" w:pos="2410"/>
        </w:tabs>
        <w:autoSpaceDE w:val="0"/>
        <w:autoSpaceDN w:val="0"/>
        <w:adjustRightInd w:val="0"/>
        <w:snapToGrid w:val="0"/>
        <w:spacing w:line="360" w:lineRule="auto"/>
        <w:rPr>
          <w:rFonts w:hint="eastAsia" w:cs="宋体"/>
          <w:b/>
          <w:spacing w:val="20"/>
          <w:sz w:val="32"/>
          <w:szCs w:val="32"/>
          <w:highlight w:val="none"/>
        </w:rPr>
      </w:pPr>
    </w:p>
    <w:p w14:paraId="5EF89048">
      <w:pPr>
        <w:tabs>
          <w:tab w:val="left" w:pos="2410"/>
        </w:tabs>
        <w:autoSpaceDE w:val="0"/>
        <w:autoSpaceDN w:val="0"/>
        <w:adjustRightInd w:val="0"/>
        <w:snapToGrid w:val="0"/>
        <w:spacing w:line="360" w:lineRule="auto"/>
        <w:ind w:firstLine="723" w:firstLineChars="200"/>
        <w:rPr>
          <w:rFonts w:hint="eastAsia" w:eastAsia="宋体" w:cs="宋体"/>
          <w:b/>
          <w:sz w:val="32"/>
          <w:szCs w:val="32"/>
          <w:highlight w:val="yellow"/>
          <w:lang w:val="en-US" w:eastAsia="zh-CN"/>
        </w:rPr>
      </w:pPr>
      <w:r>
        <w:rPr>
          <w:rFonts w:hint="eastAsia" w:cs="宋体"/>
          <w:b/>
          <w:spacing w:val="20"/>
          <w:sz w:val="32"/>
          <w:szCs w:val="32"/>
          <w:highlight w:val="none"/>
        </w:rPr>
        <w:t>项目名称：</w:t>
      </w:r>
      <w:r>
        <w:rPr>
          <w:rFonts w:hint="eastAsia" w:cs="宋体"/>
          <w:b/>
          <w:spacing w:val="20"/>
          <w:sz w:val="32"/>
          <w:szCs w:val="32"/>
          <w:highlight w:val="none"/>
          <w:lang w:val="en-US" w:eastAsia="zh-CN"/>
        </w:rPr>
        <w:t>肥西县柿树岗乡卫生院CT机房防辐射及装饰改造项目</w:t>
      </w:r>
    </w:p>
    <w:p w14:paraId="3BC94B8B">
      <w:pPr>
        <w:tabs>
          <w:tab w:val="left" w:pos="2410"/>
        </w:tabs>
        <w:autoSpaceDE w:val="0"/>
        <w:autoSpaceDN w:val="0"/>
        <w:adjustRightInd w:val="0"/>
        <w:snapToGrid w:val="0"/>
        <w:spacing w:line="360" w:lineRule="auto"/>
        <w:ind w:firstLine="723" w:firstLineChars="200"/>
        <w:rPr>
          <w:rFonts w:hint="default" w:eastAsia="宋体" w:cs="宋体"/>
          <w:b/>
          <w:spacing w:val="20"/>
          <w:sz w:val="32"/>
          <w:szCs w:val="32"/>
          <w:highlight w:val="none"/>
          <w:lang w:val="en-US" w:eastAsia="zh-CN"/>
        </w:rPr>
      </w:pPr>
      <w:r>
        <w:rPr>
          <w:rFonts w:hint="eastAsia" w:cs="宋体"/>
          <w:b/>
          <w:spacing w:val="20"/>
          <w:sz w:val="32"/>
          <w:szCs w:val="32"/>
          <w:highlight w:val="none"/>
        </w:rPr>
        <w:t>项目编号：</w:t>
      </w:r>
      <w:r>
        <w:rPr>
          <w:rFonts w:hint="eastAsia" w:cs="宋体"/>
          <w:b/>
          <w:spacing w:val="20"/>
          <w:sz w:val="32"/>
          <w:szCs w:val="32"/>
          <w:highlight w:val="none"/>
          <w:lang w:eastAsia="zh-CN"/>
        </w:rPr>
        <w:t>2026PHGN241</w:t>
      </w:r>
    </w:p>
    <w:p w14:paraId="48AAB119">
      <w:pPr>
        <w:tabs>
          <w:tab w:val="left" w:pos="2410"/>
        </w:tabs>
        <w:autoSpaceDE w:val="0"/>
        <w:autoSpaceDN w:val="0"/>
        <w:adjustRightInd w:val="0"/>
        <w:snapToGrid w:val="0"/>
        <w:spacing w:line="360" w:lineRule="auto"/>
        <w:ind w:firstLine="723" w:firstLineChars="200"/>
        <w:rPr>
          <w:rFonts w:hint="eastAsia" w:eastAsia="宋体" w:cs="宋体"/>
          <w:b/>
          <w:spacing w:val="20"/>
          <w:sz w:val="32"/>
          <w:szCs w:val="32"/>
          <w:highlight w:val="none"/>
          <w:lang w:eastAsia="zh-CN"/>
        </w:rPr>
      </w:pPr>
      <w:r>
        <w:rPr>
          <w:rFonts w:cs="宋体"/>
          <w:b/>
          <w:spacing w:val="20"/>
          <w:sz w:val="32"/>
          <w:szCs w:val="32"/>
          <w:highlight w:val="none"/>
        </w:rPr>
        <w:t>业主单位</w:t>
      </w:r>
      <w:r>
        <w:rPr>
          <w:rFonts w:hint="eastAsia" w:cs="宋体"/>
          <w:b/>
          <w:spacing w:val="20"/>
          <w:sz w:val="32"/>
          <w:szCs w:val="32"/>
          <w:highlight w:val="none"/>
        </w:rPr>
        <w:t>：</w:t>
      </w:r>
      <w:r>
        <w:rPr>
          <w:rFonts w:hint="eastAsia" w:cs="宋体"/>
          <w:b/>
          <w:spacing w:val="20"/>
          <w:sz w:val="32"/>
          <w:szCs w:val="32"/>
          <w:highlight w:val="none"/>
          <w:lang w:eastAsia="zh-CN"/>
        </w:rPr>
        <w:t>肥西县柿树岗乡卫生院</w:t>
      </w:r>
    </w:p>
    <w:p w14:paraId="7F140B2F">
      <w:pPr>
        <w:tabs>
          <w:tab w:val="left" w:pos="2410"/>
        </w:tabs>
        <w:autoSpaceDE w:val="0"/>
        <w:autoSpaceDN w:val="0"/>
        <w:adjustRightInd w:val="0"/>
        <w:snapToGrid w:val="0"/>
        <w:spacing w:line="360" w:lineRule="auto"/>
        <w:ind w:firstLine="723" w:firstLineChars="200"/>
        <w:rPr>
          <w:rFonts w:hint="eastAsia" w:cs="宋体"/>
          <w:b/>
          <w:spacing w:val="20"/>
          <w:sz w:val="32"/>
          <w:szCs w:val="32"/>
          <w:highlight w:val="none"/>
        </w:rPr>
      </w:pPr>
      <w:r>
        <w:rPr>
          <w:rFonts w:hint="eastAsia" w:cs="宋体"/>
          <w:b/>
          <w:spacing w:val="20"/>
          <w:sz w:val="32"/>
          <w:szCs w:val="32"/>
          <w:highlight w:val="none"/>
        </w:rPr>
        <w:t>代理机构：肥西县公共资源交易有限责任公司</w:t>
      </w:r>
    </w:p>
    <w:p w14:paraId="5FCDA689">
      <w:pPr>
        <w:tabs>
          <w:tab w:val="left" w:pos="2410"/>
        </w:tabs>
        <w:autoSpaceDE w:val="0"/>
        <w:autoSpaceDN w:val="0"/>
        <w:adjustRightInd w:val="0"/>
        <w:snapToGrid w:val="0"/>
        <w:spacing w:line="360" w:lineRule="auto"/>
        <w:jc w:val="both"/>
        <w:rPr>
          <w:rFonts w:hint="eastAsia" w:cs="宋体"/>
          <w:b/>
          <w:sz w:val="36"/>
          <w:highlight w:val="none"/>
        </w:rPr>
      </w:pPr>
    </w:p>
    <w:p w14:paraId="3D4ED740">
      <w:pPr>
        <w:tabs>
          <w:tab w:val="left" w:pos="2410"/>
        </w:tabs>
        <w:autoSpaceDE w:val="0"/>
        <w:autoSpaceDN w:val="0"/>
        <w:adjustRightInd w:val="0"/>
        <w:snapToGrid w:val="0"/>
        <w:spacing w:line="360" w:lineRule="auto"/>
        <w:jc w:val="center"/>
        <w:rPr>
          <w:rFonts w:hint="eastAsia" w:cs="宋体"/>
          <w:b/>
          <w:sz w:val="36"/>
          <w:highlight w:val="none"/>
        </w:rPr>
      </w:pPr>
      <w:r>
        <w:rPr>
          <w:rFonts w:hint="eastAsia" w:cs="宋体"/>
          <w:b/>
          <w:sz w:val="36"/>
          <w:highlight w:val="none"/>
        </w:rPr>
        <w:t>202</w:t>
      </w:r>
      <w:r>
        <w:rPr>
          <w:rFonts w:hint="eastAsia" w:cs="宋体"/>
          <w:b/>
          <w:sz w:val="36"/>
          <w:highlight w:val="none"/>
          <w:lang w:val="en-US" w:eastAsia="zh-CN"/>
        </w:rPr>
        <w:t>6</w:t>
      </w:r>
      <w:r>
        <w:rPr>
          <w:rFonts w:hint="eastAsia" w:cs="宋体"/>
          <w:b/>
          <w:sz w:val="36"/>
          <w:highlight w:val="none"/>
        </w:rPr>
        <w:t>年</w:t>
      </w:r>
      <w:r>
        <w:rPr>
          <w:rFonts w:hint="eastAsia" w:cs="宋体"/>
          <w:b/>
          <w:sz w:val="36"/>
          <w:highlight w:val="none"/>
          <w:lang w:val="en-US" w:eastAsia="zh-CN"/>
        </w:rPr>
        <w:t>5</w:t>
      </w:r>
      <w:r>
        <w:rPr>
          <w:rFonts w:hint="eastAsia" w:cs="宋体"/>
          <w:b/>
          <w:sz w:val="36"/>
          <w:highlight w:val="none"/>
        </w:rPr>
        <w:t>月</w:t>
      </w:r>
    </w:p>
    <w:p w14:paraId="106FD459">
      <w:pPr>
        <w:pStyle w:val="3"/>
        <w:rPr>
          <w:rFonts w:hint="eastAsia"/>
        </w:rPr>
      </w:pPr>
    </w:p>
    <w:p w14:paraId="6E7BC85C">
      <w:pPr>
        <w:tabs>
          <w:tab w:val="left" w:pos="2410"/>
        </w:tabs>
        <w:autoSpaceDE w:val="0"/>
        <w:autoSpaceDN w:val="0"/>
        <w:adjustRightInd w:val="0"/>
        <w:snapToGrid w:val="0"/>
        <w:spacing w:line="360" w:lineRule="auto"/>
        <w:jc w:val="center"/>
        <w:rPr>
          <w:rFonts w:hint="eastAsia" w:cs="宋体"/>
          <w:b/>
          <w:sz w:val="24"/>
          <w:szCs w:val="24"/>
          <w:highlight w:val="none"/>
        </w:rPr>
      </w:pPr>
      <w:r>
        <w:rPr>
          <w:rFonts w:hint="eastAsia" w:cs="宋体"/>
          <w:b/>
          <w:sz w:val="24"/>
          <w:szCs w:val="24"/>
          <w:highlight w:val="none"/>
        </w:rPr>
        <w:t>目  录</w:t>
      </w:r>
    </w:p>
    <w:p w14:paraId="6B092E3E">
      <w:pPr>
        <w:tabs>
          <w:tab w:val="left" w:pos="2410"/>
        </w:tabs>
        <w:autoSpaceDE w:val="0"/>
        <w:autoSpaceDN w:val="0"/>
        <w:adjustRightInd w:val="0"/>
        <w:snapToGrid w:val="0"/>
        <w:spacing w:line="360" w:lineRule="auto"/>
        <w:jc w:val="center"/>
        <w:rPr>
          <w:rFonts w:hint="eastAsia" w:cs="宋体"/>
          <w:b/>
          <w:sz w:val="24"/>
          <w:szCs w:val="24"/>
          <w:highlight w:val="none"/>
        </w:rPr>
      </w:pPr>
    </w:p>
    <w:p w14:paraId="639888DA">
      <w:pPr>
        <w:pStyle w:val="9"/>
        <w:tabs>
          <w:tab w:val="right" w:leader="dot" w:pos="8277"/>
        </w:tabs>
        <w:spacing w:line="360" w:lineRule="auto"/>
        <w:rPr>
          <w:b/>
          <w:bCs/>
          <w:sz w:val="24"/>
          <w:szCs w:val="24"/>
        </w:rPr>
      </w:pPr>
      <w:r>
        <w:rPr>
          <w:rFonts w:hint="eastAsia" w:cs="宋体"/>
          <w:b/>
          <w:bCs/>
          <w:sz w:val="24"/>
          <w:szCs w:val="24"/>
          <w:highlight w:val="none"/>
        </w:rPr>
        <w:fldChar w:fldCharType="begin"/>
      </w:r>
      <w:r>
        <w:rPr>
          <w:rFonts w:hint="eastAsia" w:cs="宋体"/>
          <w:b/>
          <w:bCs/>
          <w:sz w:val="24"/>
          <w:szCs w:val="24"/>
          <w:highlight w:val="none"/>
        </w:rPr>
        <w:instrText xml:space="preserve"> TOC \o "1-2" \h \z \u </w:instrText>
      </w:r>
      <w:r>
        <w:rPr>
          <w:rFonts w:hint="eastAsia" w:cs="宋体"/>
          <w:b/>
          <w:bCs/>
          <w:sz w:val="24"/>
          <w:szCs w:val="24"/>
          <w:highlight w:val="none"/>
        </w:rPr>
        <w:fldChar w:fldCharType="separate"/>
      </w:r>
      <w:r>
        <w:rPr>
          <w:rFonts w:hint="eastAsia" w:cs="宋体"/>
          <w:b/>
          <w:bCs/>
          <w:sz w:val="24"/>
          <w:szCs w:val="24"/>
          <w:highlight w:val="none"/>
        </w:rPr>
        <w:fldChar w:fldCharType="begin"/>
      </w:r>
      <w:r>
        <w:rPr>
          <w:rFonts w:hint="eastAsia" w:cs="宋体"/>
          <w:b/>
          <w:bCs/>
          <w:sz w:val="24"/>
          <w:szCs w:val="24"/>
          <w:highlight w:val="none"/>
        </w:rPr>
        <w:instrText xml:space="preserve"> HYPERLINK \l _Toc6167 </w:instrText>
      </w:r>
      <w:r>
        <w:rPr>
          <w:rFonts w:hint="eastAsia" w:cs="宋体"/>
          <w:b/>
          <w:bCs/>
          <w:sz w:val="24"/>
          <w:szCs w:val="24"/>
          <w:highlight w:val="none"/>
        </w:rPr>
        <w:fldChar w:fldCharType="separate"/>
      </w:r>
      <w:r>
        <w:rPr>
          <w:rFonts w:hint="eastAsia"/>
          <w:b/>
          <w:bCs/>
          <w:sz w:val="24"/>
          <w:szCs w:val="24"/>
          <w:highlight w:val="none"/>
        </w:rPr>
        <w:t xml:space="preserve">第一章 </w:t>
      </w:r>
      <w:r>
        <w:rPr>
          <w:b/>
          <w:bCs/>
          <w:sz w:val="24"/>
          <w:szCs w:val="24"/>
          <w:highlight w:val="none"/>
        </w:rPr>
        <w:t xml:space="preserve"> </w:t>
      </w:r>
      <w:r>
        <w:rPr>
          <w:rFonts w:hint="eastAsia"/>
          <w:b/>
          <w:bCs/>
          <w:sz w:val="24"/>
          <w:szCs w:val="24"/>
          <w:highlight w:val="none"/>
        </w:rPr>
        <w:t>磋商公告</w:t>
      </w:r>
      <w:r>
        <w:rPr>
          <w:b/>
          <w:bCs/>
          <w:sz w:val="24"/>
          <w:szCs w:val="24"/>
        </w:rPr>
        <w:tab/>
      </w:r>
      <w:r>
        <w:rPr>
          <w:b/>
          <w:bCs/>
          <w:sz w:val="24"/>
          <w:szCs w:val="24"/>
        </w:rPr>
        <w:fldChar w:fldCharType="begin"/>
      </w:r>
      <w:r>
        <w:rPr>
          <w:b/>
          <w:bCs/>
          <w:sz w:val="24"/>
          <w:szCs w:val="24"/>
        </w:rPr>
        <w:instrText xml:space="preserve"> PAGEREF _Toc6167 \h </w:instrText>
      </w:r>
      <w:r>
        <w:rPr>
          <w:b/>
          <w:bCs/>
          <w:sz w:val="24"/>
          <w:szCs w:val="24"/>
        </w:rPr>
        <w:fldChar w:fldCharType="separate"/>
      </w:r>
      <w:r>
        <w:rPr>
          <w:b/>
          <w:bCs/>
          <w:sz w:val="24"/>
          <w:szCs w:val="24"/>
        </w:rPr>
        <w:t>3</w:t>
      </w:r>
      <w:r>
        <w:rPr>
          <w:b/>
          <w:bCs/>
          <w:sz w:val="24"/>
          <w:szCs w:val="24"/>
        </w:rPr>
        <w:fldChar w:fldCharType="end"/>
      </w:r>
      <w:r>
        <w:rPr>
          <w:rFonts w:hint="eastAsia" w:cs="宋体"/>
          <w:b/>
          <w:bCs/>
          <w:sz w:val="24"/>
          <w:szCs w:val="24"/>
          <w:highlight w:val="none"/>
        </w:rPr>
        <w:fldChar w:fldCharType="end"/>
      </w:r>
    </w:p>
    <w:p w14:paraId="2FF5DCA5">
      <w:pPr>
        <w:pStyle w:val="9"/>
        <w:tabs>
          <w:tab w:val="right" w:leader="dot" w:pos="8277"/>
        </w:tabs>
        <w:spacing w:line="360" w:lineRule="auto"/>
        <w:rPr>
          <w:b/>
          <w:bCs/>
          <w:sz w:val="24"/>
          <w:szCs w:val="24"/>
        </w:rPr>
      </w:pP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HYPERLINK \l _Toc2090 </w:instrText>
      </w:r>
      <w:r>
        <w:rPr>
          <w:rFonts w:hint="eastAsia" w:ascii="宋体" w:hAnsi="宋体" w:cs="宋体"/>
          <w:b/>
          <w:bCs/>
          <w:sz w:val="24"/>
          <w:szCs w:val="24"/>
          <w:highlight w:val="none"/>
        </w:rPr>
        <w:fldChar w:fldCharType="separate"/>
      </w:r>
      <w:r>
        <w:rPr>
          <w:rFonts w:hint="eastAsia"/>
          <w:b/>
          <w:bCs/>
          <w:sz w:val="24"/>
          <w:szCs w:val="24"/>
          <w:highlight w:val="none"/>
        </w:rPr>
        <w:t>第二章</w:t>
      </w:r>
      <w:r>
        <w:rPr>
          <w:b/>
          <w:bCs/>
          <w:sz w:val="24"/>
          <w:szCs w:val="24"/>
          <w:highlight w:val="none"/>
        </w:rPr>
        <w:t xml:space="preserve"> </w:t>
      </w:r>
      <w:r>
        <w:rPr>
          <w:rFonts w:hint="eastAsia"/>
          <w:b/>
          <w:bCs/>
          <w:sz w:val="24"/>
          <w:szCs w:val="24"/>
          <w:highlight w:val="none"/>
        </w:rPr>
        <w:t xml:space="preserve"> 参审单位</w:t>
      </w:r>
      <w:r>
        <w:rPr>
          <w:b/>
          <w:bCs/>
          <w:sz w:val="24"/>
          <w:szCs w:val="24"/>
          <w:highlight w:val="none"/>
        </w:rPr>
        <w:t>须知</w:t>
      </w:r>
      <w:r>
        <w:rPr>
          <w:b/>
          <w:bCs/>
          <w:sz w:val="24"/>
          <w:szCs w:val="24"/>
        </w:rPr>
        <w:tab/>
      </w:r>
      <w:r>
        <w:rPr>
          <w:b/>
          <w:bCs/>
          <w:sz w:val="24"/>
          <w:szCs w:val="24"/>
        </w:rPr>
        <w:fldChar w:fldCharType="begin"/>
      </w:r>
      <w:r>
        <w:rPr>
          <w:b/>
          <w:bCs/>
          <w:sz w:val="24"/>
          <w:szCs w:val="24"/>
        </w:rPr>
        <w:instrText xml:space="preserve"> PAGEREF _Toc2090 \h </w:instrText>
      </w:r>
      <w:r>
        <w:rPr>
          <w:b/>
          <w:bCs/>
          <w:sz w:val="24"/>
          <w:szCs w:val="24"/>
        </w:rPr>
        <w:fldChar w:fldCharType="separate"/>
      </w:r>
      <w:r>
        <w:rPr>
          <w:b/>
          <w:bCs/>
          <w:sz w:val="24"/>
          <w:szCs w:val="24"/>
        </w:rPr>
        <w:t>6</w:t>
      </w:r>
      <w:r>
        <w:rPr>
          <w:b/>
          <w:bCs/>
          <w:sz w:val="24"/>
          <w:szCs w:val="24"/>
        </w:rPr>
        <w:fldChar w:fldCharType="end"/>
      </w:r>
      <w:r>
        <w:rPr>
          <w:rFonts w:hint="eastAsia" w:ascii="宋体" w:hAnsi="宋体" w:cs="宋体"/>
          <w:b/>
          <w:bCs/>
          <w:sz w:val="24"/>
          <w:szCs w:val="24"/>
          <w:highlight w:val="none"/>
        </w:rPr>
        <w:fldChar w:fldCharType="end"/>
      </w:r>
    </w:p>
    <w:p w14:paraId="1CD18BAD">
      <w:pPr>
        <w:pStyle w:val="9"/>
        <w:tabs>
          <w:tab w:val="right" w:leader="dot" w:pos="8277"/>
        </w:tabs>
        <w:spacing w:line="360" w:lineRule="auto"/>
        <w:rPr>
          <w:b/>
          <w:bCs/>
          <w:sz w:val="24"/>
          <w:szCs w:val="24"/>
        </w:rPr>
      </w:pP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HYPERLINK \l _Toc21664 </w:instrText>
      </w:r>
      <w:r>
        <w:rPr>
          <w:rFonts w:hint="eastAsia" w:ascii="宋体" w:hAnsi="宋体" w:cs="宋体"/>
          <w:b/>
          <w:bCs/>
          <w:sz w:val="24"/>
          <w:szCs w:val="24"/>
          <w:highlight w:val="none"/>
        </w:rPr>
        <w:fldChar w:fldCharType="separate"/>
      </w:r>
      <w:r>
        <w:rPr>
          <w:rFonts w:hint="eastAsia"/>
          <w:b/>
          <w:bCs/>
          <w:sz w:val="24"/>
          <w:szCs w:val="24"/>
          <w:highlight w:val="none"/>
        </w:rPr>
        <w:t>第三章  项目需求</w:t>
      </w:r>
      <w:r>
        <w:rPr>
          <w:b/>
          <w:bCs/>
          <w:sz w:val="24"/>
          <w:szCs w:val="24"/>
        </w:rPr>
        <w:tab/>
      </w:r>
      <w:r>
        <w:rPr>
          <w:b/>
          <w:bCs/>
          <w:sz w:val="24"/>
          <w:szCs w:val="24"/>
        </w:rPr>
        <w:fldChar w:fldCharType="begin"/>
      </w:r>
      <w:r>
        <w:rPr>
          <w:b/>
          <w:bCs/>
          <w:sz w:val="24"/>
          <w:szCs w:val="24"/>
        </w:rPr>
        <w:instrText xml:space="preserve"> PAGEREF _Toc21664 \h </w:instrText>
      </w:r>
      <w:r>
        <w:rPr>
          <w:b/>
          <w:bCs/>
          <w:sz w:val="24"/>
          <w:szCs w:val="24"/>
        </w:rPr>
        <w:fldChar w:fldCharType="separate"/>
      </w:r>
      <w:r>
        <w:rPr>
          <w:b/>
          <w:bCs/>
          <w:sz w:val="24"/>
          <w:szCs w:val="24"/>
        </w:rPr>
        <w:t>31</w:t>
      </w:r>
      <w:r>
        <w:rPr>
          <w:b/>
          <w:bCs/>
          <w:sz w:val="24"/>
          <w:szCs w:val="24"/>
        </w:rPr>
        <w:fldChar w:fldCharType="end"/>
      </w:r>
      <w:r>
        <w:rPr>
          <w:rFonts w:hint="eastAsia" w:ascii="宋体" w:hAnsi="宋体" w:cs="宋体"/>
          <w:b/>
          <w:bCs/>
          <w:sz w:val="24"/>
          <w:szCs w:val="24"/>
          <w:highlight w:val="none"/>
        </w:rPr>
        <w:fldChar w:fldCharType="end"/>
      </w:r>
    </w:p>
    <w:p w14:paraId="182F2201">
      <w:pPr>
        <w:pStyle w:val="9"/>
        <w:tabs>
          <w:tab w:val="right" w:leader="dot" w:pos="8277"/>
        </w:tabs>
        <w:spacing w:line="360" w:lineRule="auto"/>
        <w:rPr>
          <w:b/>
          <w:bCs/>
          <w:sz w:val="24"/>
          <w:szCs w:val="24"/>
        </w:rPr>
      </w:pP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HYPERLINK \l _Toc21101 </w:instrText>
      </w:r>
      <w:r>
        <w:rPr>
          <w:rFonts w:hint="eastAsia" w:ascii="宋体" w:hAnsi="宋体" w:cs="宋体"/>
          <w:b/>
          <w:bCs/>
          <w:sz w:val="24"/>
          <w:szCs w:val="24"/>
          <w:highlight w:val="none"/>
        </w:rPr>
        <w:fldChar w:fldCharType="separate"/>
      </w:r>
      <w:r>
        <w:rPr>
          <w:rFonts w:hint="eastAsia"/>
          <w:b/>
          <w:bCs/>
          <w:sz w:val="24"/>
          <w:szCs w:val="24"/>
          <w:highlight w:val="none"/>
        </w:rPr>
        <w:t>第四章  评审方法和标准</w:t>
      </w:r>
      <w:r>
        <w:rPr>
          <w:b/>
          <w:bCs/>
          <w:sz w:val="24"/>
          <w:szCs w:val="24"/>
        </w:rPr>
        <w:tab/>
      </w:r>
      <w:r>
        <w:rPr>
          <w:b/>
          <w:bCs/>
          <w:sz w:val="24"/>
          <w:szCs w:val="24"/>
        </w:rPr>
        <w:fldChar w:fldCharType="begin"/>
      </w:r>
      <w:r>
        <w:rPr>
          <w:b/>
          <w:bCs/>
          <w:sz w:val="24"/>
          <w:szCs w:val="24"/>
        </w:rPr>
        <w:instrText xml:space="preserve"> PAGEREF _Toc21101 \h </w:instrText>
      </w:r>
      <w:r>
        <w:rPr>
          <w:b/>
          <w:bCs/>
          <w:sz w:val="24"/>
          <w:szCs w:val="24"/>
        </w:rPr>
        <w:fldChar w:fldCharType="separate"/>
      </w:r>
      <w:r>
        <w:rPr>
          <w:b/>
          <w:bCs/>
          <w:sz w:val="24"/>
          <w:szCs w:val="24"/>
        </w:rPr>
        <w:t>34</w:t>
      </w:r>
      <w:r>
        <w:rPr>
          <w:b/>
          <w:bCs/>
          <w:sz w:val="24"/>
          <w:szCs w:val="24"/>
        </w:rPr>
        <w:fldChar w:fldCharType="end"/>
      </w:r>
      <w:r>
        <w:rPr>
          <w:rFonts w:hint="eastAsia" w:ascii="宋体" w:hAnsi="宋体" w:cs="宋体"/>
          <w:b/>
          <w:bCs/>
          <w:sz w:val="24"/>
          <w:szCs w:val="24"/>
          <w:highlight w:val="none"/>
        </w:rPr>
        <w:fldChar w:fldCharType="end"/>
      </w:r>
    </w:p>
    <w:p w14:paraId="6A9C77B1">
      <w:pPr>
        <w:pStyle w:val="9"/>
        <w:tabs>
          <w:tab w:val="right" w:leader="dot" w:pos="8277"/>
        </w:tabs>
        <w:spacing w:line="360" w:lineRule="auto"/>
        <w:rPr>
          <w:b/>
          <w:bCs/>
          <w:sz w:val="24"/>
          <w:szCs w:val="24"/>
        </w:rPr>
      </w:pP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HYPERLINK \l _Toc10624 </w:instrText>
      </w:r>
      <w:r>
        <w:rPr>
          <w:rFonts w:hint="eastAsia" w:ascii="宋体" w:hAnsi="宋体" w:cs="宋体"/>
          <w:b/>
          <w:bCs/>
          <w:sz w:val="24"/>
          <w:szCs w:val="24"/>
          <w:highlight w:val="none"/>
        </w:rPr>
        <w:fldChar w:fldCharType="separate"/>
      </w:r>
      <w:r>
        <w:rPr>
          <w:rFonts w:hint="eastAsia"/>
          <w:b/>
          <w:bCs/>
          <w:sz w:val="24"/>
          <w:szCs w:val="24"/>
          <w:highlight w:val="none"/>
        </w:rPr>
        <w:t>第五章  合同条款及格式</w:t>
      </w:r>
      <w:r>
        <w:rPr>
          <w:b/>
          <w:bCs/>
          <w:sz w:val="24"/>
          <w:szCs w:val="24"/>
        </w:rPr>
        <w:tab/>
      </w:r>
      <w:r>
        <w:rPr>
          <w:b/>
          <w:bCs/>
          <w:sz w:val="24"/>
          <w:szCs w:val="24"/>
        </w:rPr>
        <w:fldChar w:fldCharType="begin"/>
      </w:r>
      <w:r>
        <w:rPr>
          <w:b/>
          <w:bCs/>
          <w:sz w:val="24"/>
          <w:szCs w:val="24"/>
        </w:rPr>
        <w:instrText xml:space="preserve"> PAGEREF _Toc10624 \h </w:instrText>
      </w:r>
      <w:r>
        <w:rPr>
          <w:b/>
          <w:bCs/>
          <w:sz w:val="24"/>
          <w:szCs w:val="24"/>
        </w:rPr>
        <w:fldChar w:fldCharType="separate"/>
      </w:r>
      <w:r>
        <w:rPr>
          <w:b/>
          <w:bCs/>
          <w:sz w:val="24"/>
          <w:szCs w:val="24"/>
        </w:rPr>
        <w:t>39</w:t>
      </w:r>
      <w:r>
        <w:rPr>
          <w:b/>
          <w:bCs/>
          <w:sz w:val="24"/>
          <w:szCs w:val="24"/>
        </w:rPr>
        <w:fldChar w:fldCharType="end"/>
      </w:r>
      <w:r>
        <w:rPr>
          <w:rFonts w:hint="eastAsia" w:ascii="宋体" w:hAnsi="宋体" w:cs="宋体"/>
          <w:b/>
          <w:bCs/>
          <w:sz w:val="24"/>
          <w:szCs w:val="24"/>
          <w:highlight w:val="none"/>
        </w:rPr>
        <w:fldChar w:fldCharType="end"/>
      </w:r>
    </w:p>
    <w:p w14:paraId="18FA9253">
      <w:pPr>
        <w:pStyle w:val="9"/>
        <w:tabs>
          <w:tab w:val="right" w:leader="dot" w:pos="8277"/>
        </w:tabs>
        <w:spacing w:line="360" w:lineRule="auto"/>
        <w:rPr>
          <w:b/>
          <w:bCs/>
          <w:sz w:val="24"/>
          <w:szCs w:val="24"/>
        </w:rPr>
      </w:pP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HYPERLINK \l _Toc6518 </w:instrText>
      </w:r>
      <w:r>
        <w:rPr>
          <w:rFonts w:hint="eastAsia" w:ascii="宋体" w:hAnsi="宋体" w:cs="宋体"/>
          <w:b/>
          <w:bCs/>
          <w:sz w:val="24"/>
          <w:szCs w:val="24"/>
          <w:highlight w:val="none"/>
        </w:rPr>
        <w:fldChar w:fldCharType="separate"/>
      </w:r>
      <w:r>
        <w:rPr>
          <w:rFonts w:hint="eastAsia"/>
          <w:b/>
          <w:bCs/>
          <w:sz w:val="24"/>
          <w:szCs w:val="24"/>
          <w:highlight w:val="none"/>
        </w:rPr>
        <w:t>第六章  响应文件格式</w:t>
      </w:r>
      <w:r>
        <w:rPr>
          <w:b/>
          <w:bCs/>
          <w:sz w:val="24"/>
          <w:szCs w:val="24"/>
        </w:rPr>
        <w:tab/>
      </w:r>
      <w:r>
        <w:rPr>
          <w:b/>
          <w:bCs/>
          <w:sz w:val="24"/>
          <w:szCs w:val="24"/>
        </w:rPr>
        <w:fldChar w:fldCharType="begin"/>
      </w:r>
      <w:r>
        <w:rPr>
          <w:b/>
          <w:bCs/>
          <w:sz w:val="24"/>
          <w:szCs w:val="24"/>
        </w:rPr>
        <w:instrText xml:space="preserve"> PAGEREF _Toc6518 \h </w:instrText>
      </w:r>
      <w:r>
        <w:rPr>
          <w:b/>
          <w:bCs/>
          <w:sz w:val="24"/>
          <w:szCs w:val="24"/>
        </w:rPr>
        <w:fldChar w:fldCharType="separate"/>
      </w:r>
      <w:r>
        <w:rPr>
          <w:b/>
          <w:bCs/>
          <w:sz w:val="24"/>
          <w:szCs w:val="24"/>
        </w:rPr>
        <w:t>40</w:t>
      </w:r>
      <w:r>
        <w:rPr>
          <w:b/>
          <w:bCs/>
          <w:sz w:val="24"/>
          <w:szCs w:val="24"/>
        </w:rPr>
        <w:fldChar w:fldCharType="end"/>
      </w:r>
      <w:r>
        <w:rPr>
          <w:rFonts w:hint="eastAsia" w:ascii="宋体" w:hAnsi="宋体" w:cs="宋体"/>
          <w:b/>
          <w:bCs/>
          <w:sz w:val="24"/>
          <w:szCs w:val="24"/>
          <w:highlight w:val="none"/>
        </w:rPr>
        <w:fldChar w:fldCharType="end"/>
      </w:r>
    </w:p>
    <w:p w14:paraId="34549076">
      <w:pPr>
        <w:pStyle w:val="11"/>
        <w:tabs>
          <w:tab w:val="right" w:leader="dot" w:pos="8296"/>
        </w:tabs>
        <w:spacing w:after="0" w:line="360" w:lineRule="auto"/>
        <w:ind w:left="0"/>
        <w:rPr>
          <w:rFonts w:hint="eastAsia" w:ascii="宋体" w:hAnsi="宋体"/>
          <w:b/>
          <w:sz w:val="32"/>
          <w:highlight w:val="none"/>
        </w:rPr>
      </w:pPr>
      <w:r>
        <w:rPr>
          <w:rFonts w:hint="eastAsia" w:ascii="宋体" w:hAnsi="宋体" w:cs="宋体"/>
          <w:b/>
          <w:bCs/>
          <w:sz w:val="24"/>
          <w:szCs w:val="24"/>
          <w:highlight w:val="none"/>
        </w:rPr>
        <w:fldChar w:fldCharType="end"/>
      </w:r>
    </w:p>
    <w:p w14:paraId="531FE717">
      <w:pPr>
        <w:spacing w:line="360" w:lineRule="auto"/>
        <w:jc w:val="center"/>
        <w:outlineLvl w:val="0"/>
        <w:rPr>
          <w:rFonts w:hint="eastAsia"/>
          <w:b/>
          <w:sz w:val="28"/>
          <w:highlight w:val="none"/>
        </w:rPr>
      </w:pPr>
    </w:p>
    <w:p w14:paraId="54F35F79">
      <w:pPr>
        <w:rPr>
          <w:rFonts w:hint="eastAsia"/>
          <w:b/>
          <w:sz w:val="28"/>
          <w:highlight w:val="none"/>
        </w:rPr>
      </w:pPr>
      <w:r>
        <w:rPr>
          <w:rFonts w:hint="eastAsia"/>
          <w:b/>
          <w:sz w:val="28"/>
          <w:highlight w:val="none"/>
        </w:rPr>
        <w:br w:type="page"/>
      </w:r>
    </w:p>
    <w:p w14:paraId="2038A1DD">
      <w:pPr>
        <w:spacing w:line="360" w:lineRule="auto"/>
        <w:jc w:val="center"/>
        <w:outlineLvl w:val="0"/>
        <w:rPr>
          <w:rFonts w:hint="eastAsia"/>
          <w:b/>
          <w:sz w:val="28"/>
          <w:highlight w:val="none"/>
        </w:rPr>
      </w:pPr>
      <w:bookmarkStart w:id="1" w:name="_Toc6167"/>
      <w:r>
        <w:rPr>
          <w:rFonts w:hint="eastAsia"/>
          <w:b/>
          <w:sz w:val="28"/>
          <w:highlight w:val="none"/>
        </w:rPr>
        <w:t xml:space="preserve">第一章 </w:t>
      </w:r>
      <w:r>
        <w:rPr>
          <w:b/>
          <w:sz w:val="28"/>
          <w:highlight w:val="none"/>
        </w:rPr>
        <w:t xml:space="preserve"> </w:t>
      </w:r>
      <w:r>
        <w:rPr>
          <w:rFonts w:hint="eastAsia"/>
          <w:b/>
          <w:sz w:val="28"/>
          <w:highlight w:val="none"/>
        </w:rPr>
        <w:t>磋商公告</w:t>
      </w:r>
      <w:bookmarkEnd w:id="1"/>
    </w:p>
    <w:p w14:paraId="7A31C49B">
      <w:pPr>
        <w:spacing w:line="360" w:lineRule="auto"/>
        <w:ind w:firstLine="435"/>
        <w:outlineLvl w:val="1"/>
        <w:rPr>
          <w:rFonts w:hint="eastAsia"/>
          <w:b/>
          <w:bCs/>
          <w:sz w:val="24"/>
          <w:szCs w:val="18"/>
          <w:highlight w:val="none"/>
        </w:rPr>
      </w:pPr>
      <w:bookmarkStart w:id="2" w:name="_Toc13769"/>
      <w:bookmarkStart w:id="3" w:name="_Toc11391"/>
      <w:r>
        <w:rPr>
          <w:rFonts w:hint="eastAsia"/>
          <w:b/>
          <w:bCs/>
          <w:sz w:val="24"/>
          <w:szCs w:val="18"/>
          <w:highlight w:val="none"/>
        </w:rPr>
        <w:t>一、项目名称及内容</w:t>
      </w:r>
      <w:bookmarkEnd w:id="2"/>
      <w:bookmarkEnd w:id="3"/>
    </w:p>
    <w:p w14:paraId="1365A61E">
      <w:pPr>
        <w:autoSpaceDE w:val="0"/>
        <w:autoSpaceDN w:val="0"/>
        <w:adjustRightInd w:val="0"/>
        <w:spacing w:line="360" w:lineRule="auto"/>
        <w:ind w:firstLine="436" w:firstLineChars="182"/>
        <w:jc w:val="left"/>
        <w:rPr>
          <w:rFonts w:hint="eastAsia" w:eastAsia="宋体"/>
          <w:sz w:val="24"/>
          <w:szCs w:val="18"/>
          <w:highlight w:val="none"/>
          <w:lang w:eastAsia="zh-CN"/>
        </w:rPr>
      </w:pPr>
      <w:r>
        <w:rPr>
          <w:rFonts w:hint="eastAsia"/>
          <w:sz w:val="24"/>
          <w:szCs w:val="18"/>
          <w:highlight w:val="none"/>
        </w:rPr>
        <w:t>1.项目编号：</w:t>
      </w:r>
      <w:r>
        <w:rPr>
          <w:rFonts w:hint="eastAsia"/>
          <w:sz w:val="24"/>
          <w:szCs w:val="18"/>
          <w:highlight w:val="none"/>
          <w:lang w:eastAsia="zh-CN"/>
        </w:rPr>
        <w:t>2026PHGN241</w:t>
      </w:r>
    </w:p>
    <w:p w14:paraId="4741B096">
      <w:pPr>
        <w:autoSpaceDE w:val="0"/>
        <w:autoSpaceDN w:val="0"/>
        <w:adjustRightInd w:val="0"/>
        <w:spacing w:line="360" w:lineRule="auto"/>
        <w:ind w:firstLine="436" w:firstLineChars="182"/>
        <w:jc w:val="left"/>
        <w:rPr>
          <w:rFonts w:hint="eastAsia" w:eastAsia="宋体"/>
          <w:sz w:val="24"/>
          <w:szCs w:val="18"/>
          <w:highlight w:val="none"/>
          <w:lang w:val="en-US" w:eastAsia="zh-CN"/>
        </w:rPr>
      </w:pPr>
      <w:r>
        <w:rPr>
          <w:rFonts w:hint="eastAsia"/>
          <w:sz w:val="24"/>
          <w:szCs w:val="18"/>
          <w:highlight w:val="none"/>
        </w:rPr>
        <w:t>2.项目名称：</w:t>
      </w:r>
      <w:r>
        <w:rPr>
          <w:rFonts w:hint="eastAsia"/>
          <w:sz w:val="24"/>
          <w:szCs w:val="18"/>
          <w:highlight w:val="none"/>
          <w:lang w:val="en-US" w:eastAsia="zh-CN"/>
        </w:rPr>
        <w:t>肥西县柿树岗乡卫生院CT机房防辐射及装饰改造项目</w:t>
      </w:r>
    </w:p>
    <w:p w14:paraId="0F169D01">
      <w:pPr>
        <w:autoSpaceDE w:val="0"/>
        <w:autoSpaceDN w:val="0"/>
        <w:adjustRightInd w:val="0"/>
        <w:spacing w:line="360" w:lineRule="auto"/>
        <w:ind w:firstLine="436" w:firstLineChars="182"/>
        <w:jc w:val="left"/>
        <w:rPr>
          <w:rFonts w:hint="eastAsia"/>
          <w:sz w:val="24"/>
          <w:szCs w:val="18"/>
          <w:highlight w:val="none"/>
        </w:rPr>
      </w:pPr>
      <w:r>
        <w:rPr>
          <w:rFonts w:hint="eastAsia"/>
          <w:sz w:val="24"/>
          <w:szCs w:val="18"/>
          <w:highlight w:val="none"/>
        </w:rPr>
        <w:t>3.项目地点：安徽省合肥市肥西县</w:t>
      </w:r>
    </w:p>
    <w:p w14:paraId="57E29C9E">
      <w:pPr>
        <w:autoSpaceDE w:val="0"/>
        <w:autoSpaceDN w:val="0"/>
        <w:adjustRightInd w:val="0"/>
        <w:spacing w:line="360" w:lineRule="auto"/>
        <w:ind w:firstLine="436" w:firstLineChars="182"/>
        <w:jc w:val="left"/>
        <w:rPr>
          <w:rFonts w:hint="eastAsia" w:eastAsia="宋体"/>
          <w:sz w:val="24"/>
          <w:szCs w:val="18"/>
          <w:highlight w:val="none"/>
          <w:lang w:eastAsia="zh-CN"/>
        </w:rPr>
      </w:pPr>
      <w:r>
        <w:rPr>
          <w:rFonts w:hint="eastAsia"/>
          <w:sz w:val="24"/>
          <w:szCs w:val="18"/>
          <w:highlight w:val="none"/>
        </w:rPr>
        <w:t>4.项目单位：</w:t>
      </w:r>
      <w:r>
        <w:rPr>
          <w:rFonts w:hint="eastAsia"/>
          <w:sz w:val="24"/>
          <w:szCs w:val="18"/>
          <w:highlight w:val="none"/>
          <w:lang w:eastAsia="zh-CN"/>
        </w:rPr>
        <w:t>肥西县柿树岗乡卫生院</w:t>
      </w:r>
    </w:p>
    <w:p w14:paraId="6D28FDCC">
      <w:pPr>
        <w:autoSpaceDE w:val="0"/>
        <w:autoSpaceDN w:val="0"/>
        <w:adjustRightInd w:val="0"/>
        <w:spacing w:line="360" w:lineRule="auto"/>
        <w:ind w:firstLine="436" w:firstLineChars="182"/>
        <w:rPr>
          <w:rFonts w:hint="eastAsia"/>
          <w:sz w:val="24"/>
          <w:szCs w:val="18"/>
          <w:highlight w:val="none"/>
        </w:rPr>
      </w:pPr>
      <w:r>
        <w:rPr>
          <w:rFonts w:hint="eastAsia"/>
          <w:sz w:val="24"/>
          <w:szCs w:val="18"/>
          <w:highlight w:val="none"/>
        </w:rPr>
        <w:t>5.项目概况：</w:t>
      </w:r>
      <w:bookmarkStart w:id="4" w:name="_Hlk211499883"/>
      <w:r>
        <w:rPr>
          <w:rFonts w:hint="eastAsia"/>
          <w:sz w:val="24"/>
          <w:szCs w:val="18"/>
          <w:highlight w:val="none"/>
          <w:lang w:val="en-US" w:eastAsia="zh-CN"/>
        </w:rPr>
        <w:t>肥西县柿树岗乡卫生院CT机房防辐射及装饰改造项目，</w:t>
      </w:r>
      <w:r>
        <w:rPr>
          <w:rFonts w:hint="eastAsia"/>
          <w:sz w:val="24"/>
          <w:szCs w:val="18"/>
          <w:highlight w:val="none"/>
        </w:rPr>
        <w:t>具体详见磋商文件、清单、图纸及答疑文件（如有）。</w:t>
      </w:r>
    </w:p>
    <w:bookmarkEnd w:id="4"/>
    <w:p w14:paraId="798E0492">
      <w:pPr>
        <w:autoSpaceDE w:val="0"/>
        <w:autoSpaceDN w:val="0"/>
        <w:adjustRightInd w:val="0"/>
        <w:spacing w:line="360" w:lineRule="auto"/>
        <w:ind w:firstLine="436" w:firstLineChars="182"/>
        <w:jc w:val="left"/>
        <w:rPr>
          <w:rFonts w:hint="default" w:eastAsia="宋体"/>
          <w:sz w:val="24"/>
          <w:szCs w:val="18"/>
          <w:highlight w:val="none"/>
          <w:lang w:val="en-US" w:eastAsia="zh-CN"/>
        </w:rPr>
      </w:pPr>
      <w:r>
        <w:rPr>
          <w:rFonts w:hint="eastAsia"/>
          <w:sz w:val="24"/>
          <w:szCs w:val="18"/>
          <w:highlight w:val="none"/>
        </w:rPr>
        <w:t>6.资金来源：</w:t>
      </w:r>
      <w:r>
        <w:rPr>
          <w:rFonts w:hint="eastAsia"/>
          <w:sz w:val="24"/>
          <w:szCs w:val="18"/>
          <w:highlight w:val="none"/>
          <w:lang w:val="en-US" w:eastAsia="zh-CN"/>
        </w:rPr>
        <w:t>统筹资金</w:t>
      </w:r>
    </w:p>
    <w:p w14:paraId="597E3AEB">
      <w:pPr>
        <w:autoSpaceDE w:val="0"/>
        <w:autoSpaceDN w:val="0"/>
        <w:adjustRightInd w:val="0"/>
        <w:spacing w:line="360" w:lineRule="auto"/>
        <w:ind w:firstLine="436" w:firstLineChars="182"/>
        <w:jc w:val="left"/>
        <w:rPr>
          <w:rFonts w:hint="eastAsia"/>
          <w:sz w:val="24"/>
          <w:szCs w:val="18"/>
          <w:highlight w:val="none"/>
        </w:rPr>
      </w:pPr>
      <w:r>
        <w:rPr>
          <w:rFonts w:hint="eastAsia"/>
          <w:sz w:val="24"/>
          <w:szCs w:val="18"/>
          <w:highlight w:val="none"/>
        </w:rPr>
        <w:t>7.项目预算：</w:t>
      </w:r>
      <w:r>
        <w:rPr>
          <w:rFonts w:hint="eastAsia" w:cs="仿宋_GB2312"/>
          <w:kern w:val="0"/>
          <w:sz w:val="24"/>
          <w:szCs w:val="32"/>
          <w:lang w:val="en-US" w:eastAsia="zh-CN" w:bidi="ar-SA"/>
        </w:rPr>
        <w:t>20.800872</w:t>
      </w:r>
      <w:r>
        <w:rPr>
          <w:rFonts w:hint="eastAsia"/>
          <w:sz w:val="24"/>
          <w:szCs w:val="18"/>
          <w:highlight w:val="none"/>
          <w:lang w:val="en-US" w:eastAsia="zh-CN"/>
        </w:rPr>
        <w:t>万</w:t>
      </w:r>
      <w:r>
        <w:rPr>
          <w:rFonts w:hint="eastAsia"/>
          <w:sz w:val="24"/>
          <w:szCs w:val="18"/>
          <w:highlight w:val="none"/>
        </w:rPr>
        <w:t>元</w:t>
      </w:r>
    </w:p>
    <w:p w14:paraId="5771DDEE">
      <w:pPr>
        <w:autoSpaceDE w:val="0"/>
        <w:autoSpaceDN w:val="0"/>
        <w:adjustRightInd w:val="0"/>
        <w:spacing w:line="360" w:lineRule="auto"/>
        <w:ind w:firstLine="436" w:firstLineChars="182"/>
        <w:jc w:val="left"/>
        <w:rPr>
          <w:rFonts w:hint="default" w:eastAsia="宋体"/>
          <w:sz w:val="24"/>
          <w:szCs w:val="18"/>
          <w:highlight w:val="none"/>
          <w:lang w:val="en-US" w:eastAsia="zh-CN"/>
        </w:rPr>
      </w:pPr>
      <w:r>
        <w:rPr>
          <w:rFonts w:hint="eastAsia"/>
          <w:sz w:val="24"/>
          <w:szCs w:val="18"/>
          <w:highlight w:val="none"/>
          <w:lang w:val="en-US" w:eastAsia="zh-CN"/>
        </w:rPr>
        <w:t>8.最高限价：</w:t>
      </w:r>
      <w:r>
        <w:rPr>
          <w:rFonts w:hint="eastAsia" w:cs="仿宋_GB2312"/>
          <w:kern w:val="0"/>
          <w:sz w:val="24"/>
          <w:szCs w:val="32"/>
          <w:lang w:val="en-US" w:eastAsia="zh-CN" w:bidi="ar-SA"/>
        </w:rPr>
        <w:t>20.800872</w:t>
      </w:r>
      <w:r>
        <w:rPr>
          <w:rFonts w:hint="eastAsia"/>
          <w:sz w:val="24"/>
          <w:szCs w:val="18"/>
          <w:highlight w:val="none"/>
          <w:lang w:val="en-US" w:eastAsia="zh-CN"/>
        </w:rPr>
        <w:t>万</w:t>
      </w:r>
      <w:r>
        <w:rPr>
          <w:rFonts w:hint="eastAsia"/>
          <w:sz w:val="24"/>
          <w:szCs w:val="18"/>
          <w:highlight w:val="none"/>
        </w:rPr>
        <w:t>元</w:t>
      </w:r>
    </w:p>
    <w:p w14:paraId="2616227F">
      <w:pPr>
        <w:autoSpaceDE w:val="0"/>
        <w:autoSpaceDN w:val="0"/>
        <w:adjustRightInd w:val="0"/>
        <w:spacing w:line="360" w:lineRule="auto"/>
        <w:ind w:firstLine="436" w:firstLineChars="182"/>
        <w:jc w:val="left"/>
        <w:rPr>
          <w:rFonts w:hint="eastAsia"/>
          <w:sz w:val="24"/>
          <w:szCs w:val="18"/>
          <w:highlight w:val="none"/>
        </w:rPr>
      </w:pPr>
      <w:r>
        <w:rPr>
          <w:rFonts w:hint="eastAsia"/>
          <w:sz w:val="24"/>
          <w:szCs w:val="18"/>
          <w:highlight w:val="none"/>
        </w:rPr>
        <w:t>8.项目类别：工程施工</w:t>
      </w:r>
    </w:p>
    <w:p w14:paraId="57EA0BBC">
      <w:pPr>
        <w:spacing w:line="360" w:lineRule="auto"/>
        <w:ind w:firstLine="435"/>
        <w:outlineLvl w:val="1"/>
        <w:rPr>
          <w:rFonts w:hint="eastAsia"/>
          <w:b/>
          <w:bCs/>
          <w:sz w:val="24"/>
          <w:szCs w:val="18"/>
          <w:highlight w:val="none"/>
        </w:rPr>
      </w:pPr>
      <w:bookmarkStart w:id="5" w:name="_Toc2076"/>
      <w:bookmarkStart w:id="6" w:name="_Toc2433"/>
      <w:r>
        <w:rPr>
          <w:rFonts w:hint="eastAsia"/>
          <w:b/>
          <w:bCs/>
          <w:sz w:val="24"/>
          <w:szCs w:val="18"/>
          <w:highlight w:val="none"/>
        </w:rPr>
        <w:t>二</w:t>
      </w:r>
      <w:r>
        <w:rPr>
          <w:rFonts w:hint="eastAsia"/>
          <w:b/>
          <w:sz w:val="24"/>
          <w:highlight w:val="none"/>
        </w:rPr>
        <w:t>、</w:t>
      </w:r>
      <w:r>
        <w:rPr>
          <w:rFonts w:hint="eastAsia"/>
          <w:b/>
          <w:bCs/>
          <w:sz w:val="24"/>
          <w:szCs w:val="18"/>
          <w:highlight w:val="none"/>
        </w:rPr>
        <w:t>参审单位资格</w:t>
      </w:r>
      <w:bookmarkEnd w:id="5"/>
      <w:bookmarkEnd w:id="6"/>
    </w:p>
    <w:p w14:paraId="453DDFAD">
      <w:pPr>
        <w:spacing w:line="360" w:lineRule="auto"/>
        <w:ind w:firstLine="435"/>
        <w:rPr>
          <w:rFonts w:hint="eastAsia"/>
          <w:sz w:val="24"/>
          <w:szCs w:val="18"/>
          <w:highlight w:val="none"/>
        </w:rPr>
      </w:pPr>
      <w:bookmarkStart w:id="7" w:name="OLE_LINK3"/>
      <w:r>
        <w:rPr>
          <w:rFonts w:hint="eastAsia" w:ascii="宋体" w:hAnsi="宋体" w:eastAsia="宋体" w:cs="Times New Roman"/>
          <w:color w:val="auto"/>
          <w:sz w:val="24"/>
          <w:szCs w:val="18"/>
          <w:lang w:val="en-US" w:eastAsia="zh-CN"/>
        </w:rPr>
        <w:t>1.具有独立承担民事责任的能力</w:t>
      </w:r>
      <w:r>
        <w:rPr>
          <w:rFonts w:hint="eastAsia"/>
          <w:sz w:val="24"/>
          <w:szCs w:val="18"/>
          <w:highlight w:val="none"/>
        </w:rPr>
        <w:t>。</w:t>
      </w:r>
    </w:p>
    <w:p w14:paraId="06C8CAB0">
      <w:pPr>
        <w:spacing w:line="360" w:lineRule="auto"/>
        <w:ind w:firstLine="435"/>
        <w:rPr>
          <w:rFonts w:hint="eastAsia" w:eastAsia="宋体"/>
          <w:sz w:val="24"/>
          <w:szCs w:val="18"/>
          <w:highlight w:val="none"/>
          <w:lang w:val="en-US" w:eastAsia="zh-CN"/>
        </w:rPr>
      </w:pPr>
      <w:r>
        <w:rPr>
          <w:rFonts w:hint="eastAsia"/>
          <w:sz w:val="24"/>
          <w:szCs w:val="18"/>
          <w:highlight w:val="none"/>
          <w:lang w:val="en-US" w:eastAsia="zh-CN"/>
        </w:rPr>
        <w:t>2.</w:t>
      </w:r>
      <w:r>
        <w:rPr>
          <w:rFonts w:hint="eastAsia" w:ascii="宋体" w:hAnsi="宋体" w:eastAsia="宋体" w:cs="宋体"/>
          <w:color w:val="FF0000"/>
          <w:sz w:val="24"/>
          <w:szCs w:val="18"/>
          <w:lang w:eastAsia="zh-CN"/>
        </w:rPr>
        <w:t>具</w:t>
      </w:r>
      <w:r>
        <w:rPr>
          <w:rFonts w:hint="eastAsia" w:ascii="宋体" w:hAnsi="宋体" w:eastAsia="宋体" w:cs="宋体"/>
          <w:color w:val="FF0000"/>
          <w:sz w:val="24"/>
          <w:szCs w:val="18"/>
          <w:lang w:val="en-US" w:eastAsia="zh-CN"/>
        </w:rPr>
        <w:t>有</w:t>
      </w:r>
      <w:r>
        <w:rPr>
          <w:rFonts w:hint="eastAsia" w:ascii="宋体" w:hAnsi="宋体" w:eastAsia="宋体" w:cs="宋体"/>
          <w:color w:val="FF0000"/>
          <w:sz w:val="24"/>
          <w:szCs w:val="18"/>
          <w:lang w:eastAsia="zh-CN"/>
        </w:rPr>
        <w:t>有效的建筑装修装饰工程施工专业承包二级及以上资质</w:t>
      </w:r>
      <w:r>
        <w:rPr>
          <w:rFonts w:hint="eastAsia" w:ascii="宋体" w:hAnsi="宋体" w:eastAsia="宋体" w:cs="宋体"/>
          <w:color w:val="FF0000"/>
          <w:sz w:val="24"/>
          <w:szCs w:val="18"/>
          <w:lang w:val="en-US" w:eastAsia="zh-CN"/>
        </w:rPr>
        <w:t>和</w:t>
      </w:r>
      <w:r>
        <w:rPr>
          <w:rFonts w:hint="eastAsia" w:ascii="宋体" w:hAnsi="宋体" w:eastAsia="宋体" w:cs="宋体"/>
          <w:color w:val="FF0000"/>
          <w:sz w:val="24"/>
          <w:szCs w:val="18"/>
        </w:rPr>
        <w:t>有效的安全生产许可证</w:t>
      </w:r>
      <w:r>
        <w:rPr>
          <w:rFonts w:hint="eastAsia" w:cs="宋体"/>
          <w:color w:val="FF0000"/>
          <w:sz w:val="24"/>
          <w:szCs w:val="18"/>
          <w:lang w:eastAsia="zh-CN"/>
        </w:rPr>
        <w:t>。</w:t>
      </w:r>
    </w:p>
    <w:p w14:paraId="5944C8CE">
      <w:pPr>
        <w:spacing w:line="360" w:lineRule="auto"/>
        <w:ind w:firstLine="435"/>
        <w:rPr>
          <w:rFonts w:hint="eastAsia" w:eastAsia="宋体"/>
          <w:sz w:val="24"/>
          <w:szCs w:val="18"/>
          <w:highlight w:val="none"/>
          <w:lang w:eastAsia="zh-CN"/>
        </w:rPr>
      </w:pPr>
      <w:r>
        <w:rPr>
          <w:rFonts w:hint="eastAsia"/>
          <w:sz w:val="24"/>
          <w:szCs w:val="18"/>
          <w:highlight w:val="none"/>
          <w:lang w:val="en-US" w:eastAsia="zh-CN"/>
        </w:rPr>
        <w:t>3</w:t>
      </w:r>
      <w:r>
        <w:rPr>
          <w:rFonts w:hint="eastAsia"/>
          <w:sz w:val="24"/>
          <w:szCs w:val="18"/>
          <w:highlight w:val="none"/>
        </w:rPr>
        <w:t>.本项目不接受联合体磋商。</w:t>
      </w:r>
    </w:p>
    <w:bookmarkEnd w:id="7"/>
    <w:p w14:paraId="5F041918">
      <w:pPr>
        <w:spacing w:line="360" w:lineRule="auto"/>
        <w:ind w:firstLine="435"/>
        <w:rPr>
          <w:rFonts w:hint="eastAsia" w:ascii="宋体" w:hAnsi="宋体" w:eastAsia="宋体" w:cs="宋体"/>
          <w:sz w:val="24"/>
          <w:szCs w:val="24"/>
          <w:highlight w:val="none"/>
        </w:rPr>
      </w:pPr>
      <w:bookmarkStart w:id="8" w:name="_Toc5738"/>
      <w:bookmarkStart w:id="9" w:name="_Toc23070"/>
      <w:r>
        <w:rPr>
          <w:rFonts w:hint="eastAsia"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供应商存在以下不良信用记录情形之一的，不得推荐为成交候选人，不得确定为成交人：</w:t>
      </w:r>
    </w:p>
    <w:p w14:paraId="14F2AAE9">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（1）在“信用中国”网站（http://www.creditchina.gov.cn/）中被列入失信被执行人名单；</w:t>
      </w:r>
    </w:p>
    <w:p w14:paraId="5FAC4F95">
      <w:pPr>
        <w:spacing w:line="360" w:lineRule="auto"/>
        <w:ind w:firstLine="435"/>
        <w:rPr>
          <w:rFonts w:hint="default" w:eastAsia="宋体"/>
          <w:b/>
          <w:bCs/>
          <w:sz w:val="24"/>
          <w:szCs w:val="18"/>
          <w:highlight w:val="none"/>
          <w:lang w:val="en-US" w:eastAsia="zh-CN"/>
        </w:rPr>
      </w:pPr>
      <w:r>
        <w:rPr>
          <w:rFonts w:hint="eastAsia" w:ascii="宋体" w:hAnsi="宋体" w:eastAsia="宋体" w:cs="宋体"/>
          <w:sz w:val="24"/>
          <w:szCs w:val="24"/>
          <w:highlight w:val="none"/>
        </w:rPr>
        <w:t>（2）在“信用中国”网站（http://www.creditchina.gov.cn/）中被列入重大税收违</w:t>
      </w:r>
      <w:r>
        <w:rPr>
          <w:rFonts w:hint="eastAsia" w:ascii="宋体" w:hAnsi="宋体" w:eastAsia="宋体" w:cs="宋体"/>
          <w:sz w:val="24"/>
          <w:szCs w:val="24"/>
          <w:highlight w:val="none"/>
          <w:lang w:val="en-US" w:eastAsia="zh-CN"/>
        </w:rPr>
        <w:t>法失信主体名单。</w:t>
      </w:r>
    </w:p>
    <w:p w14:paraId="6440BF9E">
      <w:pPr>
        <w:spacing w:line="360" w:lineRule="auto"/>
        <w:ind w:firstLine="435"/>
        <w:outlineLvl w:val="1"/>
        <w:rPr>
          <w:rFonts w:hint="eastAsia"/>
          <w:b/>
          <w:bCs/>
          <w:sz w:val="24"/>
          <w:szCs w:val="18"/>
          <w:highlight w:val="none"/>
        </w:rPr>
      </w:pPr>
      <w:r>
        <w:rPr>
          <w:rFonts w:hint="eastAsia"/>
          <w:b/>
          <w:bCs/>
          <w:sz w:val="24"/>
          <w:szCs w:val="18"/>
          <w:highlight w:val="none"/>
        </w:rPr>
        <w:t>三</w:t>
      </w:r>
      <w:r>
        <w:rPr>
          <w:rFonts w:hint="eastAsia"/>
          <w:b/>
          <w:sz w:val="24"/>
          <w:highlight w:val="none"/>
        </w:rPr>
        <w:t>、</w:t>
      </w:r>
      <w:r>
        <w:rPr>
          <w:rFonts w:hint="eastAsia"/>
          <w:b/>
          <w:bCs/>
          <w:sz w:val="24"/>
          <w:szCs w:val="18"/>
          <w:highlight w:val="none"/>
        </w:rPr>
        <w:t>磋商文件的获取</w:t>
      </w:r>
      <w:bookmarkEnd w:id="8"/>
      <w:bookmarkEnd w:id="9"/>
    </w:p>
    <w:p w14:paraId="37F4D584">
      <w:pPr>
        <w:autoSpaceDE w:val="0"/>
        <w:autoSpaceDN w:val="0"/>
        <w:adjustRightInd w:val="0"/>
        <w:spacing w:line="360" w:lineRule="auto"/>
        <w:ind w:firstLine="436" w:firstLineChars="182"/>
        <w:jc w:val="left"/>
        <w:rPr>
          <w:rFonts w:hint="eastAsia" w:cs="宋体"/>
          <w:color w:val="FF0000"/>
          <w:sz w:val="24"/>
          <w:szCs w:val="18"/>
          <w:highlight w:val="none"/>
        </w:rPr>
      </w:pPr>
      <w:r>
        <w:rPr>
          <w:rFonts w:hint="eastAsia" w:cs="宋体"/>
          <w:color w:val="FF0000"/>
          <w:sz w:val="24"/>
          <w:szCs w:val="18"/>
          <w:highlight w:val="none"/>
        </w:rPr>
        <w:t>1.获取时间：202</w:t>
      </w:r>
      <w:r>
        <w:rPr>
          <w:rFonts w:hint="eastAsia" w:cs="宋体"/>
          <w:color w:val="FF0000"/>
          <w:sz w:val="24"/>
          <w:szCs w:val="18"/>
          <w:highlight w:val="none"/>
          <w:lang w:val="en-US" w:eastAsia="zh-CN"/>
        </w:rPr>
        <w:t>6</w:t>
      </w:r>
      <w:r>
        <w:rPr>
          <w:rFonts w:hint="eastAsia" w:cs="宋体"/>
          <w:color w:val="FF0000"/>
          <w:sz w:val="24"/>
          <w:szCs w:val="18"/>
          <w:highlight w:val="none"/>
        </w:rPr>
        <w:t>年</w:t>
      </w:r>
      <w:r>
        <w:rPr>
          <w:rFonts w:hint="eastAsia" w:cs="宋体"/>
          <w:color w:val="FF0000"/>
          <w:sz w:val="24"/>
          <w:szCs w:val="18"/>
          <w:highlight w:val="none"/>
          <w:lang w:val="en-US" w:eastAsia="zh-CN"/>
        </w:rPr>
        <w:t>5</w:t>
      </w:r>
      <w:r>
        <w:rPr>
          <w:rFonts w:hint="eastAsia" w:cs="宋体"/>
          <w:color w:val="FF0000"/>
          <w:sz w:val="24"/>
          <w:szCs w:val="18"/>
          <w:highlight w:val="none"/>
        </w:rPr>
        <w:t>月</w:t>
      </w:r>
      <w:r>
        <w:rPr>
          <w:rFonts w:hint="eastAsia" w:cs="宋体"/>
          <w:color w:val="FF0000"/>
          <w:sz w:val="24"/>
          <w:szCs w:val="18"/>
          <w:highlight w:val="none"/>
          <w:lang w:val="en-US" w:eastAsia="zh-CN"/>
        </w:rPr>
        <w:t>19</w:t>
      </w:r>
      <w:r>
        <w:rPr>
          <w:rFonts w:hint="eastAsia" w:cs="宋体"/>
          <w:color w:val="FF0000"/>
          <w:sz w:val="24"/>
          <w:szCs w:val="18"/>
          <w:highlight w:val="none"/>
        </w:rPr>
        <w:t>日至磋商时间</w:t>
      </w:r>
    </w:p>
    <w:p w14:paraId="025EE2F6">
      <w:pPr>
        <w:autoSpaceDE w:val="0"/>
        <w:autoSpaceDN w:val="0"/>
        <w:adjustRightInd w:val="0"/>
        <w:spacing w:line="360" w:lineRule="auto"/>
        <w:ind w:firstLine="436" w:firstLineChars="182"/>
        <w:jc w:val="left"/>
        <w:rPr>
          <w:rFonts w:hint="eastAsia" w:cs="宋体"/>
          <w:sz w:val="24"/>
          <w:szCs w:val="18"/>
          <w:highlight w:val="none"/>
        </w:rPr>
      </w:pPr>
      <w:r>
        <w:rPr>
          <w:rFonts w:hint="eastAsia" w:cs="宋体"/>
          <w:sz w:val="24"/>
          <w:szCs w:val="18"/>
          <w:highlight w:val="none"/>
        </w:rPr>
        <w:t>2.获取地点：优质采云采购平台（http://www.youzhicai.com/）</w:t>
      </w:r>
    </w:p>
    <w:p w14:paraId="4C727680">
      <w:pPr>
        <w:autoSpaceDE w:val="0"/>
        <w:autoSpaceDN w:val="0"/>
        <w:adjustRightInd w:val="0"/>
        <w:spacing w:line="360" w:lineRule="auto"/>
        <w:ind w:firstLine="436" w:firstLineChars="182"/>
        <w:jc w:val="left"/>
        <w:rPr>
          <w:rFonts w:hint="eastAsia" w:cs="宋体"/>
          <w:sz w:val="24"/>
          <w:szCs w:val="18"/>
          <w:highlight w:val="none"/>
        </w:rPr>
      </w:pPr>
      <w:r>
        <w:rPr>
          <w:rFonts w:hint="eastAsia" w:cs="宋体"/>
          <w:sz w:val="24"/>
          <w:szCs w:val="18"/>
          <w:highlight w:val="none"/>
        </w:rPr>
        <w:t>3.获取方式：在线下载</w:t>
      </w:r>
    </w:p>
    <w:p w14:paraId="267B7294">
      <w:pPr>
        <w:spacing w:line="360" w:lineRule="auto"/>
        <w:ind w:firstLine="435"/>
        <w:outlineLvl w:val="1"/>
        <w:rPr>
          <w:rFonts w:hint="eastAsia"/>
          <w:b/>
          <w:bCs/>
          <w:sz w:val="24"/>
          <w:szCs w:val="18"/>
          <w:highlight w:val="none"/>
        </w:rPr>
      </w:pPr>
      <w:bookmarkStart w:id="10" w:name="_Toc20076"/>
      <w:bookmarkStart w:id="11" w:name="_Toc4161"/>
      <w:r>
        <w:rPr>
          <w:rFonts w:hint="eastAsia"/>
          <w:b/>
          <w:bCs/>
          <w:sz w:val="24"/>
          <w:szCs w:val="18"/>
          <w:highlight w:val="none"/>
        </w:rPr>
        <w:t>四</w:t>
      </w:r>
      <w:r>
        <w:rPr>
          <w:rFonts w:hint="eastAsia"/>
          <w:b/>
          <w:sz w:val="24"/>
          <w:highlight w:val="none"/>
        </w:rPr>
        <w:t>、</w:t>
      </w:r>
      <w:r>
        <w:rPr>
          <w:rFonts w:hint="eastAsia"/>
          <w:b/>
          <w:bCs/>
          <w:sz w:val="24"/>
          <w:highlight w:val="none"/>
        </w:rPr>
        <w:t>磋商时间及地点</w:t>
      </w:r>
      <w:bookmarkEnd w:id="10"/>
      <w:bookmarkEnd w:id="11"/>
    </w:p>
    <w:p w14:paraId="029AF642">
      <w:pPr>
        <w:spacing w:line="360" w:lineRule="auto"/>
        <w:ind w:firstLine="435"/>
        <w:rPr>
          <w:rFonts w:hint="eastAsia" w:cs="宋体"/>
          <w:color w:val="FF0000"/>
          <w:sz w:val="24"/>
          <w:szCs w:val="18"/>
          <w:highlight w:val="none"/>
        </w:rPr>
      </w:pPr>
      <w:r>
        <w:rPr>
          <w:rFonts w:hint="eastAsia" w:cs="宋体"/>
          <w:color w:val="FF0000"/>
          <w:sz w:val="24"/>
          <w:szCs w:val="18"/>
          <w:highlight w:val="none"/>
        </w:rPr>
        <w:t>1.磋商时间：202</w:t>
      </w:r>
      <w:r>
        <w:rPr>
          <w:rFonts w:hint="eastAsia" w:cs="宋体"/>
          <w:color w:val="FF0000"/>
          <w:sz w:val="24"/>
          <w:szCs w:val="18"/>
          <w:highlight w:val="none"/>
          <w:lang w:val="en-US" w:eastAsia="zh-CN"/>
        </w:rPr>
        <w:t>6</w:t>
      </w:r>
      <w:r>
        <w:rPr>
          <w:rFonts w:hint="eastAsia" w:cs="宋体"/>
          <w:color w:val="FF0000"/>
          <w:sz w:val="24"/>
          <w:szCs w:val="18"/>
          <w:highlight w:val="none"/>
        </w:rPr>
        <w:t>年</w:t>
      </w:r>
      <w:r>
        <w:rPr>
          <w:rFonts w:hint="eastAsia" w:cs="宋体"/>
          <w:color w:val="FF0000"/>
          <w:sz w:val="24"/>
          <w:szCs w:val="18"/>
          <w:highlight w:val="none"/>
          <w:lang w:val="en-US" w:eastAsia="zh-CN"/>
        </w:rPr>
        <w:t>5</w:t>
      </w:r>
      <w:r>
        <w:rPr>
          <w:rFonts w:hint="eastAsia" w:cs="宋体"/>
          <w:color w:val="FF0000"/>
          <w:sz w:val="24"/>
          <w:szCs w:val="18"/>
          <w:highlight w:val="none"/>
        </w:rPr>
        <w:t>月</w:t>
      </w:r>
      <w:r>
        <w:rPr>
          <w:rFonts w:hint="eastAsia" w:cs="宋体"/>
          <w:color w:val="FF0000"/>
          <w:sz w:val="24"/>
          <w:szCs w:val="18"/>
          <w:highlight w:val="none"/>
          <w:lang w:val="en-US" w:eastAsia="zh-CN"/>
        </w:rPr>
        <w:t>27</w:t>
      </w:r>
      <w:r>
        <w:rPr>
          <w:rFonts w:hint="eastAsia" w:cs="宋体"/>
          <w:color w:val="FF0000"/>
          <w:sz w:val="24"/>
          <w:szCs w:val="18"/>
          <w:highlight w:val="none"/>
        </w:rPr>
        <w:t>日</w:t>
      </w:r>
      <w:r>
        <w:rPr>
          <w:rFonts w:hint="eastAsia" w:cs="宋体"/>
          <w:color w:val="FF0000"/>
          <w:sz w:val="24"/>
          <w:szCs w:val="18"/>
          <w:highlight w:val="none"/>
          <w:lang w:val="en-US" w:eastAsia="zh-CN"/>
        </w:rPr>
        <w:t>9</w:t>
      </w:r>
      <w:r>
        <w:rPr>
          <w:rFonts w:hint="eastAsia" w:cs="宋体"/>
          <w:color w:val="FF0000"/>
          <w:sz w:val="24"/>
          <w:szCs w:val="18"/>
          <w:highlight w:val="none"/>
        </w:rPr>
        <w:t>时</w:t>
      </w:r>
      <w:r>
        <w:rPr>
          <w:rFonts w:hint="eastAsia" w:cs="宋体"/>
          <w:color w:val="FF0000"/>
          <w:sz w:val="24"/>
          <w:szCs w:val="18"/>
          <w:highlight w:val="none"/>
          <w:lang w:val="en-US" w:eastAsia="zh-CN"/>
        </w:rPr>
        <w:t>0</w:t>
      </w:r>
      <w:r>
        <w:rPr>
          <w:rFonts w:hint="eastAsia" w:cs="宋体"/>
          <w:color w:val="FF0000"/>
          <w:sz w:val="24"/>
          <w:szCs w:val="18"/>
          <w:highlight w:val="none"/>
        </w:rPr>
        <w:t>0分</w:t>
      </w:r>
    </w:p>
    <w:p w14:paraId="1CB0BD77">
      <w:pPr>
        <w:spacing w:line="360" w:lineRule="auto"/>
        <w:ind w:firstLine="435"/>
        <w:rPr>
          <w:rFonts w:hint="eastAsia"/>
          <w:sz w:val="24"/>
          <w:szCs w:val="18"/>
          <w:highlight w:val="none"/>
        </w:rPr>
      </w:pPr>
      <w:r>
        <w:rPr>
          <w:rFonts w:hint="eastAsia" w:cs="宋体"/>
          <w:sz w:val="24"/>
          <w:szCs w:val="18"/>
          <w:highlight w:val="none"/>
        </w:rPr>
        <w:t>2.磋商地点：优质采云采购平台（http://www.youzhicai.com/）</w:t>
      </w:r>
    </w:p>
    <w:p w14:paraId="1CD1A24D">
      <w:pPr>
        <w:spacing w:line="360" w:lineRule="auto"/>
        <w:ind w:firstLine="435"/>
        <w:outlineLvl w:val="1"/>
        <w:rPr>
          <w:rFonts w:hint="eastAsia"/>
          <w:b/>
          <w:bCs/>
          <w:sz w:val="24"/>
          <w:szCs w:val="18"/>
          <w:highlight w:val="none"/>
        </w:rPr>
      </w:pPr>
      <w:bookmarkStart w:id="12" w:name="_Toc23523"/>
      <w:bookmarkStart w:id="13" w:name="_Toc8898"/>
      <w:r>
        <w:rPr>
          <w:rFonts w:hint="eastAsia"/>
          <w:b/>
          <w:bCs/>
          <w:sz w:val="24"/>
          <w:szCs w:val="18"/>
          <w:highlight w:val="none"/>
        </w:rPr>
        <w:t>五</w:t>
      </w:r>
      <w:r>
        <w:rPr>
          <w:rFonts w:hint="eastAsia"/>
          <w:b/>
          <w:sz w:val="24"/>
          <w:highlight w:val="none"/>
        </w:rPr>
        <w:t>、</w:t>
      </w:r>
      <w:r>
        <w:rPr>
          <w:rFonts w:hint="eastAsia"/>
          <w:b/>
          <w:bCs/>
          <w:sz w:val="24"/>
          <w:highlight w:val="none"/>
        </w:rPr>
        <w:t>响应文件提交截止时间</w:t>
      </w:r>
      <w:bookmarkEnd w:id="12"/>
      <w:bookmarkEnd w:id="13"/>
    </w:p>
    <w:p w14:paraId="648FF296">
      <w:pPr>
        <w:spacing w:line="360" w:lineRule="auto"/>
        <w:ind w:firstLine="435"/>
        <w:rPr>
          <w:rFonts w:hint="eastAsia"/>
          <w:sz w:val="24"/>
          <w:szCs w:val="18"/>
          <w:highlight w:val="none"/>
        </w:rPr>
      </w:pPr>
      <w:r>
        <w:rPr>
          <w:rFonts w:hint="eastAsia"/>
          <w:sz w:val="24"/>
          <w:szCs w:val="18"/>
          <w:highlight w:val="none"/>
        </w:rPr>
        <w:t>同磋商时间。</w:t>
      </w:r>
    </w:p>
    <w:p w14:paraId="1416B2F7">
      <w:pPr>
        <w:spacing w:line="360" w:lineRule="auto"/>
        <w:ind w:firstLine="435"/>
        <w:outlineLvl w:val="1"/>
        <w:rPr>
          <w:rFonts w:hint="eastAsia"/>
          <w:b/>
          <w:bCs/>
          <w:sz w:val="24"/>
          <w:szCs w:val="18"/>
          <w:highlight w:val="none"/>
        </w:rPr>
      </w:pPr>
      <w:bookmarkStart w:id="14" w:name="_Toc9965"/>
      <w:bookmarkStart w:id="15" w:name="_Toc5945"/>
      <w:r>
        <w:rPr>
          <w:rFonts w:hint="eastAsia"/>
          <w:b/>
          <w:bCs/>
          <w:sz w:val="24"/>
          <w:szCs w:val="18"/>
          <w:highlight w:val="none"/>
        </w:rPr>
        <w:t>六</w:t>
      </w:r>
      <w:r>
        <w:rPr>
          <w:rFonts w:hint="eastAsia"/>
          <w:b/>
          <w:sz w:val="24"/>
          <w:highlight w:val="none"/>
        </w:rPr>
        <w:t>、</w:t>
      </w:r>
      <w:r>
        <w:rPr>
          <w:rFonts w:hint="eastAsia"/>
          <w:b/>
          <w:bCs/>
          <w:sz w:val="24"/>
          <w:szCs w:val="18"/>
          <w:highlight w:val="none"/>
        </w:rPr>
        <w:t>联系方式</w:t>
      </w:r>
      <w:bookmarkEnd w:id="14"/>
      <w:bookmarkEnd w:id="15"/>
    </w:p>
    <w:p w14:paraId="241EFA0B">
      <w:pPr>
        <w:spacing w:line="360" w:lineRule="auto"/>
        <w:ind w:firstLine="480" w:firstLineChars="200"/>
        <w:rPr>
          <w:rFonts w:hint="eastAsia" w:eastAsia="宋体"/>
          <w:sz w:val="24"/>
          <w:szCs w:val="24"/>
          <w:highlight w:val="green"/>
          <w:lang w:eastAsia="zh-CN"/>
        </w:rPr>
      </w:pPr>
      <w:r>
        <w:rPr>
          <w:sz w:val="24"/>
          <w:szCs w:val="24"/>
          <w:highlight w:val="none"/>
        </w:rPr>
        <w:t>1.业主</w:t>
      </w:r>
      <w:r>
        <w:rPr>
          <w:rFonts w:hint="eastAsia"/>
          <w:sz w:val="24"/>
          <w:szCs w:val="24"/>
          <w:highlight w:val="none"/>
        </w:rPr>
        <w:t>单位</w:t>
      </w:r>
    </w:p>
    <w:p w14:paraId="5B31B64D">
      <w:pPr>
        <w:spacing w:line="360" w:lineRule="auto"/>
        <w:ind w:firstLine="480" w:firstLineChars="200"/>
        <w:rPr>
          <w:rFonts w:hint="eastAsia" w:eastAsia="宋体"/>
          <w:sz w:val="24"/>
          <w:szCs w:val="24"/>
          <w:highlight w:val="none"/>
          <w:lang w:eastAsia="zh-CN"/>
        </w:rPr>
      </w:pPr>
      <w:r>
        <w:rPr>
          <w:sz w:val="24"/>
          <w:szCs w:val="24"/>
          <w:highlight w:val="none"/>
        </w:rPr>
        <w:t>业主</w:t>
      </w:r>
      <w:r>
        <w:rPr>
          <w:rFonts w:hint="eastAsia"/>
          <w:sz w:val="24"/>
          <w:szCs w:val="24"/>
          <w:highlight w:val="none"/>
        </w:rPr>
        <w:t>单位：</w:t>
      </w:r>
      <w:r>
        <w:rPr>
          <w:rFonts w:hint="eastAsia"/>
          <w:sz w:val="24"/>
          <w:szCs w:val="24"/>
          <w:highlight w:val="none"/>
          <w:lang w:eastAsia="zh-CN"/>
        </w:rPr>
        <w:t>肥西县柿树岗乡卫生院</w:t>
      </w:r>
    </w:p>
    <w:p w14:paraId="048E7D6A">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地    址：肥西县柿树岗乡街道</w:t>
      </w:r>
    </w:p>
    <w:p w14:paraId="7EC54F55">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eastAsia="zh-CN"/>
        </w:rPr>
        <w:t>联系人：</w:t>
      </w:r>
      <w:r>
        <w:rPr>
          <w:rFonts w:hint="eastAsia" w:ascii="宋体" w:hAnsi="宋体" w:eastAsia="宋体" w:cs="Times New Roman"/>
          <w:sz w:val="24"/>
          <w:szCs w:val="24"/>
          <w:highlight w:val="none"/>
          <w:lang w:val="en-US" w:eastAsia="zh-CN"/>
        </w:rPr>
        <w:t>祝鸿晨</w:t>
      </w:r>
    </w:p>
    <w:p w14:paraId="202D1507">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电 话：</w:t>
      </w:r>
      <w:r>
        <w:rPr>
          <w:rFonts w:hint="eastAsia" w:ascii="宋体" w:hAnsi="宋体" w:eastAsia="宋体" w:cs="Times New Roman"/>
          <w:sz w:val="24"/>
          <w:szCs w:val="24"/>
          <w:highlight w:val="none"/>
          <w:lang w:val="en-US" w:eastAsia="zh-CN" w:bidi="ar-SA"/>
        </w:rPr>
        <w:t>0551-68261892</w:t>
      </w:r>
    </w:p>
    <w:p w14:paraId="3D97E8D4">
      <w:pPr>
        <w:spacing w:line="360" w:lineRule="auto"/>
        <w:ind w:firstLine="480" w:firstLineChars="200"/>
        <w:rPr>
          <w:rFonts w:hint="eastAsia"/>
          <w:sz w:val="24"/>
          <w:szCs w:val="24"/>
          <w:highlight w:val="none"/>
        </w:rPr>
      </w:pPr>
      <w:r>
        <w:rPr>
          <w:sz w:val="24"/>
          <w:szCs w:val="24"/>
          <w:highlight w:val="none"/>
        </w:rPr>
        <w:t>2</w:t>
      </w:r>
      <w:r>
        <w:rPr>
          <w:rFonts w:hint="eastAsia"/>
          <w:sz w:val="24"/>
          <w:szCs w:val="24"/>
          <w:highlight w:val="none"/>
        </w:rPr>
        <w:t>.代理机构</w:t>
      </w:r>
    </w:p>
    <w:p w14:paraId="5930907E">
      <w:pPr>
        <w:spacing w:line="360" w:lineRule="auto"/>
        <w:ind w:firstLine="480" w:firstLineChars="200"/>
        <w:rPr>
          <w:rFonts w:hint="eastAsia"/>
          <w:sz w:val="24"/>
          <w:szCs w:val="24"/>
          <w:highlight w:val="none"/>
        </w:rPr>
      </w:pPr>
      <w:r>
        <w:rPr>
          <w:rFonts w:hint="eastAsia"/>
          <w:sz w:val="24"/>
          <w:szCs w:val="24"/>
          <w:highlight w:val="none"/>
        </w:rPr>
        <w:t>代理机构：肥西县公共资源交易有限责任公司</w:t>
      </w:r>
    </w:p>
    <w:p w14:paraId="1D93645F">
      <w:pPr>
        <w:spacing w:line="360" w:lineRule="auto"/>
        <w:ind w:firstLine="480" w:firstLineChars="200"/>
        <w:rPr>
          <w:rFonts w:hint="eastAsia"/>
          <w:sz w:val="24"/>
          <w:szCs w:val="24"/>
          <w:highlight w:val="none"/>
        </w:rPr>
      </w:pPr>
      <w:r>
        <w:rPr>
          <w:rFonts w:hint="eastAsia"/>
          <w:sz w:val="24"/>
          <w:szCs w:val="24"/>
          <w:highlight w:val="none"/>
        </w:rPr>
        <w:t>地    址：肥西县上派镇紫石路与佛光路交叉口肥光办公区3号楼2楼</w:t>
      </w:r>
    </w:p>
    <w:p w14:paraId="0D8B6F48">
      <w:pPr>
        <w:spacing w:line="360" w:lineRule="auto"/>
        <w:ind w:firstLine="480" w:firstLineChars="200"/>
        <w:rPr>
          <w:rFonts w:hint="eastAsia" w:eastAsia="宋体"/>
          <w:sz w:val="24"/>
          <w:szCs w:val="24"/>
          <w:highlight w:val="none"/>
          <w:lang w:val="en-US" w:eastAsia="zh-CN"/>
        </w:rPr>
      </w:pPr>
      <w:r>
        <w:rPr>
          <w:rFonts w:hint="eastAsia"/>
          <w:sz w:val="24"/>
          <w:szCs w:val="24"/>
          <w:highlight w:val="none"/>
        </w:rPr>
        <w:t>联 系 人：</w:t>
      </w:r>
      <w:r>
        <w:rPr>
          <w:rFonts w:hint="eastAsia"/>
          <w:sz w:val="24"/>
          <w:szCs w:val="24"/>
          <w:highlight w:val="none"/>
          <w:lang w:val="en-US" w:eastAsia="zh-CN"/>
        </w:rPr>
        <w:t>唐工</w:t>
      </w:r>
    </w:p>
    <w:p w14:paraId="1EC22AE9">
      <w:pPr>
        <w:spacing w:line="360" w:lineRule="auto"/>
        <w:ind w:firstLine="480" w:firstLineChars="200"/>
        <w:rPr>
          <w:rFonts w:hint="default" w:eastAsia="宋体"/>
          <w:sz w:val="24"/>
          <w:szCs w:val="24"/>
          <w:highlight w:val="none"/>
          <w:lang w:val="en-US" w:eastAsia="zh-CN"/>
        </w:rPr>
      </w:pPr>
      <w:r>
        <w:rPr>
          <w:rFonts w:hint="eastAsia"/>
          <w:sz w:val="24"/>
          <w:szCs w:val="24"/>
          <w:highlight w:val="none"/>
        </w:rPr>
        <w:t xml:space="preserve">电   </w:t>
      </w:r>
      <w:r>
        <w:rPr>
          <w:sz w:val="24"/>
          <w:szCs w:val="24"/>
          <w:highlight w:val="none"/>
        </w:rPr>
        <w:t xml:space="preserve"> </w:t>
      </w:r>
      <w:r>
        <w:rPr>
          <w:rFonts w:hint="eastAsia"/>
          <w:sz w:val="24"/>
          <w:szCs w:val="24"/>
          <w:highlight w:val="none"/>
        </w:rPr>
        <w:t>话：0551-688</w:t>
      </w:r>
      <w:r>
        <w:rPr>
          <w:rFonts w:hint="eastAsia"/>
          <w:sz w:val="24"/>
          <w:szCs w:val="24"/>
          <w:highlight w:val="none"/>
          <w:lang w:val="en-US" w:eastAsia="zh-CN"/>
        </w:rPr>
        <w:t>38796</w:t>
      </w:r>
    </w:p>
    <w:p w14:paraId="6D52571B">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sz w:val="24"/>
          <w:szCs w:val="24"/>
          <w:highlight w:val="none"/>
          <w:lang w:val="en-US" w:eastAsia="zh-CN"/>
        </w:rPr>
      </w:pPr>
      <w:r>
        <w:rPr>
          <w:rFonts w:hint="eastAsia"/>
          <w:sz w:val="24"/>
          <w:szCs w:val="24"/>
          <w:highlight w:val="none"/>
          <w:lang w:val="en-US" w:eastAsia="zh-CN"/>
        </w:rPr>
        <w:t>3.监督管理部门：</w:t>
      </w:r>
      <w:r>
        <w:rPr>
          <w:rFonts w:hint="eastAsia" w:ascii="宋体" w:hAnsi="宋体" w:eastAsia="宋体" w:cs="Times New Roman"/>
          <w:sz w:val="24"/>
          <w:szCs w:val="24"/>
          <w:highlight w:val="none"/>
          <w:lang w:val="en-US" w:eastAsia="zh-CN" w:bidi="ar-SA"/>
        </w:rPr>
        <w:t>肥西县柿树岗乡卫生院</w:t>
      </w:r>
    </w:p>
    <w:p w14:paraId="7E7FB142">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sz w:val="24"/>
          <w:szCs w:val="24"/>
          <w:highlight w:val="none"/>
          <w:lang w:val="en-US" w:eastAsia="zh-CN"/>
        </w:rPr>
      </w:pPr>
      <w:r>
        <w:rPr>
          <w:rFonts w:hint="eastAsia"/>
          <w:sz w:val="24"/>
          <w:szCs w:val="24"/>
          <w:highlight w:val="none"/>
          <w:lang w:val="en-US" w:eastAsia="zh-CN"/>
        </w:rPr>
        <w:t>地 址：</w:t>
      </w:r>
      <w:r>
        <w:rPr>
          <w:rFonts w:hint="eastAsia" w:ascii="宋体" w:hAnsi="宋体" w:eastAsia="宋体" w:cs="Times New Roman"/>
          <w:sz w:val="24"/>
          <w:szCs w:val="24"/>
          <w:highlight w:val="none"/>
          <w:lang w:val="en-US" w:eastAsia="zh-CN" w:bidi="ar-SA"/>
        </w:rPr>
        <w:t>肥西县柿树岗乡街道</w:t>
      </w:r>
    </w:p>
    <w:p w14:paraId="2F68F0D0">
      <w:pPr>
        <w:spacing w:line="360" w:lineRule="auto"/>
        <w:ind w:firstLine="480" w:firstLineChars="200"/>
        <w:rPr>
          <w:rFonts w:hint="default" w:ascii="宋体" w:hAnsi="宋体" w:eastAsia="宋体" w:cs="Times New Roman"/>
          <w:sz w:val="24"/>
          <w:szCs w:val="24"/>
          <w:highlight w:val="none"/>
          <w:lang w:val="en-US" w:eastAsia="zh-CN" w:bidi="ar-SA"/>
        </w:rPr>
      </w:pPr>
      <w:r>
        <w:rPr>
          <w:rFonts w:hint="eastAsia"/>
          <w:sz w:val="24"/>
          <w:szCs w:val="24"/>
          <w:highlight w:val="none"/>
          <w:lang w:val="en-US" w:eastAsia="zh-CN"/>
        </w:rPr>
        <w:t>电 话：</w:t>
      </w:r>
      <w:r>
        <w:rPr>
          <w:rFonts w:hint="eastAsia" w:ascii="宋体" w:hAnsi="宋体" w:eastAsia="宋体" w:cs="Times New Roman"/>
          <w:sz w:val="24"/>
          <w:szCs w:val="24"/>
          <w:highlight w:val="none"/>
          <w:lang w:val="en-US" w:eastAsia="zh-CN" w:bidi="ar-SA"/>
        </w:rPr>
        <w:t>0551-68261892</w:t>
      </w:r>
    </w:p>
    <w:p w14:paraId="10FB62A4">
      <w:pPr>
        <w:spacing w:line="360" w:lineRule="auto"/>
        <w:ind w:firstLine="435"/>
        <w:outlineLvl w:val="1"/>
        <w:rPr>
          <w:rFonts w:hint="eastAsia" w:cs="宋体"/>
          <w:sz w:val="24"/>
          <w:szCs w:val="18"/>
          <w:highlight w:val="none"/>
        </w:rPr>
      </w:pPr>
      <w:bookmarkStart w:id="16" w:name="_Toc6161"/>
      <w:bookmarkStart w:id="17" w:name="_Toc28019"/>
      <w:r>
        <w:rPr>
          <w:rFonts w:hint="eastAsia"/>
          <w:b/>
          <w:sz w:val="24"/>
          <w:szCs w:val="18"/>
          <w:highlight w:val="none"/>
        </w:rPr>
        <w:t>七</w:t>
      </w:r>
      <w:r>
        <w:rPr>
          <w:rFonts w:hint="eastAsia"/>
          <w:b/>
          <w:sz w:val="24"/>
          <w:highlight w:val="none"/>
        </w:rPr>
        <w:t>、</w:t>
      </w:r>
      <w:r>
        <w:rPr>
          <w:rFonts w:hint="eastAsia"/>
          <w:b/>
          <w:sz w:val="24"/>
          <w:szCs w:val="18"/>
          <w:highlight w:val="none"/>
        </w:rPr>
        <w:t>其他事项说明</w:t>
      </w:r>
      <w:bookmarkEnd w:id="16"/>
      <w:bookmarkEnd w:id="17"/>
    </w:p>
    <w:p w14:paraId="7E08CE7C">
      <w:pPr>
        <w:spacing w:line="360" w:lineRule="auto"/>
        <w:ind w:firstLine="437"/>
        <w:rPr>
          <w:rFonts w:hint="eastAsia" w:cs="宋体"/>
          <w:sz w:val="24"/>
          <w:szCs w:val="18"/>
          <w:highlight w:val="none"/>
        </w:rPr>
      </w:pPr>
      <w:r>
        <w:rPr>
          <w:rFonts w:hint="eastAsia" w:cs="宋体"/>
          <w:sz w:val="24"/>
          <w:szCs w:val="18"/>
          <w:highlight w:val="none"/>
        </w:rPr>
        <w:t>1.本项目相关信息同时在肥西县公共资源交易有限责任公司、优质采云采购平台、安徽省招标投标信息网、中国采购与招标网上发布；</w:t>
      </w:r>
    </w:p>
    <w:p w14:paraId="2C8CD1EA">
      <w:pPr>
        <w:spacing w:line="360" w:lineRule="auto"/>
        <w:ind w:firstLine="437"/>
        <w:rPr>
          <w:rFonts w:hint="eastAsia" w:cs="宋体"/>
          <w:sz w:val="24"/>
          <w:szCs w:val="18"/>
          <w:highlight w:val="none"/>
        </w:rPr>
      </w:pPr>
      <w:r>
        <w:rPr>
          <w:rFonts w:hint="eastAsia" w:cs="宋体"/>
          <w:sz w:val="24"/>
          <w:szCs w:val="18"/>
          <w:highlight w:val="none"/>
        </w:rPr>
        <w:t>2.电子化交易要求：</w:t>
      </w:r>
    </w:p>
    <w:p w14:paraId="2ED979A3">
      <w:pPr>
        <w:spacing w:line="360" w:lineRule="auto"/>
        <w:ind w:firstLine="437"/>
        <w:rPr>
          <w:rFonts w:hint="eastAsia" w:cs="宋体"/>
          <w:sz w:val="24"/>
          <w:szCs w:val="18"/>
          <w:highlight w:val="none"/>
        </w:rPr>
      </w:pPr>
      <w:r>
        <w:rPr>
          <w:rFonts w:hint="eastAsia" w:cs="宋体"/>
          <w:sz w:val="24"/>
          <w:szCs w:val="18"/>
          <w:highlight w:val="none"/>
        </w:rPr>
        <w:t>（1）潜在</w:t>
      </w:r>
      <w:r>
        <w:rPr>
          <w:rFonts w:hint="eastAsia"/>
          <w:sz w:val="24"/>
          <w:szCs w:val="18"/>
          <w:highlight w:val="none"/>
        </w:rPr>
        <w:t>参审单位</w:t>
      </w:r>
      <w:r>
        <w:rPr>
          <w:rFonts w:hint="eastAsia" w:cs="宋体"/>
          <w:sz w:val="24"/>
          <w:szCs w:val="18"/>
          <w:highlight w:val="none"/>
        </w:rPr>
        <w:t>须登录“优质采云采购平台”（网址：http://www.youzhicai.com/，以下称“优质采平台”）参与本项目磋商活动。首次登录须办理注册手续，请务必选择注册为“参审单位角色”类型。注册流程见优质采平台“用户注册”栏目，咨询电话：400-0099-555。因未及时办理注册手续影响参加磋商活动的，责任自负。</w:t>
      </w:r>
    </w:p>
    <w:p w14:paraId="16BC9A9F">
      <w:pPr>
        <w:spacing w:line="360" w:lineRule="auto"/>
        <w:ind w:firstLine="437"/>
        <w:rPr>
          <w:rFonts w:hint="eastAsia" w:cs="宋体"/>
          <w:sz w:val="24"/>
          <w:szCs w:val="18"/>
          <w:highlight w:val="none"/>
        </w:rPr>
      </w:pPr>
      <w:r>
        <w:rPr>
          <w:rFonts w:hint="eastAsia" w:cs="宋体"/>
          <w:sz w:val="24"/>
          <w:szCs w:val="18"/>
          <w:highlight w:val="none"/>
        </w:rPr>
        <w:t>（2）已注册的潜在</w:t>
      </w:r>
      <w:r>
        <w:rPr>
          <w:rFonts w:hint="eastAsia"/>
          <w:sz w:val="24"/>
          <w:szCs w:val="18"/>
          <w:highlight w:val="none"/>
        </w:rPr>
        <w:t>参审单位</w:t>
      </w:r>
      <w:r>
        <w:rPr>
          <w:rFonts w:hint="eastAsia" w:cs="宋体"/>
          <w:sz w:val="24"/>
          <w:szCs w:val="18"/>
          <w:highlight w:val="none"/>
        </w:rPr>
        <w:t>可登录优质采平台获取磋商文件，本项目的磋商文件及其他资料（含澄清、答疑及相关补充文件）通过优质采平台发布，</w:t>
      </w:r>
      <w:r>
        <w:rPr>
          <w:sz w:val="24"/>
          <w:szCs w:val="18"/>
          <w:highlight w:val="none"/>
        </w:rPr>
        <w:t>业主</w:t>
      </w:r>
      <w:r>
        <w:rPr>
          <w:rFonts w:hint="eastAsia"/>
          <w:sz w:val="24"/>
          <w:szCs w:val="18"/>
          <w:highlight w:val="none"/>
        </w:rPr>
        <w:t>单位</w:t>
      </w:r>
      <w:r>
        <w:rPr>
          <w:rFonts w:hint="eastAsia" w:cs="宋体"/>
          <w:sz w:val="24"/>
          <w:szCs w:val="18"/>
          <w:highlight w:val="none"/>
        </w:rPr>
        <w:t>/代理机构不再另行书面通知，潜在</w:t>
      </w:r>
      <w:r>
        <w:rPr>
          <w:rFonts w:hint="eastAsia"/>
          <w:sz w:val="24"/>
          <w:szCs w:val="18"/>
          <w:highlight w:val="none"/>
        </w:rPr>
        <w:t>参审单位</w:t>
      </w:r>
      <w:r>
        <w:rPr>
          <w:rFonts w:hint="eastAsia" w:cs="宋体"/>
          <w:sz w:val="24"/>
          <w:szCs w:val="18"/>
          <w:highlight w:val="none"/>
        </w:rPr>
        <w:t>应及时关注、查阅优质采平台。因未及时查看导致不利后果的，责任自负。</w:t>
      </w:r>
    </w:p>
    <w:p w14:paraId="78253066">
      <w:pPr>
        <w:spacing w:line="360" w:lineRule="auto"/>
        <w:ind w:firstLine="437"/>
        <w:rPr>
          <w:rFonts w:hint="eastAsia" w:cs="宋体"/>
          <w:sz w:val="24"/>
          <w:szCs w:val="18"/>
          <w:highlight w:val="none"/>
        </w:rPr>
      </w:pPr>
      <w:r>
        <w:rPr>
          <w:rFonts w:hint="eastAsia" w:cs="宋体"/>
          <w:sz w:val="24"/>
          <w:szCs w:val="18"/>
          <w:highlight w:val="none"/>
        </w:rPr>
        <w:t>（3）已注册的潜在</w:t>
      </w:r>
      <w:r>
        <w:rPr>
          <w:rFonts w:hint="eastAsia"/>
          <w:sz w:val="24"/>
          <w:szCs w:val="18"/>
          <w:highlight w:val="none"/>
        </w:rPr>
        <w:t>参审单位</w:t>
      </w:r>
      <w:r>
        <w:rPr>
          <w:rFonts w:hint="eastAsia" w:cs="宋体"/>
          <w:sz w:val="24"/>
          <w:szCs w:val="18"/>
          <w:highlight w:val="none"/>
        </w:rPr>
        <w:t>若注册信息发生变更（如：与初始注册信息不一致），应及时网上提交变更申请。因未及时变更导致不利后果的，责任自负。</w:t>
      </w:r>
    </w:p>
    <w:p w14:paraId="4632793B">
      <w:pPr>
        <w:spacing w:line="360" w:lineRule="auto"/>
        <w:ind w:firstLine="437"/>
        <w:jc w:val="left"/>
        <w:rPr>
          <w:rFonts w:hint="eastAsia" w:cs="宋体"/>
          <w:sz w:val="24"/>
          <w:szCs w:val="18"/>
          <w:highlight w:val="none"/>
        </w:rPr>
      </w:pPr>
      <w:r>
        <w:rPr>
          <w:rFonts w:hint="eastAsia" w:cs="宋体"/>
          <w:sz w:val="24"/>
          <w:szCs w:val="18"/>
          <w:highlight w:val="none"/>
        </w:rPr>
        <w:t>（4）本项目采用全流程电子化磋商方式，潜在</w:t>
      </w:r>
      <w:r>
        <w:rPr>
          <w:rFonts w:hint="eastAsia"/>
          <w:sz w:val="24"/>
          <w:szCs w:val="18"/>
          <w:highlight w:val="none"/>
        </w:rPr>
        <w:t>参审单位</w:t>
      </w:r>
      <w:r>
        <w:rPr>
          <w:rFonts w:hint="eastAsia" w:cs="宋体"/>
          <w:sz w:val="24"/>
          <w:szCs w:val="18"/>
          <w:highlight w:val="none"/>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2235E389">
      <w:pPr>
        <w:spacing w:line="360" w:lineRule="auto"/>
        <w:ind w:firstLine="437"/>
        <w:rPr>
          <w:rFonts w:hint="eastAsia" w:cs="宋体"/>
          <w:sz w:val="24"/>
          <w:szCs w:val="18"/>
          <w:highlight w:val="none"/>
        </w:rPr>
      </w:pPr>
      <w:r>
        <w:rPr>
          <w:rFonts w:hint="eastAsia" w:cs="宋体"/>
          <w:sz w:val="24"/>
          <w:szCs w:val="18"/>
          <w:highlight w:val="none"/>
        </w:rPr>
        <w:t>（5）响应文件必须使用“优质采投标文件制作工具”制作生成并上传。下载地址：http://toolcdn.youzhicai.com/tools/BidderTools.zip，使用说明书及视频教程下载地址：http://file.youzhicai.com/files/BidderHelp.rar。</w:t>
      </w:r>
    </w:p>
    <w:p w14:paraId="2A049094">
      <w:pPr>
        <w:spacing w:line="360" w:lineRule="auto"/>
        <w:ind w:firstLine="437"/>
        <w:rPr>
          <w:rFonts w:hint="eastAsia"/>
          <w:highlight w:val="none"/>
        </w:rPr>
      </w:pPr>
      <w:r>
        <w:rPr>
          <w:rFonts w:hint="eastAsia" w:cs="宋体"/>
          <w:sz w:val="24"/>
          <w:szCs w:val="18"/>
          <w:highlight w:val="none"/>
        </w:rPr>
        <w:t>3.</w:t>
      </w:r>
      <w:r>
        <w:rPr>
          <w:rFonts w:hint="eastAsia"/>
          <w:sz w:val="24"/>
          <w:szCs w:val="18"/>
          <w:highlight w:val="none"/>
        </w:rPr>
        <w:t>参审单位</w:t>
      </w:r>
      <w:r>
        <w:rPr>
          <w:rFonts w:hint="eastAsia" w:cs="宋体"/>
          <w:sz w:val="24"/>
          <w:szCs w:val="18"/>
          <w:highlight w:val="none"/>
        </w:rPr>
        <w:t>应合理安排磋商文件获取时间，特别是网络速度慢的地区防止在系统关闭前网络拥堵无法操作。如果因计算机及网络故障造成无法完成磋商文件获取，责任自负。</w:t>
      </w:r>
    </w:p>
    <w:p w14:paraId="536B5C26">
      <w:pPr>
        <w:spacing w:line="360" w:lineRule="auto"/>
        <w:jc w:val="center"/>
        <w:outlineLvl w:val="0"/>
        <w:rPr>
          <w:rFonts w:hint="eastAsia"/>
          <w:b/>
          <w:sz w:val="28"/>
          <w:highlight w:val="none"/>
        </w:rPr>
      </w:pPr>
      <w:r>
        <w:rPr>
          <w:rFonts w:hint="eastAsia" w:cs="宋体"/>
          <w:sz w:val="24"/>
          <w:szCs w:val="18"/>
          <w:highlight w:val="none"/>
        </w:rPr>
        <w:br w:type="page"/>
      </w:r>
      <w:bookmarkStart w:id="18" w:name="_Toc2090"/>
      <w:r>
        <w:rPr>
          <w:rFonts w:hint="eastAsia"/>
          <w:b/>
          <w:sz w:val="28"/>
          <w:highlight w:val="none"/>
        </w:rPr>
        <w:t>第二章</w:t>
      </w:r>
      <w:r>
        <w:rPr>
          <w:b/>
          <w:sz w:val="28"/>
          <w:highlight w:val="none"/>
        </w:rPr>
        <w:t xml:space="preserve"> </w:t>
      </w:r>
      <w:r>
        <w:rPr>
          <w:rFonts w:hint="eastAsia"/>
          <w:b/>
          <w:sz w:val="28"/>
          <w:highlight w:val="none"/>
        </w:rPr>
        <w:t xml:space="preserve"> </w:t>
      </w:r>
      <w:r>
        <w:rPr>
          <w:rFonts w:hint="eastAsia"/>
          <w:b/>
          <w:sz w:val="28"/>
          <w:szCs w:val="18"/>
          <w:highlight w:val="none"/>
        </w:rPr>
        <w:t>参审单位</w:t>
      </w:r>
      <w:r>
        <w:rPr>
          <w:b/>
          <w:sz w:val="28"/>
          <w:highlight w:val="none"/>
        </w:rPr>
        <w:t>须知</w:t>
      </w:r>
      <w:bookmarkEnd w:id="18"/>
    </w:p>
    <w:p w14:paraId="62178231">
      <w:pPr>
        <w:spacing w:line="360" w:lineRule="auto"/>
        <w:jc w:val="center"/>
        <w:outlineLvl w:val="1"/>
        <w:rPr>
          <w:rFonts w:hint="eastAsia"/>
          <w:b/>
          <w:sz w:val="24"/>
          <w:highlight w:val="none"/>
        </w:rPr>
      </w:pPr>
      <w:bookmarkStart w:id="19" w:name="_Toc30726"/>
      <w:bookmarkStart w:id="20" w:name="_Toc29910"/>
      <w:r>
        <w:rPr>
          <w:rFonts w:hint="eastAsia"/>
          <w:b/>
          <w:sz w:val="24"/>
          <w:highlight w:val="none"/>
        </w:rPr>
        <w:t>一、</w:t>
      </w:r>
      <w:r>
        <w:rPr>
          <w:rFonts w:hint="eastAsia"/>
          <w:b/>
          <w:sz w:val="24"/>
          <w:szCs w:val="18"/>
          <w:highlight w:val="none"/>
        </w:rPr>
        <w:t>参审单位</w:t>
      </w:r>
      <w:r>
        <w:rPr>
          <w:b/>
          <w:sz w:val="24"/>
          <w:highlight w:val="none"/>
        </w:rPr>
        <w:t>须知前附表</w:t>
      </w:r>
      <w:bookmarkEnd w:id="19"/>
      <w:bookmarkEnd w:id="20"/>
    </w:p>
    <w:p w14:paraId="5F7585E7">
      <w:pPr>
        <w:spacing w:line="360" w:lineRule="auto"/>
        <w:ind w:firstLine="435"/>
        <w:rPr>
          <w:rFonts w:hint="eastAsia"/>
          <w:sz w:val="24"/>
          <w:szCs w:val="18"/>
          <w:highlight w:val="none"/>
        </w:rPr>
      </w:pPr>
      <w:r>
        <w:rPr>
          <w:rFonts w:hint="eastAsia"/>
          <w:b/>
          <w:bCs/>
          <w:sz w:val="24"/>
          <w:szCs w:val="18"/>
          <w:highlight w:val="none"/>
        </w:rPr>
        <w:t>注：</w:t>
      </w:r>
      <w:r>
        <w:rPr>
          <w:rFonts w:hint="eastAsia"/>
          <w:sz w:val="24"/>
          <w:szCs w:val="18"/>
          <w:highlight w:val="none"/>
        </w:rPr>
        <w:t>本表是本项目的具体要求，是对参审单位须知的具体补充和修改，如有不一致，以本表为准。</w:t>
      </w:r>
    </w:p>
    <w:tbl>
      <w:tblPr>
        <w:tblStyle w:val="13"/>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52E7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3C48E23">
            <w:pPr>
              <w:pStyle w:val="19"/>
              <w:widowControl w:val="0"/>
              <w:spacing w:before="0" w:beforeAutospacing="0" w:after="0" w:afterAutospacing="0" w:line="360" w:lineRule="auto"/>
              <w:rPr>
                <w:rFonts w:hint="eastAsia"/>
                <w:bCs w:val="0"/>
                <w:color w:val="000000" w:themeColor="text1"/>
                <w:kern w:val="2"/>
                <w:sz w:val="24"/>
                <w:szCs w:val="20"/>
                <w:highlight w:val="none"/>
                <w14:textFill>
                  <w14:solidFill>
                    <w14:schemeClr w14:val="tx1"/>
                  </w14:solidFill>
                </w14:textFill>
              </w:rPr>
            </w:pPr>
            <w:r>
              <w:rPr>
                <w:rFonts w:hint="eastAsia"/>
                <w:bCs w:val="0"/>
                <w:color w:val="000000" w:themeColor="text1"/>
                <w:kern w:val="2"/>
                <w:sz w:val="24"/>
                <w:szCs w:val="20"/>
                <w:highlight w:val="none"/>
                <w14:textFill>
                  <w14:solidFill>
                    <w14:schemeClr w14:val="tx1"/>
                  </w14:solidFill>
                </w14:textFill>
              </w:rPr>
              <w:t>条款号</w:t>
            </w:r>
          </w:p>
        </w:tc>
        <w:tc>
          <w:tcPr>
            <w:tcW w:w="2031" w:type="dxa"/>
            <w:vAlign w:val="center"/>
          </w:tcPr>
          <w:p w14:paraId="30EE6542">
            <w:pPr>
              <w:pStyle w:val="19"/>
              <w:widowControl w:val="0"/>
              <w:spacing w:before="0" w:beforeAutospacing="0" w:after="0" w:afterAutospacing="0" w:line="360" w:lineRule="auto"/>
              <w:rPr>
                <w:rFonts w:hint="eastAsia"/>
                <w:bCs w:val="0"/>
                <w:color w:val="000000" w:themeColor="text1"/>
                <w:kern w:val="2"/>
                <w:sz w:val="24"/>
                <w:szCs w:val="20"/>
                <w:highlight w:val="none"/>
                <w14:textFill>
                  <w14:solidFill>
                    <w14:schemeClr w14:val="tx1"/>
                  </w14:solidFill>
                </w14:textFill>
              </w:rPr>
            </w:pPr>
            <w:r>
              <w:rPr>
                <w:rFonts w:hint="eastAsia"/>
                <w:bCs w:val="0"/>
                <w:color w:val="000000" w:themeColor="text1"/>
                <w:kern w:val="2"/>
                <w:sz w:val="24"/>
                <w:szCs w:val="20"/>
                <w:highlight w:val="none"/>
                <w14:textFill>
                  <w14:solidFill>
                    <w14:schemeClr w14:val="tx1"/>
                  </w14:solidFill>
                </w14:textFill>
              </w:rPr>
              <w:t>条款名称</w:t>
            </w:r>
          </w:p>
        </w:tc>
        <w:tc>
          <w:tcPr>
            <w:tcW w:w="6020" w:type="dxa"/>
            <w:vAlign w:val="center"/>
          </w:tcPr>
          <w:p w14:paraId="1A86C859">
            <w:pPr>
              <w:pStyle w:val="19"/>
              <w:widowControl w:val="0"/>
              <w:spacing w:before="0" w:beforeAutospacing="0" w:after="0" w:afterAutospacing="0" w:line="360" w:lineRule="auto"/>
              <w:rPr>
                <w:rFonts w:hint="eastAsia"/>
                <w:bCs w:val="0"/>
                <w:color w:val="000000" w:themeColor="text1"/>
                <w:kern w:val="2"/>
                <w:sz w:val="24"/>
                <w:szCs w:val="20"/>
                <w:highlight w:val="none"/>
                <w14:textFill>
                  <w14:solidFill>
                    <w14:schemeClr w14:val="tx1"/>
                  </w14:solidFill>
                </w14:textFill>
              </w:rPr>
            </w:pPr>
            <w:r>
              <w:rPr>
                <w:rFonts w:hint="eastAsia"/>
                <w:bCs w:val="0"/>
                <w:color w:val="000000" w:themeColor="text1"/>
                <w:kern w:val="2"/>
                <w:sz w:val="24"/>
                <w:szCs w:val="20"/>
                <w:highlight w:val="none"/>
                <w14:textFill>
                  <w14:solidFill>
                    <w14:schemeClr w14:val="tx1"/>
                  </w14:solidFill>
                </w14:textFill>
              </w:rPr>
              <w:t>内容、说明与要求</w:t>
            </w:r>
          </w:p>
        </w:tc>
      </w:tr>
      <w:tr w14:paraId="5807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78B2D09">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w:t>
            </w:r>
            <w:r>
              <w:rPr>
                <w:bCs/>
                <w:color w:val="000000" w:themeColor="text1"/>
                <w:kern w:val="2"/>
                <w:highlight w:val="none"/>
                <w14:textFill>
                  <w14:solidFill>
                    <w14:schemeClr w14:val="tx1"/>
                  </w14:solidFill>
                </w14:textFill>
              </w:rPr>
              <w:t>.1</w:t>
            </w:r>
          </w:p>
        </w:tc>
        <w:tc>
          <w:tcPr>
            <w:tcW w:w="2031" w:type="dxa"/>
            <w:vAlign w:val="center"/>
          </w:tcPr>
          <w:p w14:paraId="133BDBBE">
            <w:pPr>
              <w:pStyle w:val="19"/>
              <w:widowControl w:val="0"/>
              <w:spacing w:before="0" w:beforeAutospacing="0" w:after="0" w:afterAutospacing="0" w:line="360" w:lineRule="auto"/>
              <w:jc w:val="left"/>
              <w:rPr>
                <w:rFonts w:hint="eastAsia"/>
                <w:b w:val="0"/>
                <w:bCs w:val="0"/>
                <w:color w:val="000000" w:themeColor="text1"/>
                <w:sz w:val="24"/>
                <w:highlight w:val="none"/>
                <w14:textFill>
                  <w14:solidFill>
                    <w14:schemeClr w14:val="tx1"/>
                  </w14:solidFill>
                </w14:textFill>
              </w:rPr>
            </w:pPr>
            <w:r>
              <w:rPr>
                <w:b w:val="0"/>
                <w:color w:val="000000" w:themeColor="text1"/>
                <w:sz w:val="24"/>
                <w:szCs w:val="18"/>
                <w:highlight w:val="none"/>
                <w14:textFill>
                  <w14:solidFill>
                    <w14:schemeClr w14:val="tx1"/>
                  </w14:solidFill>
                </w14:textFill>
              </w:rPr>
              <w:t>业主</w:t>
            </w:r>
            <w:r>
              <w:rPr>
                <w:rFonts w:hint="eastAsia"/>
                <w:b w:val="0"/>
                <w:color w:val="000000" w:themeColor="text1"/>
                <w:sz w:val="24"/>
                <w:szCs w:val="18"/>
                <w:highlight w:val="none"/>
                <w14:textFill>
                  <w14:solidFill>
                    <w14:schemeClr w14:val="tx1"/>
                  </w14:solidFill>
                </w14:textFill>
              </w:rPr>
              <w:t>单位</w:t>
            </w:r>
          </w:p>
        </w:tc>
        <w:tc>
          <w:tcPr>
            <w:tcW w:w="6020" w:type="dxa"/>
            <w:vAlign w:val="center"/>
          </w:tcPr>
          <w:p w14:paraId="09E80895">
            <w:pPr>
              <w:pStyle w:val="19"/>
              <w:widowControl w:val="0"/>
              <w:spacing w:before="0" w:beforeAutospacing="0" w:after="0" w:afterAutospacing="0" w:line="360" w:lineRule="auto"/>
              <w:jc w:val="both"/>
              <w:rPr>
                <w:rFonts w:hint="eastAsia" w:eastAsia="宋体"/>
                <w:b w:val="0"/>
                <w:bCs w:val="0"/>
                <w:color w:val="000000" w:themeColor="text1"/>
                <w:kern w:val="2"/>
                <w:sz w:val="24"/>
                <w:szCs w:val="20"/>
                <w:highlight w:val="none"/>
                <w:lang w:eastAsia="zh-CN"/>
                <w14:textFill>
                  <w14:solidFill>
                    <w14:schemeClr w14:val="tx1"/>
                  </w14:solidFill>
                </w14:textFill>
              </w:rPr>
            </w:pPr>
            <w:r>
              <w:rPr>
                <w:rFonts w:hint="eastAsia"/>
                <w:b w:val="0"/>
                <w:bCs w:val="0"/>
                <w:color w:val="000000" w:themeColor="text1"/>
                <w:sz w:val="24"/>
                <w:szCs w:val="18"/>
                <w:highlight w:val="none"/>
                <w:lang w:eastAsia="zh-CN"/>
                <w14:textFill>
                  <w14:solidFill>
                    <w14:schemeClr w14:val="tx1"/>
                  </w14:solidFill>
                </w14:textFill>
              </w:rPr>
              <w:t>肥西县柿树岗乡卫生院</w:t>
            </w:r>
          </w:p>
        </w:tc>
      </w:tr>
      <w:tr w14:paraId="3303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28AD853">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w:t>
            </w:r>
            <w:r>
              <w:rPr>
                <w:bCs/>
                <w:color w:val="000000" w:themeColor="text1"/>
                <w:kern w:val="2"/>
                <w:highlight w:val="none"/>
                <w14:textFill>
                  <w14:solidFill>
                    <w14:schemeClr w14:val="tx1"/>
                  </w14:solidFill>
                </w14:textFill>
              </w:rPr>
              <w:t>.2</w:t>
            </w:r>
          </w:p>
        </w:tc>
        <w:tc>
          <w:tcPr>
            <w:tcW w:w="2031" w:type="dxa"/>
            <w:vAlign w:val="center"/>
          </w:tcPr>
          <w:p w14:paraId="02029B4E">
            <w:pPr>
              <w:pStyle w:val="19"/>
              <w:widowControl w:val="0"/>
              <w:spacing w:before="0" w:beforeAutospacing="0" w:after="0" w:afterAutospacing="0" w:line="360" w:lineRule="auto"/>
              <w:jc w:val="left"/>
              <w:rPr>
                <w:rFonts w:hint="eastAsia"/>
                <w:b w:val="0"/>
                <w:bCs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代理机构</w:t>
            </w:r>
          </w:p>
        </w:tc>
        <w:tc>
          <w:tcPr>
            <w:tcW w:w="6020" w:type="dxa"/>
            <w:vAlign w:val="center"/>
          </w:tcPr>
          <w:p w14:paraId="4A1417EC">
            <w:pPr>
              <w:pStyle w:val="19"/>
              <w:widowControl w:val="0"/>
              <w:spacing w:before="0" w:beforeAutospacing="0" w:after="0" w:afterAutospacing="0" w:line="360" w:lineRule="auto"/>
              <w:jc w:val="both"/>
              <w:rPr>
                <w:rFonts w:hint="eastAsia"/>
                <w:b w:val="0"/>
                <w:bCs w:val="0"/>
                <w:color w:val="000000" w:themeColor="text1"/>
                <w:sz w:val="24"/>
                <w:szCs w:val="18"/>
                <w:highlight w:val="none"/>
                <w14:textFill>
                  <w14:solidFill>
                    <w14:schemeClr w14:val="tx1"/>
                  </w14:solidFill>
                </w14:textFill>
              </w:rPr>
            </w:pPr>
            <w:r>
              <w:rPr>
                <w:rFonts w:hint="eastAsia"/>
                <w:b w:val="0"/>
                <w:bCs w:val="0"/>
                <w:color w:val="000000" w:themeColor="text1"/>
                <w:sz w:val="24"/>
                <w:szCs w:val="18"/>
                <w:highlight w:val="none"/>
                <w14:textFill>
                  <w14:solidFill>
                    <w14:schemeClr w14:val="tx1"/>
                  </w14:solidFill>
                </w14:textFill>
              </w:rPr>
              <w:t>肥西县公共资源交易有限责任公司</w:t>
            </w:r>
          </w:p>
        </w:tc>
      </w:tr>
      <w:tr w14:paraId="680F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12E7EA2">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w:t>
            </w:r>
            <w:r>
              <w:rPr>
                <w:bCs/>
                <w:color w:val="000000" w:themeColor="text1"/>
                <w:kern w:val="2"/>
                <w:highlight w:val="none"/>
                <w14:textFill>
                  <w14:solidFill>
                    <w14:schemeClr w14:val="tx1"/>
                  </w14:solidFill>
                </w14:textFill>
              </w:rPr>
              <w:t>.4.</w:t>
            </w:r>
            <w:r>
              <w:rPr>
                <w:rFonts w:hint="eastAsia"/>
                <w:bCs/>
                <w:color w:val="000000" w:themeColor="text1"/>
                <w:kern w:val="2"/>
                <w:highlight w:val="none"/>
                <w14:textFill>
                  <w14:solidFill>
                    <w14:schemeClr w14:val="tx1"/>
                  </w14:solidFill>
                </w14:textFill>
              </w:rPr>
              <w:t>4</w:t>
            </w:r>
          </w:p>
        </w:tc>
        <w:tc>
          <w:tcPr>
            <w:tcW w:w="2031" w:type="dxa"/>
            <w:vAlign w:val="center"/>
          </w:tcPr>
          <w:p w14:paraId="0D7A8F25">
            <w:pPr>
              <w:pStyle w:val="19"/>
              <w:widowControl w:val="0"/>
              <w:spacing w:before="0" w:beforeAutospacing="0" w:after="0" w:afterAutospacing="0" w:line="360" w:lineRule="auto"/>
              <w:jc w:val="left"/>
              <w:rPr>
                <w:rFonts w:hint="eastAsia"/>
                <w:b w:val="0"/>
                <w:color w:val="FF0000"/>
                <w:sz w:val="24"/>
                <w:highlight w:val="none"/>
              </w:rPr>
            </w:pPr>
            <w:r>
              <w:rPr>
                <w:rFonts w:hint="eastAsia"/>
                <w:b w:val="0"/>
                <w:bCs w:val="0"/>
                <w:color w:val="FF0000"/>
                <w:sz w:val="24"/>
                <w:highlight w:val="none"/>
              </w:rPr>
              <w:t>是否允许联合体参加磋商</w:t>
            </w:r>
          </w:p>
        </w:tc>
        <w:tc>
          <w:tcPr>
            <w:tcW w:w="6020" w:type="dxa"/>
            <w:vAlign w:val="center"/>
          </w:tcPr>
          <w:p w14:paraId="2520A1A7">
            <w:pPr>
              <w:pStyle w:val="19"/>
              <w:widowControl w:val="0"/>
              <w:spacing w:before="0" w:beforeAutospacing="0" w:after="0" w:afterAutospacing="0" w:line="360" w:lineRule="auto"/>
              <w:jc w:val="both"/>
              <w:rPr>
                <w:rFonts w:hint="eastAsia"/>
                <w:b w:val="0"/>
                <w:bCs w:val="0"/>
                <w:color w:val="FF0000"/>
                <w:sz w:val="24"/>
                <w:szCs w:val="18"/>
                <w:highlight w:val="none"/>
              </w:rPr>
            </w:pPr>
            <w:r>
              <w:rPr>
                <w:rFonts w:hint="eastAsia"/>
                <w:b w:val="0"/>
                <w:color w:val="FF0000"/>
                <w:sz w:val="24"/>
                <w:highlight w:val="none"/>
              </w:rPr>
              <w:t xml:space="preserve">□是  </w:t>
            </w:r>
            <w:r>
              <w:rPr>
                <w:rFonts w:hint="eastAsia"/>
                <w:b w:val="0"/>
                <w:color w:val="FF0000"/>
                <w:sz w:val="24"/>
                <w:highlight w:val="none"/>
                <w:lang w:eastAsia="zh-CN"/>
              </w:rPr>
              <w:t>☑</w:t>
            </w:r>
            <w:r>
              <w:rPr>
                <w:rFonts w:hint="eastAsia"/>
                <w:b w:val="0"/>
                <w:color w:val="FF0000"/>
                <w:sz w:val="24"/>
                <w:highlight w:val="none"/>
              </w:rPr>
              <w:t>否</w:t>
            </w:r>
          </w:p>
        </w:tc>
      </w:tr>
      <w:tr w14:paraId="2C97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D674DB8">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7</w:t>
            </w:r>
            <w:r>
              <w:rPr>
                <w:bCs/>
                <w:color w:val="000000" w:themeColor="text1"/>
                <w:kern w:val="2"/>
                <w:highlight w:val="none"/>
                <w14:textFill>
                  <w14:solidFill>
                    <w14:schemeClr w14:val="tx1"/>
                  </w14:solidFill>
                </w14:textFill>
              </w:rPr>
              <w:t>.3</w:t>
            </w:r>
          </w:p>
        </w:tc>
        <w:tc>
          <w:tcPr>
            <w:tcW w:w="2031" w:type="dxa"/>
            <w:vAlign w:val="center"/>
          </w:tcPr>
          <w:p w14:paraId="0EAC0832">
            <w:pPr>
              <w:pStyle w:val="19"/>
              <w:widowControl w:val="0"/>
              <w:spacing w:before="0" w:beforeAutospacing="0" w:after="0" w:afterAutospacing="0" w:line="360" w:lineRule="auto"/>
              <w:jc w:val="left"/>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现场踏勘</w:t>
            </w:r>
          </w:p>
        </w:tc>
        <w:tc>
          <w:tcPr>
            <w:tcW w:w="6020" w:type="dxa"/>
            <w:vAlign w:val="center"/>
          </w:tcPr>
          <w:p w14:paraId="2C594BF0">
            <w:pPr>
              <w:spacing w:line="360" w:lineRule="auto"/>
              <w:rPr>
                <w:rFonts w:hint="eastAsia" w:cs="@仿宋_GB2312"/>
                <w:bCs/>
                <w:color w:val="000000" w:themeColor="text1"/>
                <w:kern w:val="2"/>
                <w:sz w:val="24"/>
                <w:highlight w:val="none"/>
                <w14:textFill>
                  <w14:solidFill>
                    <w14:schemeClr w14:val="tx1"/>
                  </w14:solidFill>
                </w14:textFill>
              </w:rPr>
            </w:pPr>
            <w:r>
              <w:rPr>
                <w:rFonts w:hint="eastAsia" w:cs="@仿宋_GB2312"/>
                <w:bCs/>
                <w:color w:val="000000" w:themeColor="text1"/>
                <w:kern w:val="2"/>
                <w:sz w:val="24"/>
                <w:highlight w:val="none"/>
                <w14:textFill>
                  <w14:solidFill>
                    <w14:schemeClr w14:val="tx1"/>
                  </w14:solidFill>
                </w14:textFill>
              </w:rPr>
              <w:t>☑自行踏勘</w:t>
            </w:r>
          </w:p>
          <w:p w14:paraId="752EEE3F">
            <w:pPr>
              <w:spacing w:line="360" w:lineRule="auto"/>
              <w:rPr>
                <w:rFonts w:hint="eastAsia"/>
                <w:color w:val="000000" w:themeColor="text1"/>
                <w:sz w:val="24"/>
                <w:highlight w:val="none"/>
                <w14:textFill>
                  <w14:solidFill>
                    <w14:schemeClr w14:val="tx1"/>
                  </w14:solidFill>
                </w14:textFill>
              </w:rPr>
            </w:pPr>
            <w:r>
              <w:rPr>
                <w:rFonts w:hint="eastAsia" w:cs="@仿宋_GB2312"/>
                <w:color w:val="000000" w:themeColor="text1"/>
                <w:kern w:val="2"/>
                <w:sz w:val="24"/>
                <w:highlight w:val="none"/>
                <w14:textFill>
                  <w14:solidFill>
                    <w14:schemeClr w14:val="tx1"/>
                  </w14:solidFill>
                </w14:textFill>
              </w:rPr>
              <w:t>□</w:t>
            </w:r>
            <w:r>
              <w:rPr>
                <w:rFonts w:hint="eastAsia" w:cs="@仿宋_GB2312"/>
                <w:bCs/>
                <w:color w:val="000000" w:themeColor="text1"/>
                <w:kern w:val="2"/>
                <w:sz w:val="24"/>
                <w:highlight w:val="none"/>
                <w14:textFill>
                  <w14:solidFill>
                    <w14:schemeClr w14:val="tx1"/>
                  </w14:solidFill>
                </w14:textFill>
              </w:rPr>
              <w:t>集中组织</w:t>
            </w:r>
          </w:p>
        </w:tc>
      </w:tr>
      <w:tr w14:paraId="1FB4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BB23992">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8</w:t>
            </w:r>
            <w:r>
              <w:rPr>
                <w:bCs/>
                <w:color w:val="000000" w:themeColor="text1"/>
                <w:kern w:val="2"/>
                <w:highlight w:val="none"/>
                <w14:textFill>
                  <w14:solidFill>
                    <w14:schemeClr w14:val="tx1"/>
                  </w14:solidFill>
                </w14:textFill>
              </w:rPr>
              <w:t>.1</w:t>
            </w:r>
          </w:p>
        </w:tc>
        <w:tc>
          <w:tcPr>
            <w:tcW w:w="2031" w:type="dxa"/>
            <w:vAlign w:val="center"/>
          </w:tcPr>
          <w:p w14:paraId="716A4525">
            <w:pPr>
              <w:pStyle w:val="19"/>
              <w:widowControl w:val="0"/>
              <w:spacing w:before="0" w:beforeAutospacing="0" w:after="0" w:afterAutospacing="0" w:line="360" w:lineRule="auto"/>
              <w:jc w:val="left"/>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网上询问截止时间</w:t>
            </w:r>
          </w:p>
        </w:tc>
        <w:tc>
          <w:tcPr>
            <w:tcW w:w="6020" w:type="dxa"/>
            <w:vAlign w:val="center"/>
          </w:tcPr>
          <w:p w14:paraId="0152B367">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FF0000"/>
                <w:sz w:val="24"/>
                <w:highlight w:val="none"/>
                <w:u w:val="single"/>
              </w:rPr>
              <w:t>202</w:t>
            </w:r>
            <w:r>
              <w:rPr>
                <w:rFonts w:hint="eastAsia"/>
                <w:b w:val="0"/>
                <w:color w:val="FF0000"/>
                <w:sz w:val="24"/>
                <w:highlight w:val="none"/>
                <w:u w:val="single"/>
                <w:lang w:val="en-US" w:eastAsia="zh-CN"/>
              </w:rPr>
              <w:t>6</w:t>
            </w:r>
            <w:r>
              <w:rPr>
                <w:rFonts w:hint="eastAsia"/>
                <w:b w:val="0"/>
                <w:color w:val="FF0000"/>
                <w:sz w:val="24"/>
                <w:highlight w:val="none"/>
              </w:rPr>
              <w:t>年</w:t>
            </w:r>
            <w:r>
              <w:rPr>
                <w:rFonts w:hint="eastAsia"/>
                <w:b w:val="0"/>
                <w:color w:val="FF0000"/>
                <w:sz w:val="24"/>
                <w:highlight w:val="none"/>
                <w:u w:val="single"/>
                <w:lang w:val="en-US" w:eastAsia="zh-CN"/>
              </w:rPr>
              <w:t>5</w:t>
            </w:r>
            <w:r>
              <w:rPr>
                <w:rFonts w:hint="eastAsia"/>
                <w:b w:val="0"/>
                <w:color w:val="FF0000"/>
                <w:sz w:val="24"/>
                <w:highlight w:val="none"/>
              </w:rPr>
              <w:t>月</w:t>
            </w:r>
            <w:r>
              <w:rPr>
                <w:rFonts w:hint="eastAsia"/>
                <w:b w:val="0"/>
                <w:color w:val="FF0000"/>
                <w:sz w:val="24"/>
                <w:highlight w:val="none"/>
                <w:u w:val="single"/>
                <w:lang w:val="en-US" w:eastAsia="zh-CN"/>
              </w:rPr>
              <w:t>26</w:t>
            </w:r>
            <w:r>
              <w:rPr>
                <w:rFonts w:hint="eastAsia"/>
                <w:b w:val="0"/>
                <w:color w:val="FF0000"/>
                <w:sz w:val="24"/>
                <w:highlight w:val="none"/>
              </w:rPr>
              <w:t>日17：30前接受网上答疑</w:t>
            </w:r>
            <w:r>
              <w:rPr>
                <w:rFonts w:hint="eastAsia"/>
                <w:b w:val="0"/>
                <w:color w:val="000000" w:themeColor="text1"/>
                <w:sz w:val="24"/>
                <w:highlight w:val="none"/>
                <w14:textFill>
                  <w14:solidFill>
                    <w14:schemeClr w14:val="tx1"/>
                  </w14:solidFill>
                </w14:textFill>
              </w:rPr>
              <w:t>（逾期不予受理），疑问的提出与答疑获取详见磋商文件第二章</w:t>
            </w:r>
            <w:r>
              <w:rPr>
                <w:rFonts w:hint="eastAsia"/>
                <w:b w:val="0"/>
                <w:color w:val="000000" w:themeColor="text1"/>
                <w:sz w:val="24"/>
                <w:szCs w:val="18"/>
                <w:highlight w:val="none"/>
                <w14:textFill>
                  <w14:solidFill>
                    <w14:schemeClr w14:val="tx1"/>
                  </w14:solidFill>
                </w14:textFill>
              </w:rPr>
              <w:t>参审单位</w:t>
            </w:r>
            <w:r>
              <w:rPr>
                <w:rFonts w:hint="eastAsia"/>
                <w:b w:val="0"/>
                <w:color w:val="000000" w:themeColor="text1"/>
                <w:sz w:val="24"/>
                <w:highlight w:val="none"/>
                <w14:textFill>
                  <w14:solidFill>
                    <w14:schemeClr w14:val="tx1"/>
                  </w14:solidFill>
                </w14:textFill>
              </w:rPr>
              <w:t>须知。</w:t>
            </w:r>
          </w:p>
          <w:p w14:paraId="21668966">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szCs w:val="18"/>
                <w:highlight w:val="none"/>
                <w14:textFill>
                  <w14:solidFill>
                    <w14:schemeClr w14:val="tx1"/>
                  </w14:solidFill>
                </w14:textFill>
              </w:rPr>
              <w:t>参审单位</w:t>
            </w:r>
            <w:r>
              <w:rPr>
                <w:rFonts w:hint="eastAsia"/>
                <w:b w:val="0"/>
                <w:color w:val="000000" w:themeColor="text1"/>
                <w:sz w:val="24"/>
                <w:highlight w:val="none"/>
                <w14:textFill>
                  <w14:solidFill>
                    <w14:schemeClr w14:val="tx1"/>
                  </w14:solidFill>
                </w14:textFill>
              </w:rPr>
              <w:t>请注意：肥西县公共资源交易有限责任公司对磋商文件进行的澄清、更正或更改，将在网站上及时发布，该公告内容为磋商文件的组成部分，对</w:t>
            </w:r>
            <w:r>
              <w:rPr>
                <w:rFonts w:hint="eastAsia"/>
                <w:b w:val="0"/>
                <w:color w:val="000000" w:themeColor="text1"/>
                <w:sz w:val="24"/>
                <w:szCs w:val="18"/>
                <w:highlight w:val="none"/>
                <w14:textFill>
                  <w14:solidFill>
                    <w14:schemeClr w14:val="tx1"/>
                  </w14:solidFill>
                </w14:textFill>
              </w:rPr>
              <w:t>参审单位</w:t>
            </w:r>
            <w:r>
              <w:rPr>
                <w:rFonts w:hint="eastAsia"/>
                <w:b w:val="0"/>
                <w:color w:val="000000" w:themeColor="text1"/>
                <w:sz w:val="24"/>
                <w:highlight w:val="none"/>
                <w14:textFill>
                  <w14:solidFill>
                    <w14:schemeClr w14:val="tx1"/>
                  </w14:solidFill>
                </w14:textFill>
              </w:rPr>
              <w:t>具有同样约束力效力。</w:t>
            </w:r>
            <w:r>
              <w:rPr>
                <w:rFonts w:hint="eastAsia"/>
                <w:b w:val="0"/>
                <w:color w:val="000000" w:themeColor="text1"/>
                <w:sz w:val="24"/>
                <w:szCs w:val="18"/>
                <w:highlight w:val="none"/>
                <w14:textFill>
                  <w14:solidFill>
                    <w14:schemeClr w14:val="tx1"/>
                  </w14:solidFill>
                </w14:textFill>
              </w:rPr>
              <w:t>参审单位</w:t>
            </w:r>
            <w:r>
              <w:rPr>
                <w:rFonts w:hint="eastAsia"/>
                <w:b w:val="0"/>
                <w:color w:val="000000" w:themeColor="text1"/>
                <w:sz w:val="24"/>
                <w:highlight w:val="none"/>
                <w14:textFill>
                  <w14:solidFill>
                    <w14:schemeClr w14:val="tx1"/>
                  </w14:solidFill>
                </w14:textFill>
              </w:rPr>
              <w:t>应主动上网查询。肥西县公共资源交易有限责任公司不承担</w:t>
            </w:r>
            <w:r>
              <w:rPr>
                <w:rFonts w:hint="eastAsia"/>
                <w:b w:val="0"/>
                <w:color w:val="000000" w:themeColor="text1"/>
                <w:sz w:val="24"/>
                <w:szCs w:val="18"/>
                <w:highlight w:val="none"/>
                <w14:textFill>
                  <w14:solidFill>
                    <w14:schemeClr w14:val="tx1"/>
                  </w14:solidFill>
                </w14:textFill>
              </w:rPr>
              <w:t>参审单位</w:t>
            </w:r>
            <w:r>
              <w:rPr>
                <w:rFonts w:hint="eastAsia"/>
                <w:b w:val="0"/>
                <w:color w:val="000000" w:themeColor="text1"/>
                <w:sz w:val="24"/>
                <w:highlight w:val="none"/>
                <w14:textFill>
                  <w14:solidFill>
                    <w14:schemeClr w14:val="tx1"/>
                  </w14:solidFill>
                </w14:textFill>
              </w:rPr>
              <w:t>未及时关注相关信息引发的相关责任。</w:t>
            </w:r>
          </w:p>
        </w:tc>
      </w:tr>
      <w:tr w14:paraId="47D3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99" w:type="dxa"/>
            <w:vAlign w:val="center"/>
          </w:tcPr>
          <w:p w14:paraId="625A2569">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9</w:t>
            </w:r>
            <w:r>
              <w:rPr>
                <w:bCs/>
                <w:color w:val="000000" w:themeColor="text1"/>
                <w:kern w:val="2"/>
                <w:highlight w:val="none"/>
                <w14:textFill>
                  <w14:solidFill>
                    <w14:schemeClr w14:val="tx1"/>
                  </w14:solidFill>
                </w14:textFill>
              </w:rPr>
              <w:t>.1</w:t>
            </w:r>
          </w:p>
        </w:tc>
        <w:tc>
          <w:tcPr>
            <w:tcW w:w="2031" w:type="dxa"/>
            <w:vAlign w:val="center"/>
          </w:tcPr>
          <w:p w14:paraId="48742BB5">
            <w:pPr>
              <w:pStyle w:val="19"/>
              <w:widowControl w:val="0"/>
              <w:spacing w:before="0" w:beforeAutospacing="0" w:after="0" w:afterAutospacing="0" w:line="360" w:lineRule="auto"/>
              <w:jc w:val="left"/>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包别划分</w:t>
            </w:r>
          </w:p>
        </w:tc>
        <w:tc>
          <w:tcPr>
            <w:tcW w:w="6020" w:type="dxa"/>
            <w:vAlign w:val="center"/>
          </w:tcPr>
          <w:p w14:paraId="1BE656BA">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w:t>
            </w:r>
            <w:r>
              <w:rPr>
                <w:b w:val="0"/>
                <w:color w:val="000000" w:themeColor="text1"/>
                <w:sz w:val="24"/>
                <w:highlight w:val="none"/>
                <w14:textFill>
                  <w14:solidFill>
                    <w14:schemeClr w14:val="tx1"/>
                  </w14:solidFill>
                </w14:textFill>
              </w:rPr>
              <w:t>不分包     □分为  个包</w:t>
            </w:r>
          </w:p>
          <w:p w14:paraId="7D46B698">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szCs w:val="18"/>
                <w:highlight w:val="none"/>
                <w14:textFill>
                  <w14:solidFill>
                    <w14:schemeClr w14:val="tx1"/>
                  </w14:solidFill>
                </w14:textFill>
              </w:rPr>
              <w:t>参审单位</w:t>
            </w:r>
            <w:r>
              <w:rPr>
                <w:rFonts w:hint="eastAsia"/>
                <w:b w:val="0"/>
                <w:bCs w:val="0"/>
                <w:color w:val="000000" w:themeColor="text1"/>
                <w:sz w:val="24"/>
                <w:szCs w:val="24"/>
                <w:highlight w:val="none"/>
                <w14:textFill>
                  <w14:solidFill>
                    <w14:schemeClr w14:val="tx1"/>
                  </w14:solidFill>
                </w14:textFill>
              </w:rPr>
              <w:t>参加多个包磋商的成交</w:t>
            </w:r>
            <w:r>
              <w:rPr>
                <w:b w:val="0"/>
                <w:bCs w:val="0"/>
                <w:color w:val="000000" w:themeColor="text1"/>
                <w:sz w:val="24"/>
                <w:szCs w:val="24"/>
                <w:highlight w:val="none"/>
                <w14:textFill>
                  <w14:solidFill>
                    <w14:schemeClr w14:val="tx1"/>
                  </w14:solidFill>
                </w14:textFill>
              </w:rPr>
              <w:t>包</w:t>
            </w:r>
            <w:r>
              <w:rPr>
                <w:rFonts w:hint="eastAsia"/>
                <w:b w:val="0"/>
                <w:bCs w:val="0"/>
                <w:color w:val="000000" w:themeColor="text1"/>
                <w:sz w:val="24"/>
                <w:szCs w:val="24"/>
                <w:highlight w:val="none"/>
                <w14:textFill>
                  <w14:solidFill>
                    <w14:schemeClr w14:val="tx1"/>
                  </w14:solidFill>
                </w14:textFill>
              </w:rPr>
              <w:t>数规定：</w:t>
            </w:r>
            <w:r>
              <w:rPr>
                <w:rFonts w:hint="eastAsia"/>
                <w:b w:val="0"/>
                <w:bCs w:val="0"/>
                <w:color w:val="000000" w:themeColor="text1"/>
                <w:sz w:val="24"/>
                <w:szCs w:val="18"/>
                <w:highlight w:val="none"/>
                <w:u w:val="single"/>
                <w14:textFill>
                  <w14:solidFill>
                    <w14:schemeClr w14:val="tx1"/>
                  </w14:solidFill>
                </w14:textFill>
              </w:rPr>
              <w:t xml:space="preserve"> /</w:t>
            </w:r>
            <w:r>
              <w:rPr>
                <w:b w:val="0"/>
                <w:bCs w:val="0"/>
                <w:color w:val="000000" w:themeColor="text1"/>
                <w:sz w:val="24"/>
                <w:szCs w:val="18"/>
                <w:highlight w:val="none"/>
                <w:u w:val="single"/>
                <w14:textFill>
                  <w14:solidFill>
                    <w14:schemeClr w14:val="tx1"/>
                  </w14:solidFill>
                </w14:textFill>
              </w:rPr>
              <w:t xml:space="preserve"> </w:t>
            </w:r>
          </w:p>
        </w:tc>
      </w:tr>
      <w:tr w14:paraId="4C87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4F9B5F2A">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13.2</w:t>
            </w:r>
          </w:p>
        </w:tc>
        <w:tc>
          <w:tcPr>
            <w:tcW w:w="2031" w:type="dxa"/>
            <w:vAlign w:val="center"/>
          </w:tcPr>
          <w:p w14:paraId="1C988E52">
            <w:pPr>
              <w:spacing w:line="460" w:lineRule="exact"/>
              <w:rPr>
                <w:rFonts w:hint="eastAsia" w:cs="宋体"/>
                <w:color w:val="000000" w:themeColor="text1"/>
                <w:sz w:val="24"/>
                <w:szCs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磋商保证金</w:t>
            </w:r>
            <w:r>
              <w:rPr>
                <w:rFonts w:hint="eastAsia"/>
                <w:b w:val="0"/>
                <w:color w:val="000000" w:themeColor="text1"/>
                <w:sz w:val="24"/>
                <w:highlight w:val="none"/>
                <w:lang w:val="en-US" w:eastAsia="zh-CN"/>
                <w14:textFill>
                  <w14:solidFill>
                    <w14:schemeClr w14:val="tx1"/>
                  </w14:solidFill>
                </w14:textFill>
              </w:rPr>
              <w:t>及电子交易服务费</w:t>
            </w:r>
          </w:p>
        </w:tc>
        <w:tc>
          <w:tcPr>
            <w:tcW w:w="6020" w:type="dxa"/>
            <w:vAlign w:val="center"/>
          </w:tcPr>
          <w:p w14:paraId="020A2888">
            <w:pPr>
              <w:pStyle w:val="19"/>
              <w:widowControl w:val="0"/>
              <w:spacing w:before="0" w:beforeAutospacing="0" w:after="0" w:afterAutospacing="0" w:line="360" w:lineRule="auto"/>
              <w:jc w:val="both"/>
              <w:rPr>
                <w:rFonts w:hint="eastAsia" w:cs="宋体"/>
                <w:b/>
                <w:bCs/>
                <w:color w:val="000000" w:themeColor="text1"/>
                <w:sz w:val="24"/>
                <w:highlight w:val="none"/>
                <w14:textFill>
                  <w14:solidFill>
                    <w14:schemeClr w14:val="tx1"/>
                  </w14:solidFill>
                </w14:textFill>
              </w:rPr>
            </w:pPr>
            <w:r>
              <w:rPr>
                <w:rFonts w:hint="eastAsia" w:cs="宋体"/>
                <w:b w:val="0"/>
                <w:bCs w:val="0"/>
                <w:color w:val="000000" w:themeColor="text1"/>
                <w:sz w:val="24"/>
                <w:highlight w:val="none"/>
                <w14:textFill>
                  <w14:solidFill>
                    <w14:schemeClr w14:val="tx1"/>
                  </w14:solidFill>
                </w14:textFill>
              </w:rPr>
              <w:t>是否要求</w:t>
            </w:r>
            <w:r>
              <w:rPr>
                <w:rFonts w:hint="eastAsia"/>
                <w:b w:val="0"/>
                <w:bCs w:val="0"/>
                <w:color w:val="000000" w:themeColor="text1"/>
                <w:sz w:val="24"/>
                <w:szCs w:val="18"/>
                <w:highlight w:val="none"/>
                <w14:textFill>
                  <w14:solidFill>
                    <w14:schemeClr w14:val="tx1"/>
                  </w14:solidFill>
                </w14:textFill>
              </w:rPr>
              <w:t>参审单位</w:t>
            </w:r>
            <w:r>
              <w:rPr>
                <w:rFonts w:hint="eastAsia" w:cs="宋体"/>
                <w:b w:val="0"/>
                <w:bCs w:val="0"/>
                <w:color w:val="000000" w:themeColor="text1"/>
                <w:sz w:val="24"/>
                <w:highlight w:val="none"/>
                <w14:textFill>
                  <w14:solidFill>
                    <w14:schemeClr w14:val="tx1"/>
                  </w14:solidFill>
                </w14:textFill>
              </w:rPr>
              <w:t>递交磋商保证金：</w:t>
            </w:r>
            <w:r>
              <w:rPr>
                <w:rFonts w:hint="eastAsia" w:ascii="Segoe UI Symbol" w:hAnsi="Segoe UI Symbol" w:cs="Segoe UI Symbol"/>
                <w:b w:val="0"/>
                <w:bCs w:val="0"/>
                <w:color w:val="000000" w:themeColor="text1"/>
                <w:sz w:val="24"/>
                <w:highlight w:val="none"/>
                <w:lang w:eastAsia="zh-CN"/>
                <w14:textFill>
                  <w14:solidFill>
                    <w14:schemeClr w14:val="tx1"/>
                  </w14:solidFill>
                </w14:textFill>
              </w:rPr>
              <w:t>☑</w:t>
            </w:r>
            <w:r>
              <w:rPr>
                <w:rFonts w:hint="eastAsia" w:cs="宋体"/>
                <w:b w:val="0"/>
                <w:bCs w:val="0"/>
                <w:color w:val="000000" w:themeColor="text1"/>
                <w:sz w:val="24"/>
                <w:highlight w:val="none"/>
                <w14:textFill>
                  <w14:solidFill>
                    <w14:schemeClr w14:val="tx1"/>
                  </w14:solidFill>
                </w14:textFill>
              </w:rPr>
              <w:t xml:space="preserve">不要求 </w:t>
            </w:r>
            <w:r>
              <w:rPr>
                <w:rFonts w:hint="eastAsia" w:cs="宋体"/>
                <w:b w:val="0"/>
                <w:bCs w:val="0"/>
                <w:color w:val="000000" w:themeColor="text1"/>
                <w:sz w:val="24"/>
                <w:highlight w:val="none"/>
                <w14:textFill>
                  <w14:solidFill>
                    <w14:schemeClr w14:val="tx1"/>
                  </w14:solidFill>
                </w14:textFill>
              </w:rPr>
              <w:sym w:font="Wingdings 2" w:char="00A3"/>
            </w:r>
            <w:r>
              <w:rPr>
                <w:rFonts w:hint="eastAsia" w:cs="宋体"/>
                <w:b w:val="0"/>
                <w:bCs w:val="0"/>
                <w:color w:val="000000" w:themeColor="text1"/>
                <w:sz w:val="24"/>
                <w:highlight w:val="none"/>
                <w14:textFill>
                  <w14:solidFill>
                    <w14:schemeClr w14:val="tx1"/>
                  </w14:solidFill>
                </w14:textFill>
              </w:rPr>
              <w:t>要求</w:t>
            </w:r>
          </w:p>
          <w:p w14:paraId="492C906D">
            <w:pPr>
              <w:pStyle w:val="19"/>
              <w:widowControl w:val="0"/>
              <w:spacing w:before="0" w:beforeAutospacing="0" w:after="0" w:afterAutospacing="0" w:line="360" w:lineRule="auto"/>
              <w:jc w:val="both"/>
              <w:rPr>
                <w:rFonts w:hint="eastAsia" w:cs="宋体"/>
                <w:b/>
                <w:bCs/>
                <w:color w:val="000000" w:themeColor="text1"/>
                <w:sz w:val="24"/>
                <w:highlight w:val="none"/>
                <w14:textFill>
                  <w14:solidFill>
                    <w14:schemeClr w14:val="tx1"/>
                  </w14:solidFill>
                </w14:textFill>
              </w:rPr>
            </w:pPr>
            <w:r>
              <w:rPr>
                <w:rFonts w:hint="eastAsia" w:cs="宋体"/>
                <w:b w:val="0"/>
                <w:bCs w:val="0"/>
                <w:color w:val="000000" w:themeColor="text1"/>
                <w:sz w:val="24"/>
                <w:highlight w:val="none"/>
                <w14:textFill>
                  <w14:solidFill>
                    <w14:schemeClr w14:val="tx1"/>
                  </w14:solidFill>
                </w14:textFill>
              </w:rPr>
              <w:t>是否要求</w:t>
            </w:r>
            <w:r>
              <w:rPr>
                <w:rFonts w:hint="eastAsia"/>
                <w:b w:val="0"/>
                <w:bCs w:val="0"/>
                <w:color w:val="000000" w:themeColor="text1"/>
                <w:sz w:val="24"/>
                <w:szCs w:val="18"/>
                <w:highlight w:val="none"/>
                <w14:textFill>
                  <w14:solidFill>
                    <w14:schemeClr w14:val="tx1"/>
                  </w14:solidFill>
                </w14:textFill>
              </w:rPr>
              <w:t>参审单位</w:t>
            </w:r>
            <w:r>
              <w:rPr>
                <w:rFonts w:hint="eastAsia" w:cs="宋体"/>
                <w:b w:val="0"/>
                <w:bCs w:val="0"/>
                <w:color w:val="000000" w:themeColor="text1"/>
                <w:sz w:val="24"/>
                <w:highlight w:val="none"/>
                <w14:textFill>
                  <w14:solidFill>
                    <w14:schemeClr w14:val="tx1"/>
                  </w14:solidFill>
                </w14:textFill>
              </w:rPr>
              <w:t>递交</w:t>
            </w:r>
            <w:r>
              <w:rPr>
                <w:rFonts w:hint="eastAsia"/>
                <w:b w:val="0"/>
                <w:bCs w:val="0"/>
                <w:color w:val="000000" w:themeColor="text1"/>
                <w:sz w:val="24"/>
                <w:highlight w:val="none"/>
                <w:lang w:val="en-US" w:eastAsia="zh-CN"/>
                <w14:textFill>
                  <w14:solidFill>
                    <w14:schemeClr w14:val="tx1"/>
                  </w14:solidFill>
                </w14:textFill>
              </w:rPr>
              <w:t>电子交易服务费</w:t>
            </w:r>
            <w:r>
              <w:rPr>
                <w:rFonts w:hint="eastAsia" w:cs="宋体"/>
                <w:b w:val="0"/>
                <w:bCs w:val="0"/>
                <w:color w:val="000000" w:themeColor="text1"/>
                <w:sz w:val="24"/>
                <w:highlight w:val="none"/>
                <w14:textFill>
                  <w14:solidFill>
                    <w14:schemeClr w14:val="tx1"/>
                  </w14:solidFill>
                </w14:textFill>
              </w:rPr>
              <w:t>：</w:t>
            </w:r>
            <w:r>
              <w:rPr>
                <w:rFonts w:hint="eastAsia" w:ascii="Segoe UI Symbol" w:hAnsi="Segoe UI Symbol" w:cs="Segoe UI Symbol"/>
                <w:b w:val="0"/>
                <w:bCs w:val="0"/>
                <w:color w:val="000000" w:themeColor="text1"/>
                <w:sz w:val="24"/>
                <w:highlight w:val="none"/>
                <w:lang w:eastAsia="zh-CN"/>
                <w14:textFill>
                  <w14:solidFill>
                    <w14:schemeClr w14:val="tx1"/>
                  </w14:solidFill>
                </w14:textFill>
              </w:rPr>
              <w:t>□</w:t>
            </w:r>
            <w:r>
              <w:rPr>
                <w:rFonts w:hint="eastAsia" w:cs="宋体"/>
                <w:b w:val="0"/>
                <w:bCs w:val="0"/>
                <w:color w:val="000000" w:themeColor="text1"/>
                <w:sz w:val="24"/>
                <w:highlight w:val="none"/>
                <w14:textFill>
                  <w14:solidFill>
                    <w14:schemeClr w14:val="tx1"/>
                  </w14:solidFill>
                </w14:textFill>
              </w:rPr>
              <w:t xml:space="preserve">不要求 </w:t>
            </w:r>
            <w:r>
              <w:rPr>
                <w:rFonts w:hint="eastAsia" w:cs="宋体"/>
                <w:b/>
                <w:bCs/>
                <w:color w:val="000000" w:themeColor="text1"/>
                <w:sz w:val="24"/>
                <w:highlight w:val="none"/>
                <w14:textFill>
                  <w14:solidFill>
                    <w14:schemeClr w14:val="tx1"/>
                  </w14:solidFill>
                </w14:textFill>
              </w:rPr>
              <w:sym w:font="Wingdings 2" w:char="0052"/>
            </w:r>
            <w:r>
              <w:rPr>
                <w:rFonts w:hint="eastAsia" w:cs="宋体"/>
                <w:b/>
                <w:bCs/>
                <w:color w:val="000000" w:themeColor="text1"/>
                <w:sz w:val="24"/>
                <w:highlight w:val="none"/>
                <w14:textFill>
                  <w14:solidFill>
                    <w14:schemeClr w14:val="tx1"/>
                  </w14:solidFill>
                </w14:textFill>
              </w:rPr>
              <w:t>要求</w:t>
            </w:r>
          </w:p>
          <w:p w14:paraId="3C282572">
            <w:pPr>
              <w:pStyle w:val="19"/>
              <w:widowControl w:val="0"/>
              <w:spacing w:before="0" w:beforeAutospacing="0" w:after="0" w:afterAutospacing="0" w:line="360" w:lineRule="auto"/>
              <w:jc w:val="both"/>
              <w:rPr>
                <w:rFonts w:hint="eastAsia" w:eastAsia="宋体" w:cs="@仿宋_GB2312"/>
                <w:b w:val="0"/>
                <w:bCs w:val="0"/>
                <w:color w:val="000000" w:themeColor="text1"/>
                <w:kern w:val="2"/>
                <w:sz w:val="24"/>
                <w:szCs w:val="18"/>
                <w:highlight w:val="none"/>
                <w:lang w:eastAsia="zh-CN"/>
                <w14:textFill>
                  <w14:solidFill>
                    <w14:schemeClr w14:val="tx1"/>
                  </w14:solidFill>
                </w14:textFill>
              </w:rPr>
            </w:pPr>
            <w:r>
              <w:rPr>
                <w:rFonts w:hint="eastAsia" w:cs="@仿宋_GB2312"/>
                <w:b w:val="0"/>
                <w:bCs w:val="0"/>
                <w:color w:val="000000" w:themeColor="text1"/>
                <w:kern w:val="2"/>
                <w:sz w:val="24"/>
                <w:szCs w:val="18"/>
                <w:highlight w:val="none"/>
                <w14:textFill>
                  <w14:solidFill>
                    <w14:schemeClr w14:val="tx1"/>
                  </w14:solidFill>
                </w14:textFill>
              </w:rPr>
              <w:t>金额：人民币200元</w:t>
            </w:r>
            <w:r>
              <w:rPr>
                <w:rFonts w:hint="eastAsia" w:cs="@仿宋_GB2312"/>
                <w:b w:val="0"/>
                <w:bCs w:val="0"/>
                <w:color w:val="000000" w:themeColor="text1"/>
                <w:kern w:val="2"/>
                <w:sz w:val="24"/>
                <w:szCs w:val="18"/>
                <w:highlight w:val="none"/>
                <w:lang w:eastAsia="zh-CN"/>
                <w14:textFill>
                  <w14:solidFill>
                    <w14:schemeClr w14:val="tx1"/>
                  </w14:solidFill>
                </w14:textFill>
              </w:rPr>
              <w:t>（</w:t>
            </w:r>
            <w:r>
              <w:rPr>
                <w:rFonts w:hint="eastAsia" w:cs="@仿宋_GB2312"/>
                <w:b w:val="0"/>
                <w:bCs w:val="0"/>
                <w:color w:val="000000" w:themeColor="text1"/>
                <w:kern w:val="2"/>
                <w:sz w:val="24"/>
                <w:szCs w:val="18"/>
                <w:highlight w:val="none"/>
                <w14:textFill>
                  <w14:solidFill>
                    <w14:schemeClr w14:val="tx1"/>
                  </w14:solidFill>
                </w14:textFill>
              </w:rPr>
              <w:t>售后不退</w:t>
            </w:r>
            <w:r>
              <w:rPr>
                <w:rFonts w:hint="eastAsia" w:cs="@仿宋_GB2312"/>
                <w:b w:val="0"/>
                <w:bCs w:val="0"/>
                <w:color w:val="000000" w:themeColor="text1"/>
                <w:kern w:val="2"/>
                <w:sz w:val="24"/>
                <w:szCs w:val="18"/>
                <w:highlight w:val="none"/>
                <w:lang w:eastAsia="zh-CN"/>
                <w14:textFill>
                  <w14:solidFill>
                    <w14:schemeClr w14:val="tx1"/>
                  </w14:solidFill>
                </w14:textFill>
              </w:rPr>
              <w:t>）</w:t>
            </w:r>
          </w:p>
          <w:p w14:paraId="43778F82">
            <w:pPr>
              <w:pStyle w:val="19"/>
              <w:widowControl w:val="0"/>
              <w:spacing w:before="0" w:beforeAutospacing="0" w:after="0" w:afterAutospacing="0" w:line="360" w:lineRule="auto"/>
              <w:jc w:val="both"/>
              <w:rPr>
                <w:rFonts w:hint="eastAsia" w:cs="@仿宋_GB2312"/>
                <w:b w:val="0"/>
                <w:bCs w:val="0"/>
                <w:color w:val="000000" w:themeColor="text1"/>
                <w:kern w:val="2"/>
                <w:sz w:val="24"/>
                <w:szCs w:val="18"/>
                <w:highlight w:val="none"/>
                <w14:textFill>
                  <w14:solidFill>
                    <w14:schemeClr w14:val="tx1"/>
                  </w14:solidFill>
                </w14:textFill>
              </w:rPr>
            </w:pPr>
            <w:r>
              <w:rPr>
                <w:rFonts w:hint="eastAsia" w:cs="@仿宋_GB2312"/>
                <w:b w:val="0"/>
                <w:bCs w:val="0"/>
                <w:color w:val="000000" w:themeColor="text1"/>
                <w:kern w:val="2"/>
                <w:sz w:val="24"/>
                <w:szCs w:val="18"/>
                <w:highlight w:val="none"/>
                <w14:textFill>
                  <w14:solidFill>
                    <w14:schemeClr w14:val="tx1"/>
                  </w14:solidFill>
                </w14:textFill>
              </w:rPr>
              <w:t>交纳形式：</w:t>
            </w:r>
            <w:r>
              <w:rPr>
                <w:rFonts w:hint="eastAsia" w:cs="@仿宋_GB2312"/>
                <w:b w:val="0"/>
                <w:bCs w:val="0"/>
                <w:color w:val="000000" w:themeColor="text1"/>
                <w:kern w:val="2"/>
                <w:sz w:val="24"/>
                <w:szCs w:val="18"/>
                <w:highlight w:val="none"/>
                <w14:textFill>
                  <w14:solidFill>
                    <w14:schemeClr w14:val="tx1"/>
                  </w14:solidFill>
                </w14:textFill>
              </w:rPr>
              <w:sym w:font="Wingdings" w:char="00FE"/>
            </w:r>
            <w:r>
              <w:rPr>
                <w:rFonts w:hint="eastAsia" w:cs="@仿宋_GB2312"/>
                <w:b w:val="0"/>
                <w:bCs w:val="0"/>
                <w:color w:val="000000" w:themeColor="text1"/>
                <w:kern w:val="2"/>
                <w:sz w:val="24"/>
                <w:szCs w:val="18"/>
                <w:highlight w:val="none"/>
                <w14:textFill>
                  <w14:solidFill>
                    <w14:schemeClr w14:val="tx1"/>
                  </w14:solidFill>
                </w14:textFill>
              </w:rPr>
              <w:t xml:space="preserve">银行转账  </w:t>
            </w:r>
            <w:r>
              <w:rPr>
                <w:rFonts w:hint="eastAsia" w:cs="@仿宋_GB2312"/>
                <w:b w:val="0"/>
                <w:bCs w:val="0"/>
                <w:color w:val="000000" w:themeColor="text1"/>
                <w:kern w:val="2"/>
                <w:sz w:val="24"/>
                <w:szCs w:val="18"/>
                <w:highlight w:val="none"/>
                <w14:textFill>
                  <w14:solidFill>
                    <w14:schemeClr w14:val="tx1"/>
                  </w14:solidFill>
                </w14:textFill>
              </w:rPr>
              <w:sym w:font="Wingdings" w:char="00FE"/>
            </w:r>
            <w:r>
              <w:rPr>
                <w:rFonts w:hint="eastAsia" w:cs="@仿宋_GB2312"/>
                <w:b w:val="0"/>
                <w:bCs w:val="0"/>
                <w:color w:val="000000" w:themeColor="text1"/>
                <w:kern w:val="2"/>
                <w:sz w:val="24"/>
                <w:szCs w:val="18"/>
                <w:highlight w:val="none"/>
                <w14:textFill>
                  <w14:solidFill>
                    <w14:schemeClr w14:val="tx1"/>
                  </w14:solidFill>
                </w14:textFill>
              </w:rPr>
              <w:t>银行电汇</w:t>
            </w:r>
          </w:p>
          <w:p w14:paraId="27B5EEA1">
            <w:pPr>
              <w:pStyle w:val="19"/>
              <w:widowControl w:val="0"/>
              <w:spacing w:before="0" w:beforeAutospacing="0" w:after="0" w:afterAutospacing="0" w:line="360" w:lineRule="auto"/>
              <w:jc w:val="both"/>
              <w:rPr>
                <w:rFonts w:hint="eastAsia" w:cs="@仿宋_GB2312"/>
                <w:b w:val="0"/>
                <w:bCs w:val="0"/>
                <w:color w:val="000000" w:themeColor="text1"/>
                <w:kern w:val="2"/>
                <w:sz w:val="24"/>
                <w:szCs w:val="18"/>
                <w:highlight w:val="none"/>
                <w14:textFill>
                  <w14:solidFill>
                    <w14:schemeClr w14:val="tx1"/>
                  </w14:solidFill>
                </w14:textFill>
              </w:rPr>
            </w:pPr>
            <w:r>
              <w:rPr>
                <w:rFonts w:hint="eastAsia" w:cs="@仿宋_GB2312"/>
                <w:b w:val="0"/>
                <w:bCs w:val="0"/>
                <w:color w:val="000000" w:themeColor="text1"/>
                <w:kern w:val="2"/>
                <w:sz w:val="24"/>
                <w:szCs w:val="18"/>
                <w:highlight w:val="none"/>
                <w14:textFill>
                  <w14:solidFill>
                    <w14:schemeClr w14:val="tx1"/>
                  </w14:solidFill>
                </w14:textFill>
              </w:rPr>
              <w:t xml:space="preserve">递交要求： </w:t>
            </w:r>
          </w:p>
          <w:p w14:paraId="52A3F633">
            <w:pPr>
              <w:pStyle w:val="19"/>
              <w:widowControl w:val="0"/>
              <w:spacing w:before="0" w:beforeAutospacing="0" w:after="0" w:afterAutospacing="0" w:line="360" w:lineRule="auto"/>
              <w:jc w:val="both"/>
              <w:rPr>
                <w:rFonts w:hint="eastAsia" w:cs="@仿宋_GB2312"/>
                <w:b w:val="0"/>
                <w:bCs w:val="0"/>
                <w:color w:val="000000" w:themeColor="text1"/>
                <w:kern w:val="2"/>
                <w:sz w:val="24"/>
                <w:szCs w:val="18"/>
                <w:highlight w:val="none"/>
                <w14:textFill>
                  <w14:solidFill>
                    <w14:schemeClr w14:val="tx1"/>
                  </w14:solidFill>
                </w14:textFill>
              </w:rPr>
            </w:pPr>
            <w:r>
              <w:rPr>
                <w:rFonts w:hint="eastAsia" w:cs="@仿宋_GB2312"/>
                <w:b w:val="0"/>
                <w:bCs w:val="0"/>
                <w:color w:val="000000" w:themeColor="text1"/>
                <w:kern w:val="2"/>
                <w:sz w:val="24"/>
                <w:szCs w:val="18"/>
                <w:highlight w:val="none"/>
                <w14:textFill>
                  <w14:solidFill>
                    <w14:schemeClr w14:val="tx1"/>
                  </w14:solidFill>
                </w14:textFill>
              </w:rPr>
              <w:t>①</w:t>
            </w:r>
            <w:r>
              <w:rPr>
                <w:rFonts w:hint="eastAsia" w:cs="宋体"/>
                <w:b w:val="0"/>
                <w:bCs w:val="0"/>
                <w:color w:val="000000" w:themeColor="text1"/>
                <w:sz w:val="24"/>
                <w:highlight w:val="none"/>
                <w14:textFill>
                  <w14:solidFill>
                    <w14:schemeClr w14:val="tx1"/>
                  </w14:solidFill>
                </w14:textFill>
              </w:rPr>
              <w:t>磋商保证金</w:t>
            </w:r>
            <w:r>
              <w:rPr>
                <w:rFonts w:hint="eastAsia"/>
                <w:b w:val="0"/>
                <w:bCs w:val="0"/>
                <w:color w:val="000000" w:themeColor="text1"/>
                <w:sz w:val="24"/>
                <w:highlight w:val="none"/>
                <w:lang w:val="en-US" w:eastAsia="zh-CN"/>
                <w14:textFill>
                  <w14:solidFill>
                    <w14:schemeClr w14:val="tx1"/>
                  </w14:solidFill>
                </w14:textFill>
              </w:rPr>
              <w:t>及</w:t>
            </w:r>
            <w:r>
              <w:rPr>
                <w:rFonts w:hint="eastAsia" w:cs="@仿宋_GB2312"/>
                <w:b w:val="0"/>
                <w:bCs w:val="0"/>
                <w:color w:val="000000" w:themeColor="text1"/>
                <w:kern w:val="2"/>
                <w:sz w:val="24"/>
                <w:szCs w:val="18"/>
                <w:highlight w:val="none"/>
                <w14:textFill>
                  <w14:solidFill>
                    <w14:schemeClr w14:val="tx1"/>
                  </w14:solidFill>
                </w14:textFill>
              </w:rPr>
              <w:t>电子交易服务费的到账截止时间：同磋商时间。</w:t>
            </w:r>
          </w:p>
          <w:p w14:paraId="71863A30">
            <w:pPr>
              <w:pStyle w:val="19"/>
              <w:widowControl w:val="0"/>
              <w:spacing w:before="0" w:beforeAutospacing="0" w:after="0" w:afterAutospacing="0" w:line="360" w:lineRule="auto"/>
              <w:jc w:val="both"/>
              <w:rPr>
                <w:rFonts w:hint="eastAsia" w:cs="@仿宋_GB2312"/>
                <w:b w:val="0"/>
                <w:bCs w:val="0"/>
                <w:color w:val="000000" w:themeColor="text1"/>
                <w:kern w:val="2"/>
                <w:sz w:val="24"/>
                <w:szCs w:val="18"/>
                <w:highlight w:val="none"/>
                <w14:textFill>
                  <w14:solidFill>
                    <w14:schemeClr w14:val="tx1"/>
                  </w14:solidFill>
                </w14:textFill>
              </w:rPr>
            </w:pPr>
            <w:r>
              <w:rPr>
                <w:rFonts w:hint="eastAsia" w:cs="@仿宋_GB2312"/>
                <w:b w:val="0"/>
                <w:bCs w:val="0"/>
                <w:color w:val="000000" w:themeColor="text1"/>
                <w:kern w:val="2"/>
                <w:sz w:val="24"/>
                <w:szCs w:val="18"/>
                <w:highlight w:val="none"/>
                <w14:textFill>
                  <w14:solidFill>
                    <w14:schemeClr w14:val="tx1"/>
                  </w14:solidFill>
                </w14:textFill>
              </w:rPr>
              <w:t>②</w:t>
            </w:r>
            <w:r>
              <w:rPr>
                <w:rFonts w:hint="eastAsia" w:cs="宋体"/>
                <w:b w:val="0"/>
                <w:bCs w:val="0"/>
                <w:color w:val="000000" w:themeColor="text1"/>
                <w:sz w:val="24"/>
                <w:highlight w:val="none"/>
                <w14:textFill>
                  <w14:solidFill>
                    <w14:schemeClr w14:val="tx1"/>
                  </w14:solidFill>
                </w14:textFill>
              </w:rPr>
              <w:t>磋商保证金</w:t>
            </w:r>
            <w:r>
              <w:rPr>
                <w:rFonts w:hint="eastAsia"/>
                <w:b w:val="0"/>
                <w:bCs w:val="0"/>
                <w:color w:val="000000" w:themeColor="text1"/>
                <w:sz w:val="24"/>
                <w:highlight w:val="none"/>
                <w:lang w:val="en-US" w:eastAsia="zh-CN"/>
                <w14:textFill>
                  <w14:solidFill>
                    <w14:schemeClr w14:val="tx1"/>
                  </w14:solidFill>
                </w14:textFill>
              </w:rPr>
              <w:t>及</w:t>
            </w:r>
            <w:r>
              <w:rPr>
                <w:rFonts w:hint="eastAsia" w:cs="@仿宋_GB2312"/>
                <w:b w:val="0"/>
                <w:bCs w:val="0"/>
                <w:color w:val="000000" w:themeColor="text1"/>
                <w:kern w:val="2"/>
                <w:sz w:val="24"/>
                <w:szCs w:val="18"/>
                <w:highlight w:val="none"/>
                <w14:textFill>
                  <w14:solidFill>
                    <w14:schemeClr w14:val="tx1"/>
                  </w14:solidFill>
                </w14:textFill>
              </w:rPr>
              <w:t>电子交易服务费应当从参审单位账户转出，转出</w:t>
            </w:r>
            <w:r>
              <w:rPr>
                <w:rFonts w:hint="eastAsia" w:cs="宋体"/>
                <w:b w:val="0"/>
                <w:bCs w:val="0"/>
                <w:color w:val="000000" w:themeColor="text1"/>
                <w:sz w:val="24"/>
                <w:highlight w:val="none"/>
                <w14:textFill>
                  <w14:solidFill>
                    <w14:schemeClr w14:val="tx1"/>
                  </w14:solidFill>
                </w14:textFill>
              </w:rPr>
              <w:t>磋商保证金</w:t>
            </w:r>
            <w:r>
              <w:rPr>
                <w:rFonts w:hint="eastAsia"/>
                <w:b w:val="0"/>
                <w:bCs w:val="0"/>
                <w:color w:val="000000" w:themeColor="text1"/>
                <w:sz w:val="24"/>
                <w:highlight w:val="none"/>
                <w:lang w:val="en-US" w:eastAsia="zh-CN"/>
                <w14:textFill>
                  <w14:solidFill>
                    <w14:schemeClr w14:val="tx1"/>
                  </w14:solidFill>
                </w14:textFill>
              </w:rPr>
              <w:t>及</w:t>
            </w:r>
            <w:r>
              <w:rPr>
                <w:rFonts w:hint="eastAsia" w:cs="@仿宋_GB2312"/>
                <w:b w:val="0"/>
                <w:bCs w:val="0"/>
                <w:color w:val="000000" w:themeColor="text1"/>
                <w:kern w:val="2"/>
                <w:sz w:val="24"/>
                <w:szCs w:val="18"/>
                <w:highlight w:val="none"/>
                <w14:textFill>
                  <w14:solidFill>
                    <w14:schemeClr w14:val="tx1"/>
                  </w14:solidFill>
                </w14:textFill>
              </w:rPr>
              <w:t>电子交易服务费的账户与参审单位响应文件提供的账户信息不一致的，视为未按磋商文件规定要求交纳</w:t>
            </w:r>
            <w:r>
              <w:rPr>
                <w:rFonts w:hint="eastAsia" w:cs="宋体"/>
                <w:b w:val="0"/>
                <w:bCs w:val="0"/>
                <w:color w:val="000000" w:themeColor="text1"/>
                <w:sz w:val="24"/>
                <w:highlight w:val="none"/>
                <w14:textFill>
                  <w14:solidFill>
                    <w14:schemeClr w14:val="tx1"/>
                  </w14:solidFill>
                </w14:textFill>
              </w:rPr>
              <w:t>磋商保证金</w:t>
            </w:r>
            <w:r>
              <w:rPr>
                <w:rFonts w:hint="eastAsia"/>
                <w:b w:val="0"/>
                <w:bCs w:val="0"/>
                <w:color w:val="000000" w:themeColor="text1"/>
                <w:sz w:val="24"/>
                <w:highlight w:val="none"/>
                <w:lang w:val="en-US" w:eastAsia="zh-CN"/>
                <w14:textFill>
                  <w14:solidFill>
                    <w14:schemeClr w14:val="tx1"/>
                  </w14:solidFill>
                </w14:textFill>
              </w:rPr>
              <w:t>及</w:t>
            </w:r>
            <w:r>
              <w:rPr>
                <w:rFonts w:hint="eastAsia" w:cs="@仿宋_GB2312"/>
                <w:b w:val="0"/>
                <w:bCs w:val="0"/>
                <w:color w:val="000000" w:themeColor="text1"/>
                <w:kern w:val="2"/>
                <w:sz w:val="24"/>
                <w:szCs w:val="18"/>
                <w:highlight w:val="none"/>
                <w14:textFill>
                  <w14:solidFill>
                    <w14:schemeClr w14:val="tx1"/>
                  </w14:solidFill>
                </w14:textFill>
              </w:rPr>
              <w:t>电子交易服务费，其响应无效。</w:t>
            </w:r>
          </w:p>
          <w:p w14:paraId="0BA55185">
            <w:pPr>
              <w:pStyle w:val="19"/>
              <w:widowControl w:val="0"/>
              <w:spacing w:before="0" w:beforeAutospacing="0" w:after="0" w:afterAutospacing="0" w:line="360" w:lineRule="auto"/>
              <w:jc w:val="both"/>
              <w:rPr>
                <w:rFonts w:hint="eastAsia" w:cs="@仿宋_GB2312"/>
                <w:b w:val="0"/>
                <w:bCs w:val="0"/>
                <w:color w:val="000000" w:themeColor="text1"/>
                <w:kern w:val="2"/>
                <w:sz w:val="24"/>
                <w:szCs w:val="18"/>
                <w:highlight w:val="none"/>
                <w14:textFill>
                  <w14:solidFill>
                    <w14:schemeClr w14:val="tx1"/>
                  </w14:solidFill>
                </w14:textFill>
              </w:rPr>
            </w:pPr>
            <w:r>
              <w:rPr>
                <w:rFonts w:hint="eastAsia" w:cs="@仿宋_GB2312"/>
                <w:b w:val="0"/>
                <w:bCs w:val="0"/>
                <w:color w:val="000000" w:themeColor="text1"/>
                <w:kern w:val="2"/>
                <w:sz w:val="24"/>
                <w:szCs w:val="18"/>
                <w:highlight w:val="none"/>
                <w14:textFill>
                  <w14:solidFill>
                    <w14:schemeClr w14:val="tx1"/>
                  </w14:solidFill>
                </w14:textFill>
              </w:rPr>
              <w:t>转入的开户银行及账号：</w:t>
            </w:r>
          </w:p>
          <w:p w14:paraId="77E02F9B">
            <w:pPr>
              <w:pStyle w:val="19"/>
              <w:widowControl w:val="0"/>
              <w:spacing w:before="0" w:beforeAutospacing="0" w:after="0" w:afterAutospacing="0" w:line="360" w:lineRule="auto"/>
              <w:jc w:val="both"/>
              <w:rPr>
                <w:rFonts w:hint="eastAsia" w:cs="@仿宋_GB2312"/>
                <w:b w:val="0"/>
                <w:bCs w:val="0"/>
                <w:color w:val="FF0000"/>
                <w:kern w:val="2"/>
                <w:sz w:val="24"/>
                <w:szCs w:val="18"/>
                <w:highlight w:val="none"/>
              </w:rPr>
            </w:pPr>
            <w:r>
              <w:rPr>
                <w:rFonts w:hint="eastAsia" w:cs="@仿宋_GB2312"/>
                <w:b w:val="0"/>
                <w:bCs w:val="0"/>
                <w:color w:val="FF0000"/>
                <w:kern w:val="2"/>
                <w:sz w:val="24"/>
                <w:szCs w:val="18"/>
                <w:highlight w:val="none"/>
              </w:rPr>
              <w:t>开户银行：广发银行股份有限公司合肥肥西支行</w:t>
            </w:r>
          </w:p>
          <w:p w14:paraId="13C81C27">
            <w:pPr>
              <w:pStyle w:val="19"/>
              <w:widowControl w:val="0"/>
              <w:spacing w:before="0" w:beforeAutospacing="0" w:after="0" w:afterAutospacing="0" w:line="360" w:lineRule="auto"/>
              <w:jc w:val="both"/>
              <w:rPr>
                <w:rFonts w:hint="eastAsia" w:cs="@仿宋_GB2312"/>
                <w:b w:val="0"/>
                <w:bCs w:val="0"/>
                <w:color w:val="FF0000"/>
                <w:kern w:val="2"/>
                <w:sz w:val="24"/>
                <w:szCs w:val="18"/>
                <w:highlight w:val="none"/>
              </w:rPr>
            </w:pPr>
            <w:r>
              <w:rPr>
                <w:rFonts w:hint="eastAsia" w:cs="@仿宋_GB2312"/>
                <w:b w:val="0"/>
                <w:bCs w:val="0"/>
                <w:color w:val="FF0000"/>
                <w:kern w:val="2"/>
                <w:sz w:val="24"/>
                <w:szCs w:val="18"/>
                <w:highlight w:val="none"/>
              </w:rPr>
              <w:t>开户名：肥西县公共资源交易有限责任公司</w:t>
            </w:r>
          </w:p>
          <w:p w14:paraId="218CE878">
            <w:pPr>
              <w:pStyle w:val="19"/>
              <w:widowControl w:val="0"/>
              <w:spacing w:before="0" w:beforeAutospacing="0" w:after="0" w:afterAutospacing="0" w:line="360" w:lineRule="auto"/>
              <w:jc w:val="both"/>
              <w:rPr>
                <w:rFonts w:hint="eastAsia" w:cs="@仿宋_GB2312"/>
                <w:b w:val="0"/>
                <w:bCs w:val="0"/>
                <w:color w:val="FF0000"/>
                <w:kern w:val="2"/>
                <w:sz w:val="24"/>
                <w:szCs w:val="18"/>
                <w:highlight w:val="none"/>
              </w:rPr>
            </w:pPr>
            <w:r>
              <w:rPr>
                <w:rFonts w:hint="eastAsia" w:cs="@仿宋_GB2312"/>
                <w:b w:val="0"/>
                <w:bCs w:val="0"/>
                <w:color w:val="FF0000"/>
                <w:kern w:val="2"/>
                <w:sz w:val="24"/>
                <w:szCs w:val="18"/>
                <w:highlight w:val="none"/>
              </w:rPr>
              <w:t>账号：</w:t>
            </w:r>
            <w:r>
              <w:rPr>
                <w:rFonts w:hint="eastAsia" w:cs="@仿宋_GB2312"/>
                <w:b w:val="0"/>
                <w:bCs w:val="0"/>
                <w:color w:val="FF0000"/>
                <w:kern w:val="2"/>
                <w:sz w:val="24"/>
                <w:szCs w:val="18"/>
                <w:highlight w:val="none"/>
                <w:lang w:val="en-US" w:eastAsia="zh-CN"/>
              </w:rPr>
              <w:t>6232594999000547297</w:t>
            </w:r>
            <w:bookmarkStart w:id="55" w:name="_GoBack"/>
            <w:bookmarkEnd w:id="55"/>
          </w:p>
          <w:p w14:paraId="112B7AC7">
            <w:pPr>
              <w:pStyle w:val="19"/>
              <w:widowControl w:val="0"/>
              <w:spacing w:before="0" w:beforeAutospacing="0" w:after="0" w:afterAutospacing="0" w:line="360" w:lineRule="auto"/>
              <w:jc w:val="both"/>
              <w:rPr>
                <w:rFonts w:hint="eastAsia" w:cs="@仿宋_GB2312"/>
                <w:b w:val="0"/>
                <w:bCs w:val="0"/>
                <w:color w:val="000000" w:themeColor="text1"/>
                <w:kern w:val="2"/>
                <w:sz w:val="24"/>
                <w:szCs w:val="18"/>
                <w:highlight w:val="none"/>
                <w14:textFill>
                  <w14:solidFill>
                    <w14:schemeClr w14:val="tx1"/>
                  </w14:solidFill>
                </w14:textFill>
              </w:rPr>
            </w:pPr>
            <w:r>
              <w:rPr>
                <w:rFonts w:hint="eastAsia" w:cs="@仿宋_GB2312"/>
                <w:b w:val="0"/>
                <w:bCs w:val="0"/>
                <w:color w:val="000000" w:themeColor="text1"/>
                <w:kern w:val="2"/>
                <w:sz w:val="24"/>
                <w:szCs w:val="18"/>
                <w:highlight w:val="none"/>
                <w14:textFill>
                  <w14:solidFill>
                    <w14:schemeClr w14:val="tx1"/>
                  </w14:solidFill>
                </w14:textFill>
              </w:rPr>
              <w:t>注意事项：</w:t>
            </w:r>
          </w:p>
          <w:p w14:paraId="3564AF3F">
            <w:pPr>
              <w:pStyle w:val="19"/>
              <w:widowControl w:val="0"/>
              <w:spacing w:before="0" w:beforeAutospacing="0" w:after="0" w:afterAutospacing="0" w:line="360" w:lineRule="auto"/>
              <w:jc w:val="both"/>
              <w:rPr>
                <w:rFonts w:hint="eastAsia" w:cs="@仿宋_GB2312"/>
                <w:b w:val="0"/>
                <w:bCs w:val="0"/>
                <w:color w:val="000000" w:themeColor="text1"/>
                <w:kern w:val="2"/>
                <w:sz w:val="24"/>
                <w:szCs w:val="18"/>
                <w:highlight w:val="none"/>
                <w14:textFill>
                  <w14:solidFill>
                    <w14:schemeClr w14:val="tx1"/>
                  </w14:solidFill>
                </w14:textFill>
              </w:rPr>
            </w:pPr>
            <w:r>
              <w:rPr>
                <w:rFonts w:hint="eastAsia" w:cs="@仿宋_GB2312"/>
                <w:b w:val="0"/>
                <w:bCs w:val="0"/>
                <w:color w:val="000000" w:themeColor="text1"/>
                <w:kern w:val="2"/>
                <w:sz w:val="24"/>
                <w:szCs w:val="18"/>
                <w:highlight w:val="none"/>
                <w14:textFill>
                  <w14:solidFill>
                    <w14:schemeClr w14:val="tx1"/>
                  </w14:solidFill>
                </w14:textFill>
              </w:rPr>
              <w:t>（1）</w:t>
            </w:r>
            <w:r>
              <w:rPr>
                <w:rFonts w:hint="eastAsia" w:cs="宋体"/>
                <w:b w:val="0"/>
                <w:bCs w:val="0"/>
                <w:color w:val="000000" w:themeColor="text1"/>
                <w:sz w:val="24"/>
                <w:highlight w:val="none"/>
                <w14:textFill>
                  <w14:solidFill>
                    <w14:schemeClr w14:val="tx1"/>
                  </w14:solidFill>
                </w14:textFill>
              </w:rPr>
              <w:t>磋商保证金</w:t>
            </w:r>
            <w:r>
              <w:rPr>
                <w:rFonts w:hint="eastAsia"/>
                <w:b w:val="0"/>
                <w:bCs w:val="0"/>
                <w:color w:val="000000" w:themeColor="text1"/>
                <w:sz w:val="24"/>
                <w:highlight w:val="none"/>
                <w:lang w:val="en-US" w:eastAsia="zh-CN"/>
                <w14:textFill>
                  <w14:solidFill>
                    <w14:schemeClr w14:val="tx1"/>
                  </w14:solidFill>
                </w14:textFill>
              </w:rPr>
              <w:t>及</w:t>
            </w:r>
            <w:r>
              <w:rPr>
                <w:rFonts w:hint="eastAsia" w:cs="@仿宋_GB2312"/>
                <w:b w:val="0"/>
                <w:bCs w:val="0"/>
                <w:color w:val="000000" w:themeColor="text1"/>
                <w:kern w:val="2"/>
                <w:sz w:val="24"/>
                <w:szCs w:val="18"/>
                <w:highlight w:val="none"/>
                <w14:textFill>
                  <w14:solidFill>
                    <w14:schemeClr w14:val="tx1"/>
                  </w14:solidFill>
                </w14:textFill>
              </w:rPr>
              <w:t>电子交易服务费</w:t>
            </w:r>
            <w:r>
              <w:rPr>
                <w:rFonts w:hint="eastAsia" w:cs="@仿宋_GB2312"/>
                <w:b w:val="0"/>
                <w:bCs w:val="0"/>
                <w:color w:val="000000" w:themeColor="text1"/>
                <w:kern w:val="2"/>
                <w:sz w:val="24"/>
                <w:szCs w:val="18"/>
                <w:highlight w:val="none"/>
                <w:lang w:val="en-US" w:eastAsia="zh-CN"/>
                <w14:textFill>
                  <w14:solidFill>
                    <w14:schemeClr w14:val="tx1"/>
                  </w14:solidFill>
                </w14:textFill>
              </w:rPr>
              <w:t>缴纳</w:t>
            </w:r>
            <w:r>
              <w:rPr>
                <w:rFonts w:hint="eastAsia" w:cs="@仿宋_GB2312"/>
                <w:b w:val="0"/>
                <w:bCs w:val="0"/>
                <w:color w:val="000000" w:themeColor="text1"/>
                <w:kern w:val="2"/>
                <w:sz w:val="24"/>
                <w:szCs w:val="18"/>
                <w:highlight w:val="none"/>
                <w14:textFill>
                  <w14:solidFill>
                    <w14:schemeClr w14:val="tx1"/>
                  </w14:solidFill>
                </w14:textFill>
              </w:rPr>
              <w:t>账号采用动态虚拟账号，请参审单位</w:t>
            </w:r>
            <w:r>
              <w:rPr>
                <w:rFonts w:hint="eastAsia" w:cs="@仿宋_GB2312"/>
                <w:b w:val="0"/>
                <w:bCs w:val="0"/>
                <w:color w:val="000000" w:themeColor="text1"/>
                <w:kern w:val="2"/>
                <w:sz w:val="24"/>
                <w:szCs w:val="18"/>
                <w:highlight w:val="none"/>
                <w:lang w:val="en-US" w:eastAsia="zh-CN"/>
                <w14:textFill>
                  <w14:solidFill>
                    <w14:schemeClr w14:val="tx1"/>
                  </w14:solidFill>
                </w14:textFill>
              </w:rPr>
              <w:t>缴纳</w:t>
            </w:r>
            <w:r>
              <w:rPr>
                <w:rFonts w:hint="eastAsia" w:cs="宋体"/>
                <w:b w:val="0"/>
                <w:bCs w:val="0"/>
                <w:color w:val="000000" w:themeColor="text1"/>
                <w:sz w:val="24"/>
                <w:highlight w:val="none"/>
                <w14:textFill>
                  <w14:solidFill>
                    <w14:schemeClr w14:val="tx1"/>
                  </w14:solidFill>
                </w14:textFill>
              </w:rPr>
              <w:t>磋商保证金</w:t>
            </w:r>
            <w:r>
              <w:rPr>
                <w:rFonts w:hint="eastAsia"/>
                <w:b w:val="0"/>
                <w:bCs w:val="0"/>
                <w:color w:val="000000" w:themeColor="text1"/>
                <w:sz w:val="24"/>
                <w:highlight w:val="none"/>
                <w:lang w:val="en-US" w:eastAsia="zh-CN"/>
                <w14:textFill>
                  <w14:solidFill>
                    <w14:schemeClr w14:val="tx1"/>
                  </w14:solidFill>
                </w14:textFill>
              </w:rPr>
              <w:t>及电子</w:t>
            </w:r>
            <w:r>
              <w:rPr>
                <w:rFonts w:hint="eastAsia" w:cs="@仿宋_GB2312"/>
                <w:b w:val="0"/>
                <w:bCs w:val="0"/>
                <w:color w:val="000000" w:themeColor="text1"/>
                <w:kern w:val="2"/>
                <w:sz w:val="24"/>
                <w:szCs w:val="18"/>
                <w:highlight w:val="none"/>
                <w14:textFill>
                  <w14:solidFill>
                    <w14:schemeClr w14:val="tx1"/>
                  </w14:solidFill>
                </w14:textFill>
              </w:rPr>
              <w:t>交易服务费时，务必备注：</w:t>
            </w:r>
            <w:r>
              <w:rPr>
                <w:rFonts w:hint="eastAsia" w:cs="@仿宋_GB2312"/>
                <w:color w:val="000000" w:themeColor="text1"/>
                <w:kern w:val="2"/>
                <w:sz w:val="24"/>
                <w:szCs w:val="18"/>
                <w:highlight w:val="none"/>
                <w14:textFill>
                  <w14:solidFill>
                    <w14:schemeClr w14:val="tx1"/>
                  </w14:solidFill>
                </w14:textFill>
              </w:rPr>
              <w:t>项目编号</w:t>
            </w:r>
          </w:p>
          <w:p w14:paraId="0997B0AF">
            <w:pPr>
              <w:pStyle w:val="19"/>
              <w:widowControl w:val="0"/>
              <w:spacing w:before="0" w:beforeAutospacing="0" w:after="0" w:afterAutospacing="0" w:line="360" w:lineRule="auto"/>
              <w:jc w:val="both"/>
              <w:rPr>
                <w:rFonts w:hint="eastAsia" w:cs="@仿宋_GB2312"/>
                <w:b w:val="0"/>
                <w:bCs w:val="0"/>
                <w:color w:val="000000" w:themeColor="text1"/>
                <w:kern w:val="2"/>
                <w:sz w:val="24"/>
                <w:szCs w:val="18"/>
                <w:highlight w:val="none"/>
                <w14:textFill>
                  <w14:solidFill>
                    <w14:schemeClr w14:val="tx1"/>
                  </w14:solidFill>
                </w14:textFill>
              </w:rPr>
            </w:pPr>
            <w:r>
              <w:rPr>
                <w:rFonts w:hint="eastAsia" w:cs="@仿宋_GB2312"/>
                <w:b w:val="0"/>
                <w:bCs w:val="0"/>
                <w:color w:val="000000" w:themeColor="text1"/>
                <w:kern w:val="2"/>
                <w:sz w:val="24"/>
                <w:szCs w:val="18"/>
                <w:highlight w:val="none"/>
                <w14:textFill>
                  <w14:solidFill>
                    <w14:schemeClr w14:val="tx1"/>
                  </w14:solidFill>
                </w14:textFill>
              </w:rPr>
              <w:t>参审单位如未进行备注的，可能会因评审委员会无法识别</w:t>
            </w:r>
            <w:r>
              <w:rPr>
                <w:rFonts w:hint="eastAsia" w:cs="宋体"/>
                <w:b w:val="0"/>
                <w:bCs w:val="0"/>
                <w:color w:val="000000" w:themeColor="text1"/>
                <w:sz w:val="24"/>
                <w:highlight w:val="none"/>
                <w14:textFill>
                  <w14:solidFill>
                    <w14:schemeClr w14:val="tx1"/>
                  </w14:solidFill>
                </w14:textFill>
              </w:rPr>
              <w:t>磋商保证金</w:t>
            </w:r>
            <w:r>
              <w:rPr>
                <w:rFonts w:hint="eastAsia"/>
                <w:b w:val="0"/>
                <w:bCs w:val="0"/>
                <w:color w:val="000000" w:themeColor="text1"/>
                <w:sz w:val="24"/>
                <w:highlight w:val="none"/>
                <w:lang w:val="en-US" w:eastAsia="zh-CN"/>
                <w14:textFill>
                  <w14:solidFill>
                    <w14:schemeClr w14:val="tx1"/>
                  </w14:solidFill>
                </w14:textFill>
              </w:rPr>
              <w:t>及</w:t>
            </w:r>
            <w:r>
              <w:rPr>
                <w:rFonts w:hint="eastAsia" w:cs="@仿宋_GB2312"/>
                <w:b w:val="0"/>
                <w:bCs w:val="0"/>
                <w:color w:val="000000" w:themeColor="text1"/>
                <w:kern w:val="2"/>
                <w:sz w:val="24"/>
                <w:szCs w:val="18"/>
                <w:highlight w:val="none"/>
                <w14:textFill>
                  <w14:solidFill>
                    <w14:schemeClr w14:val="tx1"/>
                  </w14:solidFill>
                </w14:textFill>
              </w:rPr>
              <w:t>电子交易服务费到账情况导致响应文件被否决，责任由参审单位自行承担。</w:t>
            </w:r>
          </w:p>
          <w:p w14:paraId="3344AC5E">
            <w:pPr>
              <w:pStyle w:val="19"/>
              <w:widowControl w:val="0"/>
              <w:spacing w:before="0" w:beforeAutospacing="0" w:after="0" w:afterAutospacing="0" w:line="360" w:lineRule="auto"/>
              <w:jc w:val="both"/>
              <w:rPr>
                <w:rFonts w:hint="eastAsia" w:cs="@仿宋_GB2312"/>
                <w:b w:val="0"/>
                <w:bCs w:val="0"/>
                <w:color w:val="000000" w:themeColor="text1"/>
                <w:kern w:val="2"/>
                <w:sz w:val="24"/>
                <w:szCs w:val="18"/>
                <w:highlight w:val="none"/>
                <w14:textFill>
                  <w14:solidFill>
                    <w14:schemeClr w14:val="tx1"/>
                  </w14:solidFill>
                </w14:textFill>
              </w:rPr>
            </w:pPr>
            <w:r>
              <w:rPr>
                <w:rFonts w:hint="eastAsia" w:cs="@仿宋_GB2312"/>
                <w:b w:val="0"/>
                <w:bCs w:val="0"/>
                <w:color w:val="000000" w:themeColor="text1"/>
                <w:kern w:val="2"/>
                <w:sz w:val="24"/>
                <w:szCs w:val="18"/>
                <w:highlight w:val="none"/>
                <w14:textFill>
                  <w14:solidFill>
                    <w14:schemeClr w14:val="tx1"/>
                  </w14:solidFill>
                </w14:textFill>
              </w:rPr>
              <w:t>（2）凡转账到其他项目</w:t>
            </w:r>
            <w:r>
              <w:rPr>
                <w:rFonts w:hint="eastAsia" w:cs="宋体"/>
                <w:b w:val="0"/>
                <w:bCs w:val="0"/>
                <w:color w:val="000000" w:themeColor="text1"/>
                <w:sz w:val="24"/>
                <w:highlight w:val="none"/>
                <w14:textFill>
                  <w14:solidFill>
                    <w14:schemeClr w14:val="tx1"/>
                  </w14:solidFill>
                </w14:textFill>
              </w:rPr>
              <w:t>磋商保证金</w:t>
            </w:r>
            <w:r>
              <w:rPr>
                <w:rFonts w:hint="eastAsia"/>
                <w:b w:val="0"/>
                <w:bCs w:val="0"/>
                <w:color w:val="000000" w:themeColor="text1"/>
                <w:sz w:val="24"/>
                <w:highlight w:val="none"/>
                <w:lang w:val="en-US" w:eastAsia="zh-CN"/>
                <w14:textFill>
                  <w14:solidFill>
                    <w14:schemeClr w14:val="tx1"/>
                  </w14:solidFill>
                </w14:textFill>
              </w:rPr>
              <w:t>及</w:t>
            </w:r>
            <w:r>
              <w:rPr>
                <w:rFonts w:hint="eastAsia" w:cs="@仿宋_GB2312"/>
                <w:b w:val="0"/>
                <w:bCs w:val="0"/>
                <w:color w:val="000000" w:themeColor="text1"/>
                <w:kern w:val="2"/>
                <w:sz w:val="24"/>
                <w:szCs w:val="18"/>
                <w:highlight w:val="none"/>
                <w14:textFill>
                  <w14:solidFill>
                    <w14:schemeClr w14:val="tx1"/>
                  </w14:solidFill>
                </w14:textFill>
              </w:rPr>
              <w:t>电子交易服务费账户或本项目前次公告中</w:t>
            </w:r>
            <w:r>
              <w:rPr>
                <w:rFonts w:hint="eastAsia" w:cs="宋体"/>
                <w:b w:val="0"/>
                <w:bCs w:val="0"/>
                <w:color w:val="000000" w:themeColor="text1"/>
                <w:sz w:val="24"/>
                <w:highlight w:val="none"/>
                <w14:textFill>
                  <w14:solidFill>
                    <w14:schemeClr w14:val="tx1"/>
                  </w14:solidFill>
                </w14:textFill>
              </w:rPr>
              <w:t>磋商保证金</w:t>
            </w:r>
            <w:r>
              <w:rPr>
                <w:rFonts w:hint="eastAsia"/>
                <w:b w:val="0"/>
                <w:bCs w:val="0"/>
                <w:color w:val="000000" w:themeColor="text1"/>
                <w:sz w:val="24"/>
                <w:highlight w:val="none"/>
                <w:lang w:val="en-US" w:eastAsia="zh-CN"/>
                <w14:textFill>
                  <w14:solidFill>
                    <w14:schemeClr w14:val="tx1"/>
                  </w14:solidFill>
                </w14:textFill>
              </w:rPr>
              <w:t>及</w:t>
            </w:r>
            <w:r>
              <w:rPr>
                <w:rFonts w:hint="eastAsia" w:cs="@仿宋_GB2312"/>
                <w:b w:val="0"/>
                <w:bCs w:val="0"/>
                <w:color w:val="000000" w:themeColor="text1"/>
                <w:kern w:val="2"/>
                <w:sz w:val="24"/>
                <w:szCs w:val="18"/>
                <w:highlight w:val="none"/>
                <w14:textFill>
                  <w14:solidFill>
                    <w14:schemeClr w14:val="tx1"/>
                  </w14:solidFill>
                </w14:textFill>
              </w:rPr>
              <w:t>电子交易服务费账户的，视为未按磋商文件规定要求</w:t>
            </w:r>
            <w:r>
              <w:rPr>
                <w:rFonts w:hint="eastAsia" w:cs="@仿宋_GB2312"/>
                <w:b w:val="0"/>
                <w:bCs w:val="0"/>
                <w:color w:val="000000" w:themeColor="text1"/>
                <w:kern w:val="2"/>
                <w:sz w:val="24"/>
                <w:szCs w:val="18"/>
                <w:highlight w:val="none"/>
                <w:lang w:val="en-US" w:eastAsia="zh-CN"/>
                <w14:textFill>
                  <w14:solidFill>
                    <w14:schemeClr w14:val="tx1"/>
                  </w14:solidFill>
                </w14:textFill>
              </w:rPr>
              <w:t>缴</w:t>
            </w:r>
            <w:r>
              <w:rPr>
                <w:rFonts w:hint="eastAsia" w:cs="@仿宋_GB2312"/>
                <w:b w:val="0"/>
                <w:bCs w:val="0"/>
                <w:color w:val="000000" w:themeColor="text1"/>
                <w:kern w:val="2"/>
                <w:sz w:val="24"/>
                <w:szCs w:val="18"/>
                <w:highlight w:val="none"/>
                <w14:textFill>
                  <w14:solidFill>
                    <w14:schemeClr w14:val="tx1"/>
                  </w14:solidFill>
                </w14:textFill>
              </w:rPr>
              <w:t>纳</w:t>
            </w:r>
            <w:r>
              <w:rPr>
                <w:rFonts w:hint="eastAsia" w:cs="宋体"/>
                <w:b w:val="0"/>
                <w:bCs w:val="0"/>
                <w:color w:val="000000" w:themeColor="text1"/>
                <w:sz w:val="24"/>
                <w:highlight w:val="none"/>
                <w14:textFill>
                  <w14:solidFill>
                    <w14:schemeClr w14:val="tx1"/>
                  </w14:solidFill>
                </w14:textFill>
              </w:rPr>
              <w:t>磋商保证金</w:t>
            </w:r>
            <w:r>
              <w:rPr>
                <w:rFonts w:hint="eastAsia"/>
                <w:b w:val="0"/>
                <w:bCs w:val="0"/>
                <w:color w:val="000000" w:themeColor="text1"/>
                <w:sz w:val="24"/>
                <w:highlight w:val="none"/>
                <w:lang w:val="en-US" w:eastAsia="zh-CN"/>
                <w14:textFill>
                  <w14:solidFill>
                    <w14:schemeClr w14:val="tx1"/>
                  </w14:solidFill>
                </w14:textFill>
              </w:rPr>
              <w:t>及</w:t>
            </w:r>
            <w:r>
              <w:rPr>
                <w:rFonts w:hint="eastAsia" w:cs="@仿宋_GB2312"/>
                <w:b w:val="0"/>
                <w:bCs w:val="0"/>
                <w:color w:val="000000" w:themeColor="text1"/>
                <w:kern w:val="2"/>
                <w:sz w:val="24"/>
                <w:szCs w:val="18"/>
                <w:highlight w:val="none"/>
                <w14:textFill>
                  <w14:solidFill>
                    <w14:schemeClr w14:val="tx1"/>
                  </w14:solidFill>
                </w14:textFill>
              </w:rPr>
              <w:t>电子交易服务费，其响应无效。</w:t>
            </w:r>
          </w:p>
          <w:p w14:paraId="584C2191">
            <w:pPr>
              <w:pStyle w:val="19"/>
              <w:widowControl w:val="0"/>
              <w:spacing w:before="0" w:beforeAutospacing="0" w:after="0" w:afterAutospacing="0" w:line="360" w:lineRule="auto"/>
              <w:jc w:val="both"/>
              <w:rPr>
                <w:rFonts w:hint="default" w:eastAsia="宋体" w:cs="@仿宋_GB2312"/>
                <w:b w:val="0"/>
                <w:bCs w:val="0"/>
                <w:color w:val="000000" w:themeColor="text1"/>
                <w:kern w:val="2"/>
                <w:sz w:val="24"/>
                <w:szCs w:val="18"/>
                <w:highlight w:val="none"/>
                <w:lang w:val="en-US" w:eastAsia="zh-CN"/>
                <w14:textFill>
                  <w14:solidFill>
                    <w14:schemeClr w14:val="tx1"/>
                  </w14:solidFill>
                </w14:textFill>
              </w:rPr>
            </w:pPr>
            <w:r>
              <w:rPr>
                <w:rFonts w:hint="eastAsia" w:cs="@仿宋_GB2312"/>
                <w:b w:val="0"/>
                <w:bCs w:val="0"/>
                <w:color w:val="000000" w:themeColor="text1"/>
                <w:kern w:val="2"/>
                <w:sz w:val="24"/>
                <w:szCs w:val="18"/>
                <w:highlight w:val="none"/>
                <w14:textFill>
                  <w14:solidFill>
                    <w14:schemeClr w14:val="tx1"/>
                  </w14:solidFill>
                </w14:textFill>
              </w:rPr>
              <w:t>（3）参审单位参与本项目多个标段磋商的（如分多标段的），应该按标段分别递交</w:t>
            </w:r>
            <w:r>
              <w:rPr>
                <w:rFonts w:hint="eastAsia" w:cs="宋体"/>
                <w:b w:val="0"/>
                <w:bCs w:val="0"/>
                <w:color w:val="000000" w:themeColor="text1"/>
                <w:sz w:val="24"/>
                <w:highlight w:val="none"/>
                <w14:textFill>
                  <w14:solidFill>
                    <w14:schemeClr w14:val="tx1"/>
                  </w14:solidFill>
                </w14:textFill>
              </w:rPr>
              <w:t>磋商保证金</w:t>
            </w:r>
            <w:r>
              <w:rPr>
                <w:rFonts w:hint="eastAsia"/>
                <w:b w:val="0"/>
                <w:bCs w:val="0"/>
                <w:color w:val="000000" w:themeColor="text1"/>
                <w:sz w:val="24"/>
                <w:highlight w:val="none"/>
                <w:lang w:val="en-US" w:eastAsia="zh-CN"/>
                <w14:textFill>
                  <w14:solidFill>
                    <w14:schemeClr w14:val="tx1"/>
                  </w14:solidFill>
                </w14:textFill>
              </w:rPr>
              <w:t>及</w:t>
            </w:r>
            <w:r>
              <w:rPr>
                <w:rFonts w:hint="eastAsia" w:cs="@仿宋_GB2312"/>
                <w:b w:val="0"/>
                <w:bCs w:val="0"/>
                <w:color w:val="000000" w:themeColor="text1"/>
                <w:kern w:val="2"/>
                <w:sz w:val="24"/>
                <w:szCs w:val="18"/>
                <w:highlight w:val="none"/>
                <w14:textFill>
                  <w14:solidFill>
                    <w14:schemeClr w14:val="tx1"/>
                  </w14:solidFill>
                </w14:textFill>
              </w:rPr>
              <w:t>电子交易服务费。未递交</w:t>
            </w:r>
            <w:r>
              <w:rPr>
                <w:rFonts w:hint="eastAsia" w:cs="宋体"/>
                <w:b w:val="0"/>
                <w:bCs w:val="0"/>
                <w:color w:val="000000" w:themeColor="text1"/>
                <w:sz w:val="24"/>
                <w:highlight w:val="none"/>
                <w14:textFill>
                  <w14:solidFill>
                    <w14:schemeClr w14:val="tx1"/>
                  </w14:solidFill>
                </w14:textFill>
              </w:rPr>
              <w:t>磋商保证金</w:t>
            </w:r>
            <w:r>
              <w:rPr>
                <w:rFonts w:hint="eastAsia"/>
                <w:b w:val="0"/>
                <w:bCs w:val="0"/>
                <w:color w:val="000000" w:themeColor="text1"/>
                <w:sz w:val="24"/>
                <w:highlight w:val="none"/>
                <w:lang w:val="en-US" w:eastAsia="zh-CN"/>
                <w14:textFill>
                  <w14:solidFill>
                    <w14:schemeClr w14:val="tx1"/>
                  </w14:solidFill>
                </w14:textFill>
              </w:rPr>
              <w:t>及</w:t>
            </w:r>
            <w:r>
              <w:rPr>
                <w:rFonts w:hint="eastAsia" w:cs="@仿宋_GB2312"/>
                <w:b w:val="0"/>
                <w:bCs w:val="0"/>
                <w:color w:val="000000" w:themeColor="text1"/>
                <w:kern w:val="2"/>
                <w:sz w:val="24"/>
                <w:szCs w:val="18"/>
                <w:highlight w:val="none"/>
                <w14:textFill>
                  <w14:solidFill>
                    <w14:schemeClr w14:val="tx1"/>
                  </w14:solidFill>
                </w14:textFill>
              </w:rPr>
              <w:t>电子交易服务费的标段，其响应无效。</w:t>
            </w:r>
          </w:p>
        </w:tc>
      </w:tr>
      <w:tr w14:paraId="28A5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CA4B24D">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w:t>
            </w:r>
            <w:r>
              <w:rPr>
                <w:bCs/>
                <w:color w:val="000000" w:themeColor="text1"/>
                <w:kern w:val="2"/>
                <w:highlight w:val="none"/>
                <w14:textFill>
                  <w14:solidFill>
                    <w14:schemeClr w14:val="tx1"/>
                  </w14:solidFill>
                </w14:textFill>
              </w:rPr>
              <w:t>4.1</w:t>
            </w:r>
          </w:p>
        </w:tc>
        <w:tc>
          <w:tcPr>
            <w:tcW w:w="2031" w:type="dxa"/>
            <w:vAlign w:val="center"/>
          </w:tcPr>
          <w:p w14:paraId="02FD77E8">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磋商有效期</w:t>
            </w:r>
          </w:p>
        </w:tc>
        <w:tc>
          <w:tcPr>
            <w:tcW w:w="6020" w:type="dxa"/>
            <w:vAlign w:val="center"/>
          </w:tcPr>
          <w:p w14:paraId="5E4D98F8">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 xml:space="preserve"> 120 日历天</w:t>
            </w:r>
          </w:p>
        </w:tc>
      </w:tr>
      <w:tr w14:paraId="6D92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B5813E0">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w:t>
            </w:r>
            <w:r>
              <w:rPr>
                <w:bCs/>
                <w:color w:val="000000" w:themeColor="text1"/>
                <w:kern w:val="2"/>
                <w:highlight w:val="none"/>
                <w14:textFill>
                  <w14:solidFill>
                    <w14:schemeClr w14:val="tx1"/>
                  </w14:solidFill>
                </w14:textFill>
              </w:rPr>
              <w:t>5.1</w:t>
            </w:r>
          </w:p>
        </w:tc>
        <w:tc>
          <w:tcPr>
            <w:tcW w:w="2031" w:type="dxa"/>
            <w:vAlign w:val="center"/>
          </w:tcPr>
          <w:p w14:paraId="2C566F78">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响应文件要求</w:t>
            </w:r>
          </w:p>
        </w:tc>
        <w:tc>
          <w:tcPr>
            <w:tcW w:w="6020" w:type="dxa"/>
            <w:vAlign w:val="center"/>
          </w:tcPr>
          <w:p w14:paraId="06B7EF03">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加密电子响应文件</w:t>
            </w:r>
          </w:p>
        </w:tc>
      </w:tr>
      <w:tr w14:paraId="3593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E0B8199">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w:t>
            </w:r>
            <w:r>
              <w:rPr>
                <w:bCs/>
                <w:color w:val="000000" w:themeColor="text1"/>
                <w:kern w:val="2"/>
                <w:highlight w:val="none"/>
                <w14:textFill>
                  <w14:solidFill>
                    <w14:schemeClr w14:val="tx1"/>
                  </w14:solidFill>
                </w14:textFill>
              </w:rPr>
              <w:t>5.3</w:t>
            </w:r>
          </w:p>
        </w:tc>
        <w:tc>
          <w:tcPr>
            <w:tcW w:w="2031" w:type="dxa"/>
            <w:vAlign w:val="center"/>
          </w:tcPr>
          <w:p w14:paraId="02BC3EB5">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磋商现场提交的其他材料要求</w:t>
            </w:r>
          </w:p>
        </w:tc>
        <w:tc>
          <w:tcPr>
            <w:tcW w:w="6020" w:type="dxa"/>
            <w:vAlign w:val="center"/>
          </w:tcPr>
          <w:p w14:paraId="1EC540A3">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bCs w:val="0"/>
                <w:color w:val="000000" w:themeColor="text1"/>
                <w:sz w:val="24"/>
                <w:szCs w:val="18"/>
                <w:highlight w:val="none"/>
                <w14:textFill>
                  <w14:solidFill>
                    <w14:schemeClr w14:val="tx1"/>
                  </w14:solidFill>
                </w14:textFill>
              </w:rPr>
              <w:t xml:space="preserve"> /</w:t>
            </w:r>
            <w:r>
              <w:rPr>
                <w:b w:val="0"/>
                <w:bCs w:val="0"/>
                <w:color w:val="000000" w:themeColor="text1"/>
                <w:sz w:val="24"/>
                <w:szCs w:val="18"/>
                <w:highlight w:val="none"/>
                <w14:textFill>
                  <w14:solidFill>
                    <w14:schemeClr w14:val="tx1"/>
                  </w14:solidFill>
                </w14:textFill>
              </w:rPr>
              <w:t xml:space="preserve"> </w:t>
            </w:r>
          </w:p>
        </w:tc>
      </w:tr>
      <w:tr w14:paraId="4006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3500BAE">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w:t>
            </w:r>
            <w:r>
              <w:rPr>
                <w:bCs/>
                <w:color w:val="000000" w:themeColor="text1"/>
                <w:kern w:val="2"/>
                <w:highlight w:val="none"/>
                <w14:textFill>
                  <w14:solidFill>
                    <w14:schemeClr w14:val="tx1"/>
                  </w14:solidFill>
                </w14:textFill>
              </w:rPr>
              <w:t>6.1</w:t>
            </w:r>
          </w:p>
        </w:tc>
        <w:tc>
          <w:tcPr>
            <w:tcW w:w="2031" w:type="dxa"/>
            <w:vAlign w:val="center"/>
          </w:tcPr>
          <w:p w14:paraId="1C16B216">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响应文件提交截止时间</w:t>
            </w:r>
          </w:p>
        </w:tc>
        <w:tc>
          <w:tcPr>
            <w:tcW w:w="6020" w:type="dxa"/>
            <w:vAlign w:val="center"/>
          </w:tcPr>
          <w:p w14:paraId="48BC7EB1">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详见磋商公告</w:t>
            </w:r>
          </w:p>
        </w:tc>
      </w:tr>
      <w:tr w14:paraId="1150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C989B76">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w:t>
            </w:r>
            <w:r>
              <w:rPr>
                <w:bCs/>
                <w:color w:val="000000" w:themeColor="text1"/>
                <w:kern w:val="2"/>
                <w:highlight w:val="none"/>
                <w14:textFill>
                  <w14:solidFill>
                    <w14:schemeClr w14:val="tx1"/>
                  </w14:solidFill>
                </w14:textFill>
              </w:rPr>
              <w:t>7.3</w:t>
            </w:r>
          </w:p>
        </w:tc>
        <w:tc>
          <w:tcPr>
            <w:tcW w:w="2031" w:type="dxa"/>
            <w:vAlign w:val="center"/>
          </w:tcPr>
          <w:p w14:paraId="328BC6EA">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响应文件解密时间</w:t>
            </w:r>
          </w:p>
        </w:tc>
        <w:tc>
          <w:tcPr>
            <w:tcW w:w="6020" w:type="dxa"/>
            <w:vAlign w:val="center"/>
          </w:tcPr>
          <w:p w14:paraId="36534E68">
            <w:pPr>
              <w:pStyle w:val="19"/>
              <w:widowControl w:val="0"/>
              <w:spacing w:before="0" w:beforeAutospacing="0" w:after="0" w:afterAutospacing="0" w:line="360" w:lineRule="auto"/>
              <w:jc w:val="both"/>
              <w:rPr>
                <w:rFonts w:hint="eastAsia" w:cs="宋体"/>
                <w:b w:val="0"/>
                <w:color w:val="000000" w:themeColor="text1"/>
                <w:sz w:val="24"/>
                <w:highlight w:val="none"/>
                <w14:textFill>
                  <w14:solidFill>
                    <w14:schemeClr w14:val="tx1"/>
                  </w14:solidFill>
                </w14:textFill>
              </w:rPr>
            </w:pPr>
            <w:r>
              <w:rPr>
                <w:rFonts w:hint="eastAsia" w:cs="宋体"/>
                <w:b w:val="0"/>
                <w:color w:val="000000" w:themeColor="text1"/>
                <w:sz w:val="24"/>
                <w:highlight w:val="none"/>
                <w14:textFill>
                  <w14:solidFill>
                    <w14:schemeClr w14:val="tx1"/>
                  </w14:solidFill>
                </w14:textFill>
              </w:rPr>
              <w:t>响应文件提交截止时间后30分钟内（以系统解密倒计时为准）</w:t>
            </w:r>
          </w:p>
          <w:p w14:paraId="6C193F01">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cs="宋体"/>
                <w:bCs w:val="0"/>
                <w:color w:val="000000" w:themeColor="text1"/>
                <w:sz w:val="24"/>
                <w:highlight w:val="none"/>
                <w14:textFill>
                  <w14:solidFill>
                    <w14:schemeClr w14:val="tx1"/>
                  </w14:solidFill>
                </w14:textFill>
              </w:rPr>
              <w:t>其他要求：响应文件解密可以采用网上远程方式，无需到磋商现场进行解密。解密的CA锁必须与响应文件加密的CA锁一致，否则造成的后果由</w:t>
            </w:r>
            <w:r>
              <w:rPr>
                <w:rFonts w:hint="eastAsia"/>
                <w:color w:val="000000" w:themeColor="text1"/>
                <w:sz w:val="24"/>
                <w:szCs w:val="18"/>
                <w:highlight w:val="none"/>
                <w14:textFill>
                  <w14:solidFill>
                    <w14:schemeClr w14:val="tx1"/>
                  </w14:solidFill>
                </w14:textFill>
              </w:rPr>
              <w:t>参审单位</w:t>
            </w:r>
            <w:r>
              <w:rPr>
                <w:rFonts w:hint="eastAsia" w:cs="宋体"/>
                <w:bCs w:val="0"/>
                <w:color w:val="000000" w:themeColor="text1"/>
                <w:sz w:val="24"/>
                <w:highlight w:val="none"/>
                <w14:textFill>
                  <w14:solidFill>
                    <w14:schemeClr w14:val="tx1"/>
                  </w14:solidFill>
                </w14:textFill>
              </w:rPr>
              <w:t>自行承担。</w:t>
            </w:r>
          </w:p>
        </w:tc>
      </w:tr>
      <w:tr w14:paraId="197B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280A042F">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19</w:t>
            </w:r>
            <w:r>
              <w:rPr>
                <w:bCs/>
                <w:color w:val="000000" w:themeColor="text1"/>
                <w:kern w:val="2"/>
                <w:highlight w:val="none"/>
                <w14:textFill>
                  <w14:solidFill>
                    <w14:schemeClr w14:val="tx1"/>
                  </w14:solidFill>
                </w14:textFill>
              </w:rPr>
              <w:t>.1</w:t>
            </w:r>
          </w:p>
        </w:tc>
        <w:tc>
          <w:tcPr>
            <w:tcW w:w="2031" w:type="dxa"/>
            <w:vAlign w:val="center"/>
          </w:tcPr>
          <w:p w14:paraId="13ABC21E">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磋商时间</w:t>
            </w:r>
          </w:p>
        </w:tc>
        <w:tc>
          <w:tcPr>
            <w:tcW w:w="6020" w:type="dxa"/>
            <w:vAlign w:val="center"/>
          </w:tcPr>
          <w:p w14:paraId="5BEF82B2">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详见磋商公告</w:t>
            </w:r>
          </w:p>
        </w:tc>
      </w:tr>
      <w:tr w14:paraId="09F0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07715E51">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p>
        </w:tc>
        <w:tc>
          <w:tcPr>
            <w:tcW w:w="2031" w:type="dxa"/>
            <w:vAlign w:val="center"/>
          </w:tcPr>
          <w:p w14:paraId="3E7B63E0">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磋商地点</w:t>
            </w:r>
          </w:p>
        </w:tc>
        <w:tc>
          <w:tcPr>
            <w:tcW w:w="6020" w:type="dxa"/>
            <w:vAlign w:val="center"/>
          </w:tcPr>
          <w:p w14:paraId="52DEE12D">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详见磋商公告</w:t>
            </w:r>
          </w:p>
          <w:p w14:paraId="30FA5EB1">
            <w:pPr>
              <w:spacing w:line="360" w:lineRule="auto"/>
              <w:rPr>
                <w:rFonts w:hint="eastAsia"/>
                <w:color w:val="000000" w:themeColor="text1"/>
                <w:sz w:val="24"/>
                <w:highlight w:val="none"/>
                <w14:textFill>
                  <w14:solidFill>
                    <w14:schemeClr w14:val="tx1"/>
                  </w14:solidFill>
                </w14:textFill>
              </w:rPr>
            </w:pPr>
            <w:r>
              <w:rPr>
                <w:rFonts w:hint="eastAsia"/>
                <w:b/>
                <w:bCs/>
                <w:color w:val="000000" w:themeColor="text1"/>
                <w:sz w:val="24"/>
                <w:szCs w:val="18"/>
                <w:highlight w:val="none"/>
                <w14:textFill>
                  <w14:solidFill>
                    <w14:schemeClr w14:val="tx1"/>
                  </w14:solidFill>
                </w14:textFill>
              </w:rPr>
              <w:t>备注：</w:t>
            </w:r>
            <w:r>
              <w:rPr>
                <w:rFonts w:hint="eastAsia"/>
                <w:b/>
                <w:color w:val="000000" w:themeColor="text1"/>
                <w:sz w:val="24"/>
                <w:szCs w:val="18"/>
                <w:highlight w:val="none"/>
                <w14:textFill>
                  <w14:solidFill>
                    <w14:schemeClr w14:val="tx1"/>
                  </w14:solidFill>
                </w14:textFill>
              </w:rPr>
              <w:t>参审单位</w:t>
            </w:r>
            <w:r>
              <w:rPr>
                <w:rFonts w:hint="eastAsia"/>
                <w:b/>
                <w:bCs/>
                <w:color w:val="000000" w:themeColor="text1"/>
                <w:sz w:val="24"/>
                <w:szCs w:val="18"/>
                <w:highlight w:val="none"/>
                <w14:textFill>
                  <w14:solidFill>
                    <w14:schemeClr w14:val="tx1"/>
                  </w14:solidFill>
                </w14:textFill>
              </w:rPr>
              <w:t>可以在线解密响应文件，无须现场参加磋商</w:t>
            </w:r>
          </w:p>
        </w:tc>
      </w:tr>
      <w:tr w14:paraId="487A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4B923BE">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19.3</w:t>
            </w:r>
          </w:p>
        </w:tc>
        <w:tc>
          <w:tcPr>
            <w:tcW w:w="2031" w:type="dxa"/>
            <w:vAlign w:val="center"/>
          </w:tcPr>
          <w:p w14:paraId="088B5568">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评审方法</w:t>
            </w:r>
          </w:p>
        </w:tc>
        <w:tc>
          <w:tcPr>
            <w:tcW w:w="6020" w:type="dxa"/>
            <w:vAlign w:val="center"/>
          </w:tcPr>
          <w:p w14:paraId="13375E79">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Cs w:val="0"/>
                <w:color w:val="000000" w:themeColor="text1"/>
                <w:sz w:val="24"/>
                <w:highlight w:val="none"/>
                <w14:textFill>
                  <w14:solidFill>
                    <w14:schemeClr w14:val="tx1"/>
                  </w14:solidFill>
                </w14:textFill>
              </w:rPr>
              <w:t>☑</w:t>
            </w:r>
            <w:r>
              <w:rPr>
                <w:rFonts w:hint="eastAsia"/>
                <w:b w:val="0"/>
                <w:color w:val="000000" w:themeColor="text1"/>
                <w:sz w:val="24"/>
                <w:highlight w:val="none"/>
                <w14:textFill>
                  <w14:solidFill>
                    <w14:schemeClr w14:val="tx1"/>
                  </w14:solidFill>
                </w14:textFill>
              </w:rPr>
              <w:t>综合评分法</w:t>
            </w:r>
          </w:p>
        </w:tc>
      </w:tr>
      <w:tr w14:paraId="22DC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180D5F91">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24</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1</w:t>
            </w:r>
          </w:p>
        </w:tc>
        <w:tc>
          <w:tcPr>
            <w:tcW w:w="2031" w:type="dxa"/>
            <w:vMerge w:val="restart"/>
            <w:vAlign w:val="center"/>
          </w:tcPr>
          <w:p w14:paraId="2024032B">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确定成交候选人和成交人</w:t>
            </w:r>
          </w:p>
        </w:tc>
        <w:tc>
          <w:tcPr>
            <w:tcW w:w="6020" w:type="dxa"/>
            <w:vAlign w:val="center"/>
          </w:tcPr>
          <w:p w14:paraId="768D78D6">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磋商小组推荐成交</w:t>
            </w:r>
            <w:r>
              <w:rPr>
                <w:b w:val="0"/>
                <w:color w:val="000000" w:themeColor="text1"/>
                <w:sz w:val="24"/>
                <w:highlight w:val="none"/>
                <w14:textFill>
                  <w14:solidFill>
                    <w14:schemeClr w14:val="tx1"/>
                  </w14:solidFill>
                </w14:textFill>
              </w:rPr>
              <w:t>候选</w:t>
            </w:r>
            <w:r>
              <w:rPr>
                <w:rFonts w:hint="eastAsia"/>
                <w:b w:val="0"/>
                <w:color w:val="000000" w:themeColor="text1"/>
                <w:sz w:val="24"/>
                <w:highlight w:val="none"/>
                <w14:textFill>
                  <w14:solidFill>
                    <w14:schemeClr w14:val="tx1"/>
                  </w14:solidFill>
                </w14:textFill>
              </w:rPr>
              <w:t>人的</w:t>
            </w:r>
            <w:r>
              <w:rPr>
                <w:b w:val="0"/>
                <w:color w:val="000000" w:themeColor="text1"/>
                <w:sz w:val="24"/>
                <w:highlight w:val="none"/>
                <w14:textFill>
                  <w14:solidFill>
                    <w14:schemeClr w14:val="tx1"/>
                  </w14:solidFill>
                </w14:textFill>
              </w:rPr>
              <w:t>数量</w:t>
            </w:r>
            <w:r>
              <w:rPr>
                <w:rFonts w:hint="eastAsia"/>
                <w:b w:val="0"/>
                <w:color w:val="000000" w:themeColor="text1"/>
                <w:sz w:val="24"/>
                <w:highlight w:val="none"/>
                <w14:textFill>
                  <w14:solidFill>
                    <w14:schemeClr w14:val="tx1"/>
                  </w14:solidFill>
                </w14:textFill>
              </w:rPr>
              <w:t>：1</w:t>
            </w:r>
            <w:r>
              <w:rPr>
                <w:b w:val="0"/>
                <w:color w:val="000000" w:themeColor="text1"/>
                <w:sz w:val="24"/>
                <w:highlight w:val="none"/>
                <w14:textFill>
                  <w14:solidFill>
                    <w14:schemeClr w14:val="tx1"/>
                  </w14:solidFill>
                </w14:textFill>
              </w:rPr>
              <w:t>家</w:t>
            </w:r>
          </w:p>
        </w:tc>
      </w:tr>
      <w:tr w14:paraId="5CDA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638DA443">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p>
        </w:tc>
        <w:tc>
          <w:tcPr>
            <w:tcW w:w="2031" w:type="dxa"/>
            <w:vMerge w:val="continue"/>
            <w:vAlign w:val="center"/>
          </w:tcPr>
          <w:p w14:paraId="4287752C">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p>
        </w:tc>
        <w:tc>
          <w:tcPr>
            <w:tcW w:w="6020" w:type="dxa"/>
            <w:vAlign w:val="center"/>
          </w:tcPr>
          <w:p w14:paraId="77B14019">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确定成交人：</w:t>
            </w:r>
          </w:p>
          <w:p w14:paraId="657849AF">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w:t>
            </w:r>
            <w:r>
              <w:rPr>
                <w:b w:val="0"/>
                <w:color w:val="000000" w:themeColor="text1"/>
                <w:sz w:val="24"/>
                <w:szCs w:val="18"/>
                <w:highlight w:val="none"/>
                <w14:textFill>
                  <w14:solidFill>
                    <w14:schemeClr w14:val="tx1"/>
                  </w14:solidFill>
                </w14:textFill>
              </w:rPr>
              <w:t>业主</w:t>
            </w:r>
            <w:r>
              <w:rPr>
                <w:rFonts w:hint="eastAsia"/>
                <w:b w:val="0"/>
                <w:color w:val="000000" w:themeColor="text1"/>
                <w:sz w:val="24"/>
                <w:szCs w:val="18"/>
                <w:highlight w:val="none"/>
                <w14:textFill>
                  <w14:solidFill>
                    <w14:schemeClr w14:val="tx1"/>
                  </w14:solidFill>
                </w14:textFill>
              </w:rPr>
              <w:t>单位</w:t>
            </w:r>
            <w:r>
              <w:rPr>
                <w:rFonts w:hint="eastAsia"/>
                <w:b w:val="0"/>
                <w:color w:val="000000" w:themeColor="text1"/>
                <w:sz w:val="24"/>
                <w:highlight w:val="none"/>
                <w14:textFill>
                  <w14:solidFill>
                    <w14:schemeClr w14:val="tx1"/>
                  </w14:solidFill>
                </w14:textFill>
              </w:rPr>
              <w:t>委托磋商小组确定  □</w:t>
            </w:r>
            <w:r>
              <w:rPr>
                <w:b w:val="0"/>
                <w:color w:val="000000" w:themeColor="text1"/>
                <w:sz w:val="24"/>
                <w:szCs w:val="18"/>
                <w:highlight w:val="none"/>
                <w14:textFill>
                  <w14:solidFill>
                    <w14:schemeClr w14:val="tx1"/>
                  </w14:solidFill>
                </w14:textFill>
              </w:rPr>
              <w:t>业主</w:t>
            </w:r>
            <w:r>
              <w:rPr>
                <w:rFonts w:hint="eastAsia"/>
                <w:b w:val="0"/>
                <w:color w:val="000000" w:themeColor="text1"/>
                <w:sz w:val="24"/>
                <w:szCs w:val="18"/>
                <w:highlight w:val="none"/>
                <w14:textFill>
                  <w14:solidFill>
                    <w14:schemeClr w14:val="tx1"/>
                  </w14:solidFill>
                </w14:textFill>
              </w:rPr>
              <w:t>单位</w:t>
            </w:r>
            <w:r>
              <w:rPr>
                <w:rFonts w:hint="eastAsia"/>
                <w:b w:val="0"/>
                <w:color w:val="000000" w:themeColor="text1"/>
                <w:sz w:val="24"/>
                <w:highlight w:val="none"/>
                <w14:textFill>
                  <w14:solidFill>
                    <w14:schemeClr w14:val="tx1"/>
                  </w14:solidFill>
                </w14:textFill>
              </w:rPr>
              <w:t>确定</w:t>
            </w:r>
          </w:p>
        </w:tc>
      </w:tr>
      <w:tr w14:paraId="6607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85E6EDD">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28</w:t>
            </w:r>
            <w:r>
              <w:rPr>
                <w:bCs/>
                <w:color w:val="000000" w:themeColor="text1"/>
                <w:kern w:val="2"/>
                <w:highlight w:val="none"/>
                <w14:textFill>
                  <w14:solidFill>
                    <w14:schemeClr w14:val="tx1"/>
                  </w14:solidFill>
                </w14:textFill>
              </w:rPr>
              <w:t>.1</w:t>
            </w:r>
          </w:p>
        </w:tc>
        <w:tc>
          <w:tcPr>
            <w:tcW w:w="2031" w:type="dxa"/>
            <w:vAlign w:val="center"/>
          </w:tcPr>
          <w:p w14:paraId="35711B4B">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成交通知书发出的形式</w:t>
            </w:r>
          </w:p>
        </w:tc>
        <w:tc>
          <w:tcPr>
            <w:tcW w:w="6020" w:type="dxa"/>
            <w:vAlign w:val="center"/>
          </w:tcPr>
          <w:p w14:paraId="77FA70C0">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 xml:space="preserve">☑书面 </w:t>
            </w:r>
            <w:r>
              <w:rPr>
                <w:b w:val="0"/>
                <w:color w:val="000000" w:themeColor="text1"/>
                <w:sz w:val="24"/>
                <w:highlight w:val="none"/>
                <w14:textFill>
                  <w14:solidFill>
                    <w14:schemeClr w14:val="tx1"/>
                  </w14:solidFill>
                </w14:textFill>
              </w:rPr>
              <w:t xml:space="preserve">    </w:t>
            </w:r>
            <w:r>
              <w:rPr>
                <w:rFonts w:hint="eastAsia"/>
                <w:b w:val="0"/>
                <w:color w:val="000000" w:themeColor="text1"/>
                <w:sz w:val="24"/>
                <w:highlight w:val="none"/>
                <w14:textFill>
                  <w14:solidFill>
                    <w14:schemeClr w14:val="tx1"/>
                  </w14:solidFill>
                </w14:textFill>
              </w:rPr>
              <w:sym w:font="Wingdings 2" w:char="00A3"/>
            </w:r>
            <w:r>
              <w:rPr>
                <w:rFonts w:hint="eastAsia"/>
                <w:b w:val="0"/>
                <w:color w:val="000000" w:themeColor="text1"/>
                <w:sz w:val="24"/>
                <w:highlight w:val="none"/>
                <w14:textFill>
                  <w14:solidFill>
                    <w14:schemeClr w14:val="tx1"/>
                  </w14:solidFill>
                </w14:textFill>
              </w:rPr>
              <w:t>数据电文</w:t>
            </w:r>
          </w:p>
        </w:tc>
      </w:tr>
      <w:tr w14:paraId="6C5C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05E3ACD">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29</w:t>
            </w:r>
            <w:r>
              <w:rPr>
                <w:bCs/>
                <w:color w:val="000000" w:themeColor="text1"/>
                <w:kern w:val="2"/>
                <w:highlight w:val="none"/>
                <w14:textFill>
                  <w14:solidFill>
                    <w14:schemeClr w14:val="tx1"/>
                  </w14:solidFill>
                </w14:textFill>
              </w:rPr>
              <w:t>.1</w:t>
            </w:r>
          </w:p>
        </w:tc>
        <w:tc>
          <w:tcPr>
            <w:tcW w:w="2031" w:type="dxa"/>
            <w:vAlign w:val="center"/>
          </w:tcPr>
          <w:p w14:paraId="5E2376E0">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告知磋商结果的形式</w:t>
            </w:r>
          </w:p>
        </w:tc>
        <w:tc>
          <w:tcPr>
            <w:tcW w:w="6020" w:type="dxa"/>
            <w:vAlign w:val="center"/>
          </w:tcPr>
          <w:p w14:paraId="778D87B2">
            <w:pPr>
              <w:pStyle w:val="19"/>
              <w:widowControl w:val="0"/>
              <w:spacing w:before="0" w:beforeAutospacing="0" w:after="0" w:afterAutospacing="0" w:line="360" w:lineRule="auto"/>
              <w:jc w:val="both"/>
              <w:rPr>
                <w:rFonts w:hint="eastAsia"/>
                <w:b w:val="0"/>
                <w:bCs w:val="0"/>
                <w:color w:val="000000" w:themeColor="text1"/>
                <w:sz w:val="24"/>
                <w:szCs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w:t>
            </w:r>
            <w:r>
              <w:rPr>
                <w:rFonts w:hint="eastAsia"/>
                <w:b w:val="0"/>
                <w:color w:val="000000" w:themeColor="text1"/>
                <w:sz w:val="24"/>
                <w:szCs w:val="18"/>
                <w:highlight w:val="none"/>
                <w14:textFill>
                  <w14:solidFill>
                    <w14:schemeClr w14:val="tx1"/>
                  </w14:solidFill>
                </w14:textFill>
              </w:rPr>
              <w:t>参审单位</w:t>
            </w:r>
            <w:r>
              <w:rPr>
                <w:rFonts w:hint="eastAsia" w:cs="宋体"/>
                <w:b w:val="0"/>
                <w:bCs w:val="0"/>
                <w:color w:val="000000" w:themeColor="text1"/>
                <w:sz w:val="24"/>
                <w:szCs w:val="24"/>
                <w:highlight w:val="none"/>
                <w14:textFill>
                  <w14:solidFill>
                    <w14:schemeClr w14:val="tx1"/>
                  </w14:solidFill>
                </w14:textFill>
              </w:rPr>
              <w:t>自行登录系统查看</w:t>
            </w:r>
          </w:p>
          <w:p w14:paraId="181956AE">
            <w:pPr>
              <w:pStyle w:val="19"/>
              <w:widowControl w:val="0"/>
              <w:spacing w:before="0" w:beforeAutospacing="0" w:after="0" w:afterAutospacing="0" w:line="360" w:lineRule="auto"/>
              <w:jc w:val="both"/>
              <w:rPr>
                <w:rFonts w:hint="eastAsia"/>
                <w:b w:val="0"/>
                <w:bCs w:val="0"/>
                <w:color w:val="000000" w:themeColor="text1"/>
                <w:sz w:val="24"/>
                <w:szCs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□磋商现场告知</w:t>
            </w:r>
          </w:p>
        </w:tc>
      </w:tr>
      <w:tr w14:paraId="0B49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2D95E6B">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30</w:t>
            </w:r>
            <w:r>
              <w:rPr>
                <w:bCs/>
                <w:color w:val="000000" w:themeColor="text1"/>
                <w:kern w:val="2"/>
                <w:highlight w:val="none"/>
                <w14:textFill>
                  <w14:solidFill>
                    <w14:schemeClr w14:val="tx1"/>
                  </w14:solidFill>
                </w14:textFill>
              </w:rPr>
              <w:t>.1</w:t>
            </w:r>
          </w:p>
        </w:tc>
        <w:tc>
          <w:tcPr>
            <w:tcW w:w="2031" w:type="dxa"/>
            <w:vAlign w:val="center"/>
          </w:tcPr>
          <w:p w14:paraId="5538D6A1">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履约保证金</w:t>
            </w:r>
          </w:p>
        </w:tc>
        <w:tc>
          <w:tcPr>
            <w:tcW w:w="6020" w:type="dxa"/>
            <w:vAlign w:val="center"/>
          </w:tcPr>
          <w:p w14:paraId="1FC7B846">
            <w:pPr>
              <w:pStyle w:val="19"/>
              <w:widowControl w:val="0"/>
              <w:spacing w:before="0" w:beforeAutospacing="0" w:after="0" w:afterAutospacing="0" w:line="360" w:lineRule="auto"/>
              <w:jc w:val="both"/>
              <w:rPr>
                <w:rFonts w:hint="eastAsia" w:cs="宋体"/>
                <w:b w:val="0"/>
                <w:color w:val="FF0000"/>
                <w:sz w:val="24"/>
                <w:highlight w:val="none"/>
              </w:rPr>
            </w:pPr>
            <w:r>
              <w:rPr>
                <w:rFonts w:hint="eastAsia" w:cs="宋体"/>
                <w:b w:val="0"/>
                <w:color w:val="FF0000"/>
                <w:sz w:val="24"/>
                <w:highlight w:val="none"/>
              </w:rPr>
              <w:sym w:font="Wingdings 2" w:char="0052"/>
            </w:r>
            <w:r>
              <w:rPr>
                <w:rFonts w:hint="eastAsia" w:cs="宋体"/>
                <w:b w:val="0"/>
                <w:color w:val="FF0000"/>
                <w:sz w:val="24"/>
                <w:highlight w:val="none"/>
              </w:rPr>
              <w:t>不收取</w:t>
            </w:r>
          </w:p>
          <w:p w14:paraId="00E7F544">
            <w:pPr>
              <w:pStyle w:val="19"/>
              <w:widowControl w:val="0"/>
              <w:spacing w:before="0" w:beforeAutospacing="0" w:after="0" w:afterAutospacing="0" w:line="360" w:lineRule="auto"/>
              <w:jc w:val="both"/>
              <w:rPr>
                <w:rFonts w:hint="eastAsia" w:cs="宋体"/>
                <w:b w:val="0"/>
                <w:bCs/>
                <w:color w:val="000000" w:themeColor="text1"/>
                <w:sz w:val="24"/>
                <w:highlight w:val="none"/>
                <w14:textFill>
                  <w14:solidFill>
                    <w14:schemeClr w14:val="tx1"/>
                  </w14:solidFill>
                </w14:textFill>
              </w:rPr>
            </w:pPr>
            <w:r>
              <w:rPr>
                <w:rFonts w:hint="eastAsia" w:cs="宋体"/>
                <w:b w:val="0"/>
                <w:bCs/>
                <w:color w:val="000000" w:themeColor="text1"/>
                <w:sz w:val="24"/>
                <w:highlight w:val="none"/>
                <w14:textFill>
                  <w14:solidFill>
                    <w14:schemeClr w14:val="tx1"/>
                  </w14:solidFill>
                </w14:textFill>
              </w:rPr>
              <w:sym w:font="Wingdings 2" w:char="00A3"/>
            </w:r>
            <w:r>
              <w:rPr>
                <w:rFonts w:hint="eastAsia" w:cs="宋体"/>
                <w:b w:val="0"/>
                <w:bCs/>
                <w:color w:val="000000" w:themeColor="text1"/>
                <w:sz w:val="24"/>
                <w:highlight w:val="none"/>
                <w14:textFill>
                  <w14:solidFill>
                    <w14:schemeClr w14:val="tx1"/>
                  </w14:solidFill>
                </w14:textFill>
              </w:rPr>
              <w:t>收取</w:t>
            </w:r>
          </w:p>
          <w:p w14:paraId="1FB1E1F6">
            <w:pPr>
              <w:pStyle w:val="19"/>
              <w:widowControl w:val="0"/>
              <w:spacing w:before="0" w:beforeAutospacing="0" w:after="0" w:afterAutospacing="0" w:line="360" w:lineRule="auto"/>
              <w:jc w:val="both"/>
              <w:rPr>
                <w:rFonts w:hint="eastAsia" w:cs="宋体"/>
                <w:b w:val="0"/>
                <w:bCs/>
                <w:color w:val="000000" w:themeColor="text1"/>
                <w:sz w:val="24"/>
                <w:highlight w:val="none"/>
                <w14:textFill>
                  <w14:solidFill>
                    <w14:schemeClr w14:val="tx1"/>
                  </w14:solidFill>
                </w14:textFill>
              </w:rPr>
            </w:pPr>
            <w:r>
              <w:rPr>
                <w:rFonts w:hint="eastAsia" w:cs="宋体"/>
                <w:b w:val="0"/>
                <w:bCs/>
                <w:color w:val="000000" w:themeColor="text1"/>
                <w:sz w:val="24"/>
                <w:highlight w:val="none"/>
                <w14:textFill>
                  <w14:solidFill>
                    <w14:schemeClr w14:val="tx1"/>
                  </w14:solidFill>
                </w14:textFill>
              </w:rPr>
              <w:t xml:space="preserve">（1）金额：            </w:t>
            </w:r>
          </w:p>
          <w:p w14:paraId="14B8F498">
            <w:pPr>
              <w:pStyle w:val="19"/>
              <w:widowControl w:val="0"/>
              <w:spacing w:before="0" w:beforeAutospacing="0" w:after="0" w:afterAutospacing="0" w:line="360" w:lineRule="auto"/>
              <w:jc w:val="both"/>
              <w:rPr>
                <w:rFonts w:hint="eastAsia" w:cs="宋体"/>
                <w:b w:val="0"/>
                <w:bCs/>
                <w:color w:val="000000" w:themeColor="text1"/>
                <w:sz w:val="24"/>
                <w:highlight w:val="none"/>
                <w14:textFill>
                  <w14:solidFill>
                    <w14:schemeClr w14:val="tx1"/>
                  </w14:solidFill>
                </w14:textFill>
              </w:rPr>
            </w:pPr>
            <w:r>
              <w:rPr>
                <w:rFonts w:hint="eastAsia" w:cs="宋体"/>
                <w:b w:val="0"/>
                <w:bCs/>
                <w:color w:val="000000" w:themeColor="text1"/>
                <w:sz w:val="24"/>
                <w:highlight w:val="none"/>
                <w:lang w:eastAsia="zh-CN"/>
                <w14:textFill>
                  <w14:solidFill>
                    <w14:schemeClr w14:val="tx1"/>
                  </w14:solidFill>
                </w14:textFill>
              </w:rPr>
              <w:t>□</w:t>
            </w:r>
            <w:r>
              <w:rPr>
                <w:rFonts w:hint="eastAsia" w:cs="宋体"/>
                <w:b w:val="0"/>
                <w:bCs/>
                <w:color w:val="000000" w:themeColor="text1"/>
                <w:sz w:val="24"/>
                <w:highlight w:val="none"/>
                <w14:textFill>
                  <w14:solidFill>
                    <w14:schemeClr w14:val="tx1"/>
                  </w14:solidFill>
                </w14:textFill>
              </w:rPr>
              <w:t>合同金额的</w:t>
            </w:r>
            <w:r>
              <w:rPr>
                <w:rFonts w:hint="eastAsia" w:cs="宋体"/>
                <w:b w:val="0"/>
                <w:bCs/>
                <w:color w:val="000000" w:themeColor="text1"/>
                <w:sz w:val="24"/>
                <w:highlight w:val="none"/>
                <w:u w:val="single"/>
                <w14:textFill>
                  <w14:solidFill>
                    <w14:schemeClr w14:val="tx1"/>
                  </w14:solidFill>
                </w14:textFill>
              </w:rPr>
              <w:t xml:space="preserve"> </w:t>
            </w:r>
            <w:r>
              <w:rPr>
                <w:rFonts w:hint="eastAsia" w:cs="宋体"/>
                <w:b w:val="0"/>
                <w:bCs/>
                <w:color w:val="000000" w:themeColor="text1"/>
                <w:sz w:val="24"/>
                <w:highlight w:val="none"/>
                <w:u w:val="single"/>
                <w:lang w:val="en-US" w:eastAsia="zh-CN"/>
                <w14:textFill>
                  <w14:solidFill>
                    <w14:schemeClr w14:val="tx1"/>
                  </w14:solidFill>
                </w14:textFill>
              </w:rPr>
              <w:t xml:space="preserve"> </w:t>
            </w:r>
            <w:r>
              <w:rPr>
                <w:rFonts w:hint="eastAsia" w:cs="宋体"/>
                <w:b w:val="0"/>
                <w:bCs/>
                <w:color w:val="000000" w:themeColor="text1"/>
                <w:sz w:val="24"/>
                <w:highlight w:val="none"/>
                <w:u w:val="single"/>
                <w14:textFill>
                  <w14:solidFill>
                    <w14:schemeClr w14:val="tx1"/>
                  </w14:solidFill>
                </w14:textFill>
              </w:rPr>
              <w:t xml:space="preserve"> </w:t>
            </w:r>
            <w:r>
              <w:rPr>
                <w:rFonts w:hint="eastAsia" w:cs="宋体"/>
                <w:b w:val="0"/>
                <w:bCs/>
                <w:color w:val="000000" w:themeColor="text1"/>
                <w:sz w:val="24"/>
                <w:highlight w:val="none"/>
                <w14:textFill>
                  <w14:solidFill>
                    <w14:schemeClr w14:val="tx1"/>
                  </w14:solidFill>
                </w14:textFill>
              </w:rPr>
              <w:t>%</w:t>
            </w:r>
          </w:p>
          <w:p w14:paraId="334FE7A8">
            <w:pPr>
              <w:pStyle w:val="21"/>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□定额收取：</w:t>
            </w:r>
            <w:r>
              <w:rPr>
                <w:rFonts w:hint="eastAsia" w:ascii="宋体" w:hAnsi="宋体" w:cs="宋体"/>
                <w:color w:val="000000" w:themeColor="text1"/>
                <w:szCs w:val="24"/>
                <w:highlight w:val="none"/>
                <w14:textFill>
                  <w14:solidFill>
                    <w14:schemeClr w14:val="tx1"/>
                  </w14:solidFill>
                </w14:textFill>
              </w:rPr>
              <w:t>履约保证金数额：</w:t>
            </w:r>
            <w:r>
              <w:rPr>
                <w:rFonts w:hint="eastAsia" w:ascii="宋体" w:hAnsi="宋体" w:cs="宋体"/>
                <w:color w:val="000000" w:themeColor="text1"/>
                <w:szCs w:val="24"/>
                <w:highlight w:val="none"/>
                <w:u w:val="single"/>
                <w14:textFill>
                  <w14:solidFill>
                    <w14:schemeClr w14:val="tx1"/>
                  </w14:solidFill>
                </w14:textFill>
              </w:rPr>
              <w:t xml:space="preserve"> / 元</w:t>
            </w:r>
            <w:r>
              <w:rPr>
                <w:rFonts w:hint="eastAsia" w:ascii="宋体" w:hAnsi="宋体" w:cs="宋体"/>
                <w:color w:val="000000" w:themeColor="text1"/>
                <w:szCs w:val="24"/>
                <w:highlight w:val="none"/>
                <w14:textFill>
                  <w14:solidFill>
                    <w14:schemeClr w14:val="tx1"/>
                  </w14:solidFill>
                </w14:textFill>
              </w:rPr>
              <w:t>；</w:t>
            </w:r>
          </w:p>
          <w:p w14:paraId="10A27E76">
            <w:pPr>
              <w:spacing w:line="360" w:lineRule="auto"/>
              <w:rPr>
                <w:rFonts w:hint="eastAsia" w:cs="宋体"/>
                <w:bCs/>
                <w:color w:val="000000" w:themeColor="text1"/>
                <w:sz w:val="24"/>
                <w:szCs w:val="28"/>
                <w:highlight w:val="none"/>
                <w14:textFill>
                  <w14:solidFill>
                    <w14:schemeClr w14:val="tx1"/>
                  </w14:solidFill>
                </w14:textFill>
              </w:rPr>
            </w:pPr>
            <w:r>
              <w:rPr>
                <w:rFonts w:hint="eastAsia" w:cs="宋体"/>
                <w:bCs/>
                <w:color w:val="000000" w:themeColor="text1"/>
                <w:sz w:val="24"/>
                <w:szCs w:val="28"/>
                <w:highlight w:val="none"/>
                <w14:textFill>
                  <w14:solidFill>
                    <w14:schemeClr w14:val="tx1"/>
                  </w14:solidFill>
                </w14:textFill>
              </w:rPr>
              <w:t>（2）支付方式：</w:t>
            </w:r>
          </w:p>
          <w:p w14:paraId="6944D978">
            <w:pPr>
              <w:spacing w:line="360" w:lineRule="auto"/>
              <w:rPr>
                <w:rFonts w:hint="eastAsia" w:cs="宋体"/>
                <w:bCs/>
                <w:color w:val="000000" w:themeColor="text1"/>
                <w:sz w:val="24"/>
                <w:szCs w:val="28"/>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sym w:font="Wingdings 2" w:char="0052"/>
            </w:r>
            <w:r>
              <w:rPr>
                <w:rFonts w:hint="eastAsia" w:cs="宋体"/>
                <w:bCs/>
                <w:color w:val="000000" w:themeColor="text1"/>
                <w:sz w:val="24"/>
                <w:szCs w:val="28"/>
                <w:highlight w:val="none"/>
                <w14:textFill>
                  <w14:solidFill>
                    <w14:schemeClr w14:val="tx1"/>
                  </w14:solidFill>
                </w14:textFill>
              </w:rPr>
              <w:t xml:space="preserve">转账/电汇 </w:t>
            </w:r>
            <w:r>
              <w:rPr>
                <w:rFonts w:hint="eastAsia" w:cs="宋体"/>
                <w:color w:val="000000" w:themeColor="text1"/>
                <w:sz w:val="24"/>
                <w:highlight w:val="none"/>
                <w14:textFill>
                  <w14:solidFill>
                    <w14:schemeClr w14:val="tx1"/>
                  </w14:solidFill>
                </w14:textFill>
              </w:rPr>
              <w:sym w:font="Wingdings 2" w:char="0052"/>
            </w:r>
            <w:r>
              <w:rPr>
                <w:rFonts w:hint="eastAsia" w:cs="宋体"/>
                <w:bCs/>
                <w:color w:val="000000" w:themeColor="text1"/>
                <w:sz w:val="24"/>
                <w:szCs w:val="28"/>
                <w:highlight w:val="none"/>
                <w14:textFill>
                  <w14:solidFill>
                    <w14:schemeClr w14:val="tx1"/>
                  </w14:solidFill>
                </w14:textFill>
              </w:rPr>
              <w:t xml:space="preserve">支票 </w:t>
            </w:r>
            <w:r>
              <w:rPr>
                <w:rFonts w:hint="eastAsia" w:cs="宋体"/>
                <w:color w:val="000000" w:themeColor="text1"/>
                <w:sz w:val="24"/>
                <w:highlight w:val="none"/>
                <w14:textFill>
                  <w14:solidFill>
                    <w14:schemeClr w14:val="tx1"/>
                  </w14:solidFill>
                </w14:textFill>
              </w:rPr>
              <w:sym w:font="Wingdings 2" w:char="0052"/>
            </w:r>
            <w:r>
              <w:rPr>
                <w:rFonts w:hint="eastAsia" w:cs="宋体"/>
                <w:bCs/>
                <w:color w:val="000000" w:themeColor="text1"/>
                <w:sz w:val="24"/>
                <w:szCs w:val="28"/>
                <w:highlight w:val="none"/>
                <w14:textFill>
                  <w14:solidFill>
                    <w14:schemeClr w14:val="tx1"/>
                  </w14:solidFill>
                </w14:textFill>
              </w:rPr>
              <w:t xml:space="preserve">汇票 </w:t>
            </w:r>
            <w:r>
              <w:rPr>
                <w:rFonts w:hint="eastAsia" w:cs="宋体"/>
                <w:color w:val="000000" w:themeColor="text1"/>
                <w:sz w:val="24"/>
                <w:highlight w:val="none"/>
                <w14:textFill>
                  <w14:solidFill>
                    <w14:schemeClr w14:val="tx1"/>
                  </w14:solidFill>
                </w14:textFill>
              </w:rPr>
              <w:sym w:font="Wingdings 2" w:char="0052"/>
            </w:r>
            <w:r>
              <w:rPr>
                <w:rFonts w:hint="eastAsia" w:cs="宋体"/>
                <w:bCs/>
                <w:color w:val="000000" w:themeColor="text1"/>
                <w:sz w:val="24"/>
                <w:szCs w:val="28"/>
                <w:highlight w:val="none"/>
                <w14:textFill>
                  <w14:solidFill>
                    <w14:schemeClr w14:val="tx1"/>
                  </w14:solidFill>
                </w14:textFill>
              </w:rPr>
              <w:t xml:space="preserve">本票 </w:t>
            </w:r>
            <w:r>
              <w:rPr>
                <w:rFonts w:hint="eastAsia" w:cs="宋体"/>
                <w:color w:val="000000" w:themeColor="text1"/>
                <w:sz w:val="24"/>
                <w:highlight w:val="none"/>
                <w14:textFill>
                  <w14:solidFill>
                    <w14:schemeClr w14:val="tx1"/>
                  </w14:solidFill>
                </w14:textFill>
              </w:rPr>
              <w:sym w:font="Wingdings 2" w:char="0052"/>
            </w:r>
            <w:r>
              <w:rPr>
                <w:rFonts w:hint="eastAsia" w:cs="宋体"/>
                <w:bCs/>
                <w:color w:val="000000" w:themeColor="text1"/>
                <w:sz w:val="24"/>
                <w:szCs w:val="28"/>
                <w:highlight w:val="none"/>
                <w14:textFill>
                  <w14:solidFill>
                    <w14:schemeClr w14:val="tx1"/>
                  </w14:solidFill>
                </w14:textFill>
              </w:rPr>
              <w:t>保函</w:t>
            </w:r>
          </w:p>
          <w:p w14:paraId="24793EA5">
            <w:pPr>
              <w:pStyle w:val="19"/>
              <w:widowControl w:val="0"/>
              <w:spacing w:before="0" w:beforeAutospacing="0" w:after="0" w:afterAutospacing="0" w:line="360" w:lineRule="auto"/>
              <w:jc w:val="both"/>
              <w:rPr>
                <w:rFonts w:hint="eastAsia" w:cs="宋体"/>
                <w:b w:val="0"/>
                <w:color w:val="000000" w:themeColor="text1"/>
                <w:sz w:val="24"/>
                <w:highlight w:val="none"/>
                <w14:textFill>
                  <w14:solidFill>
                    <w14:schemeClr w14:val="tx1"/>
                  </w14:solidFill>
                </w14:textFill>
              </w:rPr>
            </w:pPr>
            <w:r>
              <w:rPr>
                <w:rFonts w:hint="eastAsia" w:cs="宋体"/>
                <w:b w:val="0"/>
                <w:color w:val="000000" w:themeColor="text1"/>
                <w:sz w:val="24"/>
                <w:highlight w:val="none"/>
                <w14:textFill>
                  <w14:solidFill>
                    <w14:schemeClr w14:val="tx1"/>
                  </w14:solidFill>
                </w14:textFill>
              </w:rPr>
              <w:t>1.如采用金融机构出具的保函（银行保函），应为银行出具的见索即付无条件保函。</w:t>
            </w:r>
          </w:p>
          <w:p w14:paraId="5A906E72">
            <w:pPr>
              <w:pStyle w:val="19"/>
              <w:widowControl w:val="0"/>
              <w:spacing w:before="0" w:beforeAutospacing="0" w:after="0" w:afterAutospacing="0" w:line="360" w:lineRule="auto"/>
              <w:jc w:val="both"/>
              <w:rPr>
                <w:rFonts w:hint="eastAsia" w:cs="宋体"/>
                <w:b w:val="0"/>
                <w:color w:val="000000" w:themeColor="text1"/>
                <w:sz w:val="24"/>
                <w:highlight w:val="none"/>
                <w14:textFill>
                  <w14:solidFill>
                    <w14:schemeClr w14:val="tx1"/>
                  </w14:solidFill>
                </w14:textFill>
              </w:rPr>
            </w:pPr>
            <w:r>
              <w:rPr>
                <w:rFonts w:hint="eastAsia" w:cs="宋体"/>
                <w:b w:val="0"/>
                <w:color w:val="000000" w:themeColor="text1"/>
                <w:sz w:val="24"/>
                <w:highlight w:val="none"/>
                <w14:textFill>
                  <w14:solidFill>
                    <w14:schemeClr w14:val="tx1"/>
                  </w14:solidFill>
                </w14:textFill>
              </w:rPr>
              <w:t>2.如采用担保机构出具的保函（担保机构担保），应为经安徽省地方金融监督管理局审查批准，依法取得融资担保业务经营许可证的融资担保机构出具的无条件保函。</w:t>
            </w:r>
          </w:p>
          <w:p w14:paraId="4B1CC8A6">
            <w:pPr>
              <w:pStyle w:val="19"/>
              <w:widowControl w:val="0"/>
              <w:spacing w:before="0" w:beforeAutospacing="0" w:after="0" w:afterAutospacing="0" w:line="360" w:lineRule="auto"/>
              <w:jc w:val="both"/>
              <w:rPr>
                <w:rFonts w:hint="eastAsia" w:eastAsia="宋体" w:cs="宋体"/>
                <w:b w:val="0"/>
                <w:color w:val="000000" w:themeColor="text1"/>
                <w:sz w:val="24"/>
                <w:highlight w:val="none"/>
                <w:u w:val="single"/>
                <w:lang w:eastAsia="zh-CN"/>
                <w14:textFill>
                  <w14:solidFill>
                    <w14:schemeClr w14:val="tx1"/>
                  </w14:solidFill>
                </w14:textFill>
              </w:rPr>
            </w:pPr>
            <w:r>
              <w:rPr>
                <w:rFonts w:hint="eastAsia" w:cs="宋体"/>
                <w:b w:val="0"/>
                <w:color w:val="000000" w:themeColor="text1"/>
                <w:sz w:val="24"/>
                <w:highlight w:val="none"/>
                <w14:textFill>
                  <w14:solidFill>
                    <w14:schemeClr w14:val="tx1"/>
                  </w14:solidFill>
                </w14:textFill>
              </w:rPr>
              <w:t>（3）收取单位：</w:t>
            </w:r>
            <w:r>
              <w:rPr>
                <w:rFonts w:hint="eastAsia" w:cs="宋体"/>
                <w:b w:val="0"/>
                <w:color w:val="000000" w:themeColor="text1"/>
                <w:sz w:val="24"/>
                <w:highlight w:val="none"/>
                <w:lang w:eastAsia="zh-CN"/>
                <w14:textFill>
                  <w14:solidFill>
                    <w14:schemeClr w14:val="tx1"/>
                  </w14:solidFill>
                </w14:textFill>
              </w:rPr>
              <w:t>肥西县柿树岗乡卫生院</w:t>
            </w:r>
          </w:p>
          <w:p w14:paraId="01591736">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cs="宋体"/>
                <w:b w:val="0"/>
                <w:color w:val="000000" w:themeColor="text1"/>
                <w:sz w:val="24"/>
                <w:highlight w:val="none"/>
                <w14:textFill>
                  <w14:solidFill>
                    <w14:schemeClr w14:val="tx1"/>
                  </w14:solidFill>
                </w14:textFill>
              </w:rPr>
            </w:pPr>
            <w:r>
              <w:rPr>
                <w:rFonts w:hint="eastAsia" w:cs="宋体"/>
                <w:b w:val="0"/>
                <w:color w:val="000000" w:themeColor="text1"/>
                <w:sz w:val="24"/>
                <w:highlight w:val="none"/>
                <w14:textFill>
                  <w14:solidFill>
                    <w14:schemeClr w14:val="tx1"/>
                  </w14:solidFill>
                </w14:textFill>
              </w:rPr>
              <w:t>（4）缴纳时间：</w:t>
            </w:r>
            <w:r>
              <w:rPr>
                <w:rFonts w:hint="eastAsia" w:cs="宋体"/>
                <w:b w:val="0"/>
                <w:color w:val="000000" w:themeColor="text1"/>
                <w:sz w:val="24"/>
                <w:highlight w:val="none"/>
                <w:u w:val="single"/>
                <w14:textFill>
                  <w14:solidFill>
                    <w14:schemeClr w14:val="tx1"/>
                  </w14:solidFill>
                </w14:textFill>
              </w:rPr>
              <w:t>合同签订前</w:t>
            </w:r>
          </w:p>
          <w:p w14:paraId="402C5153">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cs="宋体"/>
                <w:b w:val="0"/>
                <w:color w:val="000000" w:themeColor="text1"/>
                <w:sz w:val="24"/>
                <w:highlight w:val="none"/>
                <w14:textFill>
                  <w14:solidFill>
                    <w14:schemeClr w14:val="tx1"/>
                  </w14:solidFill>
                </w14:textFill>
              </w:rPr>
            </w:pPr>
            <w:r>
              <w:rPr>
                <w:rFonts w:hint="eastAsia" w:cs="宋体"/>
                <w:b w:val="0"/>
                <w:color w:val="000000" w:themeColor="text1"/>
                <w:sz w:val="24"/>
                <w:highlight w:val="none"/>
                <w14:textFill>
                  <w14:solidFill>
                    <w14:schemeClr w14:val="tx1"/>
                  </w14:solidFill>
                </w14:textFill>
              </w:rPr>
              <w:t>（5）退还时间：履约保证金有效期满7日内退还（最迟</w:t>
            </w:r>
          </w:p>
          <w:p w14:paraId="6D24584D">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cs="宋体"/>
                <w:b w:val="0"/>
                <w:color w:val="000000" w:themeColor="text1"/>
                <w:sz w:val="24"/>
                <w:highlight w:val="none"/>
                <w14:textFill>
                  <w14:solidFill>
                    <w14:schemeClr w14:val="tx1"/>
                  </w14:solidFill>
                </w14:textFill>
              </w:rPr>
            </w:pPr>
            <w:r>
              <w:rPr>
                <w:rFonts w:hint="eastAsia" w:cs="宋体"/>
                <w:b w:val="0"/>
                <w:color w:val="000000" w:themeColor="text1"/>
                <w:sz w:val="24"/>
                <w:highlight w:val="none"/>
                <w14:textFill>
                  <w14:solidFill>
                    <w14:schemeClr w14:val="tx1"/>
                  </w14:solidFill>
                </w14:textFill>
              </w:rPr>
              <w:t>不得超过项目竣工验收通过后28天） 。</w:t>
            </w:r>
          </w:p>
        </w:tc>
      </w:tr>
      <w:tr w14:paraId="64D7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2611D4D">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31</w:t>
            </w:r>
            <w:r>
              <w:rPr>
                <w:bCs/>
                <w:color w:val="000000" w:themeColor="text1"/>
                <w:kern w:val="2"/>
                <w:highlight w:val="none"/>
                <w14:textFill>
                  <w14:solidFill>
                    <w14:schemeClr w14:val="tx1"/>
                  </w14:solidFill>
                </w14:textFill>
              </w:rPr>
              <w:t>.1</w:t>
            </w:r>
          </w:p>
        </w:tc>
        <w:tc>
          <w:tcPr>
            <w:tcW w:w="2031" w:type="dxa"/>
            <w:vAlign w:val="center"/>
          </w:tcPr>
          <w:p w14:paraId="41BD505E">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代理费</w:t>
            </w:r>
          </w:p>
        </w:tc>
        <w:tc>
          <w:tcPr>
            <w:tcW w:w="6020" w:type="dxa"/>
            <w:vAlign w:val="center"/>
          </w:tcPr>
          <w:p w14:paraId="6C3152DB">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□不收取</w:t>
            </w:r>
          </w:p>
          <w:p w14:paraId="5EDCA804">
            <w:pPr>
              <w:pStyle w:val="19"/>
              <w:widowControl w:val="0"/>
              <w:spacing w:before="0" w:beforeAutospacing="0" w:after="0" w:afterAutospacing="0" w:line="360" w:lineRule="auto"/>
              <w:jc w:val="both"/>
              <w:rPr>
                <w:rFonts w:hint="eastAsia"/>
                <w:bCs w:val="0"/>
                <w:color w:val="000000" w:themeColor="text1"/>
                <w:sz w:val="24"/>
                <w:highlight w:val="none"/>
                <w14:textFill>
                  <w14:solidFill>
                    <w14:schemeClr w14:val="tx1"/>
                  </w14:solidFill>
                </w14:textFill>
              </w:rPr>
            </w:pPr>
            <w:r>
              <w:rPr>
                <w:rFonts w:hint="eastAsia"/>
                <w:bCs w:val="0"/>
                <w:color w:val="000000" w:themeColor="text1"/>
                <w:sz w:val="24"/>
                <w:highlight w:val="none"/>
                <w14:textFill>
                  <w14:solidFill>
                    <w14:schemeClr w14:val="tx1"/>
                  </w14:solidFill>
                </w14:textFill>
              </w:rPr>
              <w:t>☑收取</w:t>
            </w:r>
          </w:p>
          <w:p w14:paraId="3D70B6E6">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 xml:space="preserve">（1）金额 </w:t>
            </w:r>
          </w:p>
          <w:p w14:paraId="47AF6EA6">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b w:val="0"/>
                <w:color w:val="000000" w:themeColor="text1"/>
                <w:sz w:val="24"/>
                <w:highlight w:val="none"/>
                <w14:textFill>
                  <w14:solidFill>
                    <w14:schemeClr w14:val="tx1"/>
                  </w14:solidFill>
                </w14:textFill>
              </w:rPr>
              <w:t>□</w:t>
            </w:r>
            <w:r>
              <w:rPr>
                <w:rFonts w:hint="eastAsia"/>
                <w:b w:val="0"/>
                <w:color w:val="000000" w:themeColor="text1"/>
                <w:sz w:val="24"/>
                <w:highlight w:val="none"/>
                <w14:textFill>
                  <w14:solidFill>
                    <w14:schemeClr w14:val="tx1"/>
                  </w14:solidFill>
                </w14:textFill>
              </w:rPr>
              <w:t>定额收取：人民币</w:t>
            </w:r>
            <w:r>
              <w:rPr>
                <w:rFonts w:hint="eastAsia"/>
                <w:b w:val="0"/>
                <w:color w:val="000000" w:themeColor="text1"/>
                <w:sz w:val="24"/>
                <w:highlight w:val="none"/>
                <w:u w:val="single"/>
                <w14:textFill>
                  <w14:solidFill>
                    <w14:schemeClr w14:val="tx1"/>
                  </w14:solidFill>
                </w14:textFill>
              </w:rPr>
              <w:t xml:space="preserve">         </w:t>
            </w:r>
            <w:r>
              <w:rPr>
                <w:rFonts w:hint="eastAsia"/>
                <w:b w:val="0"/>
                <w:color w:val="000000" w:themeColor="text1"/>
                <w:sz w:val="24"/>
                <w:highlight w:val="none"/>
                <w14:textFill>
                  <w14:solidFill>
                    <w14:schemeClr w14:val="tx1"/>
                  </w14:solidFill>
                </w14:textFill>
              </w:rPr>
              <w:t>元</w:t>
            </w:r>
          </w:p>
          <w:p w14:paraId="4A1C3553">
            <w:pPr>
              <w:pStyle w:val="19"/>
              <w:widowControl w:val="0"/>
              <w:spacing w:before="0" w:beforeAutospacing="0" w:after="0" w:afterAutospacing="0" w:line="360" w:lineRule="auto"/>
              <w:jc w:val="both"/>
              <w:rPr>
                <w:rFonts w:hint="eastAsia"/>
                <w:color w:val="000000" w:themeColor="text1"/>
                <w:sz w:val="24"/>
                <w:highlight w:val="none"/>
                <w14:textFill>
                  <w14:solidFill>
                    <w14:schemeClr w14:val="tx1"/>
                  </w14:solidFill>
                </w14:textFill>
              </w:rPr>
            </w:pPr>
            <w:r>
              <w:rPr>
                <w:rFonts w:hint="eastAsia"/>
                <w:bCs w:val="0"/>
                <w:color w:val="000000" w:themeColor="text1"/>
                <w:sz w:val="24"/>
                <w:highlight w:val="none"/>
                <w14:textFill>
                  <w14:solidFill>
                    <w14:schemeClr w14:val="tx1"/>
                  </w14:solidFill>
                </w14:textFill>
              </w:rPr>
              <w:t>☑</w:t>
            </w:r>
            <w:r>
              <w:rPr>
                <w:rFonts w:hint="eastAsia"/>
                <w:b w:val="0"/>
                <w:color w:val="000000" w:themeColor="text1"/>
                <w:sz w:val="24"/>
                <w:highlight w:val="none"/>
                <w14:textFill>
                  <w14:solidFill>
                    <w14:schemeClr w14:val="tx1"/>
                  </w14:solidFill>
                </w14:textFill>
              </w:rPr>
              <w:t>按下列标准收取： 详见“</w:t>
            </w:r>
            <w:r>
              <w:rPr>
                <w:rFonts w:hint="eastAsia"/>
                <w:b w:val="0"/>
                <w:color w:val="000000" w:themeColor="text1"/>
                <w:sz w:val="24"/>
                <w:szCs w:val="18"/>
                <w:highlight w:val="none"/>
                <w14:textFill>
                  <w14:solidFill>
                    <w14:schemeClr w14:val="tx1"/>
                  </w14:solidFill>
                </w14:textFill>
              </w:rPr>
              <w:t>参审单位</w:t>
            </w:r>
            <w:r>
              <w:rPr>
                <w:rFonts w:hint="eastAsia"/>
                <w:b w:val="0"/>
                <w:color w:val="000000" w:themeColor="text1"/>
                <w:sz w:val="24"/>
                <w:highlight w:val="none"/>
                <w14:textFill>
                  <w14:solidFill>
                    <w14:schemeClr w14:val="tx1"/>
                  </w14:solidFill>
                </w14:textFill>
              </w:rPr>
              <w:t>须知正文31.代理费”，不足4000元按4000元收取。详见附件1。</w:t>
            </w:r>
          </w:p>
          <w:p w14:paraId="5C5CC524">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（2）支付方式：☑</w:t>
            </w:r>
            <w:r>
              <w:rPr>
                <w:b w:val="0"/>
                <w:color w:val="000000" w:themeColor="text1"/>
                <w:sz w:val="24"/>
                <w:highlight w:val="none"/>
                <w14:textFill>
                  <w14:solidFill>
                    <w14:schemeClr w14:val="tx1"/>
                  </w14:solidFill>
                </w14:textFill>
              </w:rPr>
              <w:t>转账/电汇</w:t>
            </w:r>
          </w:p>
          <w:p w14:paraId="751CF77B">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（3）收取单位：肥西县公共资源交易有限责任公司</w:t>
            </w:r>
          </w:p>
        </w:tc>
      </w:tr>
      <w:tr w14:paraId="744F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F3FDB80">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34</w:t>
            </w:r>
            <w:r>
              <w:rPr>
                <w:bCs/>
                <w:color w:val="000000" w:themeColor="text1"/>
                <w:kern w:val="2"/>
                <w:highlight w:val="none"/>
                <w14:textFill>
                  <w14:solidFill>
                    <w14:schemeClr w14:val="tx1"/>
                  </w14:solidFill>
                </w14:textFill>
              </w:rPr>
              <w:t>.3</w:t>
            </w:r>
          </w:p>
        </w:tc>
        <w:tc>
          <w:tcPr>
            <w:tcW w:w="2031" w:type="dxa"/>
            <w:vAlign w:val="center"/>
          </w:tcPr>
          <w:p w14:paraId="455346F3">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异议函递交方式、接收部门、联系电话和通讯地址</w:t>
            </w:r>
          </w:p>
        </w:tc>
        <w:tc>
          <w:tcPr>
            <w:tcW w:w="6020" w:type="dxa"/>
            <w:vAlign w:val="center"/>
          </w:tcPr>
          <w:p w14:paraId="0C3C0B0E">
            <w:pPr>
              <w:pStyle w:val="19"/>
              <w:widowControl w:val="0"/>
              <w:spacing w:before="0" w:beforeAutospacing="0" w:after="0" w:afterAutospacing="0" w:line="360" w:lineRule="auto"/>
              <w:jc w:val="both"/>
              <w:rPr>
                <w:rFonts w:hint="eastAsia"/>
                <w:bCs w:val="0"/>
                <w:color w:val="000000" w:themeColor="text1"/>
                <w:sz w:val="24"/>
                <w:highlight w:val="none"/>
                <w14:textFill>
                  <w14:solidFill>
                    <w14:schemeClr w14:val="tx1"/>
                  </w14:solidFill>
                </w14:textFill>
              </w:rPr>
            </w:pPr>
            <w:r>
              <w:rPr>
                <w:rFonts w:hint="eastAsia"/>
                <w:bCs w:val="0"/>
                <w:color w:val="000000" w:themeColor="text1"/>
                <w:sz w:val="24"/>
                <w:highlight w:val="none"/>
                <w14:textFill>
                  <w14:solidFill>
                    <w14:schemeClr w14:val="tx1"/>
                  </w14:solidFill>
                </w14:textFill>
              </w:rPr>
              <w:t>递交方式：书面形式递交</w:t>
            </w:r>
          </w:p>
          <w:p w14:paraId="5665A1DF">
            <w:pPr>
              <w:pStyle w:val="19"/>
              <w:widowControl w:val="0"/>
              <w:spacing w:before="0" w:beforeAutospacing="0" w:after="0" w:afterAutospacing="0" w:line="360" w:lineRule="auto"/>
              <w:jc w:val="both"/>
              <w:rPr>
                <w:rFonts w:hint="eastAsia"/>
                <w:b w:val="0"/>
                <w:bCs w:val="0"/>
                <w:color w:val="000000" w:themeColor="text1"/>
                <w:sz w:val="24"/>
                <w:szCs w:val="18"/>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接收部门：</w:t>
            </w:r>
            <w:r>
              <w:rPr>
                <w:rFonts w:hint="eastAsia"/>
                <w:b w:val="0"/>
                <w:bCs w:val="0"/>
                <w:color w:val="000000" w:themeColor="text1"/>
                <w:sz w:val="24"/>
                <w:szCs w:val="18"/>
                <w:highlight w:val="none"/>
                <w14:textFill>
                  <w14:solidFill>
                    <w14:schemeClr w14:val="tx1"/>
                  </w14:solidFill>
                </w14:textFill>
              </w:rPr>
              <w:t>肥西县公共资源交易有限责任公司</w:t>
            </w:r>
          </w:p>
          <w:p w14:paraId="030DF7CB">
            <w:pPr>
              <w:pStyle w:val="19"/>
              <w:widowControl w:val="0"/>
              <w:spacing w:before="0" w:beforeAutospacing="0" w:after="0" w:afterAutospacing="0" w:line="360" w:lineRule="auto"/>
              <w:jc w:val="both"/>
              <w:rPr>
                <w:rFonts w:hint="eastAsia"/>
                <w:b w:val="0"/>
                <w:bCs w:val="0"/>
                <w:color w:val="000000" w:themeColor="text1"/>
                <w:sz w:val="24"/>
                <w:szCs w:val="18"/>
                <w:highlight w:val="none"/>
                <w14:textFill>
                  <w14:solidFill>
                    <w14:schemeClr w14:val="tx1"/>
                  </w14:solidFill>
                </w14:textFill>
              </w:rPr>
            </w:pPr>
            <w:r>
              <w:rPr>
                <w:b w:val="0"/>
                <w:color w:val="000000" w:themeColor="text1"/>
                <w:sz w:val="24"/>
                <w:highlight w:val="none"/>
                <w14:textFill>
                  <w14:solidFill>
                    <w14:schemeClr w14:val="tx1"/>
                  </w14:solidFill>
                </w14:textFill>
              </w:rPr>
              <w:t>联系电话：</w:t>
            </w:r>
            <w:r>
              <w:rPr>
                <w:rFonts w:hint="eastAsia"/>
                <w:b w:val="0"/>
                <w:bCs w:val="0"/>
                <w:color w:val="000000" w:themeColor="text1"/>
                <w:sz w:val="24"/>
                <w:szCs w:val="18"/>
                <w:highlight w:val="none"/>
                <w14:textFill>
                  <w14:solidFill>
                    <w14:schemeClr w14:val="tx1"/>
                  </w14:solidFill>
                </w14:textFill>
              </w:rPr>
              <w:t>0551-68825007</w:t>
            </w:r>
          </w:p>
          <w:p w14:paraId="5C527F70">
            <w:pPr>
              <w:pStyle w:val="19"/>
              <w:widowControl w:val="0"/>
              <w:spacing w:before="0" w:beforeAutospacing="0" w:after="0" w:afterAutospacing="0" w:line="360" w:lineRule="auto"/>
              <w:jc w:val="both"/>
              <w:rPr>
                <w:rFonts w:hint="default" w:eastAsia="宋体"/>
                <w:b w:val="0"/>
                <w:color w:val="000000" w:themeColor="text1"/>
                <w:sz w:val="24"/>
                <w:highlight w:val="none"/>
                <w:lang w:val="en-US" w:eastAsia="zh-CN"/>
                <w14:textFill>
                  <w14:solidFill>
                    <w14:schemeClr w14:val="tx1"/>
                  </w14:solidFill>
                </w14:textFill>
              </w:rPr>
            </w:pPr>
            <w:r>
              <w:rPr>
                <w:rFonts w:hint="eastAsia"/>
                <w:b w:val="0"/>
                <w:color w:val="000000" w:themeColor="text1"/>
                <w:sz w:val="24"/>
                <w:highlight w:val="none"/>
                <w14:textFill>
                  <w14:solidFill>
                    <w14:schemeClr w14:val="tx1"/>
                  </w14:solidFill>
                </w14:textFill>
              </w:rPr>
              <w:t>通讯地址：</w:t>
            </w:r>
            <w:r>
              <w:rPr>
                <w:rFonts w:hint="eastAsia"/>
                <w:b w:val="0"/>
                <w:bCs w:val="0"/>
                <w:color w:val="000000" w:themeColor="text1"/>
                <w:sz w:val="24"/>
                <w:szCs w:val="18"/>
                <w:highlight w:val="none"/>
                <w14:textFill>
                  <w14:solidFill>
                    <w14:schemeClr w14:val="tx1"/>
                  </w14:solidFill>
                </w14:textFill>
              </w:rPr>
              <w:t>肥西县上派镇紫石路与佛光路交叉口肥光办公区3号楼2楼</w:t>
            </w:r>
            <w:r>
              <w:rPr>
                <w:rFonts w:hint="eastAsia"/>
                <w:b w:val="0"/>
                <w:bCs w:val="0"/>
                <w:color w:val="000000" w:themeColor="text1"/>
                <w:sz w:val="24"/>
                <w:szCs w:val="18"/>
                <w:highlight w:val="none"/>
                <w:lang w:val="en-US" w:eastAsia="zh-CN"/>
                <w14:textFill>
                  <w14:solidFill>
                    <w14:schemeClr w14:val="tx1"/>
                  </w14:solidFill>
                </w14:textFill>
              </w:rPr>
              <w:t>3217室</w:t>
            </w:r>
          </w:p>
        </w:tc>
      </w:tr>
      <w:tr w14:paraId="2311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CB74703">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35</w:t>
            </w:r>
          </w:p>
        </w:tc>
        <w:tc>
          <w:tcPr>
            <w:tcW w:w="2031" w:type="dxa"/>
            <w:vAlign w:val="center"/>
          </w:tcPr>
          <w:p w14:paraId="732D20BD">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其他内容</w:t>
            </w:r>
          </w:p>
        </w:tc>
        <w:tc>
          <w:tcPr>
            <w:tcW w:w="6020" w:type="dxa"/>
            <w:vAlign w:val="center"/>
          </w:tcPr>
          <w:p w14:paraId="3D42B719">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w:t>
            </w:r>
          </w:p>
        </w:tc>
      </w:tr>
      <w:tr w14:paraId="7480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203924F">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35.</w:t>
            </w:r>
            <w:r>
              <w:rPr>
                <w:rFonts w:hint="eastAsia"/>
                <w:bCs/>
                <w:color w:val="000000" w:themeColor="text1"/>
                <w:kern w:val="2"/>
                <w:highlight w:val="none"/>
                <w14:textFill>
                  <w14:solidFill>
                    <w14:schemeClr w14:val="tx1"/>
                  </w14:solidFill>
                </w14:textFill>
              </w:rPr>
              <w:t>1</w:t>
            </w:r>
          </w:p>
        </w:tc>
        <w:tc>
          <w:tcPr>
            <w:tcW w:w="2031" w:type="dxa"/>
            <w:vAlign w:val="center"/>
          </w:tcPr>
          <w:p w14:paraId="5B006ED1">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承包方式</w:t>
            </w:r>
          </w:p>
        </w:tc>
        <w:tc>
          <w:tcPr>
            <w:tcW w:w="6020" w:type="dxa"/>
            <w:vAlign w:val="center"/>
          </w:tcPr>
          <w:p w14:paraId="47BF15C3">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lang w:eastAsia="zh-CN"/>
                <w14:textFill>
                  <w14:solidFill>
                    <w14:schemeClr w14:val="tx1"/>
                  </w14:solidFill>
                </w14:textFill>
              </w:rPr>
              <w:t>□</w:t>
            </w:r>
            <w:r>
              <w:rPr>
                <w:rFonts w:hint="eastAsia"/>
                <w:b w:val="0"/>
                <w:color w:val="000000" w:themeColor="text1"/>
                <w:sz w:val="24"/>
                <w:highlight w:val="none"/>
                <w14:textFill>
                  <w14:solidFill>
                    <w14:schemeClr w14:val="tx1"/>
                  </w14:solidFill>
                </w14:textFill>
              </w:rPr>
              <w:t xml:space="preserve">施工总承包  </w:t>
            </w:r>
            <w:r>
              <w:rPr>
                <w:rFonts w:hint="eastAsia"/>
                <w:b w:val="0"/>
                <w:color w:val="FF0000"/>
                <w:sz w:val="24"/>
                <w:highlight w:val="none"/>
                <w:lang w:eastAsia="zh-CN"/>
              </w:rPr>
              <w:t>☑</w:t>
            </w:r>
            <w:r>
              <w:rPr>
                <w:rFonts w:hint="eastAsia"/>
                <w:b w:val="0"/>
                <w:color w:val="FF0000"/>
                <w:sz w:val="24"/>
                <w:highlight w:val="none"/>
              </w:rPr>
              <w:t>专业承包</w:t>
            </w:r>
          </w:p>
        </w:tc>
      </w:tr>
      <w:tr w14:paraId="743D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77F0AC1">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35.</w:t>
            </w:r>
            <w:r>
              <w:rPr>
                <w:rFonts w:hint="eastAsia"/>
                <w:bCs/>
                <w:color w:val="000000" w:themeColor="text1"/>
                <w:kern w:val="2"/>
                <w:highlight w:val="none"/>
                <w14:textFill>
                  <w14:solidFill>
                    <w14:schemeClr w14:val="tx1"/>
                  </w14:solidFill>
                </w14:textFill>
              </w:rPr>
              <w:t>2</w:t>
            </w:r>
          </w:p>
        </w:tc>
        <w:tc>
          <w:tcPr>
            <w:tcW w:w="2031" w:type="dxa"/>
            <w:vAlign w:val="center"/>
          </w:tcPr>
          <w:p w14:paraId="5575F753">
            <w:pPr>
              <w:pStyle w:val="19"/>
              <w:widowControl w:val="0"/>
              <w:spacing w:before="0" w:beforeAutospacing="0" w:after="0" w:afterAutospacing="0" w:line="360" w:lineRule="auto"/>
              <w:jc w:val="both"/>
              <w:rPr>
                <w:rFonts w:hint="eastAsia" w:eastAsia="宋体"/>
                <w:b w:val="0"/>
                <w:color w:val="000000" w:themeColor="text1"/>
                <w:sz w:val="24"/>
                <w:highlight w:val="none"/>
                <w:lang w:eastAsia="zh-CN"/>
                <w14:textFill>
                  <w14:solidFill>
                    <w14:schemeClr w14:val="tx1"/>
                  </w14:solidFill>
                </w14:textFill>
              </w:rPr>
            </w:pPr>
            <w:r>
              <w:rPr>
                <w:rFonts w:hint="eastAsia"/>
                <w:b w:val="0"/>
                <w:color w:val="000000" w:themeColor="text1"/>
                <w:sz w:val="24"/>
                <w:highlight w:val="none"/>
                <w14:textFill>
                  <w14:solidFill>
                    <w14:schemeClr w14:val="tx1"/>
                  </w14:solidFill>
                </w14:textFill>
              </w:rPr>
              <w:t>计价方式</w:t>
            </w:r>
          </w:p>
        </w:tc>
        <w:tc>
          <w:tcPr>
            <w:tcW w:w="6020" w:type="dxa"/>
            <w:vAlign w:val="center"/>
          </w:tcPr>
          <w:p w14:paraId="6FF0D1C0">
            <w:pPr>
              <w:pStyle w:val="19"/>
              <w:widowControl w:val="0"/>
              <w:spacing w:before="0" w:beforeAutospacing="0" w:after="0" w:afterAutospacing="0" w:line="360" w:lineRule="auto"/>
              <w:jc w:val="both"/>
              <w:rPr>
                <w:rFonts w:hint="eastAsia"/>
                <w:b w:val="0"/>
                <w:color w:val="FF0000"/>
                <w:sz w:val="24"/>
                <w:highlight w:val="none"/>
              </w:rPr>
            </w:pPr>
            <w:r>
              <w:rPr>
                <w:rFonts w:hint="eastAsia"/>
                <w:b w:val="0"/>
                <w:color w:val="FF0000"/>
                <w:sz w:val="24"/>
                <w:highlight w:val="none"/>
                <w:lang w:eastAsia="zh-CN"/>
              </w:rPr>
              <w:t>☑</w:t>
            </w:r>
            <w:r>
              <w:rPr>
                <w:rFonts w:hint="eastAsia"/>
                <w:b w:val="0"/>
                <w:color w:val="FF0000"/>
                <w:sz w:val="24"/>
                <w:highlight w:val="none"/>
              </w:rPr>
              <w:t>工程量清单综合单价报价法</w:t>
            </w:r>
          </w:p>
          <w:p w14:paraId="1E368CB6">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bCs/>
                <w:color w:val="auto"/>
                <w:sz w:val="24"/>
                <w:highlight w:val="none"/>
                <w:lang w:eastAsia="zh-CN"/>
              </w:rPr>
              <w:t>□</w:t>
            </w:r>
            <w:r>
              <w:rPr>
                <w:rFonts w:hint="eastAsia"/>
                <w:b w:val="0"/>
                <w:bCs/>
                <w:color w:val="auto"/>
                <w:sz w:val="24"/>
                <w:highlight w:val="none"/>
              </w:rPr>
              <w:t>全费用综合单价报价法</w:t>
            </w:r>
          </w:p>
        </w:tc>
      </w:tr>
      <w:tr w14:paraId="4610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F93EAEA">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35.</w:t>
            </w:r>
            <w:r>
              <w:rPr>
                <w:rFonts w:hint="eastAsia"/>
                <w:bCs/>
                <w:color w:val="000000" w:themeColor="text1"/>
                <w:kern w:val="2"/>
                <w:highlight w:val="none"/>
                <w14:textFill>
                  <w14:solidFill>
                    <w14:schemeClr w14:val="tx1"/>
                  </w14:solidFill>
                </w14:textFill>
              </w:rPr>
              <w:t>3</w:t>
            </w:r>
          </w:p>
        </w:tc>
        <w:tc>
          <w:tcPr>
            <w:tcW w:w="2031" w:type="dxa"/>
            <w:vAlign w:val="center"/>
          </w:tcPr>
          <w:p w14:paraId="193251F8">
            <w:pPr>
              <w:pStyle w:val="19"/>
              <w:widowControl w:val="0"/>
              <w:spacing w:before="0" w:beforeAutospacing="0" w:after="0" w:afterAutospacing="0" w:line="360" w:lineRule="auto"/>
              <w:jc w:val="both"/>
              <w:rPr>
                <w:rFonts w:hint="eastAsia" w:eastAsia="宋体"/>
                <w:b w:val="0"/>
                <w:color w:val="000000" w:themeColor="text1"/>
                <w:sz w:val="24"/>
                <w:highlight w:val="none"/>
                <w:lang w:eastAsia="zh-CN"/>
                <w14:textFill>
                  <w14:solidFill>
                    <w14:schemeClr w14:val="tx1"/>
                  </w14:solidFill>
                </w14:textFill>
              </w:rPr>
            </w:pPr>
            <w:r>
              <w:rPr>
                <w:rFonts w:hint="eastAsia"/>
                <w:b w:val="0"/>
                <w:color w:val="000000" w:themeColor="text1"/>
                <w:sz w:val="24"/>
                <w:highlight w:val="none"/>
                <w14:textFill>
                  <w14:solidFill>
                    <w14:schemeClr w14:val="tx1"/>
                  </w14:solidFill>
                </w14:textFill>
              </w:rPr>
              <w:t>计划</w:t>
            </w:r>
            <w:r>
              <w:rPr>
                <w:b w:val="0"/>
                <w:color w:val="000000" w:themeColor="text1"/>
                <w:sz w:val="24"/>
                <w:highlight w:val="none"/>
                <w14:textFill>
                  <w14:solidFill>
                    <w14:schemeClr w14:val="tx1"/>
                  </w14:solidFill>
                </w14:textFill>
              </w:rPr>
              <w:t>工期</w:t>
            </w:r>
          </w:p>
        </w:tc>
        <w:tc>
          <w:tcPr>
            <w:tcW w:w="6020" w:type="dxa"/>
            <w:vAlign w:val="center"/>
          </w:tcPr>
          <w:p w14:paraId="354B3EBD">
            <w:pPr>
              <w:pStyle w:val="19"/>
              <w:widowControl w:val="0"/>
              <w:spacing w:before="0" w:beforeAutospacing="0" w:after="0" w:afterAutospacing="0" w:line="360" w:lineRule="auto"/>
              <w:jc w:val="both"/>
              <w:rPr>
                <w:rFonts w:hint="eastAsia"/>
                <w:b w:val="0"/>
                <w:color w:val="FF0000"/>
                <w:sz w:val="24"/>
                <w:highlight w:val="none"/>
              </w:rPr>
            </w:pPr>
            <w:r>
              <w:rPr>
                <w:rFonts w:hint="eastAsia"/>
                <w:b w:val="0"/>
                <w:color w:val="FF0000"/>
                <w:sz w:val="24"/>
                <w:highlight w:val="none"/>
              </w:rPr>
              <w:t>计划</w:t>
            </w:r>
            <w:r>
              <w:rPr>
                <w:b w:val="0"/>
                <w:color w:val="FF0000"/>
                <w:sz w:val="24"/>
                <w:highlight w:val="none"/>
              </w:rPr>
              <w:t>工期：</w:t>
            </w:r>
            <w:r>
              <w:rPr>
                <w:rFonts w:hint="eastAsia"/>
                <w:b w:val="0"/>
                <w:color w:val="FF0000"/>
                <w:sz w:val="24"/>
                <w:highlight w:val="none"/>
                <w:u w:val="single"/>
                <w:lang w:val="en-US" w:eastAsia="zh-CN"/>
              </w:rPr>
              <w:t>30</w:t>
            </w:r>
            <w:r>
              <w:rPr>
                <w:b w:val="0"/>
                <w:color w:val="FF0000"/>
                <w:sz w:val="24"/>
                <w:highlight w:val="none"/>
              </w:rPr>
              <w:t>日历天</w:t>
            </w:r>
            <w:r>
              <w:rPr>
                <w:rFonts w:hint="eastAsia"/>
                <w:b w:val="0"/>
                <w:color w:val="FF0000"/>
                <w:sz w:val="24"/>
                <w:highlight w:val="none"/>
              </w:rPr>
              <w:t>（详见第三章项目需求）</w:t>
            </w:r>
          </w:p>
          <w:p w14:paraId="365E3D89">
            <w:pPr>
              <w:spacing w:line="360" w:lineRule="auto"/>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计划开工日期</w:t>
            </w:r>
            <w:bookmarkStart w:id="21" w:name="EB2a2e1a22d449405a860670c095486ab8"/>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具体开工时间以开工令为准</w:t>
            </w:r>
            <w:bookmarkEnd w:id="21"/>
            <w:r>
              <w:rPr>
                <w:rFonts w:cs="@仿宋_GB2312"/>
                <w:color w:val="000000" w:themeColor="text1"/>
                <w:kern w:val="2"/>
                <w:sz w:val="24"/>
                <w:szCs w:val="22"/>
                <w:highlight w:val="none"/>
                <w14:textFill>
                  <w14:solidFill>
                    <w14:schemeClr w14:val="tx1"/>
                  </w14:solidFill>
                </w14:textFill>
              </w:rPr>
              <w:t>。</w:t>
            </w:r>
          </w:p>
        </w:tc>
      </w:tr>
      <w:tr w14:paraId="6272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7CE053D">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35.</w:t>
            </w:r>
            <w:r>
              <w:rPr>
                <w:rFonts w:hint="eastAsia"/>
                <w:bCs/>
                <w:color w:val="000000" w:themeColor="text1"/>
                <w:kern w:val="2"/>
                <w:highlight w:val="none"/>
                <w14:textFill>
                  <w14:solidFill>
                    <w14:schemeClr w14:val="tx1"/>
                  </w14:solidFill>
                </w14:textFill>
              </w:rPr>
              <w:t>4</w:t>
            </w:r>
          </w:p>
        </w:tc>
        <w:tc>
          <w:tcPr>
            <w:tcW w:w="2031" w:type="dxa"/>
            <w:vAlign w:val="center"/>
          </w:tcPr>
          <w:p w14:paraId="441F4C75">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质量标准要求</w:t>
            </w:r>
          </w:p>
        </w:tc>
        <w:tc>
          <w:tcPr>
            <w:tcW w:w="6020" w:type="dxa"/>
            <w:vAlign w:val="center"/>
          </w:tcPr>
          <w:p w14:paraId="5C584937">
            <w:pPr>
              <w:pStyle w:val="22"/>
              <w:tabs>
                <w:tab w:val="left" w:pos="1152"/>
              </w:tabs>
              <w:spacing w:before="0" w:beforeAutospacing="0" w:after="0" w:afterAutospacing="0" w:line="360" w:lineRule="auto"/>
              <w:rPr>
                <w:rFonts w:hint="eastAsia" w:cs="@仿宋_GB2312"/>
                <w:bCs/>
                <w:color w:val="000000" w:themeColor="text1"/>
                <w:szCs w:val="28"/>
                <w:highlight w:val="none"/>
                <w14:textFill>
                  <w14:solidFill>
                    <w14:schemeClr w14:val="tx1"/>
                  </w14:solidFill>
                </w14:textFill>
              </w:rPr>
            </w:pPr>
            <w:r>
              <w:rPr>
                <w:rFonts w:hint="eastAsia" w:cs="@仿宋_GB2312"/>
                <w:bCs/>
                <w:color w:val="000000" w:themeColor="text1"/>
                <w:szCs w:val="28"/>
                <w:highlight w:val="none"/>
                <w14:textFill>
                  <w14:solidFill>
                    <w14:schemeClr w14:val="tx1"/>
                  </w14:solidFill>
                </w14:textFill>
              </w:rPr>
              <w:t>质量标准：合格</w:t>
            </w:r>
          </w:p>
        </w:tc>
      </w:tr>
      <w:tr w14:paraId="0E93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C0749E8">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35.</w:t>
            </w:r>
            <w:r>
              <w:rPr>
                <w:rFonts w:hint="eastAsia"/>
                <w:bCs/>
                <w:color w:val="000000" w:themeColor="text1"/>
                <w:kern w:val="2"/>
                <w:highlight w:val="none"/>
                <w14:textFill>
                  <w14:solidFill>
                    <w14:schemeClr w14:val="tx1"/>
                  </w14:solidFill>
                </w14:textFill>
              </w:rPr>
              <w:t>5</w:t>
            </w:r>
          </w:p>
        </w:tc>
        <w:tc>
          <w:tcPr>
            <w:tcW w:w="2031" w:type="dxa"/>
            <w:vAlign w:val="center"/>
          </w:tcPr>
          <w:p w14:paraId="1C211C19">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项目经理其他要求</w:t>
            </w:r>
          </w:p>
        </w:tc>
        <w:tc>
          <w:tcPr>
            <w:tcW w:w="6020" w:type="dxa"/>
            <w:vAlign w:val="center"/>
          </w:tcPr>
          <w:p w14:paraId="32954ED4">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无。</w:t>
            </w:r>
          </w:p>
        </w:tc>
      </w:tr>
      <w:tr w14:paraId="59DB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FD257E5">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35</w:t>
            </w:r>
            <w:r>
              <w:rPr>
                <w:rFonts w:hint="eastAsia"/>
                <w:bCs/>
                <w:color w:val="000000" w:themeColor="text1"/>
                <w:kern w:val="2"/>
                <w:highlight w:val="none"/>
                <w14:textFill>
                  <w14:solidFill>
                    <w14:schemeClr w14:val="tx1"/>
                  </w14:solidFill>
                </w14:textFill>
              </w:rPr>
              <w:t>.6</w:t>
            </w:r>
          </w:p>
        </w:tc>
        <w:tc>
          <w:tcPr>
            <w:tcW w:w="2031" w:type="dxa"/>
            <w:vAlign w:val="center"/>
          </w:tcPr>
          <w:p w14:paraId="52E06EE4">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安全文明要求</w:t>
            </w:r>
          </w:p>
        </w:tc>
        <w:tc>
          <w:tcPr>
            <w:tcW w:w="6020" w:type="dxa"/>
            <w:vAlign w:val="center"/>
          </w:tcPr>
          <w:p w14:paraId="564191A7">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必须确保安全文明施工，符合国家和项目所在地现行相关规定</w:t>
            </w:r>
          </w:p>
        </w:tc>
      </w:tr>
      <w:tr w14:paraId="1E86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71C0533">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35.</w:t>
            </w:r>
            <w:r>
              <w:rPr>
                <w:rFonts w:hint="eastAsia"/>
                <w:bCs/>
                <w:color w:val="000000" w:themeColor="text1"/>
                <w:kern w:val="2"/>
                <w:highlight w:val="none"/>
                <w14:textFill>
                  <w14:solidFill>
                    <w14:schemeClr w14:val="tx1"/>
                  </w14:solidFill>
                </w14:textFill>
              </w:rPr>
              <w:t>7</w:t>
            </w:r>
          </w:p>
        </w:tc>
        <w:tc>
          <w:tcPr>
            <w:tcW w:w="2031" w:type="dxa"/>
            <w:vAlign w:val="center"/>
          </w:tcPr>
          <w:p w14:paraId="6B6866A5">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总包及分包规定</w:t>
            </w:r>
          </w:p>
        </w:tc>
        <w:tc>
          <w:tcPr>
            <w:tcW w:w="6020" w:type="dxa"/>
            <w:vAlign w:val="center"/>
          </w:tcPr>
          <w:p w14:paraId="5148EF9A">
            <w:pPr>
              <w:pStyle w:val="19"/>
              <w:widowControl w:val="0"/>
              <w:spacing w:before="0" w:beforeAutospacing="0" w:after="0" w:afterAutospacing="0" w:line="360" w:lineRule="auto"/>
              <w:jc w:val="both"/>
              <w:rPr>
                <w:rFonts w:hint="eastAsia"/>
                <w:color w:val="000000" w:themeColor="text1"/>
                <w:sz w:val="24"/>
                <w:highlight w:val="none"/>
                <w14:textFill>
                  <w14:solidFill>
                    <w14:schemeClr w14:val="tx1"/>
                  </w14:solidFill>
                </w14:textFill>
              </w:rPr>
            </w:pPr>
            <w:r>
              <w:rPr>
                <w:rFonts w:hint="eastAsia"/>
                <w:color w:val="000000" w:themeColor="text1"/>
                <w:sz w:val="24"/>
                <w:szCs w:val="18"/>
                <w:highlight w:val="none"/>
                <w14:textFill>
                  <w14:solidFill>
                    <w14:schemeClr w14:val="tx1"/>
                  </w14:solidFill>
                </w14:textFill>
              </w:rPr>
              <w:t>参审单位</w:t>
            </w:r>
            <w:r>
              <w:rPr>
                <w:rFonts w:hint="eastAsia"/>
                <w:color w:val="000000" w:themeColor="text1"/>
                <w:sz w:val="24"/>
                <w:highlight w:val="none"/>
                <w14:textFill>
                  <w14:solidFill>
                    <w14:schemeClr w14:val="tx1"/>
                  </w14:solidFill>
                </w14:textFill>
              </w:rPr>
              <w:t>不得在成交后将工程转包给其它施工单位。</w:t>
            </w:r>
          </w:p>
          <w:p w14:paraId="5BD46FE6">
            <w:pPr>
              <w:spacing w:line="360" w:lineRule="auto"/>
              <w:jc w:val="left"/>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分包情况</w:t>
            </w:r>
          </w:p>
          <w:p w14:paraId="792C524C">
            <w:pPr>
              <w:spacing w:line="360" w:lineRule="auto"/>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□允许专业分包，分包项目、内容及分包商需经</w:t>
            </w:r>
            <w:r>
              <w:rPr>
                <w:color w:val="000000" w:themeColor="text1"/>
                <w:sz w:val="24"/>
                <w:szCs w:val="18"/>
                <w:highlight w:val="none"/>
                <w14:textFill>
                  <w14:solidFill>
                    <w14:schemeClr w14:val="tx1"/>
                  </w14:solidFill>
                </w14:textFill>
              </w:rPr>
              <w:t>业主</w:t>
            </w:r>
            <w:r>
              <w:rPr>
                <w:rFonts w:hint="eastAsia"/>
                <w:color w:val="000000" w:themeColor="text1"/>
                <w:sz w:val="24"/>
                <w:szCs w:val="18"/>
                <w:highlight w:val="none"/>
                <w14:textFill>
                  <w14:solidFill>
                    <w14:schemeClr w14:val="tx1"/>
                  </w14:solidFill>
                </w14:textFill>
              </w:rPr>
              <w:t>单位</w:t>
            </w:r>
            <w:r>
              <w:rPr>
                <w:rFonts w:hint="eastAsia"/>
                <w:color w:val="000000" w:themeColor="text1"/>
                <w:sz w:val="24"/>
                <w:highlight w:val="none"/>
                <w14:textFill>
                  <w14:solidFill>
                    <w14:schemeClr w14:val="tx1"/>
                  </w14:solidFill>
                </w14:textFill>
              </w:rPr>
              <w:t>及监理单位同意和认可</w:t>
            </w:r>
          </w:p>
          <w:p w14:paraId="2BCFE1C4">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Cs w:val="0"/>
                <w:color w:val="000000" w:themeColor="text1"/>
                <w:sz w:val="24"/>
                <w:highlight w:val="none"/>
                <w14:textFill>
                  <w14:solidFill>
                    <w14:schemeClr w14:val="tx1"/>
                  </w14:solidFill>
                </w14:textFill>
              </w:rPr>
              <w:t>☑不允许</w:t>
            </w:r>
          </w:p>
        </w:tc>
      </w:tr>
      <w:tr w14:paraId="26A7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2D8061C">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35.</w:t>
            </w:r>
            <w:r>
              <w:rPr>
                <w:rFonts w:hint="eastAsia"/>
                <w:bCs/>
                <w:color w:val="000000" w:themeColor="text1"/>
                <w:kern w:val="2"/>
                <w:highlight w:val="none"/>
                <w14:textFill>
                  <w14:solidFill>
                    <w14:schemeClr w14:val="tx1"/>
                  </w14:solidFill>
                </w14:textFill>
              </w:rPr>
              <w:t>8</w:t>
            </w:r>
          </w:p>
        </w:tc>
        <w:tc>
          <w:tcPr>
            <w:tcW w:w="2031" w:type="dxa"/>
            <w:vAlign w:val="center"/>
          </w:tcPr>
          <w:p w14:paraId="77FB094E">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现场条件</w:t>
            </w:r>
          </w:p>
        </w:tc>
        <w:tc>
          <w:tcPr>
            <w:tcW w:w="6020" w:type="dxa"/>
            <w:vAlign w:val="center"/>
          </w:tcPr>
          <w:p w14:paraId="684B956A">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具备开工条件</w:t>
            </w:r>
          </w:p>
        </w:tc>
      </w:tr>
      <w:tr w14:paraId="5E3A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4B58557">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35.</w:t>
            </w:r>
            <w:r>
              <w:rPr>
                <w:rFonts w:hint="eastAsia"/>
                <w:bCs/>
                <w:color w:val="000000" w:themeColor="text1"/>
                <w:kern w:val="2"/>
                <w:highlight w:val="none"/>
                <w14:textFill>
                  <w14:solidFill>
                    <w14:schemeClr w14:val="tx1"/>
                  </w14:solidFill>
                </w14:textFill>
              </w:rPr>
              <w:t>9</w:t>
            </w:r>
          </w:p>
        </w:tc>
        <w:tc>
          <w:tcPr>
            <w:tcW w:w="2031" w:type="dxa"/>
            <w:vAlign w:val="center"/>
          </w:tcPr>
          <w:p w14:paraId="7B78671E">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b w:val="0"/>
                <w:color w:val="000000" w:themeColor="text1"/>
                <w:sz w:val="24"/>
                <w:szCs w:val="18"/>
                <w:highlight w:val="none"/>
                <w14:textFill>
                  <w14:solidFill>
                    <w14:schemeClr w14:val="tx1"/>
                  </w14:solidFill>
                </w14:textFill>
              </w:rPr>
              <w:t>业主</w:t>
            </w:r>
            <w:r>
              <w:rPr>
                <w:rFonts w:hint="eastAsia"/>
                <w:b w:val="0"/>
                <w:color w:val="000000" w:themeColor="text1"/>
                <w:sz w:val="24"/>
                <w:szCs w:val="18"/>
                <w:highlight w:val="none"/>
                <w14:textFill>
                  <w14:solidFill>
                    <w14:schemeClr w14:val="tx1"/>
                  </w14:solidFill>
                </w14:textFill>
              </w:rPr>
              <w:t>单位</w:t>
            </w:r>
            <w:r>
              <w:rPr>
                <w:rFonts w:hint="eastAsia"/>
                <w:b w:val="0"/>
                <w:bCs w:val="0"/>
                <w:color w:val="000000" w:themeColor="text1"/>
                <w:sz w:val="24"/>
                <w:highlight w:val="none"/>
                <w14:textFill>
                  <w14:solidFill>
                    <w14:schemeClr w14:val="tx1"/>
                  </w14:solidFill>
                </w14:textFill>
              </w:rPr>
              <w:t>提供的资料</w:t>
            </w:r>
          </w:p>
        </w:tc>
        <w:tc>
          <w:tcPr>
            <w:tcW w:w="6020" w:type="dxa"/>
            <w:vAlign w:val="center"/>
          </w:tcPr>
          <w:p w14:paraId="05BEB675">
            <w:pPr>
              <w:adjustRightInd w:val="0"/>
              <w:snapToGrid w:val="0"/>
              <w:spacing w:line="360" w:lineRule="auto"/>
              <w:jc w:val="left"/>
              <w:rPr>
                <w:rFonts w:hint="eastAsia"/>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☑磋商文件</w:t>
            </w:r>
          </w:p>
          <w:p w14:paraId="642B21AA">
            <w:pPr>
              <w:adjustRightInd w:val="0"/>
              <w:snapToGrid w:val="0"/>
              <w:spacing w:line="360" w:lineRule="auto"/>
              <w:jc w:val="left"/>
              <w:rPr>
                <w:rFonts w:hint="eastAsia"/>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lang w:eastAsia="zh-CN"/>
                <w14:textFill>
                  <w14:solidFill>
                    <w14:schemeClr w14:val="tx1"/>
                  </w14:solidFill>
                </w14:textFill>
              </w:rPr>
              <w:t>☑</w:t>
            </w:r>
            <w:r>
              <w:rPr>
                <w:rFonts w:hint="eastAsia"/>
                <w:bCs/>
                <w:color w:val="000000" w:themeColor="text1"/>
                <w:sz w:val="24"/>
                <w:szCs w:val="28"/>
                <w:highlight w:val="none"/>
                <w14:textFill>
                  <w14:solidFill>
                    <w14:schemeClr w14:val="tx1"/>
                  </w14:solidFill>
                </w14:textFill>
              </w:rPr>
              <w:t>工程量清单</w:t>
            </w:r>
          </w:p>
          <w:p w14:paraId="7528918F">
            <w:pPr>
              <w:adjustRightInd w:val="0"/>
              <w:snapToGrid w:val="0"/>
              <w:spacing w:line="360" w:lineRule="auto"/>
              <w:jc w:val="left"/>
              <w:rPr>
                <w:rFonts w:hint="eastAsia"/>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☑最高限价（控制价）</w:t>
            </w:r>
          </w:p>
          <w:p w14:paraId="0211B165">
            <w:pPr>
              <w:adjustRightInd w:val="0"/>
              <w:snapToGrid w:val="0"/>
              <w:spacing w:line="360" w:lineRule="auto"/>
              <w:jc w:val="left"/>
              <w:rPr>
                <w:rFonts w:hint="eastAsia"/>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lang w:eastAsia="zh-CN"/>
                <w14:textFill>
                  <w14:solidFill>
                    <w14:schemeClr w14:val="tx1"/>
                  </w14:solidFill>
                </w14:textFill>
              </w:rPr>
              <w:t>□</w:t>
            </w:r>
            <w:r>
              <w:rPr>
                <w:rFonts w:hint="eastAsia"/>
                <w:bCs/>
                <w:color w:val="000000" w:themeColor="text1"/>
                <w:sz w:val="24"/>
                <w:szCs w:val="28"/>
                <w:highlight w:val="none"/>
                <w14:textFill>
                  <w14:solidFill>
                    <w14:schemeClr w14:val="tx1"/>
                  </w14:solidFill>
                </w14:textFill>
              </w:rPr>
              <w:t>电子版图纸</w:t>
            </w:r>
          </w:p>
          <w:p w14:paraId="47A0019E">
            <w:pPr>
              <w:adjustRightInd w:val="0"/>
              <w:snapToGrid w:val="0"/>
              <w:spacing w:line="360" w:lineRule="auto"/>
              <w:jc w:val="left"/>
              <w:rPr>
                <w:rFonts w:hint="eastAsia"/>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获得方式：</w:t>
            </w:r>
          </w:p>
          <w:p w14:paraId="053BD11B">
            <w:pPr>
              <w:adjustRightInd w:val="0"/>
              <w:snapToGrid w:val="0"/>
              <w:spacing w:line="360" w:lineRule="auto"/>
              <w:jc w:val="left"/>
              <w:rPr>
                <w:rFonts w:hint="eastAsia"/>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上述资料请</w:t>
            </w:r>
            <w:r>
              <w:rPr>
                <w:rFonts w:hint="eastAsia"/>
                <w:b/>
                <w:color w:val="000000" w:themeColor="text1"/>
                <w:sz w:val="24"/>
                <w:szCs w:val="18"/>
                <w:highlight w:val="none"/>
                <w14:textFill>
                  <w14:solidFill>
                    <w14:schemeClr w14:val="tx1"/>
                  </w14:solidFill>
                </w14:textFill>
              </w:rPr>
              <w:t>参审单位</w:t>
            </w:r>
            <w:r>
              <w:rPr>
                <w:rFonts w:hint="eastAsia"/>
                <w:b/>
                <w:bCs/>
                <w:color w:val="000000" w:themeColor="text1"/>
                <w:sz w:val="24"/>
                <w:highlight w:val="none"/>
                <w14:textFill>
                  <w14:solidFill>
                    <w14:schemeClr w14:val="tx1"/>
                  </w14:solidFill>
                </w14:textFill>
              </w:rPr>
              <w:t>在获取磋商文件后，自行登陆系统下载本项目附件。</w:t>
            </w:r>
          </w:p>
        </w:tc>
      </w:tr>
      <w:tr w14:paraId="6869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19FE4E3">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35.</w:t>
            </w:r>
            <w:r>
              <w:rPr>
                <w:rFonts w:hint="eastAsia"/>
                <w:bCs/>
                <w:color w:val="000000" w:themeColor="text1"/>
                <w:kern w:val="2"/>
                <w:highlight w:val="none"/>
                <w14:textFill>
                  <w14:solidFill>
                    <w14:schemeClr w14:val="tx1"/>
                  </w14:solidFill>
                </w14:textFill>
              </w:rPr>
              <w:t>10</w:t>
            </w:r>
          </w:p>
        </w:tc>
        <w:tc>
          <w:tcPr>
            <w:tcW w:w="2031" w:type="dxa"/>
            <w:vAlign w:val="center"/>
          </w:tcPr>
          <w:p w14:paraId="07AF5218">
            <w:pPr>
              <w:pStyle w:val="19"/>
              <w:widowControl w:val="0"/>
              <w:spacing w:before="0" w:beforeAutospacing="0" w:after="0" w:afterAutospacing="0" w:line="360" w:lineRule="auto"/>
              <w:jc w:val="both"/>
              <w:rPr>
                <w:rFonts w:hint="default" w:eastAsia="宋体"/>
                <w:b/>
                <w:bCs/>
                <w:color w:val="000000" w:themeColor="text1"/>
                <w:sz w:val="24"/>
                <w:highlight w:val="none"/>
                <w:lang w:val="en-US" w:eastAsia="zh-CN"/>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工程量清单和最高限价（控制价）编制费</w:t>
            </w:r>
            <w:r>
              <w:rPr>
                <w:rFonts w:hint="eastAsia"/>
                <w:b w:val="0"/>
                <w:bCs w:val="0"/>
                <w:color w:val="000000" w:themeColor="text1"/>
                <w:sz w:val="24"/>
                <w:highlight w:val="none"/>
                <w:lang w:eastAsia="zh-CN"/>
                <w14:textFill>
                  <w14:solidFill>
                    <w14:schemeClr w14:val="tx1"/>
                  </w14:solidFill>
                </w14:textFill>
              </w:rPr>
              <w:t>（</w:t>
            </w:r>
            <w:r>
              <w:rPr>
                <w:rFonts w:hint="eastAsia"/>
                <w:b w:val="0"/>
                <w:bCs w:val="0"/>
                <w:color w:val="000000" w:themeColor="text1"/>
                <w:sz w:val="24"/>
                <w:highlight w:val="none"/>
                <w:lang w:val="en-US" w:eastAsia="zh-CN"/>
                <w14:textFill>
                  <w14:solidFill>
                    <w14:schemeClr w14:val="tx1"/>
                  </w14:solidFill>
                </w14:textFill>
              </w:rPr>
              <w:t>本项目不适用）</w:t>
            </w:r>
          </w:p>
        </w:tc>
        <w:tc>
          <w:tcPr>
            <w:tcW w:w="6020" w:type="dxa"/>
            <w:vAlign w:val="center"/>
          </w:tcPr>
          <w:p w14:paraId="7FF97F84">
            <w:pPr>
              <w:pStyle w:val="19"/>
              <w:spacing w:before="0" w:beforeAutospacing="0" w:after="0" w:afterAutospacing="0" w:line="360" w:lineRule="auto"/>
              <w:jc w:val="both"/>
              <w:rPr>
                <w:rFonts w:hint="eastAsia" w:cs="宋体"/>
                <w:b/>
                <w:bCs/>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工程量清单和最高投标限价（招标控制价）编制费：以每标段的中标金额为计算基数，计算方式详见本章“附表 2”，不足 1000 元的按 1000 元收取。</w:t>
            </w:r>
          </w:p>
        </w:tc>
      </w:tr>
      <w:tr w14:paraId="50AC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B058053">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35.</w:t>
            </w:r>
            <w:r>
              <w:rPr>
                <w:rFonts w:hint="eastAsia"/>
                <w:bCs/>
                <w:color w:val="000000" w:themeColor="text1"/>
                <w:kern w:val="2"/>
                <w:highlight w:val="none"/>
                <w14:textFill>
                  <w14:solidFill>
                    <w14:schemeClr w14:val="tx1"/>
                  </w14:solidFill>
                </w14:textFill>
              </w:rPr>
              <w:t>11</w:t>
            </w:r>
          </w:p>
        </w:tc>
        <w:tc>
          <w:tcPr>
            <w:tcW w:w="2031" w:type="dxa"/>
            <w:vAlign w:val="center"/>
          </w:tcPr>
          <w:p w14:paraId="09E50BD8">
            <w:pPr>
              <w:adjustRightInd w:val="0"/>
              <w:spacing w:line="360" w:lineRule="auto"/>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特别</w:t>
            </w:r>
            <w:r>
              <w:rPr>
                <w:color w:val="000000" w:themeColor="text1"/>
                <w:sz w:val="24"/>
                <w:highlight w:val="none"/>
                <w14:textFill>
                  <w14:solidFill>
                    <w14:schemeClr w14:val="tx1"/>
                  </w14:solidFill>
                </w14:textFill>
              </w:rPr>
              <w:t>提醒</w:t>
            </w:r>
          </w:p>
        </w:tc>
        <w:tc>
          <w:tcPr>
            <w:tcW w:w="6020" w:type="dxa"/>
            <w:vAlign w:val="center"/>
          </w:tcPr>
          <w:p w14:paraId="5DE546C0">
            <w:pPr>
              <w:adjustRightInd w:val="0"/>
              <w:spacing w:line="360" w:lineRule="auto"/>
              <w:rPr>
                <w:rFonts w:hint="eastAsia"/>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（1）项目经理必须是</w:t>
            </w:r>
            <w:r>
              <w:rPr>
                <w:rFonts w:hint="eastAsia"/>
                <w:color w:val="000000" w:themeColor="text1"/>
                <w:sz w:val="24"/>
                <w:szCs w:val="18"/>
                <w:highlight w:val="none"/>
                <w14:textFill>
                  <w14:solidFill>
                    <w14:schemeClr w14:val="tx1"/>
                  </w14:solidFill>
                </w14:textFill>
              </w:rPr>
              <w:t>参审单位</w:t>
            </w:r>
            <w:r>
              <w:rPr>
                <w:rFonts w:hint="eastAsia"/>
                <w:bCs/>
                <w:color w:val="000000" w:themeColor="text1"/>
                <w:sz w:val="24"/>
                <w:szCs w:val="28"/>
                <w:highlight w:val="none"/>
                <w14:textFill>
                  <w14:solidFill>
                    <w14:schemeClr w14:val="tx1"/>
                  </w14:solidFill>
                </w14:textFill>
              </w:rPr>
              <w:t>本单位工作人员，提供虚假资料谋取成交将被依法处罚，记入不良行为记录，并予以曝光。</w:t>
            </w:r>
          </w:p>
          <w:p w14:paraId="24DDB99F">
            <w:pPr>
              <w:adjustRightInd w:val="0"/>
              <w:spacing w:line="360" w:lineRule="auto"/>
              <w:rPr>
                <w:rFonts w:hint="eastAsia"/>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（2）如本项目图纸中出现特定性、唯一性品牌的表述，该品牌仅作为参考，施工过程中不具有限定性。</w:t>
            </w:r>
          </w:p>
          <w:p w14:paraId="62BC544F">
            <w:pPr>
              <w:adjustRightInd w:val="0"/>
              <w:spacing w:line="360" w:lineRule="auto"/>
              <w:rPr>
                <w:rFonts w:hint="eastAsia"/>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（3）</w:t>
            </w:r>
            <w:r>
              <w:rPr>
                <w:rFonts w:hint="eastAsia"/>
                <w:color w:val="000000" w:themeColor="text1"/>
                <w:sz w:val="24"/>
                <w:szCs w:val="18"/>
                <w:highlight w:val="none"/>
                <w14:textFill>
                  <w14:solidFill>
                    <w14:schemeClr w14:val="tx1"/>
                  </w14:solidFill>
                </w14:textFill>
              </w:rPr>
              <w:t>参审单位</w:t>
            </w:r>
            <w:r>
              <w:rPr>
                <w:rFonts w:hint="eastAsia"/>
                <w:bCs/>
                <w:color w:val="000000" w:themeColor="text1"/>
                <w:sz w:val="24"/>
                <w:szCs w:val="28"/>
                <w:highlight w:val="none"/>
                <w14:textFill>
                  <w14:solidFill>
                    <w14:schemeClr w14:val="tx1"/>
                  </w14:solidFill>
                </w14:textFill>
              </w:rPr>
              <w:t>对所提交的</w:t>
            </w:r>
            <w:r>
              <w:rPr>
                <w:rFonts w:hint="eastAsia"/>
                <w:color w:val="000000" w:themeColor="text1"/>
                <w:sz w:val="24"/>
                <w:szCs w:val="18"/>
                <w:highlight w:val="none"/>
                <w14:textFill>
                  <w14:solidFill>
                    <w14:schemeClr w14:val="tx1"/>
                  </w14:solidFill>
                </w14:textFill>
              </w:rPr>
              <w:t>参审单位</w:t>
            </w:r>
            <w:r>
              <w:rPr>
                <w:rFonts w:hint="eastAsia"/>
                <w:bCs/>
                <w:color w:val="000000" w:themeColor="text1"/>
                <w:sz w:val="24"/>
                <w:szCs w:val="28"/>
                <w:highlight w:val="none"/>
                <w14:textFill>
                  <w14:solidFill>
                    <w14:schemeClr w14:val="tx1"/>
                  </w14:solidFill>
                </w14:textFill>
              </w:rPr>
              <w:t>或拟派项目经理业绩、</w:t>
            </w:r>
            <w:r>
              <w:rPr>
                <w:rFonts w:hint="eastAsia"/>
                <w:color w:val="000000" w:themeColor="text1"/>
                <w:sz w:val="24"/>
                <w:szCs w:val="18"/>
                <w:highlight w:val="none"/>
                <w14:textFill>
                  <w14:solidFill>
                    <w14:schemeClr w14:val="tx1"/>
                  </w14:solidFill>
                </w14:textFill>
              </w:rPr>
              <w:t>参审单位</w:t>
            </w:r>
            <w:r>
              <w:rPr>
                <w:rFonts w:hint="eastAsia"/>
                <w:bCs/>
                <w:color w:val="000000" w:themeColor="text1"/>
                <w:sz w:val="24"/>
                <w:szCs w:val="28"/>
                <w:highlight w:val="none"/>
                <w14:textFill>
                  <w14:solidFill>
                    <w14:schemeClr w14:val="tx1"/>
                  </w14:solidFill>
                </w14:textFill>
              </w:rPr>
              <w:t>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w:t>
            </w:r>
          </w:p>
          <w:p w14:paraId="4BCEDE7D">
            <w:pPr>
              <w:adjustRightInd w:val="0"/>
              <w:spacing w:line="360" w:lineRule="auto"/>
              <w:jc w:val="left"/>
              <w:rPr>
                <w:rFonts w:hint="eastAsia"/>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（4）</w:t>
            </w:r>
            <w:r>
              <w:rPr>
                <w:rFonts w:hint="eastAsia"/>
                <w:color w:val="000000" w:themeColor="text1"/>
                <w:sz w:val="24"/>
                <w:szCs w:val="18"/>
                <w:highlight w:val="none"/>
                <w14:textFill>
                  <w14:solidFill>
                    <w14:schemeClr w14:val="tx1"/>
                  </w14:solidFill>
                </w14:textFill>
              </w:rPr>
              <w:t>业主单位</w:t>
            </w:r>
            <w:r>
              <w:rPr>
                <w:rFonts w:hint="eastAsia"/>
                <w:bCs/>
                <w:color w:val="000000" w:themeColor="text1"/>
                <w:sz w:val="24"/>
                <w:szCs w:val="28"/>
                <w:highlight w:val="none"/>
                <w14:textFill>
                  <w14:solidFill>
                    <w14:schemeClr w14:val="tx1"/>
                  </w14:solidFill>
                </w14:textFill>
              </w:rPr>
              <w:t>和成交人未履行下述义务的，将依法对</w:t>
            </w:r>
            <w:r>
              <w:rPr>
                <w:rFonts w:hint="eastAsia"/>
                <w:color w:val="000000" w:themeColor="text1"/>
                <w:sz w:val="24"/>
                <w:szCs w:val="18"/>
                <w:highlight w:val="none"/>
                <w14:textFill>
                  <w14:solidFill>
                    <w14:schemeClr w14:val="tx1"/>
                  </w14:solidFill>
                </w14:textFill>
              </w:rPr>
              <w:t>业主单位</w:t>
            </w:r>
            <w:r>
              <w:rPr>
                <w:rFonts w:hint="eastAsia"/>
                <w:bCs/>
                <w:color w:val="000000" w:themeColor="text1"/>
                <w:sz w:val="24"/>
                <w:szCs w:val="28"/>
                <w:highlight w:val="none"/>
                <w14:textFill>
                  <w14:solidFill>
                    <w14:schemeClr w14:val="tx1"/>
                  </w14:solidFill>
                </w14:textFill>
              </w:rPr>
              <w:t>和成交人进行处理，追究相关责任：</w:t>
            </w:r>
          </w:p>
          <w:p w14:paraId="7AEEB9B0">
            <w:pPr>
              <w:adjustRightInd w:val="0"/>
              <w:spacing w:line="360" w:lineRule="auto"/>
              <w:jc w:val="left"/>
              <w:rPr>
                <w:rFonts w:hint="eastAsia"/>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 xml:space="preserve">①磋商文件载明在规定期限内成交人应领取《成交通知书》，若成交人未在规定期限内领取《成交通知书》， </w:t>
            </w:r>
            <w:r>
              <w:rPr>
                <w:rFonts w:hint="eastAsia"/>
                <w:color w:val="000000" w:themeColor="text1"/>
                <w:sz w:val="24"/>
                <w:szCs w:val="18"/>
                <w:highlight w:val="none"/>
                <w14:textFill>
                  <w14:solidFill>
                    <w14:schemeClr w14:val="tx1"/>
                  </w14:solidFill>
                </w14:textFill>
              </w:rPr>
              <w:t>业主单位</w:t>
            </w:r>
            <w:r>
              <w:rPr>
                <w:rFonts w:hint="eastAsia"/>
                <w:bCs/>
                <w:color w:val="000000" w:themeColor="text1"/>
                <w:sz w:val="24"/>
                <w:szCs w:val="28"/>
                <w:highlight w:val="none"/>
                <w14:textFill>
                  <w14:solidFill>
                    <w14:schemeClr w14:val="tx1"/>
                  </w14:solidFill>
                </w14:textFill>
              </w:rPr>
              <w:t>有权取消成交人成交资格，并将相关违约行为报送监管部门，实施信用惩戒；</w:t>
            </w:r>
          </w:p>
          <w:p w14:paraId="66349DE3">
            <w:pPr>
              <w:adjustRightInd w:val="0"/>
              <w:spacing w:line="360" w:lineRule="auto"/>
              <w:jc w:val="left"/>
              <w:rPr>
                <w:rFonts w:hint="eastAsia"/>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②成交人应在规定期限内提交履约担保并与</w:t>
            </w:r>
            <w:r>
              <w:rPr>
                <w:rFonts w:hint="eastAsia"/>
                <w:color w:val="000000" w:themeColor="text1"/>
                <w:sz w:val="24"/>
                <w:szCs w:val="18"/>
                <w:highlight w:val="none"/>
                <w14:textFill>
                  <w14:solidFill>
                    <w14:schemeClr w14:val="tx1"/>
                  </w14:solidFill>
                </w14:textFill>
              </w:rPr>
              <w:t>业主单位</w:t>
            </w:r>
            <w:r>
              <w:rPr>
                <w:rFonts w:hint="eastAsia"/>
                <w:bCs/>
                <w:color w:val="000000" w:themeColor="text1"/>
                <w:sz w:val="24"/>
                <w:szCs w:val="28"/>
                <w:highlight w:val="none"/>
                <w14:textFill>
                  <w14:solidFill>
                    <w14:schemeClr w14:val="tx1"/>
                  </w14:solidFill>
                </w14:textFill>
              </w:rPr>
              <w:t>签订合同，若成交人未能在规定期限内提交履约担保或签订合同，</w:t>
            </w:r>
            <w:r>
              <w:rPr>
                <w:rFonts w:hint="eastAsia"/>
                <w:color w:val="000000" w:themeColor="text1"/>
                <w:sz w:val="24"/>
                <w:szCs w:val="18"/>
                <w:highlight w:val="none"/>
                <w14:textFill>
                  <w14:solidFill>
                    <w14:schemeClr w14:val="tx1"/>
                  </w14:solidFill>
                </w14:textFill>
              </w:rPr>
              <w:t>业主单位</w:t>
            </w:r>
            <w:r>
              <w:rPr>
                <w:rFonts w:hint="eastAsia"/>
                <w:bCs/>
                <w:color w:val="000000" w:themeColor="text1"/>
                <w:sz w:val="24"/>
                <w:szCs w:val="28"/>
                <w:highlight w:val="none"/>
                <w14:textFill>
                  <w14:solidFill>
                    <w14:schemeClr w14:val="tx1"/>
                  </w14:solidFill>
                </w14:textFill>
              </w:rPr>
              <w:t>有权取消成交人成交资格，并将相关违约行为报送监管部门，实施信用惩戒；</w:t>
            </w:r>
          </w:p>
          <w:p w14:paraId="6D278765">
            <w:pPr>
              <w:adjustRightInd w:val="0"/>
              <w:spacing w:line="360" w:lineRule="auto"/>
              <w:jc w:val="left"/>
              <w:rPr>
                <w:rFonts w:hint="eastAsia"/>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③合同签订后，成交人存在规定时间内不组织人员进场开工、不履行供货安装义务等情况，</w:t>
            </w:r>
            <w:r>
              <w:rPr>
                <w:rFonts w:hint="eastAsia"/>
                <w:color w:val="000000" w:themeColor="text1"/>
                <w:sz w:val="24"/>
                <w:szCs w:val="18"/>
                <w:highlight w:val="none"/>
                <w14:textFill>
                  <w14:solidFill>
                    <w14:schemeClr w14:val="tx1"/>
                  </w14:solidFill>
                </w14:textFill>
              </w:rPr>
              <w:t>业主单位</w:t>
            </w:r>
            <w:r>
              <w:rPr>
                <w:rFonts w:hint="eastAsia"/>
                <w:bCs/>
                <w:color w:val="000000" w:themeColor="text1"/>
                <w:sz w:val="24"/>
                <w:szCs w:val="28"/>
                <w:highlight w:val="none"/>
                <w14:textFill>
                  <w14:solidFill>
                    <w14:schemeClr w14:val="tx1"/>
                  </w14:solidFill>
                </w14:textFill>
              </w:rPr>
              <w:t>有权解除合同，并追究违约责任，同时将相关违约行为报送监管部门，记不良行为记录，实施信用惩戒；</w:t>
            </w:r>
          </w:p>
          <w:p w14:paraId="007419B4">
            <w:pPr>
              <w:adjustRightInd w:val="0"/>
              <w:spacing w:line="360" w:lineRule="auto"/>
              <w:jc w:val="left"/>
              <w:rPr>
                <w:rFonts w:hint="eastAsia"/>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④成交人在成交后被监管部门查实存在违法行为，不满足磋商条件的，由</w:t>
            </w:r>
            <w:r>
              <w:rPr>
                <w:rFonts w:hint="eastAsia"/>
                <w:color w:val="000000" w:themeColor="text1"/>
                <w:sz w:val="24"/>
                <w:szCs w:val="18"/>
                <w:highlight w:val="none"/>
                <w14:textFill>
                  <w14:solidFill>
                    <w14:schemeClr w14:val="tx1"/>
                  </w14:solidFill>
                </w14:textFill>
              </w:rPr>
              <w:t>业主单位</w:t>
            </w:r>
            <w:r>
              <w:rPr>
                <w:rFonts w:hint="eastAsia"/>
                <w:bCs/>
                <w:color w:val="000000" w:themeColor="text1"/>
                <w:sz w:val="24"/>
                <w:szCs w:val="28"/>
                <w:highlight w:val="none"/>
                <w14:textFill>
                  <w14:solidFill>
                    <w14:schemeClr w14:val="tx1"/>
                  </w14:solidFill>
                </w14:textFill>
              </w:rPr>
              <w:t>取消其资格，并做好项目后续工作；</w:t>
            </w:r>
          </w:p>
          <w:p w14:paraId="18423D83">
            <w:pPr>
              <w:adjustRightInd w:val="0"/>
              <w:spacing w:line="360" w:lineRule="auto"/>
              <w:jc w:val="left"/>
              <w:rPr>
                <w:rFonts w:hint="eastAsia"/>
                <w:color w:val="000000" w:themeColor="text1"/>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⑤项目实施后发生投诉、信访举报案件、履约存在争议时，拒绝协助配合执法部门调查案件的，</w:t>
            </w:r>
            <w:r>
              <w:rPr>
                <w:rFonts w:hint="eastAsia"/>
                <w:color w:val="000000" w:themeColor="text1"/>
                <w:sz w:val="24"/>
                <w:szCs w:val="18"/>
                <w:highlight w:val="none"/>
                <w14:textFill>
                  <w14:solidFill>
                    <w14:schemeClr w14:val="tx1"/>
                  </w14:solidFill>
                </w14:textFill>
              </w:rPr>
              <w:t>业主单位</w:t>
            </w:r>
            <w:r>
              <w:rPr>
                <w:rFonts w:hint="eastAsia"/>
                <w:bCs/>
                <w:color w:val="000000" w:themeColor="text1"/>
                <w:sz w:val="24"/>
                <w:szCs w:val="28"/>
                <w:highlight w:val="none"/>
                <w14:textFill>
                  <w14:solidFill>
                    <w14:schemeClr w14:val="tx1"/>
                  </w14:solidFill>
                </w14:textFill>
              </w:rPr>
              <w:t>可以解除合同，并追究其违约责任。</w:t>
            </w:r>
          </w:p>
        </w:tc>
      </w:tr>
      <w:tr w14:paraId="55BA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927936B">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35.</w:t>
            </w:r>
            <w:r>
              <w:rPr>
                <w:rFonts w:hint="eastAsia"/>
                <w:bCs/>
                <w:color w:val="000000" w:themeColor="text1"/>
                <w:kern w:val="2"/>
                <w:highlight w:val="none"/>
                <w14:textFill>
                  <w14:solidFill>
                    <w14:schemeClr w14:val="tx1"/>
                  </w14:solidFill>
                </w14:textFill>
              </w:rPr>
              <w:t>12</w:t>
            </w:r>
          </w:p>
        </w:tc>
        <w:tc>
          <w:tcPr>
            <w:tcW w:w="2031" w:type="dxa"/>
            <w:vAlign w:val="center"/>
          </w:tcPr>
          <w:p w14:paraId="1CF390F2">
            <w:pPr>
              <w:pStyle w:val="23"/>
              <w:spacing w:line="360" w:lineRule="auto"/>
              <w:jc w:val="left"/>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同义词语</w:t>
            </w:r>
          </w:p>
        </w:tc>
        <w:tc>
          <w:tcPr>
            <w:tcW w:w="6020" w:type="dxa"/>
            <w:vAlign w:val="center"/>
          </w:tcPr>
          <w:p w14:paraId="7DBA4317">
            <w:pPr>
              <w:pStyle w:val="23"/>
              <w:spacing w:line="360" w:lineRule="auto"/>
              <w:jc w:val="left"/>
              <w:rPr>
                <w:rFonts w:hint="eastAsia"/>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构成</w:t>
            </w:r>
            <w:r>
              <w:rPr>
                <w:rFonts w:hint="eastAsia"/>
                <w:color w:val="000000" w:themeColor="text1"/>
                <w:spacing w:val="-1"/>
                <w:sz w:val="24"/>
                <w:highlight w:val="none"/>
                <w14:textFill>
                  <w14:solidFill>
                    <w14:schemeClr w14:val="tx1"/>
                  </w14:solidFill>
                </w14:textFill>
              </w:rPr>
              <w:t>磋商</w:t>
            </w:r>
            <w:r>
              <w:rPr>
                <w:color w:val="000000" w:themeColor="text1"/>
                <w:spacing w:val="-1"/>
                <w:sz w:val="24"/>
                <w:highlight w:val="none"/>
                <w14:textFill>
                  <w14:solidFill>
                    <w14:schemeClr w14:val="tx1"/>
                  </w14:solidFill>
                </w14:textFill>
              </w:rPr>
              <w:t xml:space="preserve">文件组成部分的“通用合同条款”、“专用合同条款”、“技术标准和要求”和“工程量清单” </w:t>
            </w:r>
            <w:r>
              <w:rPr>
                <w:color w:val="000000" w:themeColor="text1"/>
                <w:spacing w:val="-12"/>
                <w:sz w:val="24"/>
                <w:highlight w:val="none"/>
                <w14:textFill>
                  <w14:solidFill>
                    <w14:schemeClr w14:val="tx1"/>
                  </w14:solidFill>
                </w14:textFill>
              </w:rPr>
              <w:t>等章节中 “发包人”和“承包人”，等同于</w:t>
            </w:r>
            <w:r>
              <w:rPr>
                <w:rFonts w:hint="eastAsia"/>
                <w:color w:val="000000" w:themeColor="text1"/>
                <w:spacing w:val="-12"/>
                <w:sz w:val="24"/>
                <w:highlight w:val="none"/>
                <w14:textFill>
                  <w14:solidFill>
                    <w14:schemeClr w14:val="tx1"/>
                  </w14:solidFill>
                </w14:textFill>
              </w:rPr>
              <w:t>磋商</w:t>
            </w:r>
            <w:r>
              <w:rPr>
                <w:color w:val="000000" w:themeColor="text1"/>
                <w:sz w:val="24"/>
                <w:highlight w:val="none"/>
                <w14:textFill>
                  <w14:solidFill>
                    <w14:schemeClr w14:val="tx1"/>
                  </w14:solidFill>
                </w14:textFill>
              </w:rPr>
              <w:t>阶段的“</w:t>
            </w:r>
            <w:r>
              <w:rPr>
                <w:rFonts w:hint="eastAsia"/>
                <w:color w:val="000000" w:themeColor="text1"/>
                <w:sz w:val="24"/>
                <w:szCs w:val="18"/>
                <w:highlight w:val="none"/>
                <w14:textFill>
                  <w14:solidFill>
                    <w14:schemeClr w14:val="tx1"/>
                  </w14:solidFill>
                </w14:textFill>
              </w:rPr>
              <w:t>业主单位</w:t>
            </w:r>
            <w:r>
              <w:rPr>
                <w:color w:val="000000" w:themeColor="text1"/>
                <w:sz w:val="24"/>
                <w:highlight w:val="none"/>
                <w14:textFill>
                  <w14:solidFill>
                    <w14:schemeClr w14:val="tx1"/>
                  </w14:solidFill>
                </w14:textFill>
              </w:rPr>
              <w:t>”和“</w:t>
            </w:r>
            <w:r>
              <w:rPr>
                <w:rFonts w:hint="eastAsia"/>
                <w:color w:val="000000" w:themeColor="text1"/>
                <w:sz w:val="24"/>
                <w:szCs w:val="18"/>
                <w:highlight w:val="none"/>
                <w:lang w:val="en-US"/>
                <w14:textFill>
                  <w14:solidFill>
                    <w14:schemeClr w14:val="tx1"/>
                  </w14:solidFill>
                </w14:textFill>
              </w:rPr>
              <w:t>成交人</w:t>
            </w:r>
            <w:r>
              <w:rPr>
                <w:color w:val="000000" w:themeColor="text1"/>
                <w:sz w:val="24"/>
                <w:highlight w:val="none"/>
                <w14:textFill>
                  <w14:solidFill>
                    <w14:schemeClr w14:val="tx1"/>
                  </w14:solidFill>
                </w14:textFill>
              </w:rPr>
              <w:t>”。</w:t>
            </w:r>
          </w:p>
        </w:tc>
      </w:tr>
      <w:tr w14:paraId="0481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2402484">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35</w:t>
            </w:r>
            <w:r>
              <w:rPr>
                <w:rFonts w:hint="eastAsia"/>
                <w:bCs/>
                <w:color w:val="000000" w:themeColor="text1"/>
                <w:kern w:val="2"/>
                <w:highlight w:val="none"/>
                <w14:textFill>
                  <w14:solidFill>
                    <w14:schemeClr w14:val="tx1"/>
                  </w14:solidFill>
                </w14:textFill>
              </w:rPr>
              <w:t>.13</w:t>
            </w:r>
          </w:p>
        </w:tc>
        <w:tc>
          <w:tcPr>
            <w:tcW w:w="2031" w:type="dxa"/>
            <w:vAlign w:val="center"/>
          </w:tcPr>
          <w:p w14:paraId="2B55CBDE">
            <w:pPr>
              <w:pStyle w:val="19"/>
              <w:widowControl w:val="0"/>
              <w:spacing w:before="0" w:beforeAutospacing="0" w:after="0" w:afterAutospacing="0" w:line="360" w:lineRule="auto"/>
              <w:jc w:val="left"/>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社保</w:t>
            </w:r>
            <w:r>
              <w:rPr>
                <w:b w:val="0"/>
                <w:color w:val="000000" w:themeColor="text1"/>
                <w:sz w:val="24"/>
                <w:highlight w:val="none"/>
                <w14:textFill>
                  <w14:solidFill>
                    <w14:schemeClr w14:val="tx1"/>
                  </w14:solidFill>
                </w14:textFill>
              </w:rPr>
              <w:t>证明材料</w:t>
            </w:r>
          </w:p>
          <w:p w14:paraId="1ACC49AC">
            <w:pPr>
              <w:pStyle w:val="19"/>
              <w:widowControl w:val="0"/>
              <w:spacing w:before="0" w:beforeAutospacing="0" w:after="0" w:afterAutospacing="0" w:line="360" w:lineRule="auto"/>
              <w:jc w:val="left"/>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（如有</w:t>
            </w:r>
            <w:r>
              <w:rPr>
                <w:b w:val="0"/>
                <w:color w:val="000000" w:themeColor="text1"/>
                <w:sz w:val="24"/>
                <w:highlight w:val="none"/>
                <w14:textFill>
                  <w14:solidFill>
                    <w14:schemeClr w14:val="tx1"/>
                  </w14:solidFill>
                </w14:textFill>
              </w:rPr>
              <w:t>）</w:t>
            </w:r>
          </w:p>
        </w:tc>
        <w:tc>
          <w:tcPr>
            <w:tcW w:w="6020" w:type="dxa"/>
            <w:vAlign w:val="center"/>
          </w:tcPr>
          <w:p w14:paraId="6B96853D">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本项目磋商文件中要求提供的社保</w:t>
            </w:r>
            <w:r>
              <w:rPr>
                <w:b w:val="0"/>
                <w:color w:val="000000" w:themeColor="text1"/>
                <w:sz w:val="24"/>
                <w:highlight w:val="none"/>
                <w14:textFill>
                  <w14:solidFill>
                    <w14:schemeClr w14:val="tx1"/>
                  </w14:solidFill>
                </w14:textFill>
              </w:rPr>
              <w:t>证明材料</w:t>
            </w:r>
            <w:r>
              <w:rPr>
                <w:rFonts w:hint="eastAsia"/>
                <w:b w:val="0"/>
                <w:color w:val="000000" w:themeColor="text1"/>
                <w:sz w:val="24"/>
                <w:highlight w:val="none"/>
                <w14:textFill>
                  <w14:solidFill>
                    <w14:schemeClr w14:val="tx1"/>
                  </w14:solidFill>
                </w14:textFill>
              </w:rPr>
              <w:t>为下述形式之一（响应文件中须提供扫描件）：</w:t>
            </w:r>
          </w:p>
          <w:p w14:paraId="04A2D894">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（1）</w:t>
            </w:r>
            <w:r>
              <w:rPr>
                <w:b w:val="0"/>
                <w:color w:val="000000" w:themeColor="text1"/>
                <w:sz w:val="24"/>
                <w:highlight w:val="none"/>
                <w14:textFill>
                  <w14:solidFill>
                    <w14:schemeClr w14:val="tx1"/>
                  </w14:solidFill>
                </w14:textFill>
              </w:rPr>
              <w:t>社保局官方网站查询的缴费记录截图；</w:t>
            </w:r>
          </w:p>
          <w:p w14:paraId="61812031">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（2）</w:t>
            </w:r>
            <w:r>
              <w:rPr>
                <w:b w:val="0"/>
                <w:color w:val="000000" w:themeColor="text1"/>
                <w:sz w:val="24"/>
                <w:highlight w:val="none"/>
                <w14:textFill>
                  <w14:solidFill>
                    <w14:schemeClr w14:val="tx1"/>
                  </w14:solidFill>
                </w14:textFill>
              </w:rPr>
              <w:t>社保局的书面证明材料；</w:t>
            </w:r>
          </w:p>
          <w:p w14:paraId="19020D3D">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（3）</w:t>
            </w:r>
            <w:r>
              <w:rPr>
                <w:b w:val="0"/>
                <w:color w:val="000000" w:themeColor="text1"/>
                <w:sz w:val="24"/>
                <w:highlight w:val="none"/>
                <w14:textFill>
                  <w14:solidFill>
                    <w14:schemeClr w14:val="tx1"/>
                  </w14:solidFill>
                </w14:textFill>
              </w:rPr>
              <w:t>经</w:t>
            </w:r>
            <w:r>
              <w:rPr>
                <w:rFonts w:hint="eastAsia"/>
                <w:b w:val="0"/>
                <w:color w:val="000000" w:themeColor="text1"/>
                <w:sz w:val="24"/>
                <w:szCs w:val="18"/>
                <w:highlight w:val="none"/>
                <w14:textFill>
                  <w14:solidFill>
                    <w14:schemeClr w14:val="tx1"/>
                  </w14:solidFill>
                </w14:textFill>
              </w:rPr>
              <w:t>参审单位</w:t>
            </w:r>
            <w:r>
              <w:rPr>
                <w:b w:val="0"/>
                <w:color w:val="000000" w:themeColor="text1"/>
                <w:sz w:val="24"/>
                <w:highlight w:val="none"/>
                <w14:textFill>
                  <w14:solidFill>
                    <w14:schemeClr w14:val="tx1"/>
                  </w14:solidFill>
                </w14:textFill>
              </w:rPr>
              <w:t>委托的第三方人力资源服务机构或与</w:t>
            </w:r>
            <w:r>
              <w:rPr>
                <w:rFonts w:hint="eastAsia"/>
                <w:b w:val="0"/>
                <w:color w:val="000000" w:themeColor="text1"/>
                <w:sz w:val="24"/>
                <w:szCs w:val="18"/>
                <w:highlight w:val="none"/>
                <w14:textFill>
                  <w14:solidFill>
                    <w14:schemeClr w14:val="tx1"/>
                  </w14:solidFill>
                </w14:textFill>
              </w:rPr>
              <w:t>参审单位</w:t>
            </w:r>
            <w:r>
              <w:rPr>
                <w:b w:val="0"/>
                <w:color w:val="000000" w:themeColor="text1"/>
                <w:sz w:val="24"/>
                <w:highlight w:val="none"/>
                <w14:textFill>
                  <w14:solidFill>
                    <w14:schemeClr w14:val="tx1"/>
                  </w14:solidFill>
                </w14:textFill>
              </w:rPr>
              <w:t>有直接隶属关系的机构可以代缴社保，但须提供有关证明材料并经</w:t>
            </w:r>
            <w:r>
              <w:rPr>
                <w:rFonts w:hint="eastAsia"/>
                <w:b w:val="0"/>
                <w:color w:val="000000" w:themeColor="text1"/>
                <w:sz w:val="24"/>
                <w:highlight w:val="none"/>
                <w14:textFill>
                  <w14:solidFill>
                    <w14:schemeClr w14:val="tx1"/>
                  </w14:solidFill>
                </w14:textFill>
              </w:rPr>
              <w:t>磋商小组</w:t>
            </w:r>
            <w:r>
              <w:rPr>
                <w:b w:val="0"/>
                <w:color w:val="000000" w:themeColor="text1"/>
                <w:sz w:val="24"/>
                <w:highlight w:val="none"/>
                <w14:textFill>
                  <w14:solidFill>
                    <w14:schemeClr w14:val="tx1"/>
                  </w14:solidFill>
                </w14:textFill>
              </w:rPr>
              <w:t>确认。</w:t>
            </w:r>
          </w:p>
          <w:p w14:paraId="3056D496">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（4）</w:t>
            </w:r>
            <w:r>
              <w:rPr>
                <w:b w:val="0"/>
                <w:color w:val="000000" w:themeColor="text1"/>
                <w:sz w:val="24"/>
                <w:highlight w:val="none"/>
                <w14:textFill>
                  <w14:solidFill>
                    <w14:schemeClr w14:val="tx1"/>
                  </w14:solidFill>
                </w14:textFill>
              </w:rPr>
              <w:t>参与</w:t>
            </w:r>
            <w:r>
              <w:rPr>
                <w:rFonts w:hint="eastAsia"/>
                <w:b w:val="0"/>
                <w:color w:val="000000" w:themeColor="text1"/>
                <w:sz w:val="24"/>
                <w:highlight w:val="none"/>
                <w14:textFill>
                  <w14:solidFill>
                    <w14:schemeClr w14:val="tx1"/>
                  </w14:solidFill>
                </w14:textFill>
              </w:rPr>
              <w:t>磋商</w:t>
            </w:r>
            <w:r>
              <w:rPr>
                <w:b w:val="0"/>
                <w:color w:val="000000" w:themeColor="text1"/>
                <w:sz w:val="24"/>
                <w:highlight w:val="none"/>
                <w14:textFill>
                  <w14:solidFill>
                    <w14:schemeClr w14:val="tx1"/>
                  </w14:solidFill>
                </w14:textFill>
              </w:rPr>
              <w:t>的院校，社保证明可以用以下任意一种：</w:t>
            </w:r>
          </w:p>
          <w:p w14:paraId="48A1C656">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①</w:t>
            </w:r>
            <w:r>
              <w:rPr>
                <w:b w:val="0"/>
                <w:color w:val="000000" w:themeColor="text1"/>
                <w:sz w:val="24"/>
                <w:highlight w:val="none"/>
                <w14:textFill>
                  <w14:solidFill>
                    <w14:schemeClr w14:val="tx1"/>
                  </w14:solidFill>
                </w14:textFill>
              </w:rPr>
              <w:t>加盖</w:t>
            </w:r>
            <w:r>
              <w:rPr>
                <w:rFonts w:hint="eastAsia"/>
                <w:b w:val="0"/>
                <w:color w:val="000000" w:themeColor="text1"/>
                <w:sz w:val="24"/>
                <w:szCs w:val="18"/>
                <w:highlight w:val="none"/>
                <w14:textFill>
                  <w14:solidFill>
                    <w14:schemeClr w14:val="tx1"/>
                  </w14:solidFill>
                </w14:textFill>
              </w:rPr>
              <w:t>参审单位</w:t>
            </w:r>
            <w:r>
              <w:rPr>
                <w:b w:val="0"/>
                <w:color w:val="000000" w:themeColor="text1"/>
                <w:sz w:val="24"/>
                <w:highlight w:val="none"/>
                <w14:textFill>
                  <w14:solidFill>
                    <w14:schemeClr w14:val="tx1"/>
                  </w14:solidFill>
                </w14:textFill>
              </w:rPr>
              <w:t>公章的教师证（须为本</w:t>
            </w:r>
            <w:r>
              <w:rPr>
                <w:rFonts w:hint="eastAsia"/>
                <w:b w:val="0"/>
                <w:color w:val="000000" w:themeColor="text1"/>
                <w:sz w:val="24"/>
                <w:highlight w:val="none"/>
                <w14:textFill>
                  <w14:solidFill>
                    <w14:schemeClr w14:val="tx1"/>
                  </w14:solidFill>
                </w14:textFill>
              </w:rPr>
              <w:t>单位</w:t>
            </w:r>
            <w:r>
              <w:rPr>
                <w:b w:val="0"/>
                <w:color w:val="000000" w:themeColor="text1"/>
                <w:sz w:val="24"/>
                <w:highlight w:val="none"/>
                <w14:textFill>
                  <w14:solidFill>
                    <w14:schemeClr w14:val="tx1"/>
                  </w14:solidFill>
                </w14:textFill>
              </w:rPr>
              <w:t>人员）</w:t>
            </w:r>
            <w:r>
              <w:rPr>
                <w:rFonts w:hint="eastAsia"/>
                <w:b w:val="0"/>
                <w:color w:val="000000" w:themeColor="text1"/>
                <w:sz w:val="24"/>
                <w:highlight w:val="none"/>
                <w14:textFill>
                  <w14:solidFill>
                    <w14:schemeClr w14:val="tx1"/>
                  </w14:solidFill>
                </w14:textFill>
              </w:rPr>
              <w:t>；</w:t>
            </w:r>
          </w:p>
          <w:p w14:paraId="5310FF16">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②</w:t>
            </w:r>
            <w:r>
              <w:rPr>
                <w:b w:val="0"/>
                <w:color w:val="000000" w:themeColor="text1"/>
                <w:sz w:val="24"/>
                <w:highlight w:val="none"/>
                <w14:textFill>
                  <w14:solidFill>
                    <w14:schemeClr w14:val="tx1"/>
                  </w14:solidFill>
                </w14:textFill>
              </w:rPr>
              <w:t>医保证明材料</w:t>
            </w:r>
            <w:r>
              <w:rPr>
                <w:rFonts w:hint="eastAsia"/>
                <w:b w:val="0"/>
                <w:color w:val="000000" w:themeColor="text1"/>
                <w:sz w:val="24"/>
                <w:highlight w:val="none"/>
                <w14:textFill>
                  <w14:solidFill>
                    <w14:schemeClr w14:val="tx1"/>
                  </w14:solidFill>
                </w14:textFill>
              </w:rPr>
              <w:t>。</w:t>
            </w:r>
          </w:p>
          <w:p w14:paraId="261294E6">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（5）</w:t>
            </w:r>
            <w:r>
              <w:rPr>
                <w:b w:val="0"/>
                <w:color w:val="000000" w:themeColor="text1"/>
                <w:sz w:val="24"/>
                <w:highlight w:val="none"/>
                <w14:textFill>
                  <w14:solidFill>
                    <w14:schemeClr w14:val="tx1"/>
                  </w14:solidFill>
                </w14:textFill>
              </w:rPr>
              <w:t>其他经</w:t>
            </w:r>
            <w:r>
              <w:rPr>
                <w:rFonts w:hint="eastAsia"/>
                <w:b w:val="0"/>
                <w:color w:val="000000" w:themeColor="text1"/>
                <w:sz w:val="24"/>
                <w:highlight w:val="none"/>
                <w14:textFill>
                  <w14:solidFill>
                    <w14:schemeClr w14:val="tx1"/>
                  </w14:solidFill>
                </w14:textFill>
              </w:rPr>
              <w:t>磋商小组</w:t>
            </w:r>
            <w:r>
              <w:rPr>
                <w:b w:val="0"/>
                <w:color w:val="000000" w:themeColor="text1"/>
                <w:sz w:val="24"/>
                <w:highlight w:val="none"/>
                <w14:textFill>
                  <w14:solidFill>
                    <w14:schemeClr w14:val="tx1"/>
                  </w14:solidFill>
                </w14:textFill>
              </w:rPr>
              <w:t>认可的证明材料。</w:t>
            </w:r>
          </w:p>
          <w:p w14:paraId="0186D3FC">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（6）法定代表人参与项目的，无需提供社保证明材料，提供身份证明材料即可。</w:t>
            </w:r>
          </w:p>
        </w:tc>
      </w:tr>
      <w:tr w14:paraId="13FB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12ADE28">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35.1</w:t>
            </w:r>
            <w:r>
              <w:rPr>
                <w:rFonts w:hint="eastAsia"/>
                <w:bCs/>
                <w:color w:val="000000" w:themeColor="text1"/>
                <w:kern w:val="2"/>
                <w:highlight w:val="none"/>
                <w14:textFill>
                  <w14:solidFill>
                    <w14:schemeClr w14:val="tx1"/>
                  </w14:solidFill>
                </w14:textFill>
              </w:rPr>
              <w:t>4</w:t>
            </w:r>
          </w:p>
        </w:tc>
        <w:tc>
          <w:tcPr>
            <w:tcW w:w="2031" w:type="dxa"/>
            <w:vAlign w:val="center"/>
          </w:tcPr>
          <w:p w14:paraId="79082BAD">
            <w:pPr>
              <w:pStyle w:val="19"/>
              <w:widowControl w:val="0"/>
              <w:spacing w:before="0" w:beforeAutospacing="0" w:after="0" w:afterAutospacing="0" w:line="360" w:lineRule="auto"/>
              <w:jc w:val="left"/>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解释权</w:t>
            </w:r>
          </w:p>
        </w:tc>
        <w:tc>
          <w:tcPr>
            <w:tcW w:w="6020" w:type="dxa"/>
            <w:vAlign w:val="center"/>
          </w:tcPr>
          <w:p w14:paraId="06FA8659">
            <w:pPr>
              <w:spacing w:line="360" w:lineRule="auto"/>
              <w:rPr>
                <w:rFonts w:hint="eastAsia"/>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（1）</w:t>
            </w:r>
            <w:r>
              <w:rPr>
                <w:bCs/>
                <w:color w:val="000000" w:themeColor="text1"/>
                <w:sz w:val="24"/>
                <w:szCs w:val="24"/>
                <w:highlight w:val="none"/>
                <w14:textFill>
                  <w14:solidFill>
                    <w14:schemeClr w14:val="tx1"/>
                  </w14:solidFill>
                </w14:textFill>
              </w:rPr>
              <w:t>构成本</w:t>
            </w:r>
            <w:r>
              <w:rPr>
                <w:rFonts w:hint="eastAsia"/>
                <w:bCs/>
                <w:color w:val="000000" w:themeColor="text1"/>
                <w:sz w:val="24"/>
                <w:szCs w:val="24"/>
                <w:highlight w:val="none"/>
                <w14:textFill>
                  <w14:solidFill>
                    <w14:schemeClr w14:val="tx1"/>
                  </w14:solidFill>
                </w14:textFill>
              </w:rPr>
              <w:t>磋商</w:t>
            </w:r>
            <w:r>
              <w:rPr>
                <w:bCs/>
                <w:color w:val="000000" w:themeColor="text1"/>
                <w:sz w:val="24"/>
                <w:szCs w:val="24"/>
                <w:highlight w:val="none"/>
                <w14:textFill>
                  <w14:solidFill>
                    <w14:schemeClr w14:val="tx1"/>
                  </w14:solidFill>
                </w14:textFill>
              </w:rPr>
              <w:t>文件的各个组成文件应互为解释，互为说明；</w:t>
            </w:r>
          </w:p>
          <w:p w14:paraId="03D8D0BD">
            <w:pPr>
              <w:spacing w:line="360" w:lineRule="auto"/>
              <w:rPr>
                <w:rFonts w:hint="eastAsia"/>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（2）</w:t>
            </w:r>
            <w:r>
              <w:rPr>
                <w:bCs/>
                <w:color w:val="000000" w:themeColor="text1"/>
                <w:sz w:val="24"/>
                <w:szCs w:val="24"/>
                <w:highlight w:val="none"/>
                <w14:textFill>
                  <w14:solidFill>
                    <w14:schemeClr w14:val="tx1"/>
                  </w14:solidFill>
                </w14:textFill>
              </w:rPr>
              <w:t>同一组成文件中就同一事项的规定或约定不一致的，以编排顺序在后者为准；</w:t>
            </w:r>
          </w:p>
          <w:p w14:paraId="00E114E9">
            <w:pPr>
              <w:spacing w:line="360" w:lineRule="auto"/>
              <w:rPr>
                <w:rFonts w:hint="eastAsia"/>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（3）</w:t>
            </w:r>
            <w:r>
              <w:rPr>
                <w:bCs/>
                <w:color w:val="000000" w:themeColor="text1"/>
                <w:sz w:val="24"/>
                <w:szCs w:val="24"/>
                <w:highlight w:val="none"/>
                <w14:textFill>
                  <w14:solidFill>
                    <w14:schemeClr w14:val="tx1"/>
                  </w14:solidFill>
                </w14:textFill>
              </w:rPr>
              <w:t>如有不明确或不一致，构成合同文件组成内容的，以合同文件约定内容为准，且以专用合同条款约定的合同文件优先顺序解释；</w:t>
            </w:r>
          </w:p>
          <w:p w14:paraId="56D6D119">
            <w:pPr>
              <w:spacing w:line="360" w:lineRule="auto"/>
              <w:rPr>
                <w:rFonts w:hint="eastAsia"/>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（4）</w:t>
            </w:r>
            <w:r>
              <w:rPr>
                <w:bCs/>
                <w:color w:val="000000" w:themeColor="text1"/>
                <w:sz w:val="24"/>
                <w:szCs w:val="24"/>
                <w:highlight w:val="none"/>
                <w14:textFill>
                  <w14:solidFill>
                    <w14:schemeClr w14:val="tx1"/>
                  </w14:solidFill>
                </w14:textFill>
              </w:rPr>
              <w:t>除</w:t>
            </w:r>
            <w:r>
              <w:rPr>
                <w:rFonts w:hint="eastAsia"/>
                <w:bCs/>
                <w:color w:val="000000" w:themeColor="text1"/>
                <w:sz w:val="24"/>
                <w:szCs w:val="24"/>
                <w:highlight w:val="none"/>
                <w14:textFill>
                  <w14:solidFill>
                    <w14:schemeClr w14:val="tx1"/>
                  </w14:solidFill>
                </w14:textFill>
              </w:rPr>
              <w:t>磋商</w:t>
            </w:r>
            <w:r>
              <w:rPr>
                <w:bCs/>
                <w:color w:val="000000" w:themeColor="text1"/>
                <w:sz w:val="24"/>
                <w:szCs w:val="24"/>
                <w:highlight w:val="none"/>
                <w14:textFill>
                  <w14:solidFill>
                    <w14:schemeClr w14:val="tx1"/>
                  </w14:solidFill>
                </w14:textFill>
              </w:rPr>
              <w:t>文件中有特别规定外，仅适用于</w:t>
            </w:r>
            <w:r>
              <w:rPr>
                <w:rFonts w:hint="eastAsia"/>
                <w:bCs/>
                <w:color w:val="000000" w:themeColor="text1"/>
                <w:sz w:val="24"/>
                <w:szCs w:val="24"/>
                <w:highlight w:val="none"/>
                <w14:textFill>
                  <w14:solidFill>
                    <w14:schemeClr w14:val="tx1"/>
                  </w14:solidFill>
                </w14:textFill>
              </w:rPr>
              <w:t>磋商及响应文件提交</w:t>
            </w:r>
            <w:r>
              <w:rPr>
                <w:bCs/>
                <w:color w:val="000000" w:themeColor="text1"/>
                <w:sz w:val="24"/>
                <w:szCs w:val="24"/>
                <w:highlight w:val="none"/>
                <w14:textFill>
                  <w14:solidFill>
                    <w14:schemeClr w14:val="tx1"/>
                  </w14:solidFill>
                </w14:textFill>
              </w:rPr>
              <w:t>阶段的规定，按</w:t>
            </w:r>
            <w:r>
              <w:rPr>
                <w:rFonts w:hint="eastAsia"/>
                <w:bCs/>
                <w:color w:val="000000" w:themeColor="text1"/>
                <w:sz w:val="24"/>
                <w:szCs w:val="24"/>
                <w:highlight w:val="none"/>
                <w14:textFill>
                  <w14:solidFill>
                    <w14:schemeClr w14:val="tx1"/>
                  </w14:solidFill>
                </w14:textFill>
              </w:rPr>
              <w:t>磋商</w:t>
            </w:r>
            <w:r>
              <w:rPr>
                <w:bCs/>
                <w:color w:val="000000" w:themeColor="text1"/>
                <w:sz w:val="24"/>
                <w:szCs w:val="24"/>
                <w:highlight w:val="none"/>
                <w14:textFill>
                  <w14:solidFill>
                    <w14:schemeClr w14:val="tx1"/>
                  </w14:solidFill>
                </w14:textFill>
              </w:rPr>
              <w:t>公告、</w:t>
            </w:r>
            <w:r>
              <w:rPr>
                <w:rFonts w:hint="eastAsia"/>
                <w:bCs/>
                <w:color w:val="000000" w:themeColor="text1"/>
                <w:sz w:val="24"/>
                <w:szCs w:val="24"/>
                <w:highlight w:val="none"/>
                <w14:textFill>
                  <w14:solidFill>
                    <w14:schemeClr w14:val="tx1"/>
                  </w14:solidFill>
                </w14:textFill>
              </w:rPr>
              <w:t>磋商公告、</w:t>
            </w:r>
            <w:r>
              <w:rPr>
                <w:rFonts w:hint="eastAsia"/>
                <w:color w:val="000000" w:themeColor="text1"/>
                <w:sz w:val="24"/>
                <w:szCs w:val="18"/>
                <w:highlight w:val="none"/>
                <w14:textFill>
                  <w14:solidFill>
                    <w14:schemeClr w14:val="tx1"/>
                  </w14:solidFill>
                </w14:textFill>
              </w:rPr>
              <w:t>参审单位</w:t>
            </w:r>
            <w:r>
              <w:rPr>
                <w:bCs/>
                <w:color w:val="000000" w:themeColor="text1"/>
                <w:sz w:val="24"/>
                <w:szCs w:val="24"/>
                <w:highlight w:val="none"/>
                <w14:textFill>
                  <w14:solidFill>
                    <w14:schemeClr w14:val="tx1"/>
                  </w14:solidFill>
                </w14:textFill>
              </w:rPr>
              <w:t>须知、评</w:t>
            </w:r>
            <w:r>
              <w:rPr>
                <w:rFonts w:hint="eastAsia"/>
                <w:bCs/>
                <w:color w:val="000000" w:themeColor="text1"/>
                <w:sz w:val="24"/>
                <w:szCs w:val="24"/>
                <w:highlight w:val="none"/>
                <w14:textFill>
                  <w14:solidFill>
                    <w14:schemeClr w14:val="tx1"/>
                  </w14:solidFill>
                </w14:textFill>
              </w:rPr>
              <w:t>审方</w:t>
            </w:r>
            <w:r>
              <w:rPr>
                <w:bCs/>
                <w:color w:val="000000" w:themeColor="text1"/>
                <w:sz w:val="24"/>
                <w:szCs w:val="24"/>
                <w:highlight w:val="none"/>
                <w14:textFill>
                  <w14:solidFill>
                    <w14:schemeClr w14:val="tx1"/>
                  </w14:solidFill>
                </w14:textFill>
              </w:rPr>
              <w:t>法</w:t>
            </w:r>
            <w:r>
              <w:rPr>
                <w:rFonts w:hint="eastAsia"/>
                <w:bCs/>
                <w:color w:val="000000" w:themeColor="text1"/>
                <w:sz w:val="24"/>
                <w:szCs w:val="24"/>
                <w:highlight w:val="none"/>
                <w14:textFill>
                  <w14:solidFill>
                    <w14:schemeClr w14:val="tx1"/>
                  </w14:solidFill>
                </w14:textFill>
              </w:rPr>
              <w:t>和标准</w:t>
            </w:r>
            <w:r>
              <w:rPr>
                <w:bCs/>
                <w:color w:val="000000" w:themeColor="text1"/>
                <w:sz w:val="24"/>
                <w:szCs w:val="24"/>
                <w:highlight w:val="none"/>
                <w14:textFill>
                  <w14:solidFill>
                    <w14:schemeClr w14:val="tx1"/>
                  </w14:solidFill>
                </w14:textFill>
              </w:rPr>
              <w:t>、</w:t>
            </w:r>
            <w:r>
              <w:rPr>
                <w:rFonts w:hint="eastAsia"/>
                <w:bCs/>
                <w:color w:val="000000" w:themeColor="text1"/>
                <w:sz w:val="24"/>
                <w:szCs w:val="24"/>
                <w:highlight w:val="none"/>
                <w14:textFill>
                  <w14:solidFill>
                    <w14:schemeClr w14:val="tx1"/>
                  </w14:solidFill>
                </w14:textFill>
              </w:rPr>
              <w:t>响应</w:t>
            </w:r>
            <w:r>
              <w:rPr>
                <w:bCs/>
                <w:color w:val="000000" w:themeColor="text1"/>
                <w:sz w:val="24"/>
                <w:szCs w:val="24"/>
                <w:highlight w:val="none"/>
                <w14:textFill>
                  <w14:solidFill>
                    <w14:schemeClr w14:val="tx1"/>
                  </w14:solidFill>
                </w14:textFill>
              </w:rPr>
              <w:t>文件格式的先后顺序解释；</w:t>
            </w:r>
          </w:p>
          <w:p w14:paraId="7F438635">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t>（5）</w:t>
            </w:r>
            <w:r>
              <w:rPr>
                <w:b w:val="0"/>
                <w:color w:val="000000" w:themeColor="text1"/>
                <w:sz w:val="24"/>
                <w:szCs w:val="24"/>
                <w:highlight w:val="none"/>
                <w14:textFill>
                  <w14:solidFill>
                    <w14:schemeClr w14:val="tx1"/>
                  </w14:solidFill>
                </w14:textFill>
              </w:rPr>
              <w:t>按本款前述规定仍不能形成结论的，由</w:t>
            </w:r>
            <w:r>
              <w:rPr>
                <w:rFonts w:hint="eastAsia"/>
                <w:color w:val="000000" w:themeColor="text1"/>
                <w:sz w:val="24"/>
                <w:szCs w:val="18"/>
                <w:highlight w:val="none"/>
                <w14:textFill>
                  <w14:solidFill>
                    <w14:schemeClr w14:val="tx1"/>
                  </w14:solidFill>
                </w14:textFill>
              </w:rPr>
              <w:t>业主单位</w:t>
            </w:r>
            <w:r>
              <w:rPr>
                <w:b w:val="0"/>
                <w:color w:val="000000" w:themeColor="text1"/>
                <w:sz w:val="24"/>
                <w:szCs w:val="24"/>
                <w:highlight w:val="none"/>
                <w14:textFill>
                  <w14:solidFill>
                    <w14:schemeClr w14:val="tx1"/>
                  </w14:solidFill>
                </w14:textFill>
              </w:rPr>
              <w:t>负责解释。</w:t>
            </w:r>
          </w:p>
        </w:tc>
      </w:tr>
      <w:tr w14:paraId="0608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5D33B87">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35.1</w:t>
            </w:r>
            <w:r>
              <w:rPr>
                <w:bCs/>
                <w:color w:val="000000" w:themeColor="text1"/>
                <w:kern w:val="2"/>
                <w:highlight w:val="none"/>
                <w14:textFill>
                  <w14:solidFill>
                    <w14:schemeClr w14:val="tx1"/>
                  </w14:solidFill>
                </w14:textFill>
              </w:rPr>
              <w:t>5</w:t>
            </w:r>
          </w:p>
        </w:tc>
        <w:tc>
          <w:tcPr>
            <w:tcW w:w="2031" w:type="dxa"/>
            <w:vAlign w:val="center"/>
          </w:tcPr>
          <w:p w14:paraId="047BDE96">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cs="宋体"/>
                <w:bCs w:val="0"/>
                <w:color w:val="000000" w:themeColor="text1"/>
                <w:sz w:val="24"/>
                <w:highlight w:val="none"/>
                <w14:textFill>
                  <w14:solidFill>
                    <w14:schemeClr w14:val="tx1"/>
                  </w14:solidFill>
                </w14:textFill>
              </w:rPr>
              <w:t>其他补充说明</w:t>
            </w:r>
          </w:p>
        </w:tc>
        <w:tc>
          <w:tcPr>
            <w:tcW w:w="6020" w:type="dxa"/>
            <w:vAlign w:val="center"/>
          </w:tcPr>
          <w:p w14:paraId="76DD5BAD">
            <w:pPr>
              <w:pStyle w:val="19"/>
              <w:widowControl w:val="0"/>
              <w:spacing w:before="0" w:beforeAutospacing="0" w:after="0" w:afterAutospacing="0" w:line="360" w:lineRule="auto"/>
              <w:jc w:val="both"/>
              <w:rPr>
                <w:rFonts w:hint="eastAsia"/>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w:t>
            </w:r>
          </w:p>
        </w:tc>
      </w:tr>
      <w:tr w14:paraId="532E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5950F69">
            <w:pPr>
              <w:pStyle w:val="20"/>
              <w:pBdr>
                <w:bottom w:val="none" w:color="auto" w:sz="0" w:space="0"/>
              </w:pBdr>
              <w:adjustRightInd/>
              <w:spacing w:line="360" w:lineRule="auto"/>
              <w:textAlignment w:val="auto"/>
              <w:rPr>
                <w:rFonts w:hint="eastAsia"/>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35.1</w:t>
            </w:r>
            <w:r>
              <w:rPr>
                <w:bCs/>
                <w:color w:val="000000" w:themeColor="text1"/>
                <w:kern w:val="2"/>
                <w:highlight w:val="none"/>
                <w14:textFill>
                  <w14:solidFill>
                    <w14:schemeClr w14:val="tx1"/>
                  </w14:solidFill>
                </w14:textFill>
              </w:rPr>
              <w:t>6</w:t>
            </w:r>
          </w:p>
        </w:tc>
        <w:tc>
          <w:tcPr>
            <w:tcW w:w="2031" w:type="dxa"/>
            <w:vAlign w:val="center"/>
          </w:tcPr>
          <w:p w14:paraId="3FBFB840">
            <w:pPr>
              <w:pStyle w:val="23"/>
              <w:spacing w:line="360" w:lineRule="auto"/>
              <w:jc w:val="center"/>
              <w:rPr>
                <w:rFonts w:hint="eastAsia"/>
                <w:color w:val="000000" w:themeColor="text1"/>
                <w:sz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相关政策要求</w:t>
            </w:r>
          </w:p>
        </w:tc>
        <w:tc>
          <w:tcPr>
            <w:tcW w:w="6020" w:type="dxa"/>
          </w:tcPr>
          <w:p w14:paraId="11093F58">
            <w:pPr>
              <w:pStyle w:val="23"/>
              <w:tabs>
                <w:tab w:val="left" w:pos="829"/>
              </w:tabs>
              <w:spacing w:line="360" w:lineRule="auto"/>
              <w:rPr>
                <w:rFonts w:hint="eastAsia"/>
                <w:color w:val="000000" w:themeColor="text1"/>
                <w:sz w:val="24"/>
                <w:szCs w:val="24"/>
                <w:highlight w:val="none"/>
                <w:lang w:val="en-US"/>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（1）承包人在工程实施过程中的用工行为，必须严格按照《保障农民工工资支付条例》（国令第 724 号）《工程建设领域农民工工资专用账户管理暂行办法》（人社部发〔2021〕53 号）及安徽省、合肥市等文件精神的有关规定，依法与招用的农民工签订劳动合同，并按规定及时足额支付工资。承包人必须按合肥市相关文件设立农民工工资专用账户，专户资金使用、监管严格按照合肥市相关文件执行。本工程工资性工程款及工资性工程进度款按《关于发布合肥市建设工程人工费计算最低标准的通知》（合造价〔2022〕8号）及《合肥建设工程市场价格信息》（合肥市城乡建设局）规定执行。中标后承包人按上述文件规定办理相关专户设立、工资支付等事宜。</w:t>
            </w:r>
          </w:p>
          <w:p w14:paraId="213E3066">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）建设工程不可竞争费构成及计费标准按</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关于贯彻执行</w:t>
            </w:r>
            <w:r>
              <w:rPr>
                <w:rFonts w:hint="eastAsia"/>
                <w:color w:val="000000" w:themeColor="text1"/>
                <w:sz w:val="24"/>
                <w:szCs w:val="24"/>
                <w:highlight w:val="none"/>
                <w:lang w:val="en-US" w:eastAsia="zh-CN"/>
                <w14:textFill>
                  <w14:solidFill>
                    <w14:schemeClr w14:val="tx1"/>
                  </w14:solidFill>
                </w14:textFill>
              </w:rPr>
              <w:t>&lt;</w:t>
            </w:r>
            <w:r>
              <w:rPr>
                <w:rFonts w:hint="eastAsia"/>
                <w:color w:val="000000" w:themeColor="text1"/>
                <w:sz w:val="24"/>
                <w:szCs w:val="24"/>
                <w:highlight w:val="none"/>
                <w:lang w:val="en-US"/>
                <w14:textFill>
                  <w14:solidFill>
                    <w14:schemeClr w14:val="tx1"/>
                  </w14:solidFill>
                </w14:textFill>
              </w:rPr>
              <w:t>2018版安徽省建设工程计价依据动态调整（第1期）</w:t>
            </w:r>
            <w:r>
              <w:rPr>
                <w:rFonts w:hint="eastAsia"/>
                <w:color w:val="000000" w:themeColor="text1"/>
                <w:sz w:val="24"/>
                <w:szCs w:val="24"/>
                <w:highlight w:val="none"/>
                <w:lang w:val="en-US" w:eastAsia="zh-CN"/>
                <w14:textFill>
                  <w14:solidFill>
                    <w14:schemeClr w14:val="tx1"/>
                  </w14:solidFill>
                </w14:textFill>
              </w:rPr>
              <w:t>&gt;</w:t>
            </w:r>
            <w:r>
              <w:rPr>
                <w:rFonts w:hint="eastAsia"/>
                <w:color w:val="000000" w:themeColor="text1"/>
                <w:sz w:val="24"/>
                <w:szCs w:val="24"/>
                <w:highlight w:val="none"/>
                <w:lang w:val="en-US"/>
                <w14:textFill>
                  <w14:solidFill>
                    <w14:schemeClr w14:val="tx1"/>
                  </w14:solidFill>
                </w14:textFill>
              </w:rPr>
              <w:t>的通知</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合建监管〔2024〕13号）执行，本工程最高投标限价（招标控制价）已按规定的措施项目、费率和单价列出招标工程施工扬尘污染防治费用和建筑工人实名制管理费用清单，投标人应承诺投标报价中已包含招标文件公布的施工扬尘污染防治费用和建筑工人实名制管理费用。工程竣工结算时，未落实的施工扬尘污染防治和建筑工人实名制管理措施项目</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应按清单所列金额从工程结算价款中扣除</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lang w:val="en-US"/>
                <w14:textFill>
                  <w14:solidFill>
                    <w14:schemeClr w14:val="tx1"/>
                  </w14:solidFill>
                </w14:textFill>
              </w:rPr>
              <w:t xml:space="preserve"> </w:t>
            </w:r>
          </w:p>
          <w:p w14:paraId="26473C9C">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3）注册地不在合肥市行政区域范围（含四县一市）的成交人，应按照《纳税人跨县（市、区）提供建筑服务增值税征收管理暂行办法》（国家税务总局公告2016年第17号）规定，在建筑服务发生地及时足额预缴增值税。 </w:t>
            </w:r>
          </w:p>
          <w:p w14:paraId="2A68D272">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（4）省外建设工程企业按照《关于优化进皖建设工程企业信息登记服务和管理有关工作的通知》（建市规〔2025〕4号）进行相关信息登记。 </w:t>
            </w:r>
          </w:p>
          <w:p w14:paraId="37D1C93F">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（5）工程质量保证金执行《关于以保函等方式替代工程质量保证金的通知》（合建〔2020〕29号）。 </w:t>
            </w:r>
          </w:p>
          <w:p w14:paraId="3A2E8AF7">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（6）农民工工资保证金保函严格执行转发《关于印发〈安 </w:t>
            </w:r>
          </w:p>
          <w:p w14:paraId="7372260C">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徽省工程建设领域农民工工资保证金实施办法〉的通知》 </w:t>
            </w:r>
          </w:p>
          <w:p w14:paraId="01D99022">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的通知（合治欠办[2022]5号）,支持以银行保函、保险机构保单保函方式存储。</w:t>
            </w:r>
          </w:p>
          <w:p w14:paraId="56EF56B8">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（7）劳资专管员执行《关于加强建设领域劳资专管员管理工作的通知》（合治欠发〔2021〕6号）。 </w:t>
            </w:r>
          </w:p>
          <w:p w14:paraId="056E34A1">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（8）关于磋商保证金、履约保证金、工程质量保证金执行《关于加快推进房屋建筑和市政基础设施工程实行工程担保制度的通知》（建市〔2020〕84 号）。 </w:t>
            </w:r>
          </w:p>
          <w:p w14:paraId="08D39B75">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（9）保证保险产品应按《中国银保监会办公厅关于进一步加强和改进财产保险公司产品监管有关问题的通知》执行。 </w:t>
            </w:r>
          </w:p>
          <w:p w14:paraId="1A7A1C57">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（10）采用一级建造师参与磋商的应按《住房和城乡建设部办公厅关于全面实行一级建造师电子注册证书的通知》（建办市〔2021〕40号）执行。 </w:t>
            </w:r>
          </w:p>
          <w:p w14:paraId="5D3AB4B9">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（11）工程建设领域农民工工资专用账户执行安徽省人社厅等部门印发的《贯彻落实〈工程建设领域农民工工资专用账户管理暂行办法〉的通知》（皖人社发〔2022〕5 号）及《贯彻落实&lt;工程建设领域农民工工资专用账户管理暂行办法&gt;的通知》的通知（合治欠办〔2022〕7 号）。 </w:t>
            </w:r>
          </w:p>
          <w:p w14:paraId="07975373">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（12）为切实保障建筑行业农民工工资支付、加快培育新时代建筑产业工人队伍、有效破解拖欠工程款问题，严格执行《关于建立长效机制切实保障建筑行业农民工工资支付工作的通知》（建市函〔2022〕490 号），《关于加快培育和壮大我省建筑产业工人队伍的意见》（建市规〔2023〕1号）以及《关于印发〈安徽省房屋建筑和市政基础设施工程施工过程结算管理办法〉的通知》（建市规〔2023〕2号）。 </w:t>
            </w:r>
          </w:p>
          <w:p w14:paraId="0A2048C1">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注： </w:t>
            </w:r>
          </w:p>
          <w:p w14:paraId="4255E64A">
            <w:pPr>
              <w:pStyle w:val="23"/>
              <w:tabs>
                <w:tab w:val="left" w:pos="829"/>
              </w:tabs>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 xml:space="preserve">①未列明的按照国家、省、市相关政策执行。 </w:t>
            </w:r>
          </w:p>
          <w:p w14:paraId="00F703EE">
            <w:pPr>
              <w:pStyle w:val="23"/>
              <w:tabs>
                <w:tab w:val="left" w:pos="829"/>
              </w:tabs>
              <w:spacing w:line="360" w:lineRule="auto"/>
              <w:rPr>
                <w:rFonts w:hint="eastAsia"/>
                <w:b/>
                <w:bCs/>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②如有相关政策文件更新，按照最新政策文件执行。</w:t>
            </w:r>
          </w:p>
        </w:tc>
      </w:tr>
    </w:tbl>
    <w:p w14:paraId="021A71D0">
      <w:pPr>
        <w:pStyle w:val="12"/>
        <w:ind w:left="400"/>
        <w:rPr>
          <w:highlight w:val="none"/>
        </w:rPr>
      </w:pPr>
      <w:r>
        <w:rPr>
          <w:rFonts w:hint="eastAsia"/>
          <w:highlight w:val="none"/>
        </w:rPr>
        <w:br w:type="page"/>
      </w:r>
    </w:p>
    <w:p w14:paraId="2EB6C0E7">
      <w:pPr>
        <w:keepNext/>
        <w:keepLines/>
        <w:spacing w:before="240" w:beforeLines="100" w:after="240" w:afterLines="100"/>
        <w:outlineLvl w:val="1"/>
        <w:rPr>
          <w:rFonts w:ascii="Times New Roman" w:hAnsi="Times New Roman" w:cs="宋体"/>
          <w:b/>
          <w:bCs/>
          <w:color w:val="000000" w:themeColor="text1"/>
          <w:sz w:val="24"/>
          <w:szCs w:val="24"/>
          <w:highlight w:val="none"/>
          <w14:textFill>
            <w14:solidFill>
              <w14:schemeClr w14:val="tx1"/>
            </w14:solidFill>
          </w14:textFill>
        </w:rPr>
      </w:pPr>
      <w:bookmarkStart w:id="22" w:name="_Toc2028"/>
      <w:r>
        <w:rPr>
          <w:rFonts w:hint="eastAsia" w:ascii="Times New Roman" w:hAnsi="Times New Roman" w:cs="宋体"/>
          <w:b/>
          <w:bCs/>
          <w:color w:val="000000" w:themeColor="text1"/>
          <w:sz w:val="24"/>
          <w:szCs w:val="24"/>
          <w:highlight w:val="none"/>
          <w14:textFill>
            <w14:solidFill>
              <w14:schemeClr w14:val="tx1"/>
            </w14:solidFill>
          </w14:textFill>
        </w:rPr>
        <w:t>附 件1</w:t>
      </w:r>
      <w:bookmarkEnd w:id="22"/>
    </w:p>
    <w:p w14:paraId="2B346EA7">
      <w:pPr>
        <w:keepNext/>
        <w:keepLines/>
        <w:spacing w:before="240" w:beforeLines="100" w:after="240" w:afterLines="100"/>
        <w:ind w:firstLine="482" w:firstLineChars="200"/>
        <w:outlineLvl w:val="1"/>
        <w:rPr>
          <w:rFonts w:ascii="Times New Roman" w:hAnsi="Times New Roman" w:cs="宋体"/>
          <w:b/>
          <w:bCs/>
          <w:color w:val="000000" w:themeColor="text1"/>
          <w:sz w:val="24"/>
          <w:szCs w:val="24"/>
          <w:highlight w:val="none"/>
          <w14:textFill>
            <w14:solidFill>
              <w14:schemeClr w14:val="tx1"/>
            </w14:solidFill>
          </w14:textFill>
        </w:rPr>
      </w:pPr>
      <w:bookmarkStart w:id="23" w:name="_Toc6651"/>
      <w:r>
        <w:rPr>
          <w:rFonts w:hint="eastAsia" w:ascii="Times New Roman" w:hAnsi="Times New Roman" w:cs="宋体"/>
          <w:b/>
          <w:bCs/>
          <w:color w:val="000000" w:themeColor="text1"/>
          <w:sz w:val="24"/>
          <w:szCs w:val="24"/>
          <w:highlight w:val="none"/>
          <w14:textFill>
            <w14:solidFill>
              <w14:schemeClr w14:val="tx1"/>
            </w14:solidFill>
          </w14:textFill>
        </w:rPr>
        <w:t>招标代理服务费以成交金额为计算基数，按照下表计算方式计算：</w:t>
      </w:r>
      <w:bookmarkEnd w:id="23"/>
    </w:p>
    <w:p w14:paraId="56E22838">
      <w:pPr>
        <w:keepNext/>
        <w:keepLines/>
        <w:spacing w:before="240" w:beforeLines="100" w:after="240" w:afterLines="100"/>
        <w:outlineLvl w:val="1"/>
        <w:rPr>
          <w:rFonts w:ascii="Times New Roman" w:hAnsi="Times New Roman" w:eastAsia="黑体"/>
          <w:bCs/>
          <w:color w:val="000000" w:themeColor="text1"/>
          <w:sz w:val="32"/>
          <w:szCs w:val="32"/>
          <w:highlight w:val="none"/>
          <w14:textFill>
            <w14:solidFill>
              <w14:schemeClr w14:val="tx1"/>
            </w14:solidFill>
          </w14:textFill>
        </w:rPr>
      </w:pPr>
      <w:bookmarkStart w:id="24" w:name="_Toc15866"/>
      <w:r>
        <w:rPr>
          <w:rFonts w:hint="eastAsia" w:cs="宋体"/>
          <w:b/>
          <w:bCs/>
          <w:color w:val="000000" w:themeColor="text1"/>
          <w:sz w:val="24"/>
          <w:szCs w:val="24"/>
          <w:highlight w:val="none"/>
          <w14:textFill>
            <w14:solidFill>
              <w14:schemeClr w14:val="tx1"/>
            </w14:solidFill>
          </w14:textFill>
        </w:rPr>
        <w:fldChar w:fldCharType="begin"/>
      </w:r>
      <w:r>
        <w:rPr>
          <w:rFonts w:hint="eastAsia" w:cs="宋体"/>
          <w:b/>
          <w:bCs/>
          <w:color w:val="000000" w:themeColor="text1"/>
          <w:sz w:val="24"/>
          <w:szCs w:val="24"/>
          <w:highlight w:val="none"/>
          <w14:textFill>
            <w14:solidFill>
              <w14:schemeClr w14:val="tx1"/>
            </w14:solidFill>
          </w14:textFill>
        </w:rPr>
        <w:instrText xml:space="preserve"> INCLUDEPICTURE  "D:\\work\\1-代理项目\\派和商务\\admin\\Documents\\Tencent Files\\825752765\\nt_qq\\nt_data\\Pic\\2024-05\\Ori\\b58bb376faa55d4586c4a7a129a21548.jpg" \* MERGEFORMATINET </w:instrText>
      </w:r>
      <w:r>
        <w:rPr>
          <w:rFonts w:hint="eastAsia" w:cs="宋体"/>
          <w:b/>
          <w:bCs/>
          <w:color w:val="000000" w:themeColor="text1"/>
          <w:sz w:val="24"/>
          <w:szCs w:val="24"/>
          <w:highlight w:val="none"/>
          <w14:textFill>
            <w14:solidFill>
              <w14:schemeClr w14:val="tx1"/>
            </w14:solidFill>
          </w14:textFill>
        </w:rPr>
        <w:fldChar w:fldCharType="separate"/>
      </w:r>
      <w:r>
        <w:rPr>
          <w:rFonts w:hint="eastAsia" w:cs="宋体"/>
          <w:b/>
          <w:bCs/>
          <w:color w:val="000000" w:themeColor="text1"/>
          <w:sz w:val="24"/>
          <w:szCs w:val="24"/>
          <w:highlight w:val="none"/>
          <w14:textFill>
            <w14:solidFill>
              <w14:schemeClr w14:val="tx1"/>
            </w14:solidFill>
          </w14:textFill>
        </w:rPr>
        <w:fldChar w:fldCharType="begin"/>
      </w:r>
      <w:r>
        <w:rPr>
          <w:rFonts w:hint="eastAsia" w:cs="宋体"/>
          <w:b/>
          <w:bCs/>
          <w:color w:val="000000" w:themeColor="text1"/>
          <w:sz w:val="24"/>
          <w:szCs w:val="24"/>
          <w:highlight w:val="none"/>
          <w14:textFill>
            <w14:solidFill>
              <w14:schemeClr w14:val="tx1"/>
            </w14:solidFill>
          </w14:textFill>
        </w:rPr>
        <w:instrText xml:space="preserve"> INCLUDEPICTURE  "D:\\work\\1-代理项目\\派和商务\\admin\\Documents\\Tencent Files\\825752765\\nt_qq\\nt_data\\Pic\\2024-05\\Ori\\b58bb376faa55d4586c4a7a129a21548.jpg" \* MERGEFORMATINET </w:instrText>
      </w:r>
      <w:r>
        <w:rPr>
          <w:rFonts w:hint="eastAsia" w:cs="宋体"/>
          <w:b/>
          <w:bCs/>
          <w:color w:val="000000" w:themeColor="text1"/>
          <w:sz w:val="24"/>
          <w:szCs w:val="24"/>
          <w:highlight w:val="none"/>
          <w14:textFill>
            <w14:solidFill>
              <w14:schemeClr w14:val="tx1"/>
            </w14:solidFill>
          </w14:textFill>
        </w:rPr>
        <w:fldChar w:fldCharType="separate"/>
      </w:r>
      <w:r>
        <w:rPr>
          <w:rFonts w:hint="eastAsia" w:cs="宋体"/>
          <w:b/>
          <w:bCs/>
          <w:color w:val="000000" w:themeColor="text1"/>
          <w:sz w:val="24"/>
          <w:szCs w:val="24"/>
          <w:highlight w:val="none"/>
          <w14:textFill>
            <w14:solidFill>
              <w14:schemeClr w14:val="tx1"/>
            </w14:solidFill>
          </w14:textFill>
        </w:rPr>
        <w:fldChar w:fldCharType="begin"/>
      </w:r>
      <w:r>
        <w:rPr>
          <w:rFonts w:hint="eastAsia" w:cs="宋体"/>
          <w:b/>
          <w:bCs/>
          <w:color w:val="000000" w:themeColor="text1"/>
          <w:sz w:val="24"/>
          <w:szCs w:val="24"/>
          <w:highlight w:val="none"/>
          <w14:textFill>
            <w14:solidFill>
              <w14:schemeClr w14:val="tx1"/>
            </w14:solidFill>
          </w14:textFill>
        </w:rPr>
        <w:instrText xml:space="preserve"> INCLUDEPICTURE  "D:\\work\\1-代理项目\\派和商务\\admin\\Documents\\Tencent Files\\825752765\\nt_qq\\nt_data\\Pic\\2024-05\\Ori\\b58bb376faa55d4586c4a7a129a21548.jpg" \* MERGEFORMATINET </w:instrText>
      </w:r>
      <w:r>
        <w:rPr>
          <w:rFonts w:hint="eastAsia" w:cs="宋体"/>
          <w:b/>
          <w:bCs/>
          <w:color w:val="000000" w:themeColor="text1"/>
          <w:sz w:val="24"/>
          <w:szCs w:val="24"/>
          <w:highlight w:val="none"/>
          <w14:textFill>
            <w14:solidFill>
              <w14:schemeClr w14:val="tx1"/>
            </w14:solidFill>
          </w14:textFill>
        </w:rPr>
        <w:fldChar w:fldCharType="separate"/>
      </w:r>
      <w:r>
        <w:rPr>
          <w:rFonts w:hint="eastAsia" w:cs="宋体"/>
          <w:b/>
          <w:bCs/>
          <w:color w:val="000000" w:themeColor="text1"/>
          <w:sz w:val="24"/>
          <w:szCs w:val="24"/>
          <w:highlight w:val="none"/>
          <w14:textFill>
            <w14:solidFill>
              <w14:schemeClr w14:val="tx1"/>
            </w14:solidFill>
          </w14:textFill>
        </w:rPr>
        <w:fldChar w:fldCharType="begin"/>
      </w:r>
      <w:r>
        <w:rPr>
          <w:rFonts w:hint="eastAsia" w:cs="宋体"/>
          <w:b/>
          <w:bCs/>
          <w:color w:val="000000" w:themeColor="text1"/>
          <w:sz w:val="24"/>
          <w:szCs w:val="24"/>
          <w:highlight w:val="none"/>
          <w14:textFill>
            <w14:solidFill>
              <w14:schemeClr w14:val="tx1"/>
            </w14:solidFill>
          </w14:textFill>
        </w:rPr>
        <w:instrText xml:space="preserve"> INCLUDEPICTURE  "D:\\work\\1-代理项目\\派和商务\\admin\\Documents\\Tencent Files\\825752765\\nt_qq\\nt_data\\Pic\\2024-05\\Ori\\b58bb376faa55d4586c4a7a129a21548.jpg" \* MERGEFORMATINET </w:instrText>
      </w:r>
      <w:r>
        <w:rPr>
          <w:rFonts w:hint="eastAsia" w:cs="宋体"/>
          <w:b/>
          <w:bCs/>
          <w:color w:val="000000" w:themeColor="text1"/>
          <w:sz w:val="24"/>
          <w:szCs w:val="24"/>
          <w:highlight w:val="none"/>
          <w14:textFill>
            <w14:solidFill>
              <w14:schemeClr w14:val="tx1"/>
            </w14:solidFill>
          </w14:textFill>
        </w:rPr>
        <w:fldChar w:fldCharType="separate"/>
      </w:r>
      <w:r>
        <w:rPr>
          <w:rFonts w:hint="eastAsia" w:cs="宋体"/>
          <w:b/>
          <w:bCs/>
          <w:color w:val="000000" w:themeColor="text1"/>
          <w:sz w:val="24"/>
          <w:szCs w:val="24"/>
          <w:highlight w:val="none"/>
          <w14:textFill>
            <w14:solidFill>
              <w14:schemeClr w14:val="tx1"/>
            </w14:solidFill>
          </w14:textFill>
        </w:rPr>
        <w:fldChar w:fldCharType="begin"/>
      </w:r>
      <w:r>
        <w:rPr>
          <w:rFonts w:hint="eastAsia" w:cs="宋体"/>
          <w:b/>
          <w:bCs/>
          <w:color w:val="000000" w:themeColor="text1"/>
          <w:sz w:val="24"/>
          <w:szCs w:val="24"/>
          <w:highlight w:val="none"/>
          <w14:textFill>
            <w14:solidFill>
              <w14:schemeClr w14:val="tx1"/>
            </w14:solidFill>
          </w14:textFill>
        </w:rPr>
        <w:instrText xml:space="preserve"> INCLUDEPICTURE  "D:\\work\\1-代理项目\\派和商务\\admin\\Documents\\Tencent Files\\825752765\\nt_qq\\nt_data\\Pic\\2024-05\\Ori\\b58bb376faa55d4586c4a7a129a21548.jpg" \* MERGEFORMATINET </w:instrText>
      </w:r>
      <w:r>
        <w:rPr>
          <w:rFonts w:hint="eastAsia" w:cs="宋体"/>
          <w:b/>
          <w:bCs/>
          <w:color w:val="000000" w:themeColor="text1"/>
          <w:sz w:val="24"/>
          <w:szCs w:val="24"/>
          <w:highlight w:val="none"/>
          <w14:textFill>
            <w14:solidFill>
              <w14:schemeClr w14:val="tx1"/>
            </w14:solidFill>
          </w14:textFill>
        </w:rPr>
        <w:fldChar w:fldCharType="separate"/>
      </w:r>
      <w:r>
        <w:rPr>
          <w:rFonts w:hint="eastAsia" w:cs="宋体"/>
          <w:b/>
          <w:bCs/>
          <w:color w:val="000000" w:themeColor="text1"/>
          <w:sz w:val="24"/>
          <w:szCs w:val="24"/>
          <w:highlight w:val="none"/>
          <w14:textFill>
            <w14:solidFill>
              <w14:schemeClr w14:val="tx1"/>
            </w14:solidFill>
          </w14:textFill>
        </w:rPr>
        <w:fldChar w:fldCharType="begin"/>
      </w:r>
      <w:r>
        <w:rPr>
          <w:rFonts w:hint="eastAsia" w:cs="宋体"/>
          <w:b/>
          <w:bCs/>
          <w:color w:val="000000" w:themeColor="text1"/>
          <w:sz w:val="24"/>
          <w:szCs w:val="24"/>
          <w:highlight w:val="none"/>
          <w14:textFill>
            <w14:solidFill>
              <w14:schemeClr w14:val="tx1"/>
            </w14:solidFill>
          </w14:textFill>
        </w:rPr>
        <w:instrText xml:space="preserve"> INCLUDEPICTURE  "D:\\work\\1-代理项目\\派和商务\\admin\\Documents\\Tencent Files\\825752765\\nt_qq\\nt_data\\Pic\\2024-05\\Ori\\b58bb376faa55d4586c4a7a129a21548.jpg" \* MERGEFORMATINET </w:instrText>
      </w:r>
      <w:r>
        <w:rPr>
          <w:rFonts w:hint="eastAsia" w:cs="宋体"/>
          <w:b/>
          <w:bCs/>
          <w:color w:val="000000" w:themeColor="text1"/>
          <w:sz w:val="24"/>
          <w:szCs w:val="24"/>
          <w:highlight w:val="none"/>
          <w14:textFill>
            <w14:solidFill>
              <w14:schemeClr w14:val="tx1"/>
            </w14:solidFill>
          </w14:textFill>
        </w:rPr>
        <w:fldChar w:fldCharType="separate"/>
      </w:r>
      <w:r>
        <w:rPr>
          <w:rFonts w:hint="eastAsia" w:cs="宋体"/>
          <w:b/>
          <w:bCs/>
          <w:color w:val="000000" w:themeColor="text1"/>
          <w:sz w:val="24"/>
          <w:szCs w:val="24"/>
          <w:highlight w:val="none"/>
          <w14:textFill>
            <w14:solidFill>
              <w14:schemeClr w14:val="tx1"/>
            </w14:solidFill>
          </w14:textFill>
        </w:rPr>
        <w:fldChar w:fldCharType="begin"/>
      </w:r>
      <w:r>
        <w:rPr>
          <w:rFonts w:hint="eastAsia" w:cs="宋体"/>
          <w:b/>
          <w:bCs/>
          <w:color w:val="000000" w:themeColor="text1"/>
          <w:sz w:val="24"/>
          <w:szCs w:val="24"/>
          <w:highlight w:val="none"/>
          <w14:textFill>
            <w14:solidFill>
              <w14:schemeClr w14:val="tx1"/>
            </w14:solidFill>
          </w14:textFill>
        </w:rPr>
        <w:instrText xml:space="preserve"> INCLUDEPICTURE  "D:\\work\\1-代理项目\\派和商务\\admin\\Documents\\Tencent Files\\825752765\\nt_qq\\nt_data\\Pic\\2024-05\\Ori\\b58bb376faa55d4586c4a7a129a21548.jpg" \* MERGEFORMATINET </w:instrText>
      </w:r>
      <w:r>
        <w:rPr>
          <w:rFonts w:hint="eastAsia" w:cs="宋体"/>
          <w:b/>
          <w:bCs/>
          <w:color w:val="000000" w:themeColor="text1"/>
          <w:sz w:val="24"/>
          <w:szCs w:val="24"/>
          <w:highlight w:val="none"/>
          <w14:textFill>
            <w14:solidFill>
              <w14:schemeClr w14:val="tx1"/>
            </w14:solidFill>
          </w14:textFill>
        </w:rPr>
        <w:fldChar w:fldCharType="separate"/>
      </w:r>
      <w:r>
        <w:rPr>
          <w:rFonts w:hint="eastAsia" w:cs="宋体"/>
          <w:b/>
          <w:bCs/>
          <w:color w:val="000000" w:themeColor="text1"/>
          <w:sz w:val="24"/>
          <w:szCs w:val="24"/>
          <w:highlight w:val="none"/>
          <w14:textFill>
            <w14:solidFill>
              <w14:schemeClr w14:val="tx1"/>
            </w14:solidFill>
          </w14:textFill>
        </w:rPr>
        <w:fldChar w:fldCharType="begin"/>
      </w:r>
      <w:r>
        <w:rPr>
          <w:rFonts w:hint="eastAsia" w:cs="宋体"/>
          <w:b/>
          <w:bCs/>
          <w:color w:val="000000" w:themeColor="text1"/>
          <w:sz w:val="24"/>
          <w:szCs w:val="24"/>
          <w:highlight w:val="none"/>
          <w14:textFill>
            <w14:solidFill>
              <w14:schemeClr w14:val="tx1"/>
            </w14:solidFill>
          </w14:textFill>
        </w:rPr>
        <w:instrText xml:space="preserve"> INCLUDEPICTURE  "D:\\work\\1-代理项目\\派和商务\\admin\\Documents\\Tencent Files\\825752765\\nt_qq\\nt_data\\Pic\\2024-05\\Ori\\b58bb376faa55d4586c4a7a129a21548.jpg" \* MERGEFORMATINET </w:instrText>
      </w:r>
      <w:r>
        <w:rPr>
          <w:rFonts w:hint="eastAsia" w:cs="宋体"/>
          <w:b/>
          <w:bCs/>
          <w:color w:val="000000" w:themeColor="text1"/>
          <w:sz w:val="24"/>
          <w:szCs w:val="24"/>
          <w:highlight w:val="none"/>
          <w14:textFill>
            <w14:solidFill>
              <w14:schemeClr w14:val="tx1"/>
            </w14:solidFill>
          </w14:textFill>
        </w:rPr>
        <w:fldChar w:fldCharType="separate"/>
      </w:r>
      <w:r>
        <w:rPr>
          <w:rFonts w:hint="eastAsia" w:cs="宋体"/>
          <w:b/>
          <w:bCs/>
          <w:color w:val="000000" w:themeColor="text1"/>
          <w:sz w:val="24"/>
          <w:szCs w:val="24"/>
          <w:highlight w:val="none"/>
          <w14:textFill>
            <w14:solidFill>
              <w14:schemeClr w14:val="tx1"/>
            </w14:solidFill>
          </w14:textFill>
        </w:rPr>
        <w:fldChar w:fldCharType="begin"/>
      </w:r>
      <w:r>
        <w:rPr>
          <w:rFonts w:hint="eastAsia" w:cs="宋体"/>
          <w:b/>
          <w:bCs/>
          <w:color w:val="000000" w:themeColor="text1"/>
          <w:sz w:val="24"/>
          <w:szCs w:val="24"/>
          <w:highlight w:val="none"/>
          <w14:textFill>
            <w14:solidFill>
              <w14:schemeClr w14:val="tx1"/>
            </w14:solidFill>
          </w14:textFill>
        </w:rPr>
        <w:instrText xml:space="preserve"> INCLUDEPICTURE  "D:\\work\\1-代理项目\\派和商务\\admin\\Documents\\Tencent Files\\825752765\\nt_qq\\nt_data\\Pic\\2024-05\\Ori\\b58bb376faa55d4586c4a7a129a21548.jpg" \* MERGEFORMATINET </w:instrText>
      </w:r>
      <w:r>
        <w:rPr>
          <w:rFonts w:hint="eastAsia" w:cs="宋体"/>
          <w:b/>
          <w:bCs/>
          <w:color w:val="000000" w:themeColor="text1"/>
          <w:sz w:val="24"/>
          <w:szCs w:val="24"/>
          <w:highlight w:val="none"/>
          <w14:textFill>
            <w14:solidFill>
              <w14:schemeClr w14:val="tx1"/>
            </w14:solidFill>
          </w14:textFill>
        </w:rPr>
        <w:fldChar w:fldCharType="separate"/>
      </w:r>
      <w:r>
        <w:rPr>
          <w:rFonts w:hint="eastAsia" w:cs="宋体"/>
          <w:b/>
          <w:bCs/>
          <w:color w:val="000000" w:themeColor="text1"/>
          <w:sz w:val="24"/>
          <w:szCs w:val="24"/>
          <w:highlight w:val="none"/>
          <w14:textFill>
            <w14:solidFill>
              <w14:schemeClr w14:val="tx1"/>
            </w14:solidFill>
          </w14:textFill>
        </w:rPr>
        <w:fldChar w:fldCharType="begin"/>
      </w:r>
      <w:r>
        <w:rPr>
          <w:rFonts w:hint="eastAsia" w:cs="宋体"/>
          <w:b/>
          <w:bCs/>
          <w:color w:val="000000" w:themeColor="text1"/>
          <w:sz w:val="24"/>
          <w:szCs w:val="24"/>
          <w:highlight w:val="none"/>
          <w14:textFill>
            <w14:solidFill>
              <w14:schemeClr w14:val="tx1"/>
            </w14:solidFill>
          </w14:textFill>
        </w:rPr>
        <w:instrText xml:space="preserve"> INCLUDEPICTURE  "D:\\work\\1-代理项目\\派和商务\\admin\\Documents\\Tencent Files\\825752765\\nt_qq\\nt_data\\Pic\\2024-05\\Ori\\b58bb376faa55d4586c4a7a129a21548.jpg" \* MERGEFORMATINET </w:instrText>
      </w:r>
      <w:r>
        <w:rPr>
          <w:rFonts w:hint="eastAsia" w:cs="宋体"/>
          <w:b/>
          <w:bCs/>
          <w:color w:val="000000" w:themeColor="text1"/>
          <w:sz w:val="24"/>
          <w:szCs w:val="24"/>
          <w:highlight w:val="none"/>
          <w14:textFill>
            <w14:solidFill>
              <w14:schemeClr w14:val="tx1"/>
            </w14:solidFill>
          </w14:textFill>
        </w:rPr>
        <w:fldChar w:fldCharType="separate"/>
      </w:r>
      <w:r>
        <w:rPr>
          <w:rFonts w:cs="宋体"/>
          <w:b/>
          <w:bCs/>
          <w:color w:val="000000" w:themeColor="text1"/>
          <w:sz w:val="24"/>
          <w:szCs w:val="24"/>
          <w:highlight w:val="none"/>
          <w14:textFill>
            <w14:solidFill>
              <w14:schemeClr w14:val="tx1"/>
            </w14:solidFill>
          </w14:textFill>
        </w:rPr>
        <w:drawing>
          <wp:inline distT="0" distB="0" distL="114300" distR="114300">
            <wp:extent cx="5589905" cy="7100570"/>
            <wp:effectExtent l="0" t="0" r="10795"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r:link="rId11"/>
                    <a:stretch>
                      <a:fillRect/>
                    </a:stretch>
                  </pic:blipFill>
                  <pic:spPr>
                    <a:xfrm>
                      <a:off x="0" y="0"/>
                      <a:ext cx="5589905" cy="7100570"/>
                    </a:xfrm>
                    <a:prstGeom prst="rect">
                      <a:avLst/>
                    </a:prstGeom>
                    <a:noFill/>
                    <a:ln>
                      <a:noFill/>
                    </a:ln>
                  </pic:spPr>
                </pic:pic>
              </a:graphicData>
            </a:graphic>
          </wp:inline>
        </w:drawing>
      </w:r>
      <w:r>
        <w:rPr>
          <w:rFonts w:hint="eastAsia" w:cs="宋体"/>
          <w:b/>
          <w:bCs/>
          <w:color w:val="000000" w:themeColor="text1"/>
          <w:sz w:val="24"/>
          <w:szCs w:val="24"/>
          <w:highlight w:val="none"/>
          <w14:textFill>
            <w14:solidFill>
              <w14:schemeClr w14:val="tx1"/>
            </w14:solidFill>
          </w14:textFill>
        </w:rPr>
        <w:fldChar w:fldCharType="end"/>
      </w:r>
      <w:r>
        <w:rPr>
          <w:rFonts w:hint="eastAsia" w:cs="宋体"/>
          <w:b/>
          <w:bCs/>
          <w:color w:val="000000" w:themeColor="text1"/>
          <w:sz w:val="24"/>
          <w:szCs w:val="24"/>
          <w:highlight w:val="none"/>
          <w14:textFill>
            <w14:solidFill>
              <w14:schemeClr w14:val="tx1"/>
            </w14:solidFill>
          </w14:textFill>
        </w:rPr>
        <w:fldChar w:fldCharType="end"/>
      </w:r>
      <w:r>
        <w:rPr>
          <w:rFonts w:hint="eastAsia" w:cs="宋体"/>
          <w:b/>
          <w:bCs/>
          <w:color w:val="000000" w:themeColor="text1"/>
          <w:sz w:val="24"/>
          <w:szCs w:val="24"/>
          <w:highlight w:val="none"/>
          <w14:textFill>
            <w14:solidFill>
              <w14:schemeClr w14:val="tx1"/>
            </w14:solidFill>
          </w14:textFill>
        </w:rPr>
        <w:fldChar w:fldCharType="end"/>
      </w:r>
      <w:r>
        <w:rPr>
          <w:rFonts w:hint="eastAsia" w:cs="宋体"/>
          <w:b/>
          <w:bCs/>
          <w:color w:val="000000" w:themeColor="text1"/>
          <w:sz w:val="24"/>
          <w:szCs w:val="24"/>
          <w:highlight w:val="none"/>
          <w14:textFill>
            <w14:solidFill>
              <w14:schemeClr w14:val="tx1"/>
            </w14:solidFill>
          </w14:textFill>
        </w:rPr>
        <w:fldChar w:fldCharType="end"/>
      </w:r>
      <w:r>
        <w:rPr>
          <w:rFonts w:hint="eastAsia" w:cs="宋体"/>
          <w:b/>
          <w:bCs/>
          <w:color w:val="000000" w:themeColor="text1"/>
          <w:sz w:val="24"/>
          <w:szCs w:val="24"/>
          <w:highlight w:val="none"/>
          <w14:textFill>
            <w14:solidFill>
              <w14:schemeClr w14:val="tx1"/>
            </w14:solidFill>
          </w14:textFill>
        </w:rPr>
        <w:fldChar w:fldCharType="end"/>
      </w:r>
      <w:r>
        <w:rPr>
          <w:rFonts w:hint="eastAsia" w:cs="宋体"/>
          <w:b/>
          <w:bCs/>
          <w:color w:val="000000" w:themeColor="text1"/>
          <w:sz w:val="24"/>
          <w:szCs w:val="24"/>
          <w:highlight w:val="none"/>
          <w14:textFill>
            <w14:solidFill>
              <w14:schemeClr w14:val="tx1"/>
            </w14:solidFill>
          </w14:textFill>
        </w:rPr>
        <w:fldChar w:fldCharType="end"/>
      </w:r>
      <w:r>
        <w:rPr>
          <w:rFonts w:hint="eastAsia" w:cs="宋体"/>
          <w:b/>
          <w:bCs/>
          <w:color w:val="000000" w:themeColor="text1"/>
          <w:sz w:val="24"/>
          <w:szCs w:val="24"/>
          <w:highlight w:val="none"/>
          <w14:textFill>
            <w14:solidFill>
              <w14:schemeClr w14:val="tx1"/>
            </w14:solidFill>
          </w14:textFill>
        </w:rPr>
        <w:fldChar w:fldCharType="end"/>
      </w:r>
      <w:r>
        <w:rPr>
          <w:rFonts w:hint="eastAsia" w:cs="宋体"/>
          <w:b/>
          <w:bCs/>
          <w:color w:val="000000" w:themeColor="text1"/>
          <w:sz w:val="24"/>
          <w:szCs w:val="24"/>
          <w:highlight w:val="none"/>
          <w14:textFill>
            <w14:solidFill>
              <w14:schemeClr w14:val="tx1"/>
            </w14:solidFill>
          </w14:textFill>
        </w:rPr>
        <w:fldChar w:fldCharType="end"/>
      </w:r>
      <w:r>
        <w:rPr>
          <w:rFonts w:hint="eastAsia" w:cs="宋体"/>
          <w:b/>
          <w:bCs/>
          <w:color w:val="000000" w:themeColor="text1"/>
          <w:sz w:val="24"/>
          <w:szCs w:val="24"/>
          <w:highlight w:val="none"/>
          <w14:textFill>
            <w14:solidFill>
              <w14:schemeClr w14:val="tx1"/>
            </w14:solidFill>
          </w14:textFill>
        </w:rPr>
        <w:fldChar w:fldCharType="end"/>
      </w:r>
      <w:r>
        <w:rPr>
          <w:rFonts w:hint="eastAsia" w:cs="宋体"/>
          <w:b/>
          <w:bCs/>
          <w:color w:val="000000" w:themeColor="text1"/>
          <w:sz w:val="24"/>
          <w:szCs w:val="24"/>
          <w:highlight w:val="none"/>
          <w14:textFill>
            <w14:solidFill>
              <w14:schemeClr w14:val="tx1"/>
            </w14:solidFill>
          </w14:textFill>
        </w:rPr>
        <w:fldChar w:fldCharType="end"/>
      </w:r>
      <w:r>
        <w:rPr>
          <w:rFonts w:hint="eastAsia" w:ascii="Times New Roman" w:hAnsi="Times New Roman" w:eastAsia="黑体"/>
          <w:bCs/>
          <w:color w:val="000000" w:themeColor="text1"/>
          <w:sz w:val="32"/>
          <w:szCs w:val="32"/>
          <w:highlight w:val="none"/>
          <w14:textFill>
            <w14:solidFill>
              <w14:schemeClr w14:val="tx1"/>
            </w14:solidFill>
          </w14:textFill>
        </w:rPr>
        <w:br w:type="page"/>
      </w:r>
      <w:r>
        <w:rPr>
          <w:rFonts w:hint="eastAsia" w:ascii="Times New Roman" w:hAnsi="Times New Roman" w:cs="宋体"/>
          <w:b/>
          <w:bCs/>
          <w:color w:val="000000" w:themeColor="text1"/>
          <w:sz w:val="24"/>
          <w:szCs w:val="24"/>
          <w:highlight w:val="none"/>
          <w14:textFill>
            <w14:solidFill>
              <w14:schemeClr w14:val="tx1"/>
            </w14:solidFill>
          </w14:textFill>
        </w:rPr>
        <w:t>附件 2</w:t>
      </w:r>
      <w:bookmarkEnd w:id="24"/>
    </w:p>
    <w:p w14:paraId="1D36239C">
      <w:pPr>
        <w:keepNext/>
        <w:keepLines/>
        <w:spacing w:before="240" w:beforeLines="100" w:after="240" w:afterLines="100"/>
        <w:ind w:firstLine="482" w:firstLineChars="200"/>
        <w:jc w:val="left"/>
        <w:outlineLvl w:val="1"/>
        <w:rPr>
          <w:rFonts w:ascii="Cambria" w:hAnsi="Cambria"/>
          <w:b/>
          <w:bCs/>
          <w:color w:val="000000" w:themeColor="text1"/>
          <w:sz w:val="32"/>
          <w:szCs w:val="32"/>
          <w:highlight w:val="none"/>
          <w14:textFill>
            <w14:solidFill>
              <w14:schemeClr w14:val="tx1"/>
            </w14:solidFill>
          </w14:textFill>
        </w:rPr>
      </w:pPr>
      <w:bookmarkStart w:id="25" w:name="_Toc9512"/>
      <w:r>
        <w:rPr>
          <w:rFonts w:hint="eastAsia" w:ascii="Times New Roman" w:hAnsi="Times New Roman" w:cs="宋体"/>
          <w:b/>
          <w:bCs/>
          <w:color w:val="000000" w:themeColor="text1"/>
          <w:sz w:val="24"/>
          <w:szCs w:val="24"/>
          <w:highlight w:val="none"/>
          <w14:textFill>
            <w14:solidFill>
              <w14:schemeClr w14:val="tx1"/>
            </w14:solidFill>
          </w14:textFill>
        </w:rPr>
        <w:t>工程量清单和最高投标限价（招标控制价）编制费以成交金额为计算基数，按照下表计算方式计算，不足 1000 元的按 1000 元收取。</w:t>
      </w:r>
      <w:bookmarkEnd w:id="25"/>
    </w:p>
    <w:p w14:paraId="0B588C57">
      <w:pPr>
        <w:keepNext/>
        <w:keepLines/>
        <w:spacing w:before="240" w:beforeLines="100" w:after="240" w:afterLines="100"/>
        <w:jc w:val="center"/>
        <w:outlineLvl w:val="1"/>
        <w:rPr>
          <w:rFonts w:ascii="Cambria" w:hAnsi="Cambria"/>
          <w:b/>
          <w:bCs/>
          <w:color w:val="000000" w:themeColor="text1"/>
          <w:sz w:val="32"/>
          <w:szCs w:val="32"/>
          <w:highlight w:val="none"/>
          <w14:textFill>
            <w14:solidFill>
              <w14:schemeClr w14:val="tx1"/>
            </w14:solidFill>
          </w14:textFill>
        </w:rPr>
      </w:pPr>
      <w:bookmarkStart w:id="26" w:name="_Toc4366"/>
      <w:r>
        <w:rPr>
          <w:rFonts w:ascii="Cambria" w:hAnsi="Cambria"/>
          <w:b/>
          <w:bCs/>
          <w:color w:val="000000" w:themeColor="text1"/>
          <w:sz w:val="32"/>
          <w:szCs w:val="32"/>
          <w:highlight w:val="none"/>
          <w14:textFill>
            <w14:solidFill>
              <w14:schemeClr w14:val="tx1"/>
            </w14:solidFill>
          </w14:textFill>
        </w:rPr>
        <w:drawing>
          <wp:inline distT="0" distB="0" distL="0" distR="0">
            <wp:extent cx="5191125" cy="5857875"/>
            <wp:effectExtent l="0" t="0" r="9525" b="9525"/>
            <wp:docPr id="612250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5096" name="图片 2"/>
                    <pic:cNvPicPr>
                      <a:picLocks noChangeAspect="1" noChangeArrowheads="1"/>
                    </pic:cNvPicPr>
                  </pic:nvPicPr>
                  <pic:blipFill>
                    <a:blip r:embed="rId12">
                      <a:extLst>
                        <a:ext uri="{28A0092B-C50C-407E-A947-70E740481C1C}">
                          <a14:useLocalDpi xmlns:a14="http://schemas.microsoft.com/office/drawing/2010/main" val="0"/>
                        </a:ext>
                      </a:extLst>
                    </a:blip>
                    <a:srcRect r="192" b="4533"/>
                    <a:stretch>
                      <a:fillRect/>
                    </a:stretch>
                  </pic:blipFill>
                  <pic:spPr>
                    <a:xfrm>
                      <a:off x="0" y="0"/>
                      <a:ext cx="5191125" cy="5857875"/>
                    </a:xfrm>
                    <a:prstGeom prst="rect">
                      <a:avLst/>
                    </a:prstGeom>
                    <a:noFill/>
                    <a:ln>
                      <a:noFill/>
                    </a:ln>
                    <a:effectLst/>
                  </pic:spPr>
                </pic:pic>
              </a:graphicData>
            </a:graphic>
          </wp:inline>
        </w:drawing>
      </w:r>
      <w:bookmarkEnd w:id="26"/>
    </w:p>
    <w:p w14:paraId="2F163682">
      <w:pPr>
        <w:widowControl/>
        <w:spacing w:line="360" w:lineRule="auto"/>
        <w:ind w:firstLine="480" w:firstLineChars="200"/>
        <w:jc w:val="left"/>
        <w:rPr>
          <w:rFonts w:ascii="Times New Roman" w:hAnsi="Times New Roman"/>
          <w:bCs/>
          <w:snapToGrid w:val="0"/>
          <w:color w:val="000000" w:themeColor="text1"/>
          <w:sz w:val="24"/>
          <w:szCs w:val="24"/>
          <w:highlight w:val="none"/>
          <w14:textFill>
            <w14:solidFill>
              <w14:schemeClr w14:val="tx1"/>
            </w14:solidFill>
          </w14:textFill>
        </w:rPr>
      </w:pPr>
      <w:r>
        <w:rPr>
          <w:rFonts w:hint="eastAsia" w:ascii="Times New Roman" w:hAnsi="Times New Roman"/>
          <w:bCs/>
          <w:snapToGrid w:val="0"/>
          <w:color w:val="000000" w:themeColor="text1"/>
          <w:sz w:val="24"/>
          <w:szCs w:val="24"/>
          <w:highlight w:val="none"/>
          <w14:textFill>
            <w14:solidFill>
              <w14:schemeClr w14:val="tx1"/>
            </w14:solidFill>
          </w14:textFill>
        </w:rPr>
        <w:t xml:space="preserve">例如：某项目中标金额为 </w:t>
      </w:r>
      <w:r>
        <w:rPr>
          <w:rFonts w:ascii="Times New Roman" w:hAnsi="Times New Roman"/>
          <w:bCs/>
          <w:snapToGrid w:val="0"/>
          <w:color w:val="000000" w:themeColor="text1"/>
          <w:sz w:val="24"/>
          <w:szCs w:val="24"/>
          <w:highlight w:val="none"/>
          <w14:textFill>
            <w14:solidFill>
              <w14:schemeClr w14:val="tx1"/>
            </w14:solidFill>
          </w14:textFill>
        </w:rPr>
        <w:t>6000.00</w:t>
      </w:r>
      <w:r>
        <w:rPr>
          <w:rFonts w:hint="eastAsia" w:ascii="Times New Roman" w:hAnsi="Times New Roman"/>
          <w:bCs/>
          <w:snapToGrid w:val="0"/>
          <w:color w:val="000000" w:themeColor="text1"/>
          <w:sz w:val="24"/>
          <w:szCs w:val="24"/>
          <w:highlight w:val="none"/>
          <w14:textFill>
            <w14:solidFill>
              <w14:schemeClr w14:val="tx1"/>
            </w14:solidFill>
          </w14:textFill>
        </w:rPr>
        <w:t xml:space="preserve">万元，工程类型为建筑工程，计算造价咨询工作服务费金额如下： </w:t>
      </w:r>
    </w:p>
    <w:p w14:paraId="3843E917">
      <w:pPr>
        <w:widowControl/>
        <w:spacing w:line="360" w:lineRule="auto"/>
        <w:ind w:firstLine="480" w:firstLineChars="200"/>
        <w:jc w:val="left"/>
        <w:rPr>
          <w:rFonts w:hAnsi="Times New Roman"/>
          <w:color w:val="000000" w:themeColor="text1"/>
          <w:sz w:val="24"/>
          <w:highlight w:val="none"/>
          <w14:textFill>
            <w14:solidFill>
              <w14:schemeClr w14:val="tx1"/>
            </w14:solidFill>
          </w14:textFill>
        </w:rPr>
      </w:pPr>
      <w:r>
        <w:rPr>
          <w:rFonts w:hint="eastAsia" w:cs="宋体"/>
          <w:color w:val="000000" w:themeColor="text1"/>
          <w:sz w:val="24"/>
          <w:szCs w:val="24"/>
          <w:highlight w:val="none"/>
          <w:lang w:bidi="ar"/>
          <w14:textFill>
            <w14:solidFill>
              <w14:schemeClr w14:val="tx1"/>
            </w14:solidFill>
          </w14:textFill>
        </w:rPr>
        <w:t>如编制招标工程量清单及最高投标限价（招标控制价）：</w:t>
      </w:r>
    </w:p>
    <w:p w14:paraId="0A3B8937">
      <w:pPr>
        <w:widowControl/>
        <w:spacing w:line="360" w:lineRule="auto"/>
        <w:ind w:firstLine="480" w:firstLineChars="200"/>
        <w:jc w:val="left"/>
        <w:rPr>
          <w:rFonts w:hAnsi="Times New Roman"/>
          <w:color w:val="000000" w:themeColor="text1"/>
          <w:sz w:val="24"/>
          <w:highlight w:val="none"/>
          <w14:textFill>
            <w14:solidFill>
              <w14:schemeClr w14:val="tx1"/>
            </w14:solidFill>
          </w14:textFill>
        </w:rPr>
      </w:pPr>
      <w:r>
        <w:rPr>
          <w:rFonts w:ascii="Times New Roman" w:hAnsi="Times New Roman"/>
          <w:color w:val="000000" w:themeColor="text1"/>
          <w:sz w:val="24"/>
          <w:szCs w:val="24"/>
          <w:highlight w:val="none"/>
          <w:lang w:bidi="ar"/>
          <w14:textFill>
            <w14:solidFill>
              <w14:schemeClr w14:val="tx1"/>
            </w14:solidFill>
          </w14:textFill>
        </w:rPr>
        <w:t xml:space="preserve">6000.00 </w:t>
      </w:r>
      <w:r>
        <w:rPr>
          <w:rFonts w:hint="eastAsia" w:cs="宋体"/>
          <w:color w:val="000000" w:themeColor="text1"/>
          <w:sz w:val="24"/>
          <w:szCs w:val="24"/>
          <w:highlight w:val="none"/>
          <w:lang w:bidi="ar"/>
          <w14:textFill>
            <w14:solidFill>
              <w14:schemeClr w14:val="tx1"/>
            </w14:solidFill>
          </w14:textFill>
        </w:rPr>
        <w:t>万元×（</w:t>
      </w:r>
      <w:r>
        <w:rPr>
          <w:rFonts w:ascii="Times New Roman" w:hAnsi="Times New Roman"/>
          <w:color w:val="000000" w:themeColor="text1"/>
          <w:sz w:val="24"/>
          <w:szCs w:val="24"/>
          <w:highlight w:val="none"/>
          <w:lang w:bidi="ar"/>
          <w14:textFill>
            <w14:solidFill>
              <w14:schemeClr w14:val="tx1"/>
            </w14:solidFill>
          </w14:textFill>
        </w:rPr>
        <w:t>0.25%+0.11%</w:t>
      </w:r>
      <w:r>
        <w:rPr>
          <w:rFonts w:hint="eastAsia" w:cs="宋体"/>
          <w:color w:val="000000" w:themeColor="text1"/>
          <w:sz w:val="24"/>
          <w:szCs w:val="24"/>
          <w:highlight w:val="none"/>
          <w:lang w:bidi="ar"/>
          <w14:textFill>
            <w14:solidFill>
              <w14:schemeClr w14:val="tx1"/>
            </w14:solidFill>
          </w14:textFill>
        </w:rPr>
        <w:t>）</w:t>
      </w:r>
      <w:r>
        <w:rPr>
          <w:rFonts w:ascii="Times New Roman" w:hAnsi="Times New Roman"/>
          <w:color w:val="000000" w:themeColor="text1"/>
          <w:sz w:val="24"/>
          <w:szCs w:val="24"/>
          <w:highlight w:val="none"/>
          <w:lang w:bidi="ar"/>
          <w14:textFill>
            <w14:solidFill>
              <w14:schemeClr w14:val="tx1"/>
            </w14:solidFill>
          </w14:textFill>
        </w:rPr>
        <w:t>=</w:t>
      </w:r>
      <w:r>
        <w:rPr>
          <w:rFonts w:hint="eastAsia" w:ascii="Times New Roman" w:hAnsi="Times New Roman"/>
          <w:color w:val="000000" w:themeColor="text1"/>
          <w:sz w:val="24"/>
          <w:szCs w:val="24"/>
          <w:highlight w:val="none"/>
          <w:lang w:bidi="ar"/>
          <w14:textFill>
            <w14:solidFill>
              <w14:schemeClr w14:val="tx1"/>
            </w14:solidFill>
          </w14:textFill>
        </w:rPr>
        <w:t>21.6</w:t>
      </w:r>
      <w:r>
        <w:rPr>
          <w:rFonts w:hint="eastAsia" w:cs="宋体"/>
          <w:color w:val="000000" w:themeColor="text1"/>
          <w:sz w:val="24"/>
          <w:szCs w:val="24"/>
          <w:highlight w:val="none"/>
          <w:lang w:bidi="ar"/>
          <w14:textFill>
            <w14:solidFill>
              <w14:schemeClr w14:val="tx1"/>
            </w14:solidFill>
          </w14:textFill>
        </w:rPr>
        <w:t>万元</w:t>
      </w:r>
    </w:p>
    <w:p w14:paraId="482E141B">
      <w:pPr>
        <w:spacing w:line="360" w:lineRule="auto"/>
        <w:jc w:val="center"/>
        <w:outlineLvl w:val="1"/>
        <w:rPr>
          <w:rFonts w:hint="eastAsia"/>
          <w:b/>
          <w:sz w:val="28"/>
          <w:highlight w:val="none"/>
        </w:rPr>
      </w:pPr>
      <w:r>
        <w:rPr>
          <w:b/>
          <w:color w:val="000000" w:themeColor="text1"/>
          <w:sz w:val="28"/>
          <w:highlight w:val="none"/>
          <w14:textFill>
            <w14:solidFill>
              <w14:schemeClr w14:val="tx1"/>
            </w14:solidFill>
          </w14:textFill>
        </w:rPr>
        <w:br w:type="page"/>
      </w:r>
    </w:p>
    <w:p w14:paraId="0F29A695">
      <w:pPr>
        <w:spacing w:line="360" w:lineRule="auto"/>
        <w:jc w:val="center"/>
        <w:outlineLvl w:val="1"/>
        <w:rPr>
          <w:rFonts w:hint="eastAsia"/>
          <w:b/>
          <w:sz w:val="24"/>
          <w:szCs w:val="24"/>
          <w:highlight w:val="none"/>
        </w:rPr>
      </w:pPr>
      <w:bookmarkStart w:id="27" w:name="_Toc9679"/>
      <w:bookmarkStart w:id="28" w:name="_Toc22583"/>
      <w:r>
        <w:rPr>
          <w:rFonts w:hint="eastAsia"/>
          <w:b/>
          <w:sz w:val="24"/>
          <w:szCs w:val="24"/>
          <w:highlight w:val="none"/>
        </w:rPr>
        <w:t>二、参审单位</w:t>
      </w:r>
      <w:r>
        <w:rPr>
          <w:b/>
          <w:sz w:val="24"/>
          <w:szCs w:val="24"/>
          <w:highlight w:val="none"/>
        </w:rPr>
        <w:t>须知</w:t>
      </w:r>
      <w:r>
        <w:rPr>
          <w:rFonts w:hint="eastAsia"/>
          <w:b/>
          <w:sz w:val="24"/>
          <w:szCs w:val="24"/>
          <w:highlight w:val="none"/>
        </w:rPr>
        <w:t>正文</w:t>
      </w:r>
      <w:bookmarkEnd w:id="27"/>
      <w:bookmarkEnd w:id="28"/>
    </w:p>
    <w:p w14:paraId="1102976B">
      <w:pPr>
        <w:spacing w:line="360" w:lineRule="auto"/>
        <w:ind w:firstLine="437"/>
        <w:outlineLvl w:val="2"/>
        <w:rPr>
          <w:rFonts w:hint="eastAsia"/>
          <w:b/>
          <w:sz w:val="24"/>
          <w:highlight w:val="none"/>
        </w:rPr>
      </w:pPr>
      <w:r>
        <w:rPr>
          <w:rFonts w:hint="eastAsia"/>
          <w:b/>
          <w:sz w:val="24"/>
          <w:highlight w:val="none"/>
        </w:rPr>
        <w:t>1</w:t>
      </w:r>
      <w:r>
        <w:rPr>
          <w:b/>
          <w:sz w:val="24"/>
          <w:highlight w:val="none"/>
        </w:rPr>
        <w:t>.</w:t>
      </w:r>
      <w:r>
        <w:rPr>
          <w:rFonts w:hint="eastAsia"/>
          <w:b/>
          <w:sz w:val="24"/>
          <w:highlight w:val="none"/>
        </w:rPr>
        <w:t>适用范围</w:t>
      </w:r>
    </w:p>
    <w:p w14:paraId="5D7B6EEE">
      <w:pPr>
        <w:spacing w:line="360" w:lineRule="auto"/>
        <w:ind w:firstLine="435"/>
        <w:rPr>
          <w:rFonts w:hint="eastAsia"/>
          <w:sz w:val="24"/>
          <w:highlight w:val="none"/>
        </w:rPr>
      </w:pPr>
      <w:r>
        <w:rPr>
          <w:sz w:val="24"/>
          <w:highlight w:val="none"/>
        </w:rPr>
        <w:t>1.1</w:t>
      </w:r>
      <w:r>
        <w:rPr>
          <w:rFonts w:hint="eastAsia"/>
          <w:sz w:val="24"/>
          <w:highlight w:val="none"/>
        </w:rPr>
        <w:t>本磋商文件仅适用于本次磋商所述的工程项目。</w:t>
      </w:r>
    </w:p>
    <w:p w14:paraId="57D38328">
      <w:pPr>
        <w:spacing w:line="360" w:lineRule="auto"/>
        <w:ind w:firstLine="437"/>
        <w:outlineLvl w:val="2"/>
        <w:rPr>
          <w:rFonts w:hint="eastAsia"/>
          <w:b/>
          <w:sz w:val="24"/>
          <w:highlight w:val="none"/>
        </w:rPr>
      </w:pPr>
      <w:r>
        <w:rPr>
          <w:rFonts w:hint="eastAsia"/>
          <w:b/>
          <w:sz w:val="24"/>
          <w:highlight w:val="none"/>
        </w:rPr>
        <w:t>2</w:t>
      </w:r>
      <w:r>
        <w:rPr>
          <w:b/>
          <w:sz w:val="24"/>
          <w:highlight w:val="none"/>
        </w:rPr>
        <w:t>.</w:t>
      </w:r>
      <w:r>
        <w:rPr>
          <w:rFonts w:hint="eastAsia"/>
          <w:b/>
          <w:sz w:val="24"/>
          <w:highlight w:val="none"/>
        </w:rPr>
        <w:t>定义</w:t>
      </w:r>
    </w:p>
    <w:p w14:paraId="32AFD0C5">
      <w:pPr>
        <w:spacing w:line="360" w:lineRule="auto"/>
        <w:ind w:firstLine="435"/>
        <w:rPr>
          <w:rFonts w:hint="eastAsia"/>
          <w:sz w:val="24"/>
          <w:highlight w:val="none"/>
        </w:rPr>
      </w:pPr>
      <w:r>
        <w:rPr>
          <w:rFonts w:hint="eastAsia"/>
          <w:sz w:val="24"/>
          <w:highlight w:val="none"/>
        </w:rPr>
        <w:t>2.</w:t>
      </w:r>
      <w:r>
        <w:rPr>
          <w:sz w:val="24"/>
          <w:highlight w:val="none"/>
        </w:rPr>
        <w:t>1</w:t>
      </w:r>
      <w:r>
        <w:rPr>
          <w:rFonts w:hint="eastAsia"/>
          <w:sz w:val="24"/>
          <w:highlight w:val="none"/>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08A2B529">
      <w:pPr>
        <w:spacing w:line="360" w:lineRule="auto"/>
        <w:ind w:firstLine="435"/>
        <w:rPr>
          <w:rFonts w:hint="eastAsia"/>
          <w:sz w:val="24"/>
          <w:highlight w:val="none"/>
        </w:rPr>
      </w:pPr>
      <w:r>
        <w:rPr>
          <w:sz w:val="24"/>
          <w:highlight w:val="none"/>
        </w:rPr>
        <w:t>2.2时限（年份、月份等）计算：系指从</w:t>
      </w:r>
      <w:r>
        <w:rPr>
          <w:rFonts w:hint="eastAsia"/>
          <w:sz w:val="24"/>
          <w:highlight w:val="none"/>
        </w:rPr>
        <w:t>磋商</w:t>
      </w:r>
      <w:r>
        <w:rPr>
          <w:sz w:val="24"/>
          <w:highlight w:val="none"/>
        </w:rPr>
        <w:t>之日向前追溯X年/月（“X”为“一”及以后整数）起算。</w:t>
      </w:r>
    </w:p>
    <w:p w14:paraId="249E3D6C">
      <w:pPr>
        <w:spacing w:line="360" w:lineRule="auto"/>
        <w:ind w:firstLine="435"/>
        <w:rPr>
          <w:rFonts w:hint="eastAsia"/>
          <w:sz w:val="24"/>
          <w:highlight w:val="none"/>
        </w:rPr>
      </w:pPr>
      <w:r>
        <w:rPr>
          <w:sz w:val="24"/>
          <w:highlight w:val="none"/>
        </w:rPr>
        <w:t>2.3业绩：除非本</w:t>
      </w:r>
      <w:r>
        <w:rPr>
          <w:rFonts w:hint="eastAsia"/>
          <w:sz w:val="24"/>
          <w:highlight w:val="none"/>
        </w:rPr>
        <w:t>磋商</w:t>
      </w:r>
      <w:r>
        <w:rPr>
          <w:sz w:val="24"/>
          <w:highlight w:val="none"/>
        </w:rPr>
        <w:t>文件</w:t>
      </w:r>
      <w:r>
        <w:rPr>
          <w:rFonts w:hint="eastAsia"/>
          <w:sz w:val="24"/>
          <w:highlight w:val="none"/>
        </w:rPr>
        <w:t>中</w:t>
      </w:r>
      <w:r>
        <w:rPr>
          <w:sz w:val="24"/>
          <w:highlight w:val="none"/>
        </w:rPr>
        <w:t>另有规定，</w:t>
      </w:r>
      <w:r>
        <w:rPr>
          <w:rFonts w:hint="eastAsia"/>
          <w:sz w:val="24"/>
          <w:highlight w:val="none"/>
        </w:rPr>
        <w:t>业绩系指符合本磋商文件规定且已交</w:t>
      </w:r>
      <w:r>
        <w:rPr>
          <w:sz w:val="24"/>
          <w:highlight w:val="none"/>
        </w:rPr>
        <w:t>/竣工验收合格的业绩</w:t>
      </w:r>
      <w:r>
        <w:rPr>
          <w:rFonts w:hint="eastAsia"/>
          <w:sz w:val="24"/>
          <w:highlight w:val="none"/>
        </w:rPr>
        <w:t>。</w:t>
      </w:r>
      <w:r>
        <w:rPr>
          <w:rFonts w:hint="eastAsia"/>
          <w:sz w:val="24"/>
          <w:szCs w:val="18"/>
          <w:highlight w:val="none"/>
        </w:rPr>
        <w:t>参审单位</w:t>
      </w:r>
      <w:r>
        <w:rPr>
          <w:sz w:val="24"/>
          <w:highlight w:val="none"/>
        </w:rPr>
        <w:t>与其关联公司（如母公司、控股公司、分公司、子公司、同一法定代表人的公司等）之间签订的合同，均不予认可。</w:t>
      </w:r>
    </w:p>
    <w:p w14:paraId="7D864C03">
      <w:pPr>
        <w:spacing w:line="360" w:lineRule="auto"/>
        <w:ind w:firstLine="437"/>
        <w:outlineLvl w:val="2"/>
        <w:rPr>
          <w:rFonts w:hint="eastAsia"/>
          <w:b/>
          <w:sz w:val="24"/>
          <w:szCs w:val="18"/>
          <w:highlight w:val="none"/>
        </w:rPr>
      </w:pPr>
      <w:r>
        <w:rPr>
          <w:rFonts w:hint="eastAsia"/>
          <w:b/>
          <w:sz w:val="24"/>
          <w:highlight w:val="none"/>
        </w:rPr>
        <w:t>3</w:t>
      </w:r>
      <w:r>
        <w:rPr>
          <w:b/>
          <w:sz w:val="24"/>
          <w:highlight w:val="none"/>
        </w:rPr>
        <w:t>.</w:t>
      </w:r>
      <w:r>
        <w:rPr>
          <w:rFonts w:hint="eastAsia"/>
          <w:sz w:val="24"/>
          <w:szCs w:val="18"/>
          <w:highlight w:val="none"/>
        </w:rPr>
        <w:t xml:space="preserve"> </w:t>
      </w:r>
      <w:r>
        <w:rPr>
          <w:rFonts w:hint="eastAsia"/>
          <w:b/>
          <w:sz w:val="24"/>
          <w:szCs w:val="18"/>
          <w:highlight w:val="none"/>
        </w:rPr>
        <w:t>业主单位</w:t>
      </w:r>
      <w:r>
        <w:rPr>
          <w:rFonts w:hint="eastAsia"/>
          <w:b/>
          <w:sz w:val="24"/>
          <w:highlight w:val="none"/>
        </w:rPr>
        <w:t>、代理机构及</w:t>
      </w:r>
      <w:r>
        <w:rPr>
          <w:rFonts w:hint="eastAsia"/>
          <w:b/>
          <w:sz w:val="24"/>
          <w:szCs w:val="18"/>
          <w:highlight w:val="none"/>
        </w:rPr>
        <w:t>参审单位</w:t>
      </w:r>
    </w:p>
    <w:p w14:paraId="704D0DCB">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3.1</w:t>
      </w:r>
      <w:r>
        <w:rPr>
          <w:rFonts w:hint="eastAsia"/>
          <w:sz w:val="24"/>
          <w:szCs w:val="18"/>
          <w:highlight w:val="none"/>
        </w:rPr>
        <w:t>业主单位</w:t>
      </w:r>
      <w:r>
        <w:rPr>
          <w:rFonts w:hint="eastAsia" w:cs="宋体"/>
          <w:sz w:val="24"/>
          <w:szCs w:val="24"/>
          <w:highlight w:val="none"/>
          <w:lang w:bidi="ar"/>
        </w:rPr>
        <w:t>：是指依法开展磋商活动的法人或者其他组织。本项目的</w:t>
      </w:r>
      <w:r>
        <w:rPr>
          <w:rFonts w:hint="eastAsia"/>
          <w:sz w:val="24"/>
          <w:szCs w:val="18"/>
          <w:highlight w:val="none"/>
        </w:rPr>
        <w:t>业主单位</w:t>
      </w:r>
      <w:r>
        <w:rPr>
          <w:rFonts w:hint="eastAsia" w:cs="宋体"/>
          <w:sz w:val="24"/>
          <w:szCs w:val="24"/>
          <w:highlight w:val="none"/>
          <w:lang w:bidi="ar"/>
        </w:rPr>
        <w:t>见</w:t>
      </w:r>
      <w:r>
        <w:rPr>
          <w:rFonts w:hint="eastAsia"/>
          <w:sz w:val="24"/>
          <w:szCs w:val="18"/>
          <w:highlight w:val="none"/>
        </w:rPr>
        <w:t>参审单位</w:t>
      </w:r>
      <w:r>
        <w:rPr>
          <w:rFonts w:hint="eastAsia" w:cs="宋体"/>
          <w:sz w:val="24"/>
          <w:szCs w:val="24"/>
          <w:highlight w:val="none"/>
          <w:lang w:bidi="ar"/>
        </w:rPr>
        <w:t>须知前附表。</w:t>
      </w:r>
    </w:p>
    <w:p w14:paraId="0A1A9063">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3.2代理机构：是指从事代理业务的社会中介机构。本项目的代理机构见</w:t>
      </w:r>
      <w:r>
        <w:rPr>
          <w:rFonts w:hint="eastAsia"/>
          <w:sz w:val="24"/>
          <w:szCs w:val="18"/>
          <w:highlight w:val="none"/>
        </w:rPr>
        <w:t>参审单位</w:t>
      </w:r>
      <w:r>
        <w:rPr>
          <w:rFonts w:hint="eastAsia" w:cs="宋体"/>
          <w:sz w:val="24"/>
          <w:szCs w:val="24"/>
          <w:highlight w:val="none"/>
          <w:lang w:bidi="ar"/>
        </w:rPr>
        <w:t>须知前附表。</w:t>
      </w:r>
    </w:p>
    <w:p w14:paraId="3DDC0597">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3.</w:t>
      </w:r>
      <w:r>
        <w:rPr>
          <w:rFonts w:cs="宋体"/>
          <w:sz w:val="24"/>
          <w:szCs w:val="24"/>
          <w:highlight w:val="none"/>
          <w:lang w:bidi="ar"/>
        </w:rPr>
        <w:t>3</w:t>
      </w:r>
      <w:r>
        <w:rPr>
          <w:rFonts w:hint="eastAsia"/>
          <w:sz w:val="24"/>
          <w:szCs w:val="18"/>
          <w:highlight w:val="none"/>
        </w:rPr>
        <w:t>参审单位</w:t>
      </w:r>
      <w:r>
        <w:rPr>
          <w:rFonts w:hint="eastAsia" w:cs="宋体"/>
          <w:sz w:val="24"/>
          <w:szCs w:val="24"/>
          <w:highlight w:val="none"/>
          <w:lang w:bidi="ar"/>
        </w:rPr>
        <w:t>：是指向</w:t>
      </w:r>
      <w:r>
        <w:rPr>
          <w:rFonts w:hint="eastAsia"/>
          <w:sz w:val="24"/>
          <w:szCs w:val="18"/>
          <w:highlight w:val="none"/>
        </w:rPr>
        <w:t>业主单位</w:t>
      </w:r>
      <w:r>
        <w:rPr>
          <w:rFonts w:hint="eastAsia" w:cs="宋体"/>
          <w:sz w:val="24"/>
          <w:szCs w:val="24"/>
          <w:highlight w:val="none"/>
          <w:lang w:bidi="ar"/>
        </w:rPr>
        <w:t>提供工程、货物或者服务的法人、非法人组织或者自然人。分支机构不得参加代理活动，但银行、保险、石油石化、电力、电信等特殊行业除外。本项目的</w:t>
      </w:r>
      <w:r>
        <w:rPr>
          <w:rFonts w:hint="eastAsia"/>
          <w:sz w:val="24"/>
          <w:szCs w:val="18"/>
          <w:highlight w:val="none"/>
        </w:rPr>
        <w:t>参审单位</w:t>
      </w:r>
      <w:r>
        <w:rPr>
          <w:rFonts w:hint="eastAsia" w:cs="宋体"/>
          <w:sz w:val="24"/>
          <w:szCs w:val="24"/>
          <w:highlight w:val="none"/>
          <w:lang w:bidi="ar"/>
        </w:rPr>
        <w:t xml:space="preserve">须满足以下条件： </w:t>
      </w:r>
    </w:p>
    <w:p w14:paraId="081AC39B">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3.</w:t>
      </w:r>
      <w:r>
        <w:rPr>
          <w:rFonts w:cs="宋体"/>
          <w:sz w:val="24"/>
          <w:szCs w:val="24"/>
          <w:highlight w:val="none"/>
          <w:lang w:bidi="ar"/>
        </w:rPr>
        <w:t>3</w:t>
      </w:r>
      <w:r>
        <w:rPr>
          <w:rFonts w:hint="eastAsia" w:cs="宋体"/>
          <w:sz w:val="24"/>
          <w:szCs w:val="24"/>
          <w:highlight w:val="none"/>
          <w:lang w:bidi="ar"/>
        </w:rPr>
        <w:t>.1在中华人民共和国境内注册，能够独立承担民事责任，有生产或供应能力的本国</w:t>
      </w:r>
      <w:r>
        <w:rPr>
          <w:rFonts w:hint="eastAsia"/>
          <w:sz w:val="24"/>
          <w:szCs w:val="18"/>
          <w:highlight w:val="none"/>
        </w:rPr>
        <w:t>参审单位</w:t>
      </w:r>
      <w:r>
        <w:rPr>
          <w:rFonts w:hint="eastAsia" w:cs="宋体"/>
          <w:sz w:val="24"/>
          <w:szCs w:val="24"/>
          <w:highlight w:val="none"/>
          <w:lang w:bidi="ar"/>
        </w:rPr>
        <w:t>。</w:t>
      </w:r>
    </w:p>
    <w:p w14:paraId="12A728F2">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3.</w:t>
      </w:r>
      <w:r>
        <w:rPr>
          <w:rFonts w:cs="宋体"/>
          <w:sz w:val="24"/>
          <w:szCs w:val="24"/>
          <w:highlight w:val="none"/>
          <w:lang w:bidi="ar"/>
        </w:rPr>
        <w:t>3</w:t>
      </w:r>
      <w:r>
        <w:rPr>
          <w:rFonts w:hint="eastAsia" w:cs="宋体"/>
          <w:sz w:val="24"/>
          <w:szCs w:val="24"/>
          <w:highlight w:val="none"/>
          <w:lang w:bidi="ar"/>
        </w:rPr>
        <w:t>.</w:t>
      </w:r>
      <w:r>
        <w:rPr>
          <w:rFonts w:cs="宋体"/>
          <w:sz w:val="24"/>
          <w:szCs w:val="24"/>
          <w:highlight w:val="none"/>
          <w:lang w:bidi="ar"/>
        </w:rPr>
        <w:t>2</w:t>
      </w:r>
      <w:r>
        <w:rPr>
          <w:rFonts w:hint="eastAsia" w:cs="宋体"/>
          <w:sz w:val="24"/>
          <w:szCs w:val="24"/>
          <w:highlight w:val="none"/>
          <w:lang w:bidi="ar"/>
        </w:rPr>
        <w:t>以代理机构认可的方式获得了本项目的磋商文件。</w:t>
      </w:r>
    </w:p>
    <w:p w14:paraId="418825C9">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3.4若</w:t>
      </w:r>
      <w:r>
        <w:rPr>
          <w:rFonts w:hint="eastAsia"/>
          <w:sz w:val="24"/>
          <w:szCs w:val="18"/>
          <w:highlight w:val="none"/>
        </w:rPr>
        <w:t>参审单位</w:t>
      </w:r>
      <w:r>
        <w:rPr>
          <w:rFonts w:hint="eastAsia" w:cs="宋体"/>
          <w:sz w:val="24"/>
          <w:szCs w:val="24"/>
          <w:highlight w:val="none"/>
          <w:lang w:bidi="ar"/>
        </w:rPr>
        <w:t>须知前附表中允许联合体参加磋商，对联合体规定如下：</w:t>
      </w:r>
    </w:p>
    <w:p w14:paraId="0096A6DB">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3.4.1两个以上</w:t>
      </w:r>
      <w:r>
        <w:rPr>
          <w:rFonts w:hint="eastAsia"/>
          <w:sz w:val="24"/>
          <w:szCs w:val="18"/>
          <w:highlight w:val="none"/>
        </w:rPr>
        <w:t>参审单位</w:t>
      </w:r>
      <w:r>
        <w:rPr>
          <w:rFonts w:hint="eastAsia" w:cs="宋体"/>
          <w:sz w:val="24"/>
          <w:szCs w:val="24"/>
          <w:highlight w:val="none"/>
          <w:lang w:bidi="ar"/>
        </w:rPr>
        <w:t>可以组成一个磋商联合体，以一个</w:t>
      </w:r>
      <w:r>
        <w:rPr>
          <w:rFonts w:hint="eastAsia"/>
          <w:sz w:val="24"/>
          <w:szCs w:val="18"/>
          <w:highlight w:val="none"/>
        </w:rPr>
        <w:t>参审单位</w:t>
      </w:r>
      <w:r>
        <w:rPr>
          <w:rFonts w:hint="eastAsia" w:cs="宋体"/>
          <w:sz w:val="24"/>
          <w:szCs w:val="24"/>
          <w:highlight w:val="none"/>
          <w:lang w:bidi="ar"/>
        </w:rPr>
        <w:t>的身份磋商。</w:t>
      </w:r>
    </w:p>
    <w:p w14:paraId="5A821E70">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3.4.</w:t>
      </w:r>
      <w:r>
        <w:rPr>
          <w:rFonts w:cs="宋体"/>
          <w:sz w:val="24"/>
          <w:szCs w:val="24"/>
          <w:highlight w:val="none"/>
          <w:lang w:bidi="ar"/>
        </w:rPr>
        <w:t>2</w:t>
      </w:r>
      <w:r>
        <w:rPr>
          <w:rFonts w:hint="eastAsia"/>
          <w:sz w:val="24"/>
          <w:szCs w:val="18"/>
          <w:highlight w:val="none"/>
        </w:rPr>
        <w:t>业主单位</w:t>
      </w:r>
      <w:r>
        <w:rPr>
          <w:rFonts w:hint="eastAsia" w:cs="宋体"/>
          <w:sz w:val="24"/>
          <w:szCs w:val="24"/>
          <w:highlight w:val="none"/>
          <w:lang w:bidi="ar"/>
        </w:rPr>
        <w:t>根据本项目对</w:t>
      </w:r>
      <w:r>
        <w:rPr>
          <w:rFonts w:hint="eastAsia"/>
          <w:sz w:val="24"/>
          <w:szCs w:val="18"/>
          <w:highlight w:val="none"/>
        </w:rPr>
        <w:t>参审单位</w:t>
      </w:r>
      <w:r>
        <w:rPr>
          <w:rFonts w:hint="eastAsia" w:cs="宋体"/>
          <w:sz w:val="24"/>
          <w:szCs w:val="24"/>
          <w:highlight w:val="none"/>
          <w:lang w:bidi="ar"/>
        </w:rPr>
        <w:t>的特殊要求，联合体中至少应当有一方符合相关规定。</w:t>
      </w:r>
    </w:p>
    <w:p w14:paraId="52D0933E">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3.4.</w:t>
      </w:r>
      <w:r>
        <w:rPr>
          <w:rFonts w:cs="宋体"/>
          <w:sz w:val="24"/>
          <w:szCs w:val="24"/>
          <w:highlight w:val="none"/>
          <w:lang w:bidi="ar"/>
        </w:rPr>
        <w:t>3</w:t>
      </w:r>
      <w:r>
        <w:rPr>
          <w:rFonts w:hint="eastAsia" w:cs="宋体"/>
          <w:sz w:val="24"/>
          <w:szCs w:val="24"/>
          <w:highlight w:val="none"/>
          <w:lang w:bidi="ar"/>
        </w:rPr>
        <w:t>联合体各方应签订联合体协议，明确约定联合体各方承担的工作和相应的责任，并将联合体协议作为响应文件的一部分提交。</w:t>
      </w:r>
    </w:p>
    <w:p w14:paraId="1F1B6071">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3.4.</w:t>
      </w:r>
      <w:r>
        <w:rPr>
          <w:rFonts w:cs="宋体"/>
          <w:sz w:val="24"/>
          <w:szCs w:val="24"/>
          <w:highlight w:val="none"/>
          <w:lang w:bidi="ar"/>
        </w:rPr>
        <w:t>4</w:t>
      </w:r>
      <w:r>
        <w:rPr>
          <w:rFonts w:hint="eastAsia" w:cs="宋体"/>
          <w:sz w:val="24"/>
          <w:szCs w:val="24"/>
          <w:highlight w:val="none"/>
          <w:lang w:bidi="ar"/>
        </w:rPr>
        <w:t>联合体中有同类资质的</w:t>
      </w:r>
      <w:r>
        <w:rPr>
          <w:rFonts w:hint="eastAsia"/>
          <w:sz w:val="24"/>
          <w:szCs w:val="18"/>
          <w:highlight w:val="none"/>
        </w:rPr>
        <w:t>参审单位</w:t>
      </w:r>
      <w:r>
        <w:rPr>
          <w:rFonts w:hint="eastAsia" w:cs="宋体"/>
          <w:sz w:val="24"/>
          <w:szCs w:val="24"/>
          <w:highlight w:val="none"/>
          <w:lang w:bidi="ar"/>
        </w:rPr>
        <w:t>按照联合体分工承担相同工作的，应当按照资质等级较低的</w:t>
      </w:r>
      <w:r>
        <w:rPr>
          <w:rFonts w:hint="eastAsia"/>
          <w:sz w:val="24"/>
          <w:szCs w:val="18"/>
          <w:highlight w:val="none"/>
        </w:rPr>
        <w:t>参审单位</w:t>
      </w:r>
      <w:r>
        <w:rPr>
          <w:rFonts w:hint="eastAsia" w:cs="宋体"/>
          <w:sz w:val="24"/>
          <w:szCs w:val="24"/>
          <w:highlight w:val="none"/>
          <w:lang w:bidi="ar"/>
        </w:rPr>
        <w:t>确定资质等级。</w:t>
      </w:r>
    </w:p>
    <w:p w14:paraId="420D9440">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3.4.</w:t>
      </w:r>
      <w:r>
        <w:rPr>
          <w:rFonts w:cs="宋体"/>
          <w:sz w:val="24"/>
          <w:szCs w:val="24"/>
          <w:highlight w:val="none"/>
          <w:lang w:bidi="ar"/>
        </w:rPr>
        <w:t>5</w:t>
      </w:r>
      <w:r>
        <w:rPr>
          <w:rFonts w:hint="eastAsia" w:cs="宋体"/>
          <w:sz w:val="24"/>
          <w:szCs w:val="24"/>
          <w:highlight w:val="none"/>
          <w:lang w:bidi="ar"/>
        </w:rPr>
        <w:t>以联合体形式参加代理活动的，联合体各方不得再单独参加或者与其他</w:t>
      </w:r>
      <w:r>
        <w:rPr>
          <w:rFonts w:hint="eastAsia"/>
          <w:sz w:val="24"/>
          <w:szCs w:val="18"/>
          <w:highlight w:val="none"/>
        </w:rPr>
        <w:t>参审单位</w:t>
      </w:r>
      <w:r>
        <w:rPr>
          <w:rFonts w:hint="eastAsia" w:cs="宋体"/>
          <w:sz w:val="24"/>
          <w:szCs w:val="24"/>
          <w:highlight w:val="none"/>
          <w:lang w:bidi="ar"/>
        </w:rPr>
        <w:t>另外组成联合体参加本项目磋商，否则相关响应文件将被认定为</w:t>
      </w:r>
      <w:r>
        <w:rPr>
          <w:rFonts w:hint="eastAsia" w:cs="宋体"/>
          <w:b/>
          <w:bCs/>
          <w:sz w:val="24"/>
          <w:szCs w:val="24"/>
          <w:highlight w:val="none"/>
          <w:lang w:bidi="ar"/>
        </w:rPr>
        <w:t>响应无效</w:t>
      </w:r>
      <w:r>
        <w:rPr>
          <w:rFonts w:hint="eastAsia" w:cs="宋体"/>
          <w:sz w:val="24"/>
          <w:szCs w:val="24"/>
          <w:highlight w:val="none"/>
          <w:lang w:bidi="ar"/>
        </w:rPr>
        <w:t>。</w:t>
      </w:r>
    </w:p>
    <w:p w14:paraId="45A65707">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3.4.</w:t>
      </w:r>
      <w:r>
        <w:rPr>
          <w:rFonts w:cs="宋体"/>
          <w:sz w:val="24"/>
          <w:szCs w:val="24"/>
          <w:highlight w:val="none"/>
          <w:lang w:bidi="ar"/>
        </w:rPr>
        <w:t>6</w:t>
      </w:r>
      <w:r>
        <w:rPr>
          <w:rFonts w:hint="eastAsia" w:cs="宋体"/>
          <w:sz w:val="24"/>
          <w:szCs w:val="24"/>
          <w:highlight w:val="none"/>
          <w:lang w:bidi="ar"/>
        </w:rPr>
        <w:t>对联合体参加磋商的其他资格要求见</w:t>
      </w:r>
      <w:r>
        <w:rPr>
          <w:rFonts w:hint="eastAsia"/>
          <w:sz w:val="24"/>
          <w:szCs w:val="18"/>
          <w:highlight w:val="none"/>
        </w:rPr>
        <w:t>参审单位</w:t>
      </w:r>
      <w:r>
        <w:rPr>
          <w:rFonts w:hint="eastAsia" w:cs="宋体"/>
          <w:sz w:val="24"/>
          <w:szCs w:val="24"/>
          <w:highlight w:val="none"/>
          <w:lang w:bidi="ar"/>
        </w:rPr>
        <w:t>资格。</w:t>
      </w:r>
    </w:p>
    <w:p w14:paraId="38A6852F">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3.6单位负责人为同一人或者存在直接控股、管理关系的不同</w:t>
      </w:r>
      <w:r>
        <w:rPr>
          <w:rFonts w:hint="eastAsia"/>
          <w:sz w:val="24"/>
          <w:szCs w:val="18"/>
          <w:highlight w:val="none"/>
        </w:rPr>
        <w:t>参审单位</w:t>
      </w:r>
      <w:r>
        <w:rPr>
          <w:rFonts w:hint="eastAsia" w:cs="宋体"/>
          <w:sz w:val="24"/>
          <w:szCs w:val="24"/>
          <w:highlight w:val="none"/>
          <w:lang w:bidi="ar"/>
        </w:rPr>
        <w:t>，不得参加同一合同项下的代理活动。否则其相关响应文件将被认定为</w:t>
      </w:r>
      <w:r>
        <w:rPr>
          <w:rFonts w:hint="eastAsia" w:cs="宋体"/>
          <w:b/>
          <w:bCs/>
          <w:sz w:val="24"/>
          <w:szCs w:val="24"/>
          <w:highlight w:val="none"/>
          <w:lang w:bidi="ar"/>
        </w:rPr>
        <w:t>响应无效</w:t>
      </w:r>
      <w:r>
        <w:rPr>
          <w:rFonts w:hint="eastAsia" w:cs="宋体"/>
          <w:sz w:val="24"/>
          <w:szCs w:val="24"/>
          <w:highlight w:val="none"/>
          <w:lang w:bidi="ar"/>
        </w:rPr>
        <w:t>。</w:t>
      </w:r>
    </w:p>
    <w:p w14:paraId="6BF49F3E">
      <w:pPr>
        <w:spacing w:line="360" w:lineRule="auto"/>
        <w:ind w:firstLine="482" w:firstLineChars="200"/>
        <w:rPr>
          <w:rFonts w:hint="eastAsia" w:cs="宋体"/>
          <w:sz w:val="24"/>
          <w:szCs w:val="24"/>
          <w:highlight w:val="none"/>
        </w:rPr>
      </w:pPr>
      <w:r>
        <w:rPr>
          <w:rFonts w:hint="eastAsia" w:cs="宋体"/>
          <w:b/>
          <w:bCs/>
          <w:sz w:val="24"/>
          <w:szCs w:val="24"/>
          <w:highlight w:val="none"/>
          <w:lang w:bidi="ar"/>
        </w:rPr>
        <w:t xml:space="preserve">4.资金来源 </w:t>
      </w:r>
    </w:p>
    <w:p w14:paraId="076842AA">
      <w:pPr>
        <w:spacing w:line="360" w:lineRule="auto"/>
        <w:ind w:firstLine="480" w:firstLineChars="200"/>
        <w:rPr>
          <w:rFonts w:hint="eastAsia" w:cs="宋体"/>
          <w:sz w:val="24"/>
          <w:szCs w:val="24"/>
          <w:highlight w:val="none"/>
        </w:rPr>
      </w:pPr>
      <w:r>
        <w:rPr>
          <w:rFonts w:hint="eastAsia" w:cs="宋体"/>
          <w:sz w:val="24"/>
          <w:szCs w:val="24"/>
          <w:highlight w:val="none"/>
          <w:lang w:bidi="ar"/>
        </w:rPr>
        <w:t>4.1本项目的</w:t>
      </w:r>
      <w:r>
        <w:rPr>
          <w:rFonts w:hint="eastAsia"/>
          <w:sz w:val="24"/>
          <w:szCs w:val="18"/>
          <w:highlight w:val="none"/>
        </w:rPr>
        <w:t>业主单位</w:t>
      </w:r>
      <w:r>
        <w:rPr>
          <w:rFonts w:hint="eastAsia" w:cs="宋体"/>
          <w:sz w:val="24"/>
          <w:szCs w:val="24"/>
          <w:highlight w:val="none"/>
          <w:lang w:bidi="ar"/>
        </w:rPr>
        <w:t>已获得足以支付本次磋商后所签订的合同项下的资金。</w:t>
      </w:r>
    </w:p>
    <w:p w14:paraId="75A12307">
      <w:pPr>
        <w:spacing w:line="360" w:lineRule="auto"/>
        <w:ind w:firstLine="435"/>
        <w:rPr>
          <w:rFonts w:hint="eastAsia"/>
          <w:sz w:val="24"/>
          <w:highlight w:val="none"/>
        </w:rPr>
      </w:pPr>
      <w:r>
        <w:rPr>
          <w:rFonts w:hint="eastAsia" w:cs="宋体"/>
          <w:sz w:val="24"/>
          <w:szCs w:val="24"/>
          <w:highlight w:val="none"/>
          <w:lang w:bidi="ar"/>
        </w:rPr>
        <w:t>4.2项目预算金额或分项（或分包）预算金额见磋商公告。</w:t>
      </w:r>
    </w:p>
    <w:p w14:paraId="70889D54">
      <w:pPr>
        <w:spacing w:line="360" w:lineRule="auto"/>
        <w:ind w:firstLine="437"/>
        <w:outlineLvl w:val="2"/>
        <w:rPr>
          <w:rFonts w:hint="eastAsia"/>
          <w:b/>
          <w:sz w:val="24"/>
          <w:highlight w:val="none"/>
        </w:rPr>
      </w:pPr>
      <w:r>
        <w:rPr>
          <w:rFonts w:hint="eastAsia"/>
          <w:b/>
          <w:sz w:val="24"/>
          <w:highlight w:val="none"/>
        </w:rPr>
        <w:t>5</w:t>
      </w:r>
      <w:r>
        <w:rPr>
          <w:b/>
          <w:sz w:val="24"/>
          <w:highlight w:val="none"/>
        </w:rPr>
        <w:t>.</w:t>
      </w:r>
      <w:r>
        <w:rPr>
          <w:rFonts w:hint="eastAsia"/>
          <w:b/>
          <w:sz w:val="24"/>
          <w:highlight w:val="none"/>
        </w:rPr>
        <w:t>磋商费用</w:t>
      </w:r>
    </w:p>
    <w:p w14:paraId="1764758D">
      <w:pPr>
        <w:spacing w:line="360" w:lineRule="auto"/>
        <w:ind w:firstLine="437"/>
        <w:rPr>
          <w:rFonts w:hint="eastAsia"/>
          <w:sz w:val="24"/>
          <w:highlight w:val="none"/>
        </w:rPr>
      </w:pPr>
      <w:r>
        <w:rPr>
          <w:rFonts w:hint="eastAsia"/>
          <w:sz w:val="24"/>
          <w:highlight w:val="none"/>
        </w:rPr>
        <w:t>不论磋商的结果如何，</w:t>
      </w:r>
      <w:r>
        <w:rPr>
          <w:rFonts w:hint="eastAsia"/>
          <w:sz w:val="24"/>
          <w:szCs w:val="18"/>
          <w:highlight w:val="none"/>
        </w:rPr>
        <w:t>参审单位</w:t>
      </w:r>
      <w:r>
        <w:rPr>
          <w:rFonts w:hint="eastAsia"/>
          <w:sz w:val="24"/>
          <w:highlight w:val="none"/>
        </w:rPr>
        <w:t>应承担其所有与准备和参加磋商有关的费用。</w:t>
      </w:r>
    </w:p>
    <w:p w14:paraId="26FAD0C5">
      <w:pPr>
        <w:spacing w:line="360" w:lineRule="auto"/>
        <w:ind w:firstLine="437"/>
        <w:outlineLvl w:val="2"/>
        <w:rPr>
          <w:rFonts w:hint="eastAsia"/>
          <w:b/>
          <w:sz w:val="24"/>
          <w:highlight w:val="none"/>
        </w:rPr>
      </w:pPr>
      <w:r>
        <w:rPr>
          <w:rFonts w:hint="eastAsia"/>
          <w:b/>
          <w:sz w:val="24"/>
          <w:highlight w:val="none"/>
        </w:rPr>
        <w:t>6</w:t>
      </w:r>
      <w:r>
        <w:rPr>
          <w:b/>
          <w:sz w:val="24"/>
          <w:highlight w:val="none"/>
        </w:rPr>
        <w:t>.</w:t>
      </w:r>
      <w:r>
        <w:rPr>
          <w:rFonts w:hint="eastAsia"/>
          <w:b/>
          <w:sz w:val="24"/>
          <w:highlight w:val="none"/>
        </w:rPr>
        <w:t>适用法律</w:t>
      </w:r>
    </w:p>
    <w:p w14:paraId="3C454F4A">
      <w:pPr>
        <w:spacing w:line="360" w:lineRule="auto"/>
        <w:ind w:firstLine="435"/>
        <w:rPr>
          <w:rFonts w:hint="eastAsia"/>
          <w:sz w:val="24"/>
          <w:highlight w:val="none"/>
        </w:rPr>
      </w:pPr>
      <w:r>
        <w:rPr>
          <w:rFonts w:hint="eastAsia" w:cs="宋体"/>
          <w:sz w:val="24"/>
          <w:szCs w:val="24"/>
          <w:highlight w:val="none"/>
          <w:lang w:bidi="ar"/>
        </w:rPr>
        <w:t>本项目</w:t>
      </w:r>
      <w:r>
        <w:rPr>
          <w:rFonts w:hint="eastAsia"/>
          <w:sz w:val="24"/>
          <w:szCs w:val="18"/>
          <w:highlight w:val="none"/>
        </w:rPr>
        <w:t>业主单位</w:t>
      </w:r>
      <w:r>
        <w:rPr>
          <w:rFonts w:hint="eastAsia" w:cs="宋体"/>
          <w:sz w:val="24"/>
          <w:szCs w:val="24"/>
          <w:highlight w:val="none"/>
          <w:lang w:bidi="ar"/>
        </w:rPr>
        <w:t>、代理机构、</w:t>
      </w:r>
      <w:r>
        <w:rPr>
          <w:rFonts w:hint="eastAsia"/>
          <w:sz w:val="24"/>
          <w:szCs w:val="18"/>
          <w:highlight w:val="none"/>
        </w:rPr>
        <w:t>参审单位</w:t>
      </w:r>
      <w:r>
        <w:rPr>
          <w:rFonts w:hint="eastAsia" w:cs="宋体"/>
          <w:sz w:val="24"/>
          <w:szCs w:val="24"/>
          <w:highlight w:val="none"/>
          <w:lang w:bidi="ar"/>
        </w:rPr>
        <w:t>、磋商小组的相关行为均受《中华人民共和国民法典》有关规定约束，其权利受到上述法律法规的保护。</w:t>
      </w:r>
    </w:p>
    <w:p w14:paraId="57983813">
      <w:pPr>
        <w:spacing w:line="360" w:lineRule="auto"/>
        <w:ind w:firstLine="437"/>
        <w:outlineLvl w:val="2"/>
        <w:rPr>
          <w:rFonts w:hint="eastAsia"/>
          <w:b/>
          <w:sz w:val="24"/>
          <w:highlight w:val="none"/>
        </w:rPr>
      </w:pPr>
      <w:r>
        <w:rPr>
          <w:rFonts w:hint="eastAsia"/>
          <w:b/>
          <w:sz w:val="24"/>
          <w:highlight w:val="none"/>
        </w:rPr>
        <w:t>7</w:t>
      </w:r>
      <w:r>
        <w:rPr>
          <w:b/>
          <w:sz w:val="24"/>
          <w:highlight w:val="none"/>
        </w:rPr>
        <w:t>.</w:t>
      </w:r>
      <w:r>
        <w:rPr>
          <w:rFonts w:hint="eastAsia"/>
          <w:b/>
          <w:sz w:val="24"/>
          <w:highlight w:val="none"/>
        </w:rPr>
        <w:t>磋商文件构成</w:t>
      </w:r>
    </w:p>
    <w:p w14:paraId="306C1D1B">
      <w:pPr>
        <w:spacing w:line="360" w:lineRule="auto"/>
        <w:ind w:firstLine="435"/>
        <w:rPr>
          <w:rFonts w:hint="eastAsia"/>
          <w:sz w:val="24"/>
          <w:highlight w:val="none"/>
        </w:rPr>
      </w:pPr>
      <w:r>
        <w:rPr>
          <w:rFonts w:hint="eastAsia"/>
          <w:sz w:val="24"/>
          <w:highlight w:val="none"/>
        </w:rPr>
        <w:t>7.1磋商文件包括下列内容：</w:t>
      </w:r>
    </w:p>
    <w:p w14:paraId="79875FF7">
      <w:pPr>
        <w:spacing w:line="360" w:lineRule="auto"/>
        <w:ind w:firstLine="840" w:firstLineChars="350"/>
        <w:rPr>
          <w:rFonts w:hint="eastAsia"/>
          <w:sz w:val="24"/>
          <w:highlight w:val="none"/>
        </w:rPr>
      </w:pPr>
      <w:r>
        <w:rPr>
          <w:rFonts w:hint="eastAsia"/>
          <w:sz w:val="24"/>
          <w:highlight w:val="none"/>
        </w:rPr>
        <w:t>第一章</w:t>
      </w:r>
      <w:r>
        <w:rPr>
          <w:sz w:val="24"/>
          <w:highlight w:val="none"/>
        </w:rPr>
        <w:t xml:space="preserve">  </w:t>
      </w:r>
      <w:r>
        <w:rPr>
          <w:rFonts w:hint="eastAsia"/>
          <w:sz w:val="24"/>
          <w:highlight w:val="none"/>
        </w:rPr>
        <w:t>磋商公告</w:t>
      </w:r>
    </w:p>
    <w:p w14:paraId="0A0B11D4">
      <w:pPr>
        <w:spacing w:line="360" w:lineRule="auto"/>
        <w:ind w:firstLine="840" w:firstLineChars="350"/>
        <w:rPr>
          <w:rFonts w:hint="eastAsia"/>
          <w:sz w:val="24"/>
          <w:highlight w:val="none"/>
        </w:rPr>
      </w:pPr>
      <w:r>
        <w:rPr>
          <w:rFonts w:hint="eastAsia"/>
          <w:sz w:val="24"/>
          <w:highlight w:val="none"/>
        </w:rPr>
        <w:t>第二章</w:t>
      </w:r>
      <w:r>
        <w:rPr>
          <w:sz w:val="24"/>
          <w:highlight w:val="none"/>
        </w:rPr>
        <w:t xml:space="preserve">  </w:t>
      </w:r>
      <w:r>
        <w:rPr>
          <w:rFonts w:hint="eastAsia"/>
          <w:sz w:val="24"/>
          <w:szCs w:val="18"/>
          <w:highlight w:val="none"/>
        </w:rPr>
        <w:t>参审单位</w:t>
      </w:r>
      <w:r>
        <w:rPr>
          <w:sz w:val="24"/>
          <w:highlight w:val="none"/>
        </w:rPr>
        <w:t>须知</w:t>
      </w:r>
    </w:p>
    <w:p w14:paraId="615FDC11">
      <w:pPr>
        <w:spacing w:line="360" w:lineRule="auto"/>
        <w:ind w:firstLine="840" w:firstLineChars="350"/>
        <w:rPr>
          <w:rFonts w:hint="eastAsia"/>
          <w:sz w:val="24"/>
          <w:highlight w:val="none"/>
        </w:rPr>
      </w:pPr>
      <w:r>
        <w:rPr>
          <w:rFonts w:hint="eastAsia"/>
          <w:sz w:val="24"/>
          <w:highlight w:val="none"/>
        </w:rPr>
        <w:t>第三章</w:t>
      </w:r>
      <w:r>
        <w:rPr>
          <w:sz w:val="24"/>
          <w:highlight w:val="none"/>
        </w:rPr>
        <w:t xml:space="preserve">  </w:t>
      </w:r>
      <w:r>
        <w:rPr>
          <w:rFonts w:hint="eastAsia"/>
          <w:sz w:val="24"/>
          <w:highlight w:val="none"/>
        </w:rPr>
        <w:t>项目需求</w:t>
      </w:r>
    </w:p>
    <w:p w14:paraId="7F2D433C">
      <w:pPr>
        <w:spacing w:line="360" w:lineRule="auto"/>
        <w:ind w:firstLine="840" w:firstLineChars="350"/>
        <w:rPr>
          <w:rFonts w:hint="eastAsia"/>
          <w:sz w:val="24"/>
          <w:highlight w:val="none"/>
        </w:rPr>
      </w:pPr>
      <w:r>
        <w:rPr>
          <w:rFonts w:hint="eastAsia"/>
          <w:sz w:val="24"/>
          <w:highlight w:val="none"/>
        </w:rPr>
        <w:t>第四章</w:t>
      </w:r>
      <w:r>
        <w:rPr>
          <w:sz w:val="24"/>
          <w:highlight w:val="none"/>
        </w:rPr>
        <w:t xml:space="preserve">  </w:t>
      </w:r>
      <w:r>
        <w:rPr>
          <w:rFonts w:hint="eastAsia"/>
          <w:sz w:val="24"/>
          <w:highlight w:val="none"/>
        </w:rPr>
        <w:t>评审方法</w:t>
      </w:r>
      <w:r>
        <w:rPr>
          <w:sz w:val="24"/>
          <w:highlight w:val="none"/>
        </w:rPr>
        <w:t>和标准</w:t>
      </w:r>
    </w:p>
    <w:p w14:paraId="08916BF2">
      <w:pPr>
        <w:spacing w:line="360" w:lineRule="auto"/>
        <w:ind w:firstLine="840" w:firstLineChars="350"/>
        <w:rPr>
          <w:rFonts w:hint="eastAsia"/>
          <w:sz w:val="24"/>
          <w:highlight w:val="none"/>
        </w:rPr>
      </w:pPr>
      <w:r>
        <w:rPr>
          <w:rFonts w:hint="eastAsia"/>
          <w:sz w:val="24"/>
          <w:highlight w:val="none"/>
        </w:rPr>
        <w:t>第五章</w:t>
      </w:r>
      <w:r>
        <w:rPr>
          <w:sz w:val="24"/>
          <w:highlight w:val="none"/>
        </w:rPr>
        <w:t xml:space="preserve">  </w:t>
      </w:r>
      <w:r>
        <w:rPr>
          <w:rFonts w:hint="eastAsia" w:cs="宋体"/>
          <w:sz w:val="24"/>
          <w:szCs w:val="24"/>
          <w:highlight w:val="none"/>
          <w:lang w:bidi="ar"/>
        </w:rPr>
        <w:t>合同条款及格式</w:t>
      </w:r>
    </w:p>
    <w:p w14:paraId="09ECA39F">
      <w:pPr>
        <w:spacing w:line="360" w:lineRule="auto"/>
        <w:ind w:firstLine="840" w:firstLineChars="350"/>
        <w:rPr>
          <w:rFonts w:hint="eastAsia"/>
          <w:sz w:val="24"/>
          <w:highlight w:val="none"/>
        </w:rPr>
      </w:pPr>
      <w:r>
        <w:rPr>
          <w:rFonts w:hint="eastAsia"/>
          <w:sz w:val="24"/>
          <w:highlight w:val="none"/>
        </w:rPr>
        <w:t>第六章</w:t>
      </w:r>
      <w:r>
        <w:rPr>
          <w:sz w:val="24"/>
          <w:highlight w:val="none"/>
        </w:rPr>
        <w:t xml:space="preserve">  </w:t>
      </w:r>
      <w:r>
        <w:rPr>
          <w:rFonts w:hint="eastAsia"/>
          <w:sz w:val="24"/>
          <w:highlight w:val="none"/>
        </w:rPr>
        <w:t>响应</w:t>
      </w:r>
      <w:r>
        <w:rPr>
          <w:sz w:val="24"/>
          <w:highlight w:val="none"/>
        </w:rPr>
        <w:t>文件格式</w:t>
      </w:r>
    </w:p>
    <w:p w14:paraId="0633A974">
      <w:pPr>
        <w:spacing w:line="360" w:lineRule="auto"/>
        <w:ind w:firstLine="435"/>
        <w:rPr>
          <w:rFonts w:hint="eastAsia"/>
          <w:sz w:val="24"/>
          <w:highlight w:val="none"/>
        </w:rPr>
      </w:pPr>
      <w:r>
        <w:rPr>
          <w:sz w:val="24"/>
          <w:highlight w:val="none"/>
        </w:rPr>
        <w:t>7.2</w:t>
      </w:r>
      <w:r>
        <w:rPr>
          <w:rFonts w:hint="eastAsia"/>
          <w:sz w:val="24"/>
          <w:highlight w:val="none"/>
        </w:rPr>
        <w:t>磋商</w:t>
      </w:r>
      <w:r>
        <w:rPr>
          <w:sz w:val="24"/>
          <w:highlight w:val="none"/>
        </w:rPr>
        <w:t>文件中有不一致的，有</w:t>
      </w:r>
      <w:r>
        <w:rPr>
          <w:rFonts w:hint="eastAsia"/>
          <w:sz w:val="24"/>
          <w:highlight w:val="none"/>
        </w:rPr>
        <w:t>澄清</w:t>
      </w:r>
      <w:r>
        <w:rPr>
          <w:sz w:val="24"/>
          <w:highlight w:val="none"/>
        </w:rPr>
        <w:t>的部分以最终的</w:t>
      </w:r>
      <w:r>
        <w:rPr>
          <w:rFonts w:hint="eastAsia"/>
          <w:sz w:val="24"/>
          <w:highlight w:val="none"/>
        </w:rPr>
        <w:t>澄清更正</w:t>
      </w:r>
      <w:r>
        <w:rPr>
          <w:sz w:val="24"/>
          <w:highlight w:val="none"/>
        </w:rPr>
        <w:t>内容为准</w:t>
      </w:r>
      <w:r>
        <w:rPr>
          <w:rFonts w:hint="eastAsia"/>
          <w:sz w:val="24"/>
          <w:highlight w:val="none"/>
        </w:rPr>
        <w:t>。</w:t>
      </w:r>
    </w:p>
    <w:p w14:paraId="58C5C6E8">
      <w:pPr>
        <w:spacing w:line="360" w:lineRule="auto"/>
        <w:ind w:firstLine="435"/>
        <w:rPr>
          <w:rFonts w:hint="eastAsia"/>
          <w:sz w:val="24"/>
          <w:highlight w:val="none"/>
        </w:rPr>
      </w:pPr>
      <w:r>
        <w:rPr>
          <w:sz w:val="24"/>
          <w:highlight w:val="none"/>
        </w:rPr>
        <w:t>7.3现场</w:t>
      </w:r>
      <w:r>
        <w:rPr>
          <w:rFonts w:hint="eastAsia"/>
          <w:sz w:val="24"/>
          <w:highlight w:val="none"/>
        </w:rPr>
        <w:t>考察</w:t>
      </w:r>
      <w:r>
        <w:rPr>
          <w:sz w:val="24"/>
          <w:highlight w:val="none"/>
        </w:rPr>
        <w:t>及相关事项见</w:t>
      </w:r>
      <w:r>
        <w:rPr>
          <w:rFonts w:hint="eastAsia"/>
          <w:sz w:val="24"/>
          <w:szCs w:val="18"/>
          <w:highlight w:val="none"/>
          <w:u w:val="single"/>
        </w:rPr>
        <w:t>参审单位</w:t>
      </w:r>
      <w:r>
        <w:rPr>
          <w:sz w:val="24"/>
          <w:highlight w:val="none"/>
          <w:u w:val="single"/>
        </w:rPr>
        <w:t>须知前附表</w:t>
      </w:r>
      <w:r>
        <w:rPr>
          <w:sz w:val="24"/>
          <w:highlight w:val="none"/>
        </w:rPr>
        <w:t>。</w:t>
      </w:r>
    </w:p>
    <w:p w14:paraId="03DC0D8B">
      <w:pPr>
        <w:spacing w:line="360" w:lineRule="auto"/>
        <w:ind w:firstLine="435"/>
        <w:rPr>
          <w:rFonts w:hint="eastAsia"/>
          <w:sz w:val="24"/>
          <w:highlight w:val="none"/>
        </w:rPr>
      </w:pPr>
      <w:r>
        <w:rPr>
          <w:sz w:val="24"/>
          <w:highlight w:val="none"/>
        </w:rPr>
        <w:t>7.4</w:t>
      </w:r>
      <w:r>
        <w:rPr>
          <w:rFonts w:hint="eastAsia"/>
          <w:sz w:val="24"/>
          <w:szCs w:val="18"/>
          <w:highlight w:val="none"/>
        </w:rPr>
        <w:t>参审单位</w:t>
      </w:r>
      <w:r>
        <w:rPr>
          <w:sz w:val="24"/>
          <w:highlight w:val="none"/>
        </w:rPr>
        <w:t>应认真阅读</w:t>
      </w:r>
      <w:r>
        <w:rPr>
          <w:rFonts w:hint="eastAsia"/>
          <w:sz w:val="24"/>
          <w:highlight w:val="none"/>
        </w:rPr>
        <w:t>磋商</w:t>
      </w:r>
      <w:r>
        <w:rPr>
          <w:sz w:val="24"/>
          <w:highlight w:val="none"/>
        </w:rPr>
        <w:t>文件所有的事项、格式、条款和技术规范等。</w:t>
      </w:r>
    </w:p>
    <w:p w14:paraId="5F4C504A">
      <w:pPr>
        <w:spacing w:line="360" w:lineRule="auto"/>
        <w:ind w:firstLine="437"/>
        <w:outlineLvl w:val="2"/>
        <w:rPr>
          <w:rFonts w:hint="eastAsia"/>
          <w:b/>
          <w:sz w:val="24"/>
          <w:highlight w:val="none"/>
        </w:rPr>
      </w:pPr>
      <w:r>
        <w:rPr>
          <w:rFonts w:hint="eastAsia"/>
          <w:b/>
          <w:sz w:val="24"/>
          <w:highlight w:val="none"/>
        </w:rPr>
        <w:t>8</w:t>
      </w:r>
      <w:r>
        <w:rPr>
          <w:b/>
          <w:sz w:val="24"/>
          <w:highlight w:val="none"/>
        </w:rPr>
        <w:t>.</w:t>
      </w:r>
      <w:r>
        <w:rPr>
          <w:rFonts w:hint="eastAsia"/>
          <w:b/>
          <w:sz w:val="24"/>
          <w:highlight w:val="none"/>
        </w:rPr>
        <w:t>磋商文件的澄清与修改</w:t>
      </w:r>
    </w:p>
    <w:p w14:paraId="573D5141">
      <w:pPr>
        <w:spacing w:line="360" w:lineRule="auto"/>
        <w:ind w:firstLine="435"/>
        <w:rPr>
          <w:rFonts w:hint="eastAsia"/>
          <w:sz w:val="24"/>
          <w:highlight w:val="none"/>
        </w:rPr>
      </w:pPr>
      <w:r>
        <w:rPr>
          <w:rFonts w:hint="eastAsia"/>
          <w:sz w:val="24"/>
          <w:highlight w:val="none"/>
        </w:rPr>
        <w:t>8</w:t>
      </w:r>
      <w:r>
        <w:rPr>
          <w:sz w:val="24"/>
          <w:highlight w:val="none"/>
        </w:rPr>
        <w:t>.</w:t>
      </w:r>
      <w:r>
        <w:rPr>
          <w:rFonts w:hint="eastAsia"/>
          <w:sz w:val="24"/>
          <w:highlight w:val="none"/>
        </w:rPr>
        <w:t>1</w:t>
      </w:r>
      <w:r>
        <w:rPr>
          <w:rFonts w:hint="eastAsia"/>
          <w:sz w:val="24"/>
          <w:szCs w:val="18"/>
          <w:highlight w:val="none"/>
        </w:rPr>
        <w:t>参审单位</w:t>
      </w:r>
      <w:r>
        <w:rPr>
          <w:sz w:val="24"/>
          <w:highlight w:val="none"/>
        </w:rPr>
        <w:t>如对</w:t>
      </w:r>
      <w:r>
        <w:rPr>
          <w:rFonts w:hint="eastAsia"/>
          <w:sz w:val="24"/>
          <w:highlight w:val="none"/>
        </w:rPr>
        <w:t>磋商</w:t>
      </w:r>
      <w:r>
        <w:rPr>
          <w:sz w:val="24"/>
          <w:highlight w:val="none"/>
        </w:rPr>
        <w:t>文件内容有疑问，必须在</w:t>
      </w:r>
      <w:r>
        <w:rPr>
          <w:rFonts w:hint="eastAsia"/>
          <w:sz w:val="24"/>
          <w:szCs w:val="18"/>
          <w:highlight w:val="none"/>
          <w:u w:val="single"/>
        </w:rPr>
        <w:t>参审单位</w:t>
      </w:r>
      <w:r>
        <w:rPr>
          <w:sz w:val="24"/>
          <w:highlight w:val="none"/>
          <w:u w:val="single"/>
        </w:rPr>
        <w:t>须知前附表</w:t>
      </w:r>
      <w:r>
        <w:rPr>
          <w:sz w:val="24"/>
          <w:highlight w:val="none"/>
        </w:rPr>
        <w:t>规定的</w:t>
      </w:r>
      <w:r>
        <w:rPr>
          <w:rFonts w:hint="eastAsia"/>
          <w:sz w:val="24"/>
          <w:highlight w:val="none"/>
        </w:rPr>
        <w:t>网上询问</w:t>
      </w:r>
      <w:r>
        <w:rPr>
          <w:sz w:val="24"/>
          <w:highlight w:val="none"/>
        </w:rPr>
        <w:t>截止时间前以网上提问形式提交给</w:t>
      </w:r>
      <w:r>
        <w:rPr>
          <w:rFonts w:hint="eastAsia"/>
          <w:sz w:val="24"/>
          <w:highlight w:val="none"/>
        </w:rPr>
        <w:t>代理机构</w:t>
      </w:r>
      <w:r>
        <w:rPr>
          <w:sz w:val="24"/>
          <w:highlight w:val="none"/>
        </w:rPr>
        <w:t>。</w:t>
      </w:r>
    </w:p>
    <w:p w14:paraId="4D13A333">
      <w:pPr>
        <w:spacing w:line="360" w:lineRule="auto"/>
        <w:ind w:firstLine="435"/>
        <w:rPr>
          <w:rFonts w:hint="eastAsia"/>
          <w:sz w:val="24"/>
          <w:highlight w:val="none"/>
        </w:rPr>
      </w:pPr>
      <w:r>
        <w:rPr>
          <w:rFonts w:hint="eastAsia"/>
          <w:sz w:val="24"/>
          <w:highlight w:val="none"/>
        </w:rPr>
        <w:t>8</w:t>
      </w:r>
      <w:r>
        <w:rPr>
          <w:sz w:val="24"/>
          <w:highlight w:val="none"/>
        </w:rPr>
        <w:t>.</w:t>
      </w:r>
      <w:r>
        <w:rPr>
          <w:rFonts w:hint="eastAsia"/>
          <w:sz w:val="24"/>
          <w:highlight w:val="none"/>
        </w:rPr>
        <w:t>2</w:t>
      </w:r>
      <w:r>
        <w:rPr>
          <w:rFonts w:hint="eastAsia"/>
          <w:sz w:val="24"/>
          <w:szCs w:val="18"/>
          <w:highlight w:val="none"/>
        </w:rPr>
        <w:t>业主单位</w:t>
      </w:r>
      <w:r>
        <w:rPr>
          <w:rFonts w:hint="eastAsia"/>
          <w:sz w:val="24"/>
          <w:highlight w:val="none"/>
        </w:rPr>
        <w:t>可主动或在解答</w:t>
      </w:r>
      <w:r>
        <w:rPr>
          <w:rFonts w:hint="eastAsia"/>
          <w:sz w:val="24"/>
          <w:szCs w:val="18"/>
          <w:highlight w:val="none"/>
        </w:rPr>
        <w:t>参审单位</w:t>
      </w:r>
      <w:r>
        <w:rPr>
          <w:rFonts w:hint="eastAsia"/>
          <w:sz w:val="24"/>
          <w:highlight w:val="none"/>
        </w:rPr>
        <w:t>提出的问题时对磋商文件进行澄清或者修改。代理机构</w:t>
      </w:r>
      <w:r>
        <w:rPr>
          <w:sz w:val="24"/>
          <w:highlight w:val="none"/>
        </w:rPr>
        <w:t>将</w:t>
      </w:r>
      <w:r>
        <w:rPr>
          <w:rFonts w:hint="eastAsia"/>
          <w:sz w:val="24"/>
          <w:highlight w:val="none"/>
        </w:rPr>
        <w:t>在</w:t>
      </w:r>
      <w:r>
        <w:rPr>
          <w:rFonts w:hint="eastAsia" w:cs="宋体"/>
          <w:sz w:val="24"/>
          <w:szCs w:val="18"/>
          <w:highlight w:val="none"/>
        </w:rPr>
        <w:t>优质采云采购平台</w:t>
      </w:r>
      <w:r>
        <w:rPr>
          <w:rFonts w:hint="eastAsia"/>
          <w:sz w:val="24"/>
          <w:highlight w:val="none"/>
        </w:rPr>
        <w:t>发布更正公告的方式澄清或者修改磋商文件，更正公告的</w:t>
      </w:r>
      <w:r>
        <w:rPr>
          <w:sz w:val="24"/>
          <w:highlight w:val="none"/>
        </w:rPr>
        <w:t>内容</w:t>
      </w:r>
      <w:r>
        <w:rPr>
          <w:rFonts w:hint="eastAsia"/>
          <w:sz w:val="24"/>
          <w:highlight w:val="none"/>
        </w:rPr>
        <w:t>作</w:t>
      </w:r>
      <w:r>
        <w:rPr>
          <w:sz w:val="24"/>
          <w:highlight w:val="none"/>
        </w:rPr>
        <w:t>为</w:t>
      </w:r>
      <w:r>
        <w:rPr>
          <w:rFonts w:hint="eastAsia"/>
          <w:sz w:val="24"/>
          <w:highlight w:val="none"/>
        </w:rPr>
        <w:t>磋商</w:t>
      </w:r>
      <w:r>
        <w:rPr>
          <w:sz w:val="24"/>
          <w:highlight w:val="none"/>
        </w:rPr>
        <w:t>文件</w:t>
      </w:r>
      <w:r>
        <w:rPr>
          <w:rFonts w:hint="eastAsia"/>
          <w:sz w:val="24"/>
          <w:highlight w:val="none"/>
        </w:rPr>
        <w:t>的</w:t>
      </w:r>
      <w:r>
        <w:rPr>
          <w:sz w:val="24"/>
          <w:highlight w:val="none"/>
        </w:rPr>
        <w:t>组成部分，对</w:t>
      </w:r>
      <w:r>
        <w:rPr>
          <w:rFonts w:hint="eastAsia"/>
          <w:sz w:val="24"/>
          <w:szCs w:val="18"/>
          <w:highlight w:val="none"/>
        </w:rPr>
        <w:t>参审单位</w:t>
      </w:r>
      <w:r>
        <w:rPr>
          <w:sz w:val="24"/>
          <w:highlight w:val="none"/>
        </w:rPr>
        <w:t>起约束作用</w:t>
      </w:r>
      <w:r>
        <w:rPr>
          <w:rFonts w:hint="eastAsia"/>
          <w:sz w:val="24"/>
          <w:highlight w:val="none"/>
        </w:rPr>
        <w:t>。</w:t>
      </w:r>
      <w:r>
        <w:rPr>
          <w:rFonts w:hint="eastAsia"/>
          <w:sz w:val="24"/>
          <w:szCs w:val="18"/>
          <w:highlight w:val="none"/>
        </w:rPr>
        <w:t>参审单位</w:t>
      </w:r>
      <w:r>
        <w:rPr>
          <w:rFonts w:hint="eastAsia"/>
          <w:sz w:val="24"/>
          <w:highlight w:val="none"/>
        </w:rPr>
        <w:t>应主动上网查询。代理机构不承担</w:t>
      </w:r>
      <w:r>
        <w:rPr>
          <w:rFonts w:hint="eastAsia"/>
          <w:sz w:val="24"/>
          <w:szCs w:val="18"/>
          <w:highlight w:val="none"/>
        </w:rPr>
        <w:t>参审单位</w:t>
      </w:r>
      <w:r>
        <w:rPr>
          <w:rFonts w:hint="eastAsia"/>
          <w:sz w:val="24"/>
          <w:highlight w:val="none"/>
        </w:rPr>
        <w:t>未及时关注相关信息引发的相关责任。</w:t>
      </w:r>
    </w:p>
    <w:p w14:paraId="530AF002">
      <w:pPr>
        <w:spacing w:line="360" w:lineRule="auto"/>
        <w:ind w:firstLine="435"/>
        <w:rPr>
          <w:rFonts w:hint="eastAsia"/>
          <w:sz w:val="24"/>
          <w:highlight w:val="none"/>
        </w:rPr>
      </w:pPr>
      <w:r>
        <w:rPr>
          <w:sz w:val="24"/>
          <w:highlight w:val="none"/>
        </w:rPr>
        <w:t>8</w:t>
      </w:r>
      <w:r>
        <w:rPr>
          <w:rFonts w:hint="eastAsia"/>
          <w:sz w:val="24"/>
          <w:highlight w:val="none"/>
        </w:rPr>
        <w:t>.3任何人或任何组织向</w:t>
      </w:r>
      <w:r>
        <w:rPr>
          <w:rFonts w:hint="eastAsia"/>
          <w:sz w:val="24"/>
          <w:szCs w:val="18"/>
          <w:highlight w:val="none"/>
        </w:rPr>
        <w:t>参审单位</w:t>
      </w:r>
      <w:r>
        <w:rPr>
          <w:rFonts w:hint="eastAsia"/>
          <w:sz w:val="24"/>
          <w:highlight w:val="none"/>
        </w:rPr>
        <w:t>提供的任何书面或口头资料，未经代理机构在网上发布或书面通知，均作无效处理，不得作为磋商文件的组成部分。代理机构对</w:t>
      </w:r>
      <w:r>
        <w:rPr>
          <w:rFonts w:hint="eastAsia"/>
          <w:sz w:val="24"/>
          <w:szCs w:val="18"/>
          <w:highlight w:val="none"/>
        </w:rPr>
        <w:t>参审单位</w:t>
      </w:r>
      <w:r>
        <w:rPr>
          <w:rFonts w:hint="eastAsia"/>
          <w:sz w:val="24"/>
          <w:highlight w:val="none"/>
        </w:rPr>
        <w:t>由此而做出的推论、理解和结论概不负责。</w:t>
      </w:r>
    </w:p>
    <w:p w14:paraId="1D9B0C14">
      <w:pPr>
        <w:spacing w:line="360" w:lineRule="auto"/>
        <w:ind w:firstLine="435"/>
        <w:rPr>
          <w:rFonts w:hint="eastAsia"/>
          <w:iCs/>
          <w:sz w:val="24"/>
          <w:highlight w:val="none"/>
        </w:rPr>
      </w:pPr>
      <w:r>
        <w:rPr>
          <w:rFonts w:hint="eastAsia"/>
          <w:sz w:val="24"/>
          <w:highlight w:val="none"/>
        </w:rPr>
        <w:t>8</w:t>
      </w:r>
      <w:r>
        <w:rPr>
          <w:sz w:val="24"/>
          <w:highlight w:val="none"/>
        </w:rPr>
        <w:t>.</w:t>
      </w:r>
      <w:r>
        <w:rPr>
          <w:rFonts w:hint="eastAsia"/>
          <w:sz w:val="24"/>
          <w:highlight w:val="none"/>
        </w:rPr>
        <w:t>4</w:t>
      </w:r>
      <w:r>
        <w:rPr>
          <w:sz w:val="24"/>
          <w:highlight w:val="none"/>
        </w:rPr>
        <w:t>对于没有提出</w:t>
      </w:r>
      <w:r>
        <w:rPr>
          <w:rFonts w:hint="eastAsia"/>
          <w:sz w:val="24"/>
          <w:highlight w:val="none"/>
        </w:rPr>
        <w:t>询问</w:t>
      </w:r>
      <w:r>
        <w:rPr>
          <w:sz w:val="24"/>
          <w:highlight w:val="none"/>
        </w:rPr>
        <w:t>又参与了</w:t>
      </w:r>
      <w:r>
        <w:rPr>
          <w:rFonts w:hint="eastAsia"/>
          <w:sz w:val="24"/>
          <w:highlight w:val="none"/>
        </w:rPr>
        <w:t>本</w:t>
      </w:r>
      <w:r>
        <w:rPr>
          <w:sz w:val="24"/>
          <w:highlight w:val="none"/>
        </w:rPr>
        <w:t>项目</w:t>
      </w:r>
      <w:r>
        <w:rPr>
          <w:rFonts w:hint="eastAsia"/>
          <w:sz w:val="24"/>
          <w:highlight w:val="none"/>
        </w:rPr>
        <w:t>磋商</w:t>
      </w:r>
      <w:r>
        <w:rPr>
          <w:sz w:val="24"/>
          <w:highlight w:val="none"/>
        </w:rPr>
        <w:t>的</w:t>
      </w:r>
      <w:r>
        <w:rPr>
          <w:rFonts w:hint="eastAsia"/>
          <w:sz w:val="24"/>
          <w:szCs w:val="18"/>
          <w:highlight w:val="none"/>
        </w:rPr>
        <w:t>参审单位</w:t>
      </w:r>
      <w:r>
        <w:rPr>
          <w:sz w:val="24"/>
          <w:highlight w:val="none"/>
        </w:rPr>
        <w:t>将被视为完全认同</w:t>
      </w:r>
      <w:r>
        <w:rPr>
          <w:rFonts w:hint="eastAsia"/>
          <w:sz w:val="24"/>
          <w:highlight w:val="none"/>
        </w:rPr>
        <w:t>本磋商</w:t>
      </w:r>
      <w:r>
        <w:rPr>
          <w:sz w:val="24"/>
          <w:highlight w:val="none"/>
        </w:rPr>
        <w:t>文件（含</w:t>
      </w:r>
      <w:r>
        <w:rPr>
          <w:rFonts w:hint="eastAsia"/>
          <w:sz w:val="24"/>
          <w:highlight w:val="none"/>
        </w:rPr>
        <w:t>更正公告的</w:t>
      </w:r>
      <w:r>
        <w:rPr>
          <w:sz w:val="24"/>
          <w:highlight w:val="none"/>
        </w:rPr>
        <w:t>内容）</w:t>
      </w:r>
      <w:r>
        <w:rPr>
          <w:rFonts w:hint="eastAsia"/>
          <w:sz w:val="24"/>
          <w:highlight w:val="none"/>
        </w:rPr>
        <w:t>。</w:t>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rPr>
        <w:tab/>
      </w:r>
      <w:r>
        <w:rPr>
          <w:rFonts w:hint="eastAsia"/>
          <w:sz w:val="24"/>
          <w:highlight w:val="none"/>
        </w:rPr>
        <w:tab/>
      </w:r>
    </w:p>
    <w:p w14:paraId="172FA489">
      <w:pPr>
        <w:spacing w:line="360" w:lineRule="auto"/>
        <w:ind w:firstLine="437"/>
        <w:outlineLvl w:val="2"/>
        <w:rPr>
          <w:rFonts w:hint="eastAsia"/>
          <w:b/>
          <w:sz w:val="24"/>
          <w:highlight w:val="none"/>
        </w:rPr>
      </w:pPr>
      <w:r>
        <w:rPr>
          <w:rFonts w:hint="eastAsia"/>
          <w:b/>
          <w:sz w:val="24"/>
          <w:highlight w:val="none"/>
        </w:rPr>
        <w:t>9</w:t>
      </w:r>
      <w:r>
        <w:rPr>
          <w:b/>
          <w:sz w:val="24"/>
          <w:highlight w:val="none"/>
        </w:rPr>
        <w:t>.</w:t>
      </w:r>
      <w:r>
        <w:rPr>
          <w:rFonts w:hint="eastAsia"/>
          <w:b/>
          <w:sz w:val="24"/>
          <w:highlight w:val="none"/>
        </w:rPr>
        <w:t>磋商范围及响应文件成交准和计量单位的使用</w:t>
      </w:r>
    </w:p>
    <w:p w14:paraId="6DC94FBF">
      <w:pPr>
        <w:spacing w:line="360" w:lineRule="auto"/>
        <w:ind w:firstLine="435"/>
        <w:rPr>
          <w:rFonts w:hint="eastAsia"/>
          <w:sz w:val="24"/>
          <w:highlight w:val="none"/>
        </w:rPr>
      </w:pPr>
      <w:r>
        <w:rPr>
          <w:sz w:val="24"/>
          <w:highlight w:val="none"/>
        </w:rPr>
        <w:t>9.1项目有分包的，</w:t>
      </w:r>
      <w:r>
        <w:rPr>
          <w:rFonts w:hint="eastAsia"/>
          <w:sz w:val="24"/>
          <w:szCs w:val="18"/>
          <w:highlight w:val="none"/>
        </w:rPr>
        <w:t>参审单位</w:t>
      </w:r>
      <w:r>
        <w:rPr>
          <w:sz w:val="24"/>
          <w:highlight w:val="none"/>
        </w:rPr>
        <w:t>可</w:t>
      </w:r>
      <w:r>
        <w:rPr>
          <w:rFonts w:hint="eastAsia"/>
          <w:sz w:val="24"/>
          <w:highlight w:val="none"/>
        </w:rPr>
        <w:t>参与</w:t>
      </w:r>
      <w:r>
        <w:rPr>
          <w:sz w:val="24"/>
          <w:highlight w:val="none"/>
        </w:rPr>
        <w:t>其中某一个或</w:t>
      </w:r>
      <w:r>
        <w:rPr>
          <w:rFonts w:hint="eastAsia"/>
          <w:sz w:val="24"/>
          <w:highlight w:val="none"/>
        </w:rPr>
        <w:t>多</w:t>
      </w:r>
      <w:r>
        <w:rPr>
          <w:sz w:val="24"/>
          <w:highlight w:val="none"/>
        </w:rPr>
        <w:t>个分包</w:t>
      </w:r>
      <w:r>
        <w:rPr>
          <w:rFonts w:hint="eastAsia"/>
          <w:sz w:val="24"/>
          <w:highlight w:val="none"/>
        </w:rPr>
        <w:t>的磋商</w:t>
      </w:r>
      <w:r>
        <w:rPr>
          <w:sz w:val="24"/>
          <w:highlight w:val="none"/>
        </w:rPr>
        <w:t>，</w:t>
      </w:r>
      <w:r>
        <w:rPr>
          <w:rFonts w:hint="eastAsia"/>
          <w:sz w:val="24"/>
          <w:highlight w:val="none"/>
        </w:rPr>
        <w:t>成交包数详见</w:t>
      </w:r>
      <w:r>
        <w:rPr>
          <w:rFonts w:hint="eastAsia"/>
          <w:sz w:val="24"/>
          <w:szCs w:val="18"/>
          <w:highlight w:val="none"/>
          <w:u w:val="single"/>
        </w:rPr>
        <w:t>参审单位</w:t>
      </w:r>
      <w:r>
        <w:rPr>
          <w:sz w:val="24"/>
          <w:highlight w:val="none"/>
          <w:u w:val="single"/>
        </w:rPr>
        <w:t>须知前附表</w:t>
      </w:r>
      <w:r>
        <w:rPr>
          <w:sz w:val="24"/>
          <w:highlight w:val="none"/>
        </w:rPr>
        <w:t>中规定。</w:t>
      </w:r>
    </w:p>
    <w:p w14:paraId="3BCD3299">
      <w:pPr>
        <w:spacing w:line="360" w:lineRule="auto"/>
        <w:ind w:firstLine="435"/>
        <w:rPr>
          <w:rFonts w:hint="eastAsia"/>
          <w:sz w:val="24"/>
          <w:highlight w:val="none"/>
        </w:rPr>
      </w:pPr>
      <w:r>
        <w:rPr>
          <w:sz w:val="24"/>
          <w:highlight w:val="none"/>
        </w:rPr>
        <w:t>9.</w:t>
      </w:r>
      <w:r>
        <w:rPr>
          <w:rFonts w:hint="eastAsia"/>
          <w:sz w:val="24"/>
          <w:highlight w:val="none"/>
        </w:rPr>
        <w:t>2</w:t>
      </w:r>
      <w:r>
        <w:rPr>
          <w:sz w:val="24"/>
          <w:highlight w:val="none"/>
        </w:rPr>
        <w:t>无论磋商文件中是否要求，</w:t>
      </w:r>
      <w:r>
        <w:rPr>
          <w:rFonts w:hint="eastAsia"/>
          <w:sz w:val="24"/>
          <w:szCs w:val="18"/>
          <w:highlight w:val="none"/>
        </w:rPr>
        <w:t>参审单位</w:t>
      </w:r>
      <w:r>
        <w:rPr>
          <w:sz w:val="24"/>
          <w:highlight w:val="none"/>
        </w:rPr>
        <w:t>所</w:t>
      </w:r>
      <w:r>
        <w:rPr>
          <w:rFonts w:hint="eastAsia"/>
          <w:sz w:val="24"/>
          <w:highlight w:val="none"/>
        </w:rPr>
        <w:t>承担</w:t>
      </w:r>
      <w:r>
        <w:rPr>
          <w:sz w:val="24"/>
          <w:highlight w:val="none"/>
        </w:rPr>
        <w:t>工程及伴随的货物和</w:t>
      </w:r>
      <w:r>
        <w:rPr>
          <w:rFonts w:hint="eastAsia"/>
          <w:sz w:val="24"/>
          <w:highlight w:val="none"/>
        </w:rPr>
        <w:t>服务</w:t>
      </w:r>
      <w:r>
        <w:rPr>
          <w:sz w:val="24"/>
          <w:highlight w:val="none"/>
        </w:rPr>
        <w:t>均应符合国家强制性标准。</w:t>
      </w:r>
    </w:p>
    <w:p w14:paraId="3A560A48">
      <w:pPr>
        <w:spacing w:line="360" w:lineRule="auto"/>
        <w:ind w:firstLine="435"/>
        <w:rPr>
          <w:rFonts w:hint="eastAsia"/>
          <w:sz w:val="24"/>
          <w:highlight w:val="none"/>
        </w:rPr>
      </w:pPr>
      <w:r>
        <w:rPr>
          <w:sz w:val="24"/>
          <w:highlight w:val="none"/>
        </w:rPr>
        <w:t>9.</w:t>
      </w:r>
      <w:r>
        <w:rPr>
          <w:rFonts w:hint="eastAsia"/>
          <w:sz w:val="24"/>
          <w:highlight w:val="none"/>
        </w:rPr>
        <w:t>3</w:t>
      </w:r>
      <w:r>
        <w:rPr>
          <w:rFonts w:hint="eastAsia"/>
          <w:sz w:val="24"/>
          <w:szCs w:val="18"/>
          <w:highlight w:val="none"/>
        </w:rPr>
        <w:t>参审单位</w:t>
      </w:r>
      <w:r>
        <w:rPr>
          <w:sz w:val="24"/>
          <w:highlight w:val="none"/>
        </w:rPr>
        <w:t>与</w:t>
      </w:r>
      <w:r>
        <w:rPr>
          <w:rFonts w:hint="eastAsia"/>
          <w:sz w:val="24"/>
          <w:highlight w:val="none"/>
        </w:rPr>
        <w:t>代理机构</w:t>
      </w:r>
      <w:r>
        <w:rPr>
          <w:sz w:val="24"/>
          <w:highlight w:val="none"/>
        </w:rPr>
        <w:t>之间与磋商有关的所有往来通知、函件和响应文件均用中文表述。</w:t>
      </w:r>
      <w:r>
        <w:rPr>
          <w:rFonts w:hint="eastAsia"/>
          <w:sz w:val="24"/>
          <w:szCs w:val="18"/>
          <w:highlight w:val="none"/>
        </w:rPr>
        <w:t>参审单位</w:t>
      </w:r>
      <w:r>
        <w:rPr>
          <w:sz w:val="24"/>
          <w:highlight w:val="none"/>
        </w:rPr>
        <w:t>随响应文件提供的证明文件和资料可以为其它语言，但必须附中文译文。翻译的中文资料与外文资料如果出现差异时，以中文为准。</w:t>
      </w:r>
    </w:p>
    <w:p w14:paraId="539B023D">
      <w:pPr>
        <w:spacing w:line="360" w:lineRule="auto"/>
        <w:ind w:firstLine="435"/>
        <w:rPr>
          <w:rFonts w:hint="eastAsia"/>
          <w:sz w:val="24"/>
          <w:highlight w:val="none"/>
        </w:rPr>
      </w:pPr>
      <w:r>
        <w:rPr>
          <w:sz w:val="24"/>
          <w:highlight w:val="none"/>
        </w:rPr>
        <w:t>9.</w:t>
      </w:r>
      <w:r>
        <w:rPr>
          <w:rFonts w:hint="eastAsia"/>
          <w:sz w:val="24"/>
          <w:highlight w:val="none"/>
        </w:rPr>
        <w:t>4</w:t>
      </w:r>
      <w:r>
        <w:rPr>
          <w:sz w:val="24"/>
          <w:highlight w:val="none"/>
        </w:rPr>
        <w:t>除磋商文件中有特殊要求外，响应文件中所使用的计量单位，应采用中华人民共和国法定计量单位。</w:t>
      </w:r>
    </w:p>
    <w:p w14:paraId="249BF808">
      <w:pPr>
        <w:spacing w:line="360" w:lineRule="auto"/>
        <w:ind w:firstLine="437"/>
        <w:outlineLvl w:val="2"/>
        <w:rPr>
          <w:rFonts w:hint="eastAsia"/>
          <w:b/>
          <w:sz w:val="24"/>
          <w:highlight w:val="none"/>
        </w:rPr>
      </w:pPr>
      <w:r>
        <w:rPr>
          <w:rFonts w:hint="eastAsia"/>
          <w:b/>
          <w:sz w:val="24"/>
          <w:highlight w:val="none"/>
        </w:rPr>
        <w:t>1</w:t>
      </w:r>
      <w:r>
        <w:rPr>
          <w:b/>
          <w:sz w:val="24"/>
          <w:highlight w:val="none"/>
        </w:rPr>
        <w:t>0.</w:t>
      </w:r>
      <w:r>
        <w:rPr>
          <w:rFonts w:hint="eastAsia"/>
          <w:b/>
          <w:sz w:val="24"/>
          <w:highlight w:val="none"/>
        </w:rPr>
        <w:t>响应文件构成</w:t>
      </w:r>
    </w:p>
    <w:p w14:paraId="79B9A0E7">
      <w:pPr>
        <w:spacing w:line="360" w:lineRule="auto"/>
        <w:ind w:firstLine="437"/>
        <w:rPr>
          <w:rFonts w:hint="eastAsia"/>
          <w:sz w:val="24"/>
          <w:highlight w:val="none"/>
        </w:rPr>
      </w:pPr>
      <w:r>
        <w:rPr>
          <w:sz w:val="24"/>
          <w:highlight w:val="none"/>
        </w:rPr>
        <w:t>10.1</w:t>
      </w:r>
      <w:r>
        <w:rPr>
          <w:rFonts w:hint="eastAsia"/>
          <w:sz w:val="24"/>
          <w:szCs w:val="18"/>
          <w:highlight w:val="none"/>
        </w:rPr>
        <w:t>参审单位</w:t>
      </w:r>
      <w:r>
        <w:rPr>
          <w:sz w:val="24"/>
          <w:highlight w:val="none"/>
        </w:rPr>
        <w:t>应完整地按磋商文件提供的响应文件格式及要求编写响应文件，具体内容详见第六章响应文件格式的相关内容。</w:t>
      </w:r>
    </w:p>
    <w:p w14:paraId="29B350D1">
      <w:pPr>
        <w:spacing w:line="360" w:lineRule="auto"/>
        <w:ind w:firstLine="437"/>
        <w:rPr>
          <w:rFonts w:hint="eastAsia"/>
          <w:sz w:val="24"/>
          <w:highlight w:val="none"/>
        </w:rPr>
      </w:pPr>
      <w:r>
        <w:rPr>
          <w:sz w:val="24"/>
          <w:highlight w:val="none"/>
        </w:rPr>
        <w:t>10.2上述文件应按照磋商文件规定的格式填写、签署和盖章。</w:t>
      </w:r>
    </w:p>
    <w:p w14:paraId="0F88610A">
      <w:pPr>
        <w:spacing w:line="360" w:lineRule="auto"/>
        <w:ind w:firstLine="437"/>
        <w:outlineLvl w:val="2"/>
        <w:rPr>
          <w:rFonts w:hint="eastAsia"/>
          <w:b/>
          <w:sz w:val="24"/>
          <w:highlight w:val="none"/>
        </w:rPr>
      </w:pPr>
      <w:r>
        <w:rPr>
          <w:rFonts w:hint="eastAsia"/>
          <w:b/>
          <w:sz w:val="24"/>
          <w:highlight w:val="none"/>
        </w:rPr>
        <w:t>1</w:t>
      </w:r>
      <w:r>
        <w:rPr>
          <w:b/>
          <w:sz w:val="24"/>
          <w:highlight w:val="none"/>
        </w:rPr>
        <w:t>1.</w:t>
      </w:r>
      <w:r>
        <w:rPr>
          <w:rFonts w:hint="eastAsia"/>
          <w:b/>
          <w:sz w:val="24"/>
          <w:highlight w:val="none"/>
        </w:rPr>
        <w:t>证明标的的合格性和符合磋商文件规定的技术文件</w:t>
      </w:r>
    </w:p>
    <w:p w14:paraId="276464C0">
      <w:pPr>
        <w:spacing w:line="360" w:lineRule="auto"/>
        <w:ind w:firstLine="435"/>
        <w:rPr>
          <w:rFonts w:hint="eastAsia"/>
          <w:sz w:val="24"/>
          <w:highlight w:val="none"/>
        </w:rPr>
      </w:pPr>
      <w:r>
        <w:rPr>
          <w:sz w:val="24"/>
          <w:highlight w:val="none"/>
        </w:rPr>
        <w:t>1</w:t>
      </w:r>
      <w:r>
        <w:rPr>
          <w:rFonts w:hint="eastAsia"/>
          <w:sz w:val="24"/>
          <w:highlight w:val="none"/>
        </w:rPr>
        <w:t>1</w:t>
      </w:r>
      <w:r>
        <w:rPr>
          <w:sz w:val="24"/>
          <w:highlight w:val="none"/>
        </w:rPr>
        <w:t>.1</w:t>
      </w:r>
      <w:r>
        <w:rPr>
          <w:rFonts w:hint="eastAsia"/>
          <w:sz w:val="24"/>
          <w:szCs w:val="18"/>
          <w:highlight w:val="none"/>
        </w:rPr>
        <w:t>参审单位</w:t>
      </w:r>
      <w:r>
        <w:rPr>
          <w:rFonts w:hint="eastAsia"/>
          <w:sz w:val="24"/>
          <w:highlight w:val="none"/>
        </w:rPr>
        <w:t>应提交磋商文件要求的证明文件，证明其响应内容符合磋商文件规定。该证明文件是响应文件的一部分</w:t>
      </w:r>
      <w:r>
        <w:rPr>
          <w:sz w:val="24"/>
          <w:highlight w:val="none"/>
        </w:rPr>
        <w:t>。</w:t>
      </w:r>
    </w:p>
    <w:p w14:paraId="05D6C2C0">
      <w:pPr>
        <w:spacing w:line="360" w:lineRule="auto"/>
        <w:ind w:firstLine="435"/>
        <w:rPr>
          <w:rFonts w:hint="eastAsia"/>
          <w:sz w:val="24"/>
          <w:highlight w:val="none"/>
        </w:rPr>
      </w:pPr>
      <w:r>
        <w:rPr>
          <w:sz w:val="24"/>
          <w:highlight w:val="none"/>
        </w:rPr>
        <w:t>1</w:t>
      </w:r>
      <w:r>
        <w:rPr>
          <w:rFonts w:hint="eastAsia"/>
          <w:sz w:val="24"/>
          <w:highlight w:val="none"/>
        </w:rPr>
        <w:t>1</w:t>
      </w:r>
      <w:r>
        <w:rPr>
          <w:sz w:val="24"/>
          <w:highlight w:val="none"/>
        </w:rPr>
        <w:t>.2上款所述的证明文件，可以是文字资料、图纸和数据</w:t>
      </w:r>
      <w:bookmarkStart w:id="29" w:name="_Hlk11703583"/>
      <w:r>
        <w:rPr>
          <w:rFonts w:hint="eastAsia"/>
          <w:sz w:val="24"/>
          <w:highlight w:val="none"/>
        </w:rPr>
        <w:t>。</w:t>
      </w:r>
    </w:p>
    <w:bookmarkEnd w:id="29"/>
    <w:p w14:paraId="0B583A86">
      <w:pPr>
        <w:spacing w:line="360" w:lineRule="auto"/>
        <w:ind w:firstLine="435"/>
        <w:rPr>
          <w:rFonts w:hint="eastAsia"/>
          <w:sz w:val="24"/>
          <w:highlight w:val="none"/>
        </w:rPr>
      </w:pPr>
      <w:r>
        <w:rPr>
          <w:rFonts w:hint="eastAsia"/>
          <w:sz w:val="24"/>
          <w:highlight w:val="none"/>
        </w:rPr>
        <w:t>1</w:t>
      </w:r>
      <w:r>
        <w:rPr>
          <w:sz w:val="24"/>
          <w:highlight w:val="none"/>
        </w:rPr>
        <w:t>1.3</w:t>
      </w:r>
      <w:r>
        <w:rPr>
          <w:rFonts w:hint="eastAsia"/>
          <w:sz w:val="24"/>
          <w:highlight w:val="none"/>
        </w:rPr>
        <w:t>本条所指证明文件不包括对磋商文件相关部分的文字、图标的复制。</w:t>
      </w:r>
    </w:p>
    <w:p w14:paraId="7FF1D8FE">
      <w:pPr>
        <w:spacing w:line="360" w:lineRule="auto"/>
        <w:ind w:firstLine="435"/>
        <w:rPr>
          <w:rFonts w:hint="eastAsia"/>
          <w:sz w:val="24"/>
          <w:highlight w:val="none"/>
        </w:rPr>
      </w:pPr>
      <w:r>
        <w:rPr>
          <w:sz w:val="24"/>
          <w:highlight w:val="none"/>
        </w:rPr>
        <w:t>1</w:t>
      </w:r>
      <w:r>
        <w:rPr>
          <w:rFonts w:hint="eastAsia"/>
          <w:sz w:val="24"/>
          <w:highlight w:val="none"/>
        </w:rPr>
        <w:t>1</w:t>
      </w:r>
      <w:r>
        <w:rPr>
          <w:sz w:val="24"/>
          <w:highlight w:val="none"/>
        </w:rPr>
        <w:t>.</w:t>
      </w:r>
      <w:r>
        <w:rPr>
          <w:rFonts w:hint="eastAsia"/>
          <w:sz w:val="24"/>
          <w:highlight w:val="none"/>
        </w:rPr>
        <w:t>4</w:t>
      </w:r>
      <w:r>
        <w:rPr>
          <w:sz w:val="24"/>
          <w:highlight w:val="none"/>
        </w:rPr>
        <w:t>为保证公平公正，除非磋商文件另有规定或说明，</w:t>
      </w:r>
      <w:r>
        <w:rPr>
          <w:rFonts w:hint="eastAsia"/>
          <w:sz w:val="24"/>
          <w:szCs w:val="18"/>
          <w:highlight w:val="none"/>
        </w:rPr>
        <w:t>参审单位</w:t>
      </w:r>
      <w:r>
        <w:rPr>
          <w:sz w:val="24"/>
          <w:highlight w:val="none"/>
        </w:rPr>
        <w:t>对同一项目</w:t>
      </w:r>
      <w:r>
        <w:rPr>
          <w:rFonts w:hint="eastAsia"/>
          <w:sz w:val="24"/>
          <w:highlight w:val="none"/>
        </w:rPr>
        <w:t>磋商</w:t>
      </w:r>
      <w:r>
        <w:rPr>
          <w:sz w:val="24"/>
          <w:highlight w:val="none"/>
        </w:rPr>
        <w:t>时，不得同时提供</w:t>
      </w:r>
      <w:r>
        <w:rPr>
          <w:rFonts w:hint="eastAsia"/>
          <w:sz w:val="24"/>
          <w:highlight w:val="none"/>
        </w:rPr>
        <w:t>备选磋商</w:t>
      </w:r>
      <w:r>
        <w:rPr>
          <w:sz w:val="24"/>
          <w:highlight w:val="none"/>
        </w:rPr>
        <w:t>方案。</w:t>
      </w:r>
    </w:p>
    <w:p w14:paraId="285D8D72">
      <w:pPr>
        <w:spacing w:line="360" w:lineRule="auto"/>
        <w:ind w:firstLine="437"/>
        <w:outlineLvl w:val="2"/>
        <w:rPr>
          <w:rFonts w:hint="eastAsia"/>
          <w:b/>
          <w:sz w:val="24"/>
          <w:highlight w:val="none"/>
        </w:rPr>
      </w:pPr>
      <w:r>
        <w:rPr>
          <w:rFonts w:hint="eastAsia"/>
          <w:b/>
          <w:sz w:val="24"/>
          <w:highlight w:val="none"/>
        </w:rPr>
        <w:t>1</w:t>
      </w:r>
      <w:r>
        <w:rPr>
          <w:b/>
          <w:sz w:val="24"/>
          <w:highlight w:val="none"/>
        </w:rPr>
        <w:t>2.</w:t>
      </w:r>
      <w:r>
        <w:rPr>
          <w:rFonts w:hint="eastAsia"/>
          <w:b/>
          <w:sz w:val="24"/>
          <w:highlight w:val="none"/>
        </w:rPr>
        <w:t>报价</w:t>
      </w:r>
    </w:p>
    <w:p w14:paraId="4203AC08">
      <w:pPr>
        <w:spacing w:line="360" w:lineRule="auto"/>
        <w:ind w:firstLine="435"/>
        <w:rPr>
          <w:rFonts w:hint="eastAsia"/>
          <w:sz w:val="24"/>
          <w:highlight w:val="none"/>
        </w:rPr>
      </w:pPr>
      <w:r>
        <w:rPr>
          <w:sz w:val="24"/>
          <w:highlight w:val="none"/>
        </w:rPr>
        <w:t>1</w:t>
      </w:r>
      <w:r>
        <w:rPr>
          <w:rFonts w:hint="eastAsia"/>
          <w:sz w:val="24"/>
          <w:highlight w:val="none"/>
        </w:rPr>
        <w:t>2</w:t>
      </w:r>
      <w:r>
        <w:rPr>
          <w:sz w:val="24"/>
          <w:highlight w:val="none"/>
        </w:rPr>
        <w:t>.1</w:t>
      </w:r>
      <w:r>
        <w:rPr>
          <w:rFonts w:hint="eastAsia"/>
          <w:sz w:val="24"/>
          <w:szCs w:val="18"/>
          <w:highlight w:val="none"/>
        </w:rPr>
        <w:t>参审单位</w:t>
      </w:r>
      <w:r>
        <w:rPr>
          <w:sz w:val="24"/>
          <w:highlight w:val="none"/>
        </w:rPr>
        <w:t>的报价应当包括满足本次</w:t>
      </w:r>
      <w:r>
        <w:rPr>
          <w:rFonts w:hint="eastAsia"/>
          <w:sz w:val="24"/>
          <w:highlight w:val="none"/>
        </w:rPr>
        <w:t>磋商</w:t>
      </w:r>
      <w:r>
        <w:rPr>
          <w:sz w:val="24"/>
          <w:highlight w:val="none"/>
        </w:rPr>
        <w:t>全部</w:t>
      </w:r>
      <w:r>
        <w:rPr>
          <w:rFonts w:hint="eastAsia"/>
          <w:sz w:val="24"/>
          <w:highlight w:val="none"/>
        </w:rPr>
        <w:t>内容。所有报价均应以人民币报价，</w:t>
      </w:r>
      <w:r>
        <w:rPr>
          <w:rFonts w:hint="eastAsia"/>
          <w:sz w:val="24"/>
          <w:szCs w:val="18"/>
          <w:highlight w:val="none"/>
        </w:rPr>
        <w:t>参审单位</w:t>
      </w:r>
      <w:r>
        <w:rPr>
          <w:rFonts w:hint="eastAsia"/>
          <w:sz w:val="24"/>
          <w:highlight w:val="none"/>
        </w:rPr>
        <w:t>的磋商报价应遵守《中华人民共和国价格法》。</w:t>
      </w:r>
    </w:p>
    <w:p w14:paraId="7137D954">
      <w:pPr>
        <w:spacing w:line="360" w:lineRule="auto"/>
        <w:ind w:firstLine="435"/>
        <w:rPr>
          <w:rFonts w:hint="eastAsia"/>
          <w:sz w:val="24"/>
          <w:highlight w:val="none"/>
        </w:rPr>
      </w:pPr>
      <w:r>
        <w:rPr>
          <w:sz w:val="24"/>
          <w:highlight w:val="none"/>
        </w:rPr>
        <w:t>12.</w:t>
      </w:r>
      <w:r>
        <w:rPr>
          <w:rFonts w:hint="eastAsia"/>
          <w:sz w:val="24"/>
          <w:highlight w:val="none"/>
        </w:rPr>
        <w:t>2</w:t>
      </w:r>
      <w:r>
        <w:rPr>
          <w:rFonts w:hint="eastAsia"/>
          <w:sz w:val="24"/>
          <w:szCs w:val="18"/>
          <w:highlight w:val="none"/>
        </w:rPr>
        <w:t>参审单位</w:t>
      </w:r>
      <w:r>
        <w:rPr>
          <w:rFonts w:hint="eastAsia"/>
          <w:sz w:val="24"/>
          <w:highlight w:val="none"/>
        </w:rPr>
        <w:t>应在分项报价表上标明磋商工程的单价（如适用）和总价，未标明的视同包含在磋商报价中。</w:t>
      </w:r>
    </w:p>
    <w:p w14:paraId="051D1A7A">
      <w:pPr>
        <w:spacing w:line="360" w:lineRule="auto"/>
        <w:ind w:firstLine="435"/>
        <w:rPr>
          <w:rFonts w:hint="eastAsia"/>
          <w:sz w:val="24"/>
          <w:highlight w:val="none"/>
        </w:rPr>
      </w:pPr>
      <w:r>
        <w:rPr>
          <w:sz w:val="24"/>
          <w:highlight w:val="none"/>
        </w:rPr>
        <w:t>12.</w:t>
      </w:r>
      <w:r>
        <w:rPr>
          <w:rFonts w:hint="eastAsia"/>
          <w:sz w:val="24"/>
          <w:highlight w:val="none"/>
        </w:rPr>
        <w:t>3</w:t>
      </w:r>
      <w:r>
        <w:rPr>
          <w:sz w:val="24"/>
          <w:highlight w:val="none"/>
        </w:rPr>
        <w:t>报价不得高于磋商文件（公告）列明的项目预算</w:t>
      </w:r>
      <w:r>
        <w:rPr>
          <w:rFonts w:hint="eastAsia"/>
          <w:sz w:val="24"/>
          <w:highlight w:val="none"/>
        </w:rPr>
        <w:t>、最高限价（控制价）</w:t>
      </w:r>
      <w:r>
        <w:rPr>
          <w:sz w:val="24"/>
          <w:highlight w:val="none"/>
        </w:rPr>
        <w:t>，否则其响应文件将被认定为</w:t>
      </w:r>
      <w:r>
        <w:rPr>
          <w:b/>
          <w:sz w:val="24"/>
          <w:highlight w:val="none"/>
        </w:rPr>
        <w:t>响应无效</w:t>
      </w:r>
      <w:r>
        <w:rPr>
          <w:sz w:val="24"/>
          <w:highlight w:val="none"/>
        </w:rPr>
        <w:t>。</w:t>
      </w:r>
    </w:p>
    <w:p w14:paraId="72C674A5">
      <w:pPr>
        <w:spacing w:line="360" w:lineRule="auto"/>
        <w:ind w:firstLine="435"/>
        <w:rPr>
          <w:rFonts w:hint="eastAsia"/>
          <w:sz w:val="24"/>
          <w:highlight w:val="none"/>
        </w:rPr>
      </w:pPr>
      <w:r>
        <w:rPr>
          <w:sz w:val="24"/>
          <w:highlight w:val="none"/>
        </w:rPr>
        <w:t>12.</w:t>
      </w:r>
      <w:r>
        <w:rPr>
          <w:rFonts w:hint="eastAsia"/>
          <w:sz w:val="24"/>
          <w:highlight w:val="none"/>
        </w:rPr>
        <w:t>4报价</w:t>
      </w:r>
      <w:r>
        <w:rPr>
          <w:sz w:val="24"/>
          <w:highlight w:val="none"/>
        </w:rPr>
        <w:t>在合同履行过程中是固定不变的，不得以任何理由予以变更。任何包含价格调整要求的</w:t>
      </w:r>
      <w:r>
        <w:rPr>
          <w:rFonts w:hint="eastAsia"/>
          <w:sz w:val="24"/>
          <w:highlight w:val="none"/>
        </w:rPr>
        <w:t>磋商</w:t>
      </w:r>
      <w:r>
        <w:rPr>
          <w:sz w:val="24"/>
          <w:highlight w:val="none"/>
        </w:rPr>
        <w:t>，其</w:t>
      </w:r>
      <w:r>
        <w:rPr>
          <w:rFonts w:hint="eastAsia"/>
          <w:sz w:val="24"/>
          <w:highlight w:val="none"/>
        </w:rPr>
        <w:t>响应文件将被认定为</w:t>
      </w:r>
      <w:r>
        <w:rPr>
          <w:rFonts w:hint="eastAsia"/>
          <w:b/>
          <w:sz w:val="24"/>
          <w:highlight w:val="none"/>
        </w:rPr>
        <w:t>响应无效</w:t>
      </w:r>
      <w:r>
        <w:rPr>
          <w:sz w:val="24"/>
          <w:highlight w:val="none"/>
        </w:rPr>
        <w:t>。</w:t>
      </w:r>
    </w:p>
    <w:p w14:paraId="5D97F3D6">
      <w:pPr>
        <w:spacing w:line="360" w:lineRule="auto"/>
        <w:ind w:firstLine="435"/>
        <w:rPr>
          <w:rFonts w:hint="eastAsia"/>
          <w:sz w:val="24"/>
          <w:highlight w:val="none"/>
        </w:rPr>
      </w:pPr>
      <w:r>
        <w:rPr>
          <w:sz w:val="24"/>
          <w:highlight w:val="none"/>
        </w:rPr>
        <w:t>1</w:t>
      </w:r>
      <w:r>
        <w:rPr>
          <w:rFonts w:hint="eastAsia"/>
          <w:sz w:val="24"/>
          <w:highlight w:val="none"/>
        </w:rPr>
        <w:t>2</w:t>
      </w:r>
      <w:r>
        <w:rPr>
          <w:sz w:val="24"/>
          <w:highlight w:val="none"/>
        </w:rPr>
        <w:t>.</w:t>
      </w:r>
      <w:r>
        <w:rPr>
          <w:rFonts w:hint="eastAsia"/>
          <w:sz w:val="24"/>
          <w:highlight w:val="none"/>
        </w:rPr>
        <w:t>5</w:t>
      </w:r>
      <w:r>
        <w:rPr>
          <w:rFonts w:hint="eastAsia"/>
          <w:sz w:val="24"/>
          <w:szCs w:val="18"/>
          <w:highlight w:val="none"/>
        </w:rPr>
        <w:t>业主单位</w:t>
      </w:r>
      <w:r>
        <w:rPr>
          <w:sz w:val="24"/>
          <w:highlight w:val="none"/>
        </w:rPr>
        <w:t>不接受具有附加条件的报价。</w:t>
      </w:r>
    </w:p>
    <w:p w14:paraId="2F1FF94F">
      <w:pPr>
        <w:spacing w:line="360" w:lineRule="auto"/>
        <w:ind w:firstLine="437"/>
        <w:outlineLvl w:val="2"/>
        <w:rPr>
          <w:rFonts w:hint="eastAsia"/>
          <w:b/>
          <w:sz w:val="24"/>
          <w:highlight w:val="none"/>
        </w:rPr>
      </w:pPr>
      <w:r>
        <w:rPr>
          <w:rFonts w:hint="eastAsia"/>
          <w:b/>
          <w:sz w:val="24"/>
          <w:highlight w:val="none"/>
        </w:rPr>
        <w:t>1</w:t>
      </w:r>
      <w:r>
        <w:rPr>
          <w:b/>
          <w:sz w:val="24"/>
          <w:highlight w:val="none"/>
        </w:rPr>
        <w:t>3.</w:t>
      </w:r>
      <w:r>
        <w:rPr>
          <w:rFonts w:hint="eastAsia"/>
          <w:b/>
          <w:sz w:val="24"/>
          <w:highlight w:val="none"/>
        </w:rPr>
        <w:t>磋商保证金</w:t>
      </w:r>
    </w:p>
    <w:p w14:paraId="4100A6DA">
      <w:pPr>
        <w:spacing w:line="360" w:lineRule="auto"/>
        <w:ind w:firstLine="435"/>
        <w:rPr>
          <w:rFonts w:hint="eastAsia"/>
          <w:sz w:val="24"/>
          <w:highlight w:val="none"/>
        </w:rPr>
      </w:pPr>
      <w:r>
        <w:rPr>
          <w:sz w:val="24"/>
          <w:highlight w:val="none"/>
        </w:rPr>
        <w:t>1</w:t>
      </w:r>
      <w:r>
        <w:rPr>
          <w:rFonts w:hint="eastAsia"/>
          <w:sz w:val="24"/>
          <w:highlight w:val="none"/>
        </w:rPr>
        <w:t>3</w:t>
      </w:r>
      <w:r>
        <w:rPr>
          <w:sz w:val="24"/>
          <w:highlight w:val="none"/>
        </w:rPr>
        <w:t>.1</w:t>
      </w:r>
      <w:r>
        <w:rPr>
          <w:rFonts w:hint="eastAsia"/>
          <w:sz w:val="24"/>
          <w:szCs w:val="18"/>
          <w:highlight w:val="none"/>
        </w:rPr>
        <w:t>参审单位</w:t>
      </w:r>
      <w:r>
        <w:rPr>
          <w:rFonts w:hint="eastAsia"/>
          <w:sz w:val="24"/>
          <w:highlight w:val="none"/>
        </w:rPr>
        <w:t>应提交</w:t>
      </w:r>
      <w:r>
        <w:rPr>
          <w:rFonts w:hint="eastAsia"/>
          <w:sz w:val="24"/>
          <w:szCs w:val="18"/>
          <w:highlight w:val="none"/>
          <w:u w:val="single"/>
        </w:rPr>
        <w:t>参审单位</w:t>
      </w:r>
      <w:r>
        <w:rPr>
          <w:rFonts w:hint="eastAsia"/>
          <w:sz w:val="24"/>
          <w:highlight w:val="none"/>
          <w:u w:val="single"/>
        </w:rPr>
        <w:t>须知前附表</w:t>
      </w:r>
      <w:r>
        <w:rPr>
          <w:rFonts w:hint="eastAsia"/>
          <w:sz w:val="24"/>
          <w:highlight w:val="none"/>
        </w:rPr>
        <w:t>中规定的磋商保证金，并作为其响应文件的一部分。</w:t>
      </w:r>
      <w:r>
        <w:rPr>
          <w:rFonts w:hint="eastAsia"/>
          <w:sz w:val="24"/>
          <w:szCs w:val="18"/>
          <w:highlight w:val="none"/>
        </w:rPr>
        <w:t>参审单位</w:t>
      </w:r>
      <w:r>
        <w:rPr>
          <w:rFonts w:hint="eastAsia"/>
          <w:sz w:val="24"/>
          <w:highlight w:val="none"/>
        </w:rPr>
        <w:t>未按规定提交磋商保证金的，其响应文件将被认定为</w:t>
      </w:r>
      <w:r>
        <w:rPr>
          <w:rFonts w:hint="eastAsia"/>
          <w:b/>
          <w:sz w:val="24"/>
          <w:highlight w:val="none"/>
        </w:rPr>
        <w:t>响应无效</w:t>
      </w:r>
      <w:r>
        <w:rPr>
          <w:rFonts w:hint="eastAsia"/>
          <w:sz w:val="24"/>
          <w:highlight w:val="none"/>
        </w:rPr>
        <w:t>。</w:t>
      </w:r>
    </w:p>
    <w:p w14:paraId="28375A5B">
      <w:pPr>
        <w:spacing w:line="360" w:lineRule="auto"/>
        <w:ind w:firstLine="435"/>
        <w:rPr>
          <w:rFonts w:hint="eastAsia"/>
          <w:sz w:val="24"/>
          <w:highlight w:val="none"/>
        </w:rPr>
      </w:pPr>
      <w:r>
        <w:rPr>
          <w:rFonts w:hint="eastAsia"/>
          <w:sz w:val="24"/>
          <w:highlight w:val="none"/>
        </w:rPr>
        <w:t>1</w:t>
      </w:r>
      <w:r>
        <w:rPr>
          <w:sz w:val="24"/>
          <w:highlight w:val="none"/>
        </w:rPr>
        <w:t>3.2</w:t>
      </w:r>
      <w:r>
        <w:rPr>
          <w:rFonts w:hint="eastAsia"/>
          <w:sz w:val="24"/>
          <w:szCs w:val="18"/>
          <w:highlight w:val="none"/>
        </w:rPr>
        <w:t>参审单位</w:t>
      </w:r>
      <w:r>
        <w:rPr>
          <w:rFonts w:hint="eastAsia"/>
          <w:sz w:val="24"/>
          <w:highlight w:val="none"/>
        </w:rPr>
        <w:t>请注意：</w:t>
      </w:r>
    </w:p>
    <w:p w14:paraId="1BD95D59">
      <w:pPr>
        <w:spacing w:line="360" w:lineRule="auto"/>
        <w:ind w:firstLine="435"/>
        <w:rPr>
          <w:rFonts w:hint="eastAsia"/>
          <w:sz w:val="24"/>
          <w:highlight w:val="none"/>
        </w:rPr>
      </w:pPr>
      <w:r>
        <w:rPr>
          <w:rFonts w:hint="eastAsia"/>
          <w:sz w:val="24"/>
          <w:highlight w:val="none"/>
        </w:rPr>
        <w:t>（</w:t>
      </w:r>
      <w:r>
        <w:rPr>
          <w:sz w:val="24"/>
          <w:highlight w:val="none"/>
        </w:rPr>
        <w:t>1）前次</w:t>
      </w:r>
      <w:r>
        <w:rPr>
          <w:rFonts w:hint="eastAsia"/>
          <w:sz w:val="24"/>
          <w:highlight w:val="none"/>
        </w:rPr>
        <w:t>磋商</w:t>
      </w:r>
      <w:r>
        <w:rPr>
          <w:sz w:val="24"/>
          <w:highlight w:val="none"/>
        </w:rPr>
        <w:t>失败的，</w:t>
      </w:r>
      <w:r>
        <w:rPr>
          <w:rFonts w:hint="eastAsia"/>
          <w:sz w:val="24"/>
          <w:highlight w:val="none"/>
        </w:rPr>
        <w:t>代理机构</w:t>
      </w:r>
      <w:r>
        <w:rPr>
          <w:sz w:val="24"/>
          <w:highlight w:val="none"/>
        </w:rPr>
        <w:t>将退还</w:t>
      </w:r>
      <w:r>
        <w:rPr>
          <w:rFonts w:hint="eastAsia"/>
          <w:sz w:val="24"/>
          <w:szCs w:val="18"/>
          <w:highlight w:val="none"/>
        </w:rPr>
        <w:t>参审单位</w:t>
      </w:r>
      <w:r>
        <w:rPr>
          <w:sz w:val="24"/>
          <w:highlight w:val="none"/>
        </w:rPr>
        <w:t>的</w:t>
      </w:r>
      <w:r>
        <w:rPr>
          <w:rFonts w:hint="eastAsia"/>
          <w:sz w:val="24"/>
          <w:highlight w:val="none"/>
        </w:rPr>
        <w:t>磋商</w:t>
      </w:r>
      <w:r>
        <w:rPr>
          <w:sz w:val="24"/>
          <w:highlight w:val="none"/>
        </w:rPr>
        <w:t>保证金</w:t>
      </w:r>
      <w:r>
        <w:rPr>
          <w:rFonts w:hint="eastAsia"/>
          <w:sz w:val="24"/>
          <w:highlight w:val="none"/>
        </w:rPr>
        <w:t>（不含电子交易服务费）</w:t>
      </w:r>
      <w:r>
        <w:rPr>
          <w:sz w:val="24"/>
          <w:highlight w:val="none"/>
        </w:rPr>
        <w:t>。</w:t>
      </w:r>
    </w:p>
    <w:p w14:paraId="384AA679">
      <w:pPr>
        <w:spacing w:line="360" w:lineRule="auto"/>
        <w:ind w:firstLine="435"/>
        <w:rPr>
          <w:rFonts w:hint="eastAsia"/>
          <w:sz w:val="24"/>
          <w:highlight w:val="none"/>
        </w:rPr>
      </w:pPr>
      <w:r>
        <w:rPr>
          <w:rFonts w:hint="eastAsia"/>
          <w:sz w:val="24"/>
          <w:highlight w:val="none"/>
        </w:rPr>
        <w:t>（</w:t>
      </w:r>
      <w:r>
        <w:rPr>
          <w:sz w:val="24"/>
          <w:highlight w:val="none"/>
        </w:rPr>
        <w:t>2）</w:t>
      </w:r>
      <w:r>
        <w:rPr>
          <w:rFonts w:hint="eastAsia"/>
          <w:sz w:val="24"/>
          <w:highlight w:val="none"/>
        </w:rPr>
        <w:t>代理机构磋商</w:t>
      </w:r>
      <w:r>
        <w:rPr>
          <w:sz w:val="24"/>
          <w:highlight w:val="none"/>
        </w:rPr>
        <w:t>保证金缴纳账号采用动态虚拟账号（分包项目每一个包别对应一个账号），项目</w:t>
      </w:r>
      <w:r>
        <w:rPr>
          <w:rFonts w:hint="eastAsia"/>
          <w:sz w:val="24"/>
          <w:highlight w:val="none"/>
        </w:rPr>
        <w:t>磋商</w:t>
      </w:r>
      <w:r>
        <w:rPr>
          <w:sz w:val="24"/>
          <w:highlight w:val="none"/>
        </w:rPr>
        <w:t>失败后，</w:t>
      </w:r>
      <w:r>
        <w:rPr>
          <w:rFonts w:hint="eastAsia"/>
          <w:sz w:val="24"/>
          <w:highlight w:val="none"/>
        </w:rPr>
        <w:t>磋商</w:t>
      </w:r>
      <w:r>
        <w:rPr>
          <w:sz w:val="24"/>
          <w:highlight w:val="none"/>
        </w:rPr>
        <w:t>保证金缴纳账号将会发生变化，请</w:t>
      </w:r>
      <w:r>
        <w:rPr>
          <w:rFonts w:hint="eastAsia"/>
          <w:sz w:val="24"/>
          <w:szCs w:val="18"/>
          <w:highlight w:val="none"/>
        </w:rPr>
        <w:t>参审单位</w:t>
      </w:r>
      <w:r>
        <w:rPr>
          <w:sz w:val="24"/>
          <w:highlight w:val="none"/>
        </w:rPr>
        <w:t>参与后续</w:t>
      </w:r>
      <w:r>
        <w:rPr>
          <w:rFonts w:hint="eastAsia"/>
          <w:sz w:val="24"/>
          <w:highlight w:val="none"/>
        </w:rPr>
        <w:t>磋商</w:t>
      </w:r>
      <w:r>
        <w:rPr>
          <w:sz w:val="24"/>
          <w:highlight w:val="none"/>
        </w:rPr>
        <w:t>时，注意勿将</w:t>
      </w:r>
      <w:r>
        <w:rPr>
          <w:rFonts w:hint="eastAsia"/>
          <w:sz w:val="24"/>
          <w:highlight w:val="none"/>
        </w:rPr>
        <w:t>磋商</w:t>
      </w:r>
      <w:r>
        <w:rPr>
          <w:sz w:val="24"/>
          <w:highlight w:val="none"/>
        </w:rPr>
        <w:t>保证金错交至其他项目虚拟账号或前次公告账号。</w:t>
      </w:r>
    </w:p>
    <w:p w14:paraId="175FD5F9">
      <w:pPr>
        <w:spacing w:line="360" w:lineRule="auto"/>
        <w:ind w:firstLine="435"/>
        <w:rPr>
          <w:rFonts w:hint="eastAsia"/>
          <w:sz w:val="24"/>
          <w:highlight w:val="none"/>
        </w:rPr>
      </w:pPr>
      <w:r>
        <w:rPr>
          <w:rFonts w:hint="eastAsia"/>
          <w:sz w:val="24"/>
          <w:highlight w:val="none"/>
        </w:rPr>
        <w:t>（</w:t>
      </w:r>
      <w:r>
        <w:rPr>
          <w:sz w:val="24"/>
          <w:highlight w:val="none"/>
        </w:rPr>
        <w:t>3）凡转账到其他项目虚拟账号或本项目前次公告账号的，</w:t>
      </w:r>
      <w:r>
        <w:rPr>
          <w:rFonts w:hint="eastAsia"/>
          <w:sz w:val="24"/>
          <w:highlight w:val="none"/>
        </w:rPr>
        <w:t>其响应文件将被认定为</w:t>
      </w:r>
      <w:r>
        <w:rPr>
          <w:rFonts w:hint="eastAsia"/>
          <w:b/>
          <w:sz w:val="24"/>
          <w:highlight w:val="none"/>
        </w:rPr>
        <w:t>响应无效</w:t>
      </w:r>
      <w:r>
        <w:rPr>
          <w:rFonts w:hint="eastAsia"/>
          <w:sz w:val="24"/>
          <w:highlight w:val="none"/>
        </w:rPr>
        <w:t>。</w:t>
      </w:r>
    </w:p>
    <w:p w14:paraId="02D6A3F6">
      <w:pPr>
        <w:spacing w:line="360" w:lineRule="auto"/>
        <w:ind w:firstLine="435"/>
        <w:rPr>
          <w:rFonts w:hint="eastAsia"/>
          <w:sz w:val="24"/>
          <w:highlight w:val="none"/>
        </w:rPr>
      </w:pPr>
      <w:r>
        <w:rPr>
          <w:sz w:val="24"/>
          <w:highlight w:val="none"/>
        </w:rPr>
        <w:t>13.</w:t>
      </w:r>
      <w:r>
        <w:rPr>
          <w:rFonts w:hint="eastAsia"/>
          <w:sz w:val="24"/>
          <w:highlight w:val="none"/>
        </w:rPr>
        <w:t>3</w:t>
      </w:r>
      <w:r>
        <w:rPr>
          <w:sz w:val="24"/>
          <w:highlight w:val="none"/>
        </w:rPr>
        <w:t>磋商保证金缴纳人名称与</w:t>
      </w:r>
      <w:r>
        <w:rPr>
          <w:rFonts w:hint="eastAsia"/>
          <w:sz w:val="24"/>
          <w:szCs w:val="18"/>
          <w:highlight w:val="none"/>
        </w:rPr>
        <w:t>参审单位</w:t>
      </w:r>
      <w:r>
        <w:rPr>
          <w:sz w:val="24"/>
          <w:highlight w:val="none"/>
        </w:rPr>
        <w:t>名称应当一致。除非磋商文件另有规定，分公司或子公司代缴磋商保证金，视同名称不一致。磋商保证金缴纳人名称与</w:t>
      </w:r>
      <w:r>
        <w:rPr>
          <w:rFonts w:hint="eastAsia"/>
          <w:sz w:val="24"/>
          <w:szCs w:val="18"/>
          <w:highlight w:val="none"/>
        </w:rPr>
        <w:t>参审单位</w:t>
      </w:r>
      <w:r>
        <w:rPr>
          <w:sz w:val="24"/>
          <w:highlight w:val="none"/>
        </w:rPr>
        <w:t>名称不一致的，</w:t>
      </w:r>
      <w:r>
        <w:rPr>
          <w:rFonts w:hint="eastAsia"/>
          <w:sz w:val="24"/>
          <w:highlight w:val="none"/>
        </w:rPr>
        <w:t>其响应文件将被认定为</w:t>
      </w:r>
      <w:r>
        <w:rPr>
          <w:rFonts w:hint="eastAsia"/>
          <w:b/>
          <w:sz w:val="24"/>
          <w:highlight w:val="none"/>
        </w:rPr>
        <w:t>响应无效</w:t>
      </w:r>
      <w:r>
        <w:rPr>
          <w:rFonts w:hint="eastAsia"/>
          <w:sz w:val="24"/>
          <w:highlight w:val="none"/>
        </w:rPr>
        <w:t>。</w:t>
      </w:r>
    </w:p>
    <w:p w14:paraId="5E0CD607">
      <w:pPr>
        <w:spacing w:line="360" w:lineRule="auto"/>
        <w:ind w:firstLine="435"/>
        <w:rPr>
          <w:rFonts w:hint="eastAsia"/>
          <w:sz w:val="24"/>
          <w:highlight w:val="none"/>
        </w:rPr>
      </w:pPr>
      <w:r>
        <w:rPr>
          <w:sz w:val="24"/>
          <w:highlight w:val="none"/>
        </w:rPr>
        <w:t>13.</w:t>
      </w:r>
      <w:r>
        <w:rPr>
          <w:rFonts w:hint="eastAsia"/>
          <w:sz w:val="24"/>
          <w:highlight w:val="none"/>
        </w:rPr>
        <w:t>4</w:t>
      </w:r>
      <w:r>
        <w:rPr>
          <w:sz w:val="24"/>
          <w:highlight w:val="none"/>
        </w:rPr>
        <w:t>联合体参加磋商的，可以由联合体中的一方或者共同提交磋商保证金。以一方名义提交磋商保证金的，对联合体各方均具有约束力。</w:t>
      </w:r>
    </w:p>
    <w:p w14:paraId="75A7BD60">
      <w:pPr>
        <w:spacing w:line="360" w:lineRule="auto"/>
        <w:ind w:firstLine="435"/>
        <w:rPr>
          <w:rFonts w:hint="eastAsia"/>
          <w:sz w:val="24"/>
          <w:highlight w:val="none"/>
        </w:rPr>
      </w:pPr>
      <w:r>
        <w:rPr>
          <w:sz w:val="24"/>
          <w:highlight w:val="none"/>
        </w:rPr>
        <w:t>13.</w:t>
      </w:r>
      <w:r>
        <w:rPr>
          <w:rFonts w:hint="eastAsia"/>
          <w:sz w:val="24"/>
          <w:highlight w:val="none"/>
        </w:rPr>
        <w:t>5代理机构</w:t>
      </w:r>
      <w:r>
        <w:rPr>
          <w:sz w:val="24"/>
          <w:highlight w:val="none"/>
        </w:rPr>
        <w:t>将在</w:t>
      </w:r>
      <w:r>
        <w:rPr>
          <w:rFonts w:hint="eastAsia"/>
          <w:sz w:val="24"/>
          <w:highlight w:val="none"/>
        </w:rPr>
        <w:t>成交</w:t>
      </w:r>
      <w:r>
        <w:rPr>
          <w:sz w:val="24"/>
          <w:highlight w:val="none"/>
        </w:rPr>
        <w:t>通知书发出后五个工作日内退还未</w:t>
      </w:r>
      <w:r>
        <w:rPr>
          <w:rFonts w:hint="eastAsia"/>
          <w:sz w:val="24"/>
          <w:highlight w:val="none"/>
        </w:rPr>
        <w:t>成交人</w:t>
      </w:r>
      <w:r>
        <w:rPr>
          <w:sz w:val="24"/>
          <w:highlight w:val="none"/>
        </w:rPr>
        <w:t>的磋商保证金，在合同签订后五个工作日内退还</w:t>
      </w:r>
      <w:r>
        <w:rPr>
          <w:rFonts w:hint="eastAsia"/>
          <w:sz w:val="24"/>
          <w:highlight w:val="none"/>
        </w:rPr>
        <w:t>成交人</w:t>
      </w:r>
      <w:r>
        <w:rPr>
          <w:sz w:val="24"/>
          <w:highlight w:val="none"/>
        </w:rPr>
        <w:t>的磋商保证金；</w:t>
      </w:r>
    </w:p>
    <w:p w14:paraId="5CBF760F">
      <w:pPr>
        <w:spacing w:line="360" w:lineRule="auto"/>
        <w:ind w:firstLine="435"/>
        <w:rPr>
          <w:rFonts w:hint="eastAsia"/>
          <w:sz w:val="24"/>
          <w:highlight w:val="none"/>
        </w:rPr>
      </w:pPr>
      <w:r>
        <w:rPr>
          <w:sz w:val="24"/>
          <w:highlight w:val="none"/>
        </w:rPr>
        <w:t>13.</w:t>
      </w:r>
      <w:r>
        <w:rPr>
          <w:rFonts w:hint="eastAsia"/>
          <w:sz w:val="24"/>
          <w:highlight w:val="none"/>
        </w:rPr>
        <w:t>6</w:t>
      </w:r>
      <w:r>
        <w:rPr>
          <w:sz w:val="24"/>
          <w:highlight w:val="none"/>
        </w:rPr>
        <w:t>因</w:t>
      </w:r>
      <w:r>
        <w:rPr>
          <w:rFonts w:hint="eastAsia"/>
          <w:sz w:val="24"/>
          <w:szCs w:val="18"/>
          <w:highlight w:val="none"/>
        </w:rPr>
        <w:t>参审单位</w:t>
      </w:r>
      <w:r>
        <w:rPr>
          <w:sz w:val="24"/>
          <w:highlight w:val="none"/>
        </w:rPr>
        <w:t>自身原因导致无法及时退还的，</w:t>
      </w:r>
      <w:r>
        <w:rPr>
          <w:rFonts w:hint="eastAsia"/>
          <w:sz w:val="24"/>
          <w:szCs w:val="18"/>
          <w:highlight w:val="none"/>
        </w:rPr>
        <w:t>业主单位</w:t>
      </w:r>
      <w:r>
        <w:rPr>
          <w:sz w:val="24"/>
          <w:highlight w:val="none"/>
        </w:rPr>
        <w:t>或</w:t>
      </w:r>
      <w:r>
        <w:rPr>
          <w:rFonts w:hint="eastAsia"/>
          <w:sz w:val="24"/>
          <w:highlight w:val="none"/>
        </w:rPr>
        <w:t>代理机构</w:t>
      </w:r>
      <w:r>
        <w:rPr>
          <w:sz w:val="24"/>
          <w:highlight w:val="none"/>
        </w:rPr>
        <w:t>将不承担相应责任。</w:t>
      </w:r>
    </w:p>
    <w:p w14:paraId="7538DA25">
      <w:pPr>
        <w:spacing w:line="360" w:lineRule="auto"/>
        <w:ind w:firstLine="435"/>
        <w:rPr>
          <w:rFonts w:hint="eastAsia"/>
          <w:sz w:val="24"/>
          <w:highlight w:val="none"/>
        </w:rPr>
      </w:pPr>
      <w:r>
        <w:rPr>
          <w:sz w:val="24"/>
          <w:highlight w:val="none"/>
        </w:rPr>
        <w:t>13.7有下列情形之一的，磋商保证金不予退还：</w:t>
      </w:r>
    </w:p>
    <w:p w14:paraId="0935074B">
      <w:pPr>
        <w:spacing w:line="360" w:lineRule="auto"/>
        <w:ind w:firstLine="435"/>
        <w:rPr>
          <w:rFonts w:hint="eastAsia"/>
          <w:sz w:val="24"/>
          <w:highlight w:val="none"/>
        </w:rPr>
      </w:pPr>
      <w:r>
        <w:rPr>
          <w:rFonts w:hint="eastAsia"/>
          <w:sz w:val="24"/>
          <w:highlight w:val="none"/>
        </w:rPr>
        <w:t>（</w:t>
      </w:r>
      <w:r>
        <w:rPr>
          <w:sz w:val="24"/>
          <w:highlight w:val="none"/>
        </w:rPr>
        <w:t>1）</w:t>
      </w:r>
      <w:r>
        <w:rPr>
          <w:rFonts w:hint="eastAsia"/>
          <w:sz w:val="24"/>
          <w:szCs w:val="18"/>
          <w:highlight w:val="none"/>
        </w:rPr>
        <w:t>参审单位</w:t>
      </w:r>
      <w:r>
        <w:rPr>
          <w:sz w:val="24"/>
          <w:highlight w:val="none"/>
        </w:rPr>
        <w:t>在提交响应文件截止时间后撤回响应文件的；</w:t>
      </w:r>
    </w:p>
    <w:p w14:paraId="66170C72">
      <w:pPr>
        <w:spacing w:line="360" w:lineRule="auto"/>
        <w:ind w:firstLine="435"/>
        <w:rPr>
          <w:rFonts w:hint="eastAsia"/>
          <w:sz w:val="24"/>
          <w:highlight w:val="none"/>
        </w:rPr>
      </w:pPr>
      <w:r>
        <w:rPr>
          <w:rFonts w:hint="eastAsia"/>
          <w:sz w:val="24"/>
          <w:highlight w:val="none"/>
        </w:rPr>
        <w:t>（2</w:t>
      </w:r>
      <w:r>
        <w:rPr>
          <w:sz w:val="24"/>
          <w:highlight w:val="none"/>
        </w:rPr>
        <w:t>）除因不可抗力或磋商文件认可的情形以外，</w:t>
      </w:r>
      <w:r>
        <w:rPr>
          <w:rFonts w:hint="eastAsia"/>
          <w:sz w:val="24"/>
          <w:highlight w:val="none"/>
        </w:rPr>
        <w:t>成交人</w:t>
      </w:r>
      <w:r>
        <w:rPr>
          <w:sz w:val="24"/>
          <w:highlight w:val="none"/>
        </w:rPr>
        <w:t>不与</w:t>
      </w:r>
      <w:r>
        <w:rPr>
          <w:rFonts w:hint="eastAsia"/>
          <w:sz w:val="24"/>
          <w:szCs w:val="18"/>
          <w:highlight w:val="none"/>
        </w:rPr>
        <w:t>业主单位</w:t>
      </w:r>
      <w:r>
        <w:rPr>
          <w:sz w:val="24"/>
          <w:highlight w:val="none"/>
        </w:rPr>
        <w:t>签订合同的；</w:t>
      </w:r>
    </w:p>
    <w:p w14:paraId="722751F9">
      <w:pPr>
        <w:spacing w:line="360" w:lineRule="auto"/>
        <w:ind w:firstLine="435"/>
        <w:rPr>
          <w:rFonts w:hint="eastAsia"/>
          <w:sz w:val="24"/>
          <w:highlight w:val="none"/>
        </w:rPr>
      </w:pPr>
      <w:r>
        <w:rPr>
          <w:rFonts w:hint="eastAsia"/>
          <w:sz w:val="24"/>
          <w:highlight w:val="none"/>
        </w:rPr>
        <w:t>（3</w:t>
      </w:r>
      <w:r>
        <w:rPr>
          <w:sz w:val="24"/>
          <w:highlight w:val="none"/>
        </w:rPr>
        <w:t>）</w:t>
      </w:r>
      <w:r>
        <w:rPr>
          <w:rFonts w:hint="eastAsia"/>
          <w:sz w:val="24"/>
          <w:szCs w:val="18"/>
          <w:highlight w:val="none"/>
        </w:rPr>
        <w:t>参审单位</w:t>
      </w:r>
      <w:r>
        <w:rPr>
          <w:sz w:val="24"/>
          <w:highlight w:val="none"/>
        </w:rPr>
        <w:t>须知前附表中规定的其他不予退还磋商保证金的情形。</w:t>
      </w:r>
    </w:p>
    <w:p w14:paraId="5B648BCF">
      <w:pPr>
        <w:spacing w:line="360" w:lineRule="auto"/>
        <w:ind w:firstLine="437"/>
        <w:outlineLvl w:val="2"/>
        <w:rPr>
          <w:rFonts w:hint="eastAsia"/>
          <w:b/>
          <w:sz w:val="24"/>
          <w:highlight w:val="none"/>
        </w:rPr>
      </w:pPr>
      <w:r>
        <w:rPr>
          <w:rFonts w:hint="eastAsia"/>
          <w:b/>
          <w:sz w:val="24"/>
          <w:highlight w:val="none"/>
        </w:rPr>
        <w:t>1</w:t>
      </w:r>
      <w:r>
        <w:rPr>
          <w:b/>
          <w:sz w:val="24"/>
          <w:highlight w:val="none"/>
        </w:rPr>
        <w:t>4.</w:t>
      </w:r>
      <w:r>
        <w:rPr>
          <w:rFonts w:hint="eastAsia"/>
          <w:b/>
          <w:sz w:val="24"/>
          <w:highlight w:val="none"/>
        </w:rPr>
        <w:t>磋商有效期</w:t>
      </w:r>
    </w:p>
    <w:p w14:paraId="3910D22A">
      <w:pPr>
        <w:spacing w:line="360" w:lineRule="auto"/>
        <w:ind w:firstLine="435"/>
        <w:rPr>
          <w:rFonts w:hint="eastAsia"/>
          <w:sz w:val="24"/>
          <w:highlight w:val="none"/>
        </w:rPr>
      </w:pPr>
      <w:r>
        <w:rPr>
          <w:sz w:val="24"/>
          <w:highlight w:val="none"/>
        </w:rPr>
        <w:t>14.1磋商有效期为从响应文件提交截止之日算起的日历天数，磋商有效期详见</w:t>
      </w:r>
      <w:r>
        <w:rPr>
          <w:rFonts w:hint="eastAsia"/>
          <w:sz w:val="24"/>
          <w:szCs w:val="18"/>
          <w:highlight w:val="none"/>
          <w:u w:val="single"/>
        </w:rPr>
        <w:t>参审单位</w:t>
      </w:r>
      <w:r>
        <w:rPr>
          <w:sz w:val="24"/>
          <w:highlight w:val="none"/>
          <w:u w:val="single"/>
        </w:rPr>
        <w:t>须知前附表</w:t>
      </w:r>
      <w:r>
        <w:rPr>
          <w:sz w:val="24"/>
          <w:highlight w:val="none"/>
        </w:rPr>
        <w:t>。</w:t>
      </w:r>
    </w:p>
    <w:p w14:paraId="4EFB8DB4">
      <w:pPr>
        <w:spacing w:line="360" w:lineRule="auto"/>
        <w:ind w:firstLine="435"/>
        <w:rPr>
          <w:rFonts w:hint="eastAsia"/>
          <w:sz w:val="24"/>
          <w:highlight w:val="none"/>
        </w:rPr>
      </w:pPr>
      <w:r>
        <w:rPr>
          <w:sz w:val="24"/>
          <w:highlight w:val="none"/>
        </w:rPr>
        <w:t>14.2在磋商有效期内，</w:t>
      </w:r>
      <w:r>
        <w:rPr>
          <w:rFonts w:hint="eastAsia"/>
          <w:sz w:val="24"/>
          <w:szCs w:val="18"/>
          <w:highlight w:val="none"/>
        </w:rPr>
        <w:t>参审单位</w:t>
      </w:r>
      <w:r>
        <w:rPr>
          <w:sz w:val="24"/>
          <w:highlight w:val="none"/>
        </w:rPr>
        <w:t>的磋商保持有效，</w:t>
      </w:r>
      <w:r>
        <w:rPr>
          <w:rFonts w:hint="eastAsia"/>
          <w:sz w:val="24"/>
          <w:szCs w:val="18"/>
          <w:highlight w:val="none"/>
        </w:rPr>
        <w:t>参审单位</w:t>
      </w:r>
      <w:r>
        <w:rPr>
          <w:sz w:val="24"/>
          <w:highlight w:val="none"/>
        </w:rPr>
        <w:t>不得要求撤销或修改其响应文件。磋商有效期不满足要求的响应，其响应文件将被认定为</w:t>
      </w:r>
      <w:r>
        <w:rPr>
          <w:b/>
          <w:sz w:val="24"/>
          <w:highlight w:val="none"/>
        </w:rPr>
        <w:t>响应无效</w:t>
      </w:r>
      <w:r>
        <w:rPr>
          <w:sz w:val="24"/>
          <w:highlight w:val="none"/>
        </w:rPr>
        <w:t>。</w:t>
      </w:r>
    </w:p>
    <w:p w14:paraId="42E11B47">
      <w:pPr>
        <w:spacing w:line="360" w:lineRule="auto"/>
        <w:ind w:firstLine="435"/>
        <w:rPr>
          <w:rFonts w:hint="eastAsia"/>
          <w:sz w:val="24"/>
          <w:highlight w:val="none"/>
        </w:rPr>
      </w:pPr>
      <w:r>
        <w:rPr>
          <w:sz w:val="24"/>
          <w:highlight w:val="none"/>
        </w:rPr>
        <w:t>14.3为保证有充分时间签订合同，</w:t>
      </w:r>
      <w:r>
        <w:rPr>
          <w:rFonts w:hint="eastAsia"/>
          <w:sz w:val="24"/>
          <w:szCs w:val="18"/>
          <w:highlight w:val="none"/>
        </w:rPr>
        <w:t>业主单位</w:t>
      </w:r>
      <w:r>
        <w:rPr>
          <w:sz w:val="24"/>
          <w:highlight w:val="none"/>
        </w:rPr>
        <w:t>或</w:t>
      </w:r>
      <w:r>
        <w:rPr>
          <w:rFonts w:hint="eastAsia"/>
          <w:sz w:val="24"/>
          <w:highlight w:val="none"/>
        </w:rPr>
        <w:t>代理机构</w:t>
      </w:r>
      <w:r>
        <w:rPr>
          <w:sz w:val="24"/>
          <w:highlight w:val="none"/>
        </w:rPr>
        <w:t>可根据实际情况，在原磋商有效期截止之前，要求</w:t>
      </w:r>
      <w:r>
        <w:rPr>
          <w:rFonts w:hint="eastAsia"/>
          <w:sz w:val="24"/>
          <w:szCs w:val="18"/>
          <w:highlight w:val="none"/>
        </w:rPr>
        <w:t>参审单位</w:t>
      </w:r>
      <w:r>
        <w:rPr>
          <w:sz w:val="24"/>
          <w:highlight w:val="none"/>
        </w:rPr>
        <w:t>延长磋商有效期。接受该要求的</w:t>
      </w:r>
      <w:r>
        <w:rPr>
          <w:rFonts w:hint="eastAsia"/>
          <w:sz w:val="24"/>
          <w:szCs w:val="18"/>
          <w:highlight w:val="none"/>
        </w:rPr>
        <w:t>参审单位</w:t>
      </w:r>
      <w:r>
        <w:rPr>
          <w:sz w:val="24"/>
          <w:highlight w:val="none"/>
        </w:rPr>
        <w:t>将不会被要求和允许修正其响应文件。</w:t>
      </w:r>
      <w:r>
        <w:rPr>
          <w:rFonts w:hint="eastAsia"/>
          <w:sz w:val="24"/>
          <w:szCs w:val="18"/>
          <w:highlight w:val="none"/>
        </w:rPr>
        <w:t>参审单位</w:t>
      </w:r>
      <w:r>
        <w:rPr>
          <w:sz w:val="24"/>
          <w:highlight w:val="none"/>
        </w:rPr>
        <w:t>可以拒绝延长磋商有效期的要求，且不承担任何责任。上述要求和答复都应以书面形式提交。</w:t>
      </w:r>
    </w:p>
    <w:p w14:paraId="73DD8FFC">
      <w:pPr>
        <w:spacing w:line="360" w:lineRule="auto"/>
        <w:ind w:firstLine="437"/>
        <w:outlineLvl w:val="2"/>
        <w:rPr>
          <w:rFonts w:hint="eastAsia"/>
          <w:b/>
          <w:sz w:val="24"/>
          <w:highlight w:val="none"/>
        </w:rPr>
      </w:pPr>
      <w:r>
        <w:rPr>
          <w:rFonts w:hint="eastAsia"/>
          <w:b/>
          <w:sz w:val="24"/>
          <w:highlight w:val="none"/>
        </w:rPr>
        <w:t>1</w:t>
      </w:r>
      <w:r>
        <w:rPr>
          <w:b/>
          <w:sz w:val="24"/>
          <w:highlight w:val="none"/>
        </w:rPr>
        <w:t>5.</w:t>
      </w:r>
      <w:r>
        <w:rPr>
          <w:rFonts w:hint="eastAsia"/>
          <w:b/>
          <w:sz w:val="24"/>
          <w:highlight w:val="none"/>
        </w:rPr>
        <w:t>响应文件的制作</w:t>
      </w:r>
    </w:p>
    <w:p w14:paraId="3992499C">
      <w:pPr>
        <w:spacing w:line="360" w:lineRule="auto"/>
        <w:ind w:firstLine="435"/>
        <w:rPr>
          <w:rFonts w:hint="eastAsia" w:cs="宋体"/>
          <w:sz w:val="24"/>
          <w:highlight w:val="none"/>
        </w:rPr>
      </w:pPr>
      <w:r>
        <w:rPr>
          <w:rFonts w:hint="eastAsia" w:cs="宋体"/>
          <w:sz w:val="24"/>
          <w:highlight w:val="none"/>
        </w:rPr>
        <w:t>15.1.本项目采用全流程电子化方式，</w:t>
      </w:r>
      <w:r>
        <w:rPr>
          <w:rFonts w:hint="eastAsia"/>
          <w:sz w:val="24"/>
          <w:szCs w:val="18"/>
          <w:highlight w:val="none"/>
        </w:rPr>
        <w:t>参审单位</w:t>
      </w:r>
      <w:r>
        <w:rPr>
          <w:rFonts w:hint="eastAsia" w:cs="宋体"/>
          <w:sz w:val="24"/>
          <w:highlight w:val="none"/>
        </w:rPr>
        <w:t>必须递交电子响应文件，并对电子响应文件进行电子签章并使用CA锁进行加密，在磋商文件规定的响应截止时间前使用“优质采投标工具客户端”完成上传。</w:t>
      </w:r>
    </w:p>
    <w:p w14:paraId="65669F01">
      <w:pPr>
        <w:spacing w:line="360" w:lineRule="auto"/>
        <w:ind w:firstLine="435"/>
        <w:rPr>
          <w:rFonts w:hint="eastAsia" w:cs="宋体"/>
          <w:sz w:val="24"/>
          <w:highlight w:val="none"/>
        </w:rPr>
      </w:pPr>
      <w:r>
        <w:rPr>
          <w:rFonts w:hint="eastAsia" w:cs="宋体"/>
          <w:sz w:val="24"/>
          <w:highlight w:val="none"/>
        </w:rPr>
        <w:t>15.2.全流程电磋商项目</w:t>
      </w:r>
      <w:r>
        <w:rPr>
          <w:rFonts w:hint="eastAsia"/>
          <w:sz w:val="24"/>
          <w:szCs w:val="18"/>
          <w:highlight w:val="none"/>
        </w:rPr>
        <w:t>参审单位</w:t>
      </w:r>
      <w:r>
        <w:rPr>
          <w:rFonts w:hint="eastAsia" w:cs="宋体"/>
          <w:sz w:val="24"/>
          <w:highlight w:val="none"/>
        </w:rPr>
        <w:t>必须上传CA锁加密的电子响应文件，</w:t>
      </w:r>
      <w:r>
        <w:rPr>
          <w:rFonts w:hint="eastAsia"/>
          <w:sz w:val="24"/>
          <w:szCs w:val="18"/>
          <w:highlight w:val="none"/>
        </w:rPr>
        <w:t>参审单位</w:t>
      </w:r>
      <w:r>
        <w:rPr>
          <w:rFonts w:hint="eastAsia" w:cs="宋体"/>
          <w:sz w:val="24"/>
          <w:highlight w:val="none"/>
        </w:rPr>
        <w:t>下载磋商文件后，如未在磋商文件规定的响应文件递交截止时间前上传电子响应文件，视为无效；</w:t>
      </w:r>
      <w:r>
        <w:rPr>
          <w:rFonts w:hint="eastAsia"/>
          <w:sz w:val="24"/>
          <w:szCs w:val="18"/>
          <w:highlight w:val="none"/>
        </w:rPr>
        <w:t>参审单位</w:t>
      </w:r>
      <w:r>
        <w:rPr>
          <w:rFonts w:hint="eastAsia" w:cs="宋体"/>
          <w:sz w:val="24"/>
          <w:highlight w:val="none"/>
        </w:rPr>
        <w:t>在响应文件递交截止时间前，可以对其所递交的电子响应文件进行撤回，修改后重新上传（具体操作详见教程）；</w:t>
      </w:r>
    </w:p>
    <w:p w14:paraId="502BBC1B">
      <w:pPr>
        <w:spacing w:line="360" w:lineRule="auto"/>
        <w:ind w:firstLine="435"/>
        <w:rPr>
          <w:rFonts w:hint="eastAsia" w:cs="宋体"/>
          <w:sz w:val="24"/>
          <w:highlight w:val="none"/>
        </w:rPr>
      </w:pPr>
      <w:r>
        <w:rPr>
          <w:rFonts w:hint="eastAsia" w:cs="宋体"/>
          <w:sz w:val="24"/>
          <w:highlight w:val="none"/>
        </w:rPr>
        <w:t>15.3.响应文件递交截止时间以优质采云采购平台（</w:t>
      </w:r>
      <w:r>
        <w:rPr>
          <w:rFonts w:hint="eastAsia" w:cs="宋体"/>
          <w:sz w:val="24"/>
          <w:szCs w:val="18"/>
          <w:highlight w:val="none"/>
        </w:rPr>
        <w:t>http://www.youzhicai.com/</w:t>
      </w:r>
      <w:r>
        <w:rPr>
          <w:rFonts w:hint="eastAsia" w:cs="宋体"/>
          <w:sz w:val="24"/>
          <w:highlight w:val="none"/>
        </w:rPr>
        <w:t>）系统的时间为准，逾期系统将自动关闭，电子响应文件未完成上传的，视为没有递交响应文件；</w:t>
      </w:r>
    </w:p>
    <w:p w14:paraId="41685B93">
      <w:pPr>
        <w:spacing w:line="360" w:lineRule="auto"/>
        <w:ind w:firstLine="435"/>
        <w:rPr>
          <w:rFonts w:hint="eastAsia" w:cs="宋体"/>
          <w:sz w:val="24"/>
          <w:highlight w:val="none"/>
        </w:rPr>
      </w:pPr>
      <w:r>
        <w:rPr>
          <w:rFonts w:hint="eastAsia" w:cs="宋体"/>
          <w:sz w:val="24"/>
          <w:highlight w:val="none"/>
        </w:rPr>
        <w:t>15.4.响应文件可远程解密，</w:t>
      </w:r>
      <w:r>
        <w:rPr>
          <w:rFonts w:hint="eastAsia"/>
          <w:sz w:val="24"/>
          <w:szCs w:val="18"/>
          <w:highlight w:val="none"/>
        </w:rPr>
        <w:t>参审单位</w:t>
      </w:r>
      <w:r>
        <w:rPr>
          <w:rFonts w:hint="eastAsia" w:cs="宋体"/>
          <w:sz w:val="24"/>
          <w:highlight w:val="none"/>
        </w:rPr>
        <w:t>无需到达磋商现场。磋商文件“</w:t>
      </w:r>
      <w:r>
        <w:rPr>
          <w:rFonts w:hint="eastAsia"/>
          <w:sz w:val="24"/>
          <w:szCs w:val="18"/>
          <w:highlight w:val="none"/>
        </w:rPr>
        <w:t>参审单位</w:t>
      </w:r>
      <w:r>
        <w:rPr>
          <w:rFonts w:hint="eastAsia" w:cs="宋体"/>
          <w:sz w:val="24"/>
          <w:highlight w:val="none"/>
        </w:rPr>
        <w:t>须知”中另有规定的，从其规定。</w:t>
      </w:r>
    </w:p>
    <w:p w14:paraId="3F141302">
      <w:pPr>
        <w:spacing w:line="360" w:lineRule="auto"/>
        <w:ind w:firstLine="435"/>
        <w:rPr>
          <w:rFonts w:hint="eastAsia"/>
          <w:sz w:val="24"/>
          <w:highlight w:val="none"/>
        </w:rPr>
      </w:pPr>
      <w:r>
        <w:rPr>
          <w:rFonts w:hint="eastAsia" w:cs="宋体"/>
          <w:sz w:val="24"/>
          <w:highlight w:val="none"/>
        </w:rPr>
        <w:t>15.5.</w:t>
      </w:r>
      <w:r>
        <w:rPr>
          <w:rFonts w:hint="eastAsia"/>
          <w:sz w:val="24"/>
          <w:szCs w:val="18"/>
          <w:highlight w:val="none"/>
        </w:rPr>
        <w:t xml:space="preserve"> 参审单位</w:t>
      </w:r>
      <w:r>
        <w:rPr>
          <w:rFonts w:hint="eastAsia" w:cs="宋体"/>
          <w:sz w:val="24"/>
          <w:highlight w:val="none"/>
        </w:rPr>
        <w:t>在制作、上传电子响应文件过程中，若存在技术操作问题，请及时联系优质采云采购平台客服人员，客服电话：400-0099-555，0551-62220164，0551-62220012。</w:t>
      </w:r>
    </w:p>
    <w:p w14:paraId="6B507A04">
      <w:pPr>
        <w:spacing w:line="360" w:lineRule="auto"/>
        <w:ind w:firstLine="437"/>
        <w:outlineLvl w:val="2"/>
        <w:rPr>
          <w:rFonts w:hint="eastAsia"/>
          <w:b/>
          <w:sz w:val="24"/>
          <w:highlight w:val="none"/>
        </w:rPr>
      </w:pPr>
      <w:r>
        <w:rPr>
          <w:rFonts w:hint="eastAsia"/>
          <w:b/>
          <w:sz w:val="24"/>
          <w:highlight w:val="none"/>
        </w:rPr>
        <w:t>1</w:t>
      </w:r>
      <w:r>
        <w:rPr>
          <w:b/>
          <w:sz w:val="24"/>
          <w:highlight w:val="none"/>
        </w:rPr>
        <w:t>6.</w:t>
      </w:r>
      <w:r>
        <w:rPr>
          <w:rFonts w:hint="eastAsia"/>
          <w:b/>
          <w:sz w:val="24"/>
          <w:highlight w:val="none"/>
        </w:rPr>
        <w:t>响应文件提交截止时间</w:t>
      </w:r>
    </w:p>
    <w:p w14:paraId="0B27311F">
      <w:pPr>
        <w:spacing w:line="360" w:lineRule="auto"/>
        <w:ind w:firstLine="435"/>
        <w:rPr>
          <w:rFonts w:hint="eastAsia"/>
          <w:sz w:val="24"/>
          <w:highlight w:val="none"/>
        </w:rPr>
      </w:pPr>
      <w:r>
        <w:rPr>
          <w:sz w:val="24"/>
          <w:highlight w:val="none"/>
        </w:rPr>
        <w:t>16.1</w:t>
      </w:r>
      <w:r>
        <w:rPr>
          <w:rFonts w:hint="eastAsia"/>
          <w:sz w:val="24"/>
          <w:szCs w:val="18"/>
          <w:highlight w:val="none"/>
        </w:rPr>
        <w:t>参审单位</w:t>
      </w:r>
      <w:r>
        <w:rPr>
          <w:sz w:val="24"/>
          <w:highlight w:val="none"/>
        </w:rPr>
        <w:t>应在</w:t>
      </w:r>
      <w:r>
        <w:rPr>
          <w:rFonts w:hint="eastAsia"/>
          <w:sz w:val="24"/>
          <w:szCs w:val="18"/>
          <w:highlight w:val="none"/>
          <w:u w:val="single"/>
        </w:rPr>
        <w:t>参审单位</w:t>
      </w:r>
      <w:r>
        <w:rPr>
          <w:sz w:val="24"/>
          <w:highlight w:val="none"/>
          <w:u w:val="single"/>
        </w:rPr>
        <w:t>须知前附表</w:t>
      </w:r>
      <w:r>
        <w:rPr>
          <w:sz w:val="24"/>
          <w:highlight w:val="none"/>
        </w:rPr>
        <w:t>中规定的</w:t>
      </w:r>
      <w:r>
        <w:rPr>
          <w:rFonts w:hint="eastAsia"/>
          <w:sz w:val="24"/>
          <w:highlight w:val="none"/>
        </w:rPr>
        <w:t>响应文件提交</w:t>
      </w:r>
      <w:r>
        <w:rPr>
          <w:sz w:val="24"/>
          <w:highlight w:val="none"/>
        </w:rPr>
        <w:t>截止时间前，在网上提交加密电子响应文件。</w:t>
      </w:r>
    </w:p>
    <w:p w14:paraId="03D2EEE1">
      <w:pPr>
        <w:spacing w:line="360" w:lineRule="auto"/>
        <w:ind w:firstLine="435"/>
        <w:rPr>
          <w:rFonts w:hint="eastAsia"/>
          <w:sz w:val="24"/>
          <w:highlight w:val="none"/>
        </w:rPr>
      </w:pPr>
      <w:r>
        <w:rPr>
          <w:sz w:val="24"/>
          <w:highlight w:val="none"/>
        </w:rPr>
        <w:t>16.2</w:t>
      </w:r>
      <w:r>
        <w:rPr>
          <w:rFonts w:hint="eastAsia"/>
          <w:sz w:val="24"/>
          <w:szCs w:val="18"/>
          <w:highlight w:val="none"/>
        </w:rPr>
        <w:t>参审单位</w:t>
      </w:r>
      <w:r>
        <w:rPr>
          <w:sz w:val="24"/>
          <w:highlight w:val="none"/>
        </w:rPr>
        <w:t>在</w:t>
      </w:r>
      <w:r>
        <w:rPr>
          <w:rFonts w:hint="eastAsia"/>
          <w:sz w:val="24"/>
          <w:highlight w:val="none"/>
        </w:rPr>
        <w:t>磋商</w:t>
      </w:r>
      <w:r>
        <w:rPr>
          <w:sz w:val="24"/>
          <w:highlight w:val="none"/>
        </w:rPr>
        <w:t>文件规定的</w:t>
      </w:r>
      <w:r>
        <w:rPr>
          <w:rFonts w:hint="eastAsia"/>
          <w:sz w:val="24"/>
          <w:highlight w:val="none"/>
        </w:rPr>
        <w:t>响应文件提交截止时间</w:t>
      </w:r>
      <w:r>
        <w:rPr>
          <w:sz w:val="24"/>
          <w:highlight w:val="none"/>
        </w:rPr>
        <w:t>前上传了网上加密电子</w:t>
      </w:r>
      <w:r>
        <w:rPr>
          <w:rFonts w:hint="eastAsia"/>
          <w:sz w:val="24"/>
          <w:highlight w:val="none"/>
        </w:rPr>
        <w:t>响应</w:t>
      </w:r>
      <w:r>
        <w:rPr>
          <w:sz w:val="24"/>
          <w:highlight w:val="none"/>
        </w:rPr>
        <w:t>文件，但未在规定时间内进行解密的，</w:t>
      </w:r>
      <w:r>
        <w:rPr>
          <w:rFonts w:hint="eastAsia"/>
          <w:b/>
          <w:sz w:val="24"/>
          <w:highlight w:val="none"/>
        </w:rPr>
        <w:t>响应无效</w:t>
      </w:r>
      <w:r>
        <w:rPr>
          <w:sz w:val="24"/>
          <w:highlight w:val="none"/>
        </w:rPr>
        <w:t>。</w:t>
      </w:r>
    </w:p>
    <w:p w14:paraId="2D1CA8C9">
      <w:pPr>
        <w:spacing w:line="360" w:lineRule="auto"/>
        <w:ind w:firstLine="435"/>
        <w:rPr>
          <w:rFonts w:hint="eastAsia"/>
          <w:sz w:val="24"/>
          <w:highlight w:val="none"/>
        </w:rPr>
      </w:pPr>
      <w:r>
        <w:rPr>
          <w:sz w:val="24"/>
          <w:highlight w:val="none"/>
        </w:rPr>
        <w:t>16.</w:t>
      </w:r>
      <w:r>
        <w:rPr>
          <w:rFonts w:hint="eastAsia"/>
          <w:sz w:val="24"/>
          <w:highlight w:val="none"/>
        </w:rPr>
        <w:t>3</w:t>
      </w:r>
      <w:r>
        <w:rPr>
          <w:rFonts w:hint="eastAsia"/>
          <w:sz w:val="24"/>
          <w:szCs w:val="18"/>
          <w:highlight w:val="none"/>
        </w:rPr>
        <w:t>业主单位</w:t>
      </w:r>
      <w:r>
        <w:rPr>
          <w:sz w:val="24"/>
          <w:highlight w:val="none"/>
        </w:rPr>
        <w:t>和</w:t>
      </w:r>
      <w:r>
        <w:rPr>
          <w:rFonts w:hint="eastAsia"/>
          <w:sz w:val="24"/>
          <w:highlight w:val="none"/>
        </w:rPr>
        <w:t>代理机构</w:t>
      </w:r>
      <w:r>
        <w:rPr>
          <w:sz w:val="24"/>
          <w:highlight w:val="none"/>
        </w:rPr>
        <w:t>延迟</w:t>
      </w:r>
      <w:r>
        <w:rPr>
          <w:rFonts w:hint="eastAsia"/>
          <w:sz w:val="24"/>
          <w:highlight w:val="none"/>
        </w:rPr>
        <w:t>响应文件提交截止时间的</w:t>
      </w:r>
      <w:r>
        <w:rPr>
          <w:sz w:val="24"/>
          <w:highlight w:val="none"/>
        </w:rPr>
        <w:t>。</w:t>
      </w:r>
      <w:r>
        <w:rPr>
          <w:rFonts w:hint="eastAsia"/>
          <w:sz w:val="24"/>
          <w:highlight w:val="none"/>
        </w:rPr>
        <w:t>在此情况下，</w:t>
      </w:r>
      <w:r>
        <w:rPr>
          <w:rFonts w:hint="eastAsia"/>
          <w:sz w:val="24"/>
          <w:szCs w:val="18"/>
          <w:highlight w:val="none"/>
        </w:rPr>
        <w:t>业主单位</w:t>
      </w:r>
      <w:r>
        <w:rPr>
          <w:sz w:val="24"/>
          <w:highlight w:val="none"/>
        </w:rPr>
        <w:t>、</w:t>
      </w:r>
      <w:r>
        <w:rPr>
          <w:rFonts w:hint="eastAsia"/>
          <w:sz w:val="24"/>
          <w:highlight w:val="none"/>
        </w:rPr>
        <w:t>代理机构</w:t>
      </w:r>
      <w:r>
        <w:rPr>
          <w:sz w:val="24"/>
          <w:highlight w:val="none"/>
        </w:rPr>
        <w:t>和</w:t>
      </w:r>
      <w:r>
        <w:rPr>
          <w:rFonts w:hint="eastAsia"/>
          <w:sz w:val="24"/>
          <w:szCs w:val="18"/>
          <w:highlight w:val="none"/>
        </w:rPr>
        <w:t>参审单位</w:t>
      </w:r>
      <w:r>
        <w:rPr>
          <w:sz w:val="24"/>
          <w:highlight w:val="none"/>
        </w:rPr>
        <w:t>受</w:t>
      </w:r>
      <w:r>
        <w:rPr>
          <w:rFonts w:hint="eastAsia"/>
          <w:sz w:val="24"/>
          <w:highlight w:val="none"/>
        </w:rPr>
        <w:t>响应文件提交截止时间</w:t>
      </w:r>
      <w:r>
        <w:rPr>
          <w:sz w:val="24"/>
          <w:highlight w:val="none"/>
        </w:rPr>
        <w:t>制约的所有权利和义务均应延长至新的截止时间。</w:t>
      </w:r>
    </w:p>
    <w:p w14:paraId="1B56070F">
      <w:pPr>
        <w:spacing w:line="360" w:lineRule="auto"/>
        <w:ind w:firstLine="437"/>
        <w:outlineLvl w:val="2"/>
        <w:rPr>
          <w:rFonts w:hint="eastAsia"/>
          <w:b/>
          <w:sz w:val="24"/>
          <w:highlight w:val="none"/>
        </w:rPr>
      </w:pPr>
      <w:r>
        <w:rPr>
          <w:rFonts w:hint="eastAsia"/>
          <w:b/>
          <w:sz w:val="24"/>
          <w:highlight w:val="none"/>
        </w:rPr>
        <w:t>1</w:t>
      </w:r>
      <w:r>
        <w:rPr>
          <w:b/>
          <w:sz w:val="24"/>
          <w:highlight w:val="none"/>
        </w:rPr>
        <w:t>7.</w:t>
      </w:r>
      <w:r>
        <w:rPr>
          <w:rFonts w:hint="eastAsia"/>
          <w:b/>
          <w:sz w:val="24"/>
          <w:highlight w:val="none"/>
        </w:rPr>
        <w:t>响应文件的提交、修改与撤回</w:t>
      </w:r>
    </w:p>
    <w:p w14:paraId="4371D553">
      <w:pPr>
        <w:spacing w:line="360" w:lineRule="auto"/>
        <w:ind w:firstLine="435"/>
        <w:rPr>
          <w:rFonts w:hint="eastAsia" w:cs="宋体"/>
          <w:sz w:val="24"/>
          <w:highlight w:val="none"/>
        </w:rPr>
      </w:pPr>
      <w:r>
        <w:rPr>
          <w:rFonts w:hint="eastAsia" w:cs="宋体"/>
          <w:sz w:val="24"/>
          <w:highlight w:val="none"/>
        </w:rPr>
        <w:t>17.1</w:t>
      </w:r>
      <w:r>
        <w:rPr>
          <w:rFonts w:hint="eastAsia"/>
          <w:sz w:val="24"/>
          <w:szCs w:val="18"/>
          <w:highlight w:val="none"/>
        </w:rPr>
        <w:t>参审单位</w:t>
      </w:r>
      <w:r>
        <w:rPr>
          <w:rFonts w:hint="eastAsia" w:cs="宋体"/>
          <w:sz w:val="24"/>
          <w:highlight w:val="none"/>
        </w:rPr>
        <w:t>应当在第一章“磋商公告”规定的响应文件提交截止时间前，将加密的响应文件在优质采云采购平台（</w:t>
      </w:r>
      <w:r>
        <w:rPr>
          <w:rFonts w:hint="eastAsia" w:cs="宋体"/>
          <w:sz w:val="24"/>
          <w:szCs w:val="18"/>
          <w:highlight w:val="none"/>
        </w:rPr>
        <w:t>http://www.youzhicai.com/</w:t>
      </w:r>
      <w:r>
        <w:rPr>
          <w:rFonts w:hint="eastAsia" w:cs="宋体"/>
          <w:sz w:val="24"/>
          <w:highlight w:val="none"/>
        </w:rPr>
        <w:t>）上传。</w:t>
      </w:r>
    </w:p>
    <w:p w14:paraId="1B4B18B3">
      <w:pPr>
        <w:spacing w:line="360" w:lineRule="auto"/>
        <w:ind w:firstLine="435"/>
        <w:rPr>
          <w:rFonts w:hint="eastAsia" w:cs="宋体"/>
          <w:sz w:val="24"/>
          <w:highlight w:val="none"/>
        </w:rPr>
      </w:pPr>
      <w:r>
        <w:rPr>
          <w:rFonts w:hint="eastAsia" w:cs="宋体"/>
          <w:sz w:val="24"/>
          <w:highlight w:val="none"/>
        </w:rPr>
        <w:t>17.2</w:t>
      </w:r>
      <w:r>
        <w:rPr>
          <w:rFonts w:hint="eastAsia"/>
          <w:sz w:val="24"/>
          <w:szCs w:val="18"/>
          <w:highlight w:val="none"/>
        </w:rPr>
        <w:t>参审单位</w:t>
      </w:r>
      <w:r>
        <w:rPr>
          <w:rFonts w:hint="eastAsia" w:cs="宋体"/>
          <w:sz w:val="24"/>
          <w:highlight w:val="none"/>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7892973B">
      <w:pPr>
        <w:spacing w:line="360" w:lineRule="auto"/>
        <w:ind w:firstLine="435"/>
        <w:rPr>
          <w:rFonts w:hint="eastAsia" w:cs="宋体"/>
          <w:sz w:val="24"/>
          <w:highlight w:val="none"/>
        </w:rPr>
      </w:pPr>
      <w:r>
        <w:rPr>
          <w:rFonts w:hint="eastAsia" w:cs="宋体"/>
          <w:sz w:val="24"/>
          <w:highlight w:val="none"/>
        </w:rPr>
        <w:t>17.3</w:t>
      </w:r>
      <w:r>
        <w:rPr>
          <w:rFonts w:hint="eastAsia"/>
          <w:sz w:val="24"/>
          <w:szCs w:val="18"/>
          <w:highlight w:val="none"/>
        </w:rPr>
        <w:t>参审单位</w:t>
      </w:r>
      <w:r>
        <w:rPr>
          <w:rFonts w:hint="eastAsia" w:cs="宋体"/>
          <w:sz w:val="24"/>
          <w:highlight w:val="none"/>
        </w:rPr>
        <w:t>应在</w:t>
      </w:r>
      <w:r>
        <w:rPr>
          <w:rFonts w:hint="eastAsia"/>
          <w:sz w:val="24"/>
          <w:szCs w:val="18"/>
          <w:highlight w:val="none"/>
          <w:u w:val="single"/>
        </w:rPr>
        <w:t>参审单位</w:t>
      </w:r>
      <w:r>
        <w:rPr>
          <w:rFonts w:hint="eastAsia" w:cs="宋体"/>
          <w:sz w:val="24"/>
          <w:highlight w:val="none"/>
          <w:u w:val="single"/>
        </w:rPr>
        <w:t>须知前附表</w:t>
      </w:r>
      <w:r>
        <w:rPr>
          <w:rFonts w:hint="eastAsia" w:cs="宋体"/>
          <w:sz w:val="24"/>
          <w:highlight w:val="none"/>
        </w:rPr>
        <w:t>规定的解密时间前（以优质采云采购平台（</w:t>
      </w:r>
      <w:r>
        <w:rPr>
          <w:rFonts w:hint="eastAsia" w:cs="宋体"/>
          <w:sz w:val="24"/>
          <w:szCs w:val="18"/>
          <w:highlight w:val="none"/>
        </w:rPr>
        <w:t>http://www.youzhicai.com/</w:t>
      </w:r>
      <w:r>
        <w:rPr>
          <w:rFonts w:hint="eastAsia" w:cs="宋体"/>
          <w:sz w:val="24"/>
          <w:highlight w:val="none"/>
        </w:rPr>
        <w:t>）系统的解密倒计时为准）对本单位的响应文件进行解密，代理机构工作人员解密所有响应文件。</w:t>
      </w:r>
    </w:p>
    <w:p w14:paraId="2BDE99F5">
      <w:pPr>
        <w:spacing w:line="360" w:lineRule="auto"/>
        <w:ind w:firstLine="435"/>
        <w:rPr>
          <w:rFonts w:hint="eastAsia"/>
          <w:sz w:val="24"/>
          <w:highlight w:val="none"/>
        </w:rPr>
      </w:pPr>
      <w:r>
        <w:rPr>
          <w:rFonts w:hint="eastAsia" w:cs="宋体"/>
          <w:sz w:val="24"/>
          <w:highlight w:val="none"/>
        </w:rPr>
        <w:t>17.4在响应文件提交截止时间之后，</w:t>
      </w:r>
      <w:r>
        <w:rPr>
          <w:rFonts w:hint="eastAsia"/>
          <w:sz w:val="24"/>
          <w:szCs w:val="18"/>
          <w:highlight w:val="none"/>
        </w:rPr>
        <w:t>参审单位</w:t>
      </w:r>
      <w:r>
        <w:rPr>
          <w:rFonts w:hint="eastAsia" w:cs="宋体"/>
          <w:sz w:val="24"/>
          <w:highlight w:val="none"/>
        </w:rPr>
        <w:t>不得对其响应文件做任何修改。但属于磋商小组在评审中发现的计算错误并进行核实的修改、按照磋商文件的变动情况和磋商小组的要求重新提交响应文件的，不在此列。</w:t>
      </w:r>
    </w:p>
    <w:p w14:paraId="62D43581">
      <w:pPr>
        <w:spacing w:line="360" w:lineRule="auto"/>
        <w:ind w:firstLine="437"/>
        <w:outlineLvl w:val="2"/>
        <w:rPr>
          <w:rFonts w:hint="eastAsia"/>
          <w:b/>
          <w:sz w:val="24"/>
          <w:highlight w:val="none"/>
        </w:rPr>
      </w:pPr>
      <w:r>
        <w:rPr>
          <w:rFonts w:hint="eastAsia"/>
          <w:b/>
          <w:sz w:val="24"/>
          <w:highlight w:val="none"/>
        </w:rPr>
        <w:t>1</w:t>
      </w:r>
      <w:r>
        <w:rPr>
          <w:b/>
          <w:sz w:val="24"/>
          <w:highlight w:val="none"/>
        </w:rPr>
        <w:t>8.</w:t>
      </w:r>
      <w:r>
        <w:rPr>
          <w:rFonts w:hint="eastAsia"/>
          <w:b/>
          <w:sz w:val="24"/>
          <w:highlight w:val="none"/>
        </w:rPr>
        <w:t>磋商小组</w:t>
      </w:r>
    </w:p>
    <w:p w14:paraId="1248E0D7">
      <w:pPr>
        <w:spacing w:line="360" w:lineRule="auto"/>
        <w:ind w:firstLine="435"/>
        <w:rPr>
          <w:rFonts w:hint="eastAsia"/>
          <w:sz w:val="24"/>
          <w:highlight w:val="none"/>
        </w:rPr>
      </w:pPr>
      <w:r>
        <w:rPr>
          <w:rFonts w:hint="eastAsia"/>
          <w:sz w:val="24"/>
          <w:highlight w:val="none"/>
        </w:rPr>
        <w:t>18</w:t>
      </w:r>
      <w:r>
        <w:rPr>
          <w:sz w:val="24"/>
          <w:highlight w:val="none"/>
        </w:rPr>
        <w:t>.1本项目将依法组建磋商小组，磋商小组成员由</w:t>
      </w:r>
      <w:r>
        <w:rPr>
          <w:rFonts w:hint="eastAsia"/>
          <w:sz w:val="24"/>
          <w:highlight w:val="none"/>
        </w:rPr>
        <w:t>3</w:t>
      </w:r>
      <w:r>
        <w:rPr>
          <w:sz w:val="24"/>
          <w:highlight w:val="none"/>
        </w:rPr>
        <w:t>人以上单数组成，磋商小组及其成员应当依照有关规定履行相关职责和义务。</w:t>
      </w:r>
    </w:p>
    <w:p w14:paraId="2ADBD1C7">
      <w:pPr>
        <w:spacing w:line="360" w:lineRule="auto"/>
        <w:ind w:firstLine="435"/>
        <w:rPr>
          <w:rFonts w:hint="eastAsia"/>
          <w:sz w:val="24"/>
          <w:highlight w:val="none"/>
        </w:rPr>
      </w:pPr>
      <w:r>
        <w:rPr>
          <w:rFonts w:hint="eastAsia"/>
          <w:sz w:val="24"/>
          <w:highlight w:val="none"/>
        </w:rPr>
        <w:t>18</w:t>
      </w:r>
      <w:r>
        <w:rPr>
          <w:sz w:val="24"/>
          <w:highlight w:val="none"/>
        </w:rPr>
        <w:t>.2磋商小组依法对响应文件进行评审，并根据磋商文件规定的程序、评定</w:t>
      </w:r>
      <w:r>
        <w:rPr>
          <w:rFonts w:hint="eastAsia"/>
          <w:sz w:val="24"/>
          <w:highlight w:val="none"/>
        </w:rPr>
        <w:t>成交</w:t>
      </w:r>
      <w:r>
        <w:rPr>
          <w:sz w:val="24"/>
          <w:highlight w:val="none"/>
        </w:rPr>
        <w:t>的标准等事项与实质性响应磋商文件要求的</w:t>
      </w:r>
      <w:r>
        <w:rPr>
          <w:rFonts w:hint="eastAsia"/>
          <w:sz w:val="24"/>
          <w:szCs w:val="18"/>
          <w:highlight w:val="none"/>
        </w:rPr>
        <w:t>参审单位</w:t>
      </w:r>
      <w:r>
        <w:rPr>
          <w:sz w:val="24"/>
          <w:highlight w:val="none"/>
        </w:rPr>
        <w:t>进行磋商。</w:t>
      </w:r>
    </w:p>
    <w:p w14:paraId="5E08BC6C">
      <w:pPr>
        <w:spacing w:line="360" w:lineRule="auto"/>
        <w:ind w:firstLine="435"/>
        <w:rPr>
          <w:rFonts w:hint="eastAsia"/>
          <w:sz w:val="24"/>
          <w:highlight w:val="none"/>
        </w:rPr>
      </w:pPr>
      <w:r>
        <w:rPr>
          <w:rFonts w:hint="eastAsia"/>
          <w:sz w:val="24"/>
          <w:highlight w:val="none"/>
        </w:rPr>
        <w:t>18</w:t>
      </w:r>
      <w:r>
        <w:rPr>
          <w:sz w:val="24"/>
          <w:highlight w:val="none"/>
        </w:rPr>
        <w:t>.3磋商小组应当从质量和服务均能满足磋商文件实质性响应要求的</w:t>
      </w:r>
      <w:r>
        <w:rPr>
          <w:rFonts w:hint="eastAsia"/>
          <w:sz w:val="24"/>
          <w:szCs w:val="18"/>
          <w:highlight w:val="none"/>
        </w:rPr>
        <w:t>参审单位</w:t>
      </w:r>
      <w:r>
        <w:rPr>
          <w:sz w:val="24"/>
          <w:highlight w:val="none"/>
        </w:rPr>
        <w:t>中，按照评审</w:t>
      </w:r>
      <w:r>
        <w:rPr>
          <w:rFonts w:hint="eastAsia"/>
          <w:sz w:val="24"/>
          <w:highlight w:val="none"/>
        </w:rPr>
        <w:t>方</w:t>
      </w:r>
      <w:r>
        <w:rPr>
          <w:sz w:val="24"/>
          <w:highlight w:val="none"/>
        </w:rPr>
        <w:t>法</w:t>
      </w:r>
      <w:r>
        <w:rPr>
          <w:rFonts w:hint="eastAsia"/>
          <w:sz w:val="24"/>
          <w:highlight w:val="none"/>
        </w:rPr>
        <w:t>和标准推荐成交</w:t>
      </w:r>
      <w:r>
        <w:rPr>
          <w:sz w:val="24"/>
          <w:highlight w:val="none"/>
        </w:rPr>
        <w:t>候选</w:t>
      </w:r>
      <w:r>
        <w:rPr>
          <w:rFonts w:hint="eastAsia"/>
          <w:sz w:val="24"/>
          <w:szCs w:val="18"/>
          <w:highlight w:val="none"/>
        </w:rPr>
        <w:t>人</w:t>
      </w:r>
      <w:r>
        <w:rPr>
          <w:sz w:val="24"/>
          <w:highlight w:val="none"/>
        </w:rPr>
        <w:t>，并编写</w:t>
      </w:r>
      <w:r>
        <w:rPr>
          <w:rFonts w:hint="eastAsia"/>
          <w:sz w:val="24"/>
          <w:highlight w:val="none"/>
        </w:rPr>
        <w:t>评审</w:t>
      </w:r>
      <w:r>
        <w:rPr>
          <w:sz w:val="24"/>
          <w:highlight w:val="none"/>
        </w:rPr>
        <w:t>报告。</w:t>
      </w:r>
    </w:p>
    <w:p w14:paraId="2E2989DA">
      <w:pPr>
        <w:spacing w:line="360" w:lineRule="auto"/>
        <w:ind w:firstLine="437"/>
        <w:outlineLvl w:val="2"/>
        <w:rPr>
          <w:rFonts w:hint="eastAsia"/>
          <w:b/>
          <w:sz w:val="24"/>
          <w:highlight w:val="none"/>
        </w:rPr>
      </w:pPr>
      <w:r>
        <w:rPr>
          <w:b/>
          <w:sz w:val="24"/>
          <w:highlight w:val="none"/>
        </w:rPr>
        <w:t>19.响应文件的评审与磋商</w:t>
      </w:r>
    </w:p>
    <w:p w14:paraId="7C56C11C">
      <w:pPr>
        <w:spacing w:line="360" w:lineRule="auto"/>
        <w:ind w:firstLine="435"/>
        <w:rPr>
          <w:rFonts w:hint="eastAsia"/>
          <w:sz w:val="24"/>
          <w:highlight w:val="none"/>
        </w:rPr>
      </w:pPr>
      <w:r>
        <w:rPr>
          <w:rFonts w:hint="eastAsia"/>
          <w:sz w:val="24"/>
          <w:highlight w:val="none"/>
        </w:rPr>
        <w:t>19</w:t>
      </w:r>
      <w:r>
        <w:rPr>
          <w:sz w:val="24"/>
          <w:highlight w:val="none"/>
        </w:rPr>
        <w:t>.</w:t>
      </w:r>
      <w:r>
        <w:rPr>
          <w:rFonts w:hint="eastAsia"/>
          <w:sz w:val="24"/>
          <w:highlight w:val="none"/>
        </w:rPr>
        <w:t>1</w:t>
      </w:r>
      <w:r>
        <w:rPr>
          <w:rFonts w:hint="eastAsia"/>
          <w:sz w:val="24"/>
          <w:szCs w:val="18"/>
          <w:highlight w:val="none"/>
        </w:rPr>
        <w:t>业主单位</w:t>
      </w:r>
      <w:r>
        <w:rPr>
          <w:rFonts w:hint="eastAsia"/>
          <w:sz w:val="24"/>
          <w:highlight w:val="none"/>
        </w:rPr>
        <w:t>和代理机构将在</w:t>
      </w:r>
      <w:r>
        <w:rPr>
          <w:rFonts w:hint="eastAsia"/>
          <w:sz w:val="24"/>
          <w:szCs w:val="18"/>
          <w:highlight w:val="none"/>
          <w:u w:val="single"/>
        </w:rPr>
        <w:t>参审单位</w:t>
      </w:r>
      <w:r>
        <w:rPr>
          <w:sz w:val="24"/>
          <w:highlight w:val="none"/>
          <w:u w:val="single"/>
        </w:rPr>
        <w:t>须知前附表</w:t>
      </w:r>
      <w:r>
        <w:rPr>
          <w:rFonts w:hint="eastAsia"/>
          <w:sz w:val="24"/>
          <w:highlight w:val="none"/>
        </w:rPr>
        <w:t>规定的时间和地点组织磋商。</w:t>
      </w:r>
    </w:p>
    <w:p w14:paraId="14F8E3C4">
      <w:pPr>
        <w:spacing w:line="360" w:lineRule="auto"/>
        <w:ind w:firstLine="435"/>
        <w:rPr>
          <w:rFonts w:hint="eastAsia"/>
          <w:sz w:val="24"/>
          <w:highlight w:val="none"/>
        </w:rPr>
      </w:pPr>
      <w:r>
        <w:rPr>
          <w:rFonts w:hint="eastAsia"/>
          <w:sz w:val="24"/>
          <w:highlight w:val="none"/>
        </w:rPr>
        <w:t>19.2磋商活动采用综合评分法评审。</w:t>
      </w:r>
    </w:p>
    <w:p w14:paraId="194B9052">
      <w:pPr>
        <w:spacing w:line="360" w:lineRule="auto"/>
        <w:ind w:firstLine="435"/>
        <w:rPr>
          <w:rFonts w:hint="eastAsia"/>
          <w:sz w:val="24"/>
          <w:highlight w:val="none"/>
        </w:rPr>
      </w:pPr>
      <w:r>
        <w:rPr>
          <w:rFonts w:hint="eastAsia"/>
          <w:sz w:val="24"/>
          <w:highlight w:val="none"/>
        </w:rPr>
        <w:t>综合评分法，是指响应文件满足磋商文件全部实质性要求且按评审因素的量化指标评审得分最高的</w:t>
      </w:r>
      <w:r>
        <w:rPr>
          <w:rFonts w:hint="eastAsia"/>
          <w:sz w:val="24"/>
          <w:szCs w:val="18"/>
          <w:highlight w:val="none"/>
        </w:rPr>
        <w:t>参审单位</w:t>
      </w:r>
      <w:r>
        <w:rPr>
          <w:rFonts w:hint="eastAsia"/>
          <w:sz w:val="24"/>
          <w:highlight w:val="none"/>
        </w:rPr>
        <w:t>为成交候选</w:t>
      </w:r>
      <w:r>
        <w:rPr>
          <w:rFonts w:hint="eastAsia"/>
          <w:sz w:val="24"/>
          <w:szCs w:val="18"/>
          <w:highlight w:val="none"/>
        </w:rPr>
        <w:t>人</w:t>
      </w:r>
      <w:r>
        <w:rPr>
          <w:rFonts w:hint="eastAsia"/>
          <w:sz w:val="24"/>
          <w:highlight w:val="none"/>
        </w:rPr>
        <w:t>的评审方法。</w:t>
      </w:r>
    </w:p>
    <w:p w14:paraId="1FE26352">
      <w:pPr>
        <w:spacing w:line="360" w:lineRule="auto"/>
        <w:ind w:firstLine="435"/>
        <w:rPr>
          <w:rFonts w:hint="eastAsia"/>
          <w:sz w:val="24"/>
          <w:highlight w:val="none"/>
        </w:rPr>
      </w:pPr>
      <w:r>
        <w:rPr>
          <w:rFonts w:hint="eastAsia"/>
          <w:sz w:val="24"/>
          <w:highlight w:val="none"/>
        </w:rPr>
        <w:t>19.3磋商小组将按照磋商文件规定的</w:t>
      </w:r>
      <w:r>
        <w:rPr>
          <w:sz w:val="24"/>
          <w:highlight w:val="none"/>
        </w:rPr>
        <w:t>评审</w:t>
      </w:r>
      <w:r>
        <w:rPr>
          <w:rFonts w:hint="eastAsia"/>
          <w:sz w:val="24"/>
          <w:highlight w:val="none"/>
        </w:rPr>
        <w:t>方</w:t>
      </w:r>
      <w:r>
        <w:rPr>
          <w:sz w:val="24"/>
          <w:highlight w:val="none"/>
        </w:rPr>
        <w:t>法</w:t>
      </w:r>
      <w:r>
        <w:rPr>
          <w:rFonts w:hint="eastAsia"/>
          <w:sz w:val="24"/>
          <w:highlight w:val="none"/>
        </w:rPr>
        <w:t>和标准对</w:t>
      </w:r>
      <w:r>
        <w:rPr>
          <w:rFonts w:hint="eastAsia"/>
          <w:sz w:val="24"/>
          <w:szCs w:val="18"/>
          <w:highlight w:val="none"/>
        </w:rPr>
        <w:t>参审单位</w:t>
      </w:r>
      <w:r>
        <w:rPr>
          <w:rFonts w:hint="eastAsia"/>
          <w:sz w:val="24"/>
          <w:highlight w:val="none"/>
        </w:rPr>
        <w:t>独立进行评审。评审程序如下：</w:t>
      </w:r>
    </w:p>
    <w:p w14:paraId="30C22A12">
      <w:pPr>
        <w:spacing w:line="360" w:lineRule="auto"/>
        <w:ind w:firstLine="435"/>
        <w:rPr>
          <w:rFonts w:hint="eastAsia"/>
          <w:sz w:val="24"/>
          <w:highlight w:val="none"/>
        </w:rPr>
      </w:pPr>
      <w:r>
        <w:rPr>
          <w:rFonts w:hint="eastAsia"/>
          <w:sz w:val="24"/>
          <w:highlight w:val="none"/>
        </w:rPr>
        <w:t>19.3.1</w:t>
      </w:r>
      <w:r>
        <w:rPr>
          <w:rFonts w:hint="eastAsia"/>
          <w:b/>
          <w:sz w:val="24"/>
          <w:highlight w:val="none"/>
        </w:rPr>
        <w:t>初审</w:t>
      </w:r>
      <w:r>
        <w:rPr>
          <w:rFonts w:hint="eastAsia"/>
          <w:sz w:val="24"/>
          <w:highlight w:val="none"/>
        </w:rPr>
        <w:t>。磋商小组对</w:t>
      </w:r>
      <w:r>
        <w:rPr>
          <w:rFonts w:hint="eastAsia"/>
          <w:sz w:val="24"/>
          <w:szCs w:val="18"/>
          <w:highlight w:val="none"/>
        </w:rPr>
        <w:t>参审单位</w:t>
      </w:r>
      <w:r>
        <w:rPr>
          <w:rFonts w:hint="eastAsia"/>
          <w:sz w:val="24"/>
          <w:highlight w:val="none"/>
        </w:rPr>
        <w:t>必须满足和实质性响应的内容进行评审，</w:t>
      </w:r>
      <w:r>
        <w:rPr>
          <w:rFonts w:hint="eastAsia"/>
          <w:sz w:val="24"/>
          <w:szCs w:val="18"/>
          <w:highlight w:val="none"/>
        </w:rPr>
        <w:t>参审单位</w:t>
      </w:r>
      <w:r>
        <w:rPr>
          <w:rFonts w:hint="eastAsia"/>
          <w:sz w:val="24"/>
          <w:highlight w:val="none"/>
        </w:rPr>
        <w:t>未实质性响应磋商文件要求导致响应无效的，磋商小组将以书面询问的方式告知有关</w:t>
      </w:r>
      <w:r>
        <w:rPr>
          <w:rFonts w:hint="eastAsia"/>
          <w:sz w:val="24"/>
          <w:szCs w:val="18"/>
          <w:highlight w:val="none"/>
        </w:rPr>
        <w:t>参审单位</w:t>
      </w:r>
      <w:r>
        <w:rPr>
          <w:rFonts w:hint="eastAsia"/>
          <w:sz w:val="24"/>
          <w:highlight w:val="none"/>
        </w:rPr>
        <w:t>。</w:t>
      </w:r>
    </w:p>
    <w:p w14:paraId="2D4B81D2">
      <w:pPr>
        <w:spacing w:line="360" w:lineRule="auto"/>
        <w:ind w:firstLine="470" w:firstLineChars="196"/>
        <w:rPr>
          <w:rFonts w:hint="eastAsia"/>
          <w:highlight w:val="none"/>
          <w:lang w:bidi="ar"/>
        </w:rPr>
      </w:pPr>
      <w:r>
        <w:rPr>
          <w:rFonts w:hint="eastAsia"/>
          <w:sz w:val="24"/>
          <w:szCs w:val="18"/>
          <w:highlight w:val="none"/>
        </w:rPr>
        <w:t>参审单位</w:t>
      </w:r>
      <w:r>
        <w:rPr>
          <w:rFonts w:hint="eastAsia"/>
          <w:sz w:val="24"/>
          <w:highlight w:val="none"/>
        </w:rPr>
        <w:t>存在不良信用记录的，其响应文件将被认定为</w:t>
      </w:r>
      <w:r>
        <w:rPr>
          <w:rFonts w:hint="eastAsia"/>
          <w:b/>
          <w:sz w:val="24"/>
          <w:highlight w:val="none"/>
        </w:rPr>
        <w:t>响应无效</w:t>
      </w:r>
      <w:r>
        <w:rPr>
          <w:rFonts w:hint="eastAsia"/>
          <w:sz w:val="24"/>
          <w:highlight w:val="none"/>
        </w:rPr>
        <w:t>。</w:t>
      </w:r>
    </w:p>
    <w:p w14:paraId="03B16E7F">
      <w:pPr>
        <w:spacing w:line="360" w:lineRule="auto"/>
        <w:ind w:firstLine="360" w:firstLineChars="150"/>
        <w:rPr>
          <w:rFonts w:hint="eastAsia"/>
          <w:sz w:val="24"/>
          <w:highlight w:val="none"/>
        </w:rPr>
      </w:pPr>
      <w:r>
        <w:rPr>
          <w:rFonts w:hint="eastAsia"/>
          <w:sz w:val="24"/>
          <w:highlight w:val="none"/>
        </w:rPr>
        <w:t>以联合体形式参加磋商的，联合体任何成员存在以上不良信用记录的，联合体磋商将被认定为</w:t>
      </w:r>
      <w:r>
        <w:rPr>
          <w:rFonts w:hint="eastAsia"/>
          <w:b/>
          <w:sz w:val="24"/>
          <w:highlight w:val="none"/>
        </w:rPr>
        <w:t>响应无效</w:t>
      </w:r>
      <w:r>
        <w:rPr>
          <w:rFonts w:hint="eastAsia"/>
          <w:sz w:val="24"/>
          <w:highlight w:val="none"/>
        </w:rPr>
        <w:t>。</w:t>
      </w:r>
    </w:p>
    <w:p w14:paraId="229CD20D">
      <w:pPr>
        <w:spacing w:line="360" w:lineRule="auto"/>
        <w:ind w:firstLine="435"/>
        <w:rPr>
          <w:rFonts w:hint="eastAsia"/>
          <w:sz w:val="24"/>
          <w:highlight w:val="none"/>
        </w:rPr>
      </w:pPr>
      <w:r>
        <w:rPr>
          <w:rFonts w:hint="eastAsia"/>
          <w:sz w:val="24"/>
          <w:highlight w:val="none"/>
        </w:rPr>
        <w:t>19.3.2</w:t>
      </w:r>
      <w:r>
        <w:rPr>
          <w:rFonts w:hint="eastAsia"/>
          <w:b/>
          <w:sz w:val="24"/>
          <w:highlight w:val="none"/>
        </w:rPr>
        <w:t>磋商</w:t>
      </w:r>
      <w:r>
        <w:rPr>
          <w:rFonts w:hint="eastAsia"/>
          <w:sz w:val="24"/>
          <w:highlight w:val="none"/>
        </w:rPr>
        <w:t>。初审合格后，磋商小组将按网上加密电子响应文件提交顺序集中与单一</w:t>
      </w:r>
      <w:r>
        <w:rPr>
          <w:rFonts w:hint="eastAsia"/>
          <w:sz w:val="24"/>
          <w:szCs w:val="18"/>
          <w:highlight w:val="none"/>
        </w:rPr>
        <w:t>参审单位</w:t>
      </w:r>
      <w:r>
        <w:rPr>
          <w:rFonts w:hint="eastAsia"/>
          <w:sz w:val="24"/>
          <w:highlight w:val="none"/>
        </w:rPr>
        <w:t>分别进行磋商，并给予所有参加磋商的</w:t>
      </w:r>
      <w:r>
        <w:rPr>
          <w:rFonts w:hint="eastAsia"/>
          <w:sz w:val="24"/>
          <w:szCs w:val="18"/>
          <w:highlight w:val="none"/>
        </w:rPr>
        <w:t>参审单位</w:t>
      </w:r>
      <w:r>
        <w:rPr>
          <w:rFonts w:hint="eastAsia"/>
          <w:sz w:val="24"/>
          <w:highlight w:val="none"/>
        </w:rPr>
        <w:t>平等的磋商机会。</w:t>
      </w:r>
    </w:p>
    <w:p w14:paraId="7F3FCB1E">
      <w:pPr>
        <w:spacing w:line="360" w:lineRule="auto"/>
        <w:ind w:firstLine="435"/>
        <w:rPr>
          <w:rFonts w:hint="eastAsia"/>
          <w:sz w:val="24"/>
          <w:highlight w:val="none"/>
        </w:rPr>
      </w:pPr>
      <w:r>
        <w:rPr>
          <w:rFonts w:hint="eastAsia"/>
          <w:sz w:val="24"/>
          <w:highlight w:val="none"/>
        </w:rPr>
        <w:t>19.3.3</w:t>
      </w:r>
      <w:r>
        <w:rPr>
          <w:b/>
          <w:sz w:val="24"/>
          <w:highlight w:val="none"/>
        </w:rPr>
        <w:t>报价</w:t>
      </w:r>
      <w:r>
        <w:rPr>
          <w:rFonts w:hint="eastAsia"/>
          <w:sz w:val="24"/>
          <w:highlight w:val="none"/>
        </w:rPr>
        <w:t>。</w:t>
      </w:r>
      <w:r>
        <w:rPr>
          <w:sz w:val="24"/>
          <w:highlight w:val="none"/>
        </w:rPr>
        <w:t>磋商结束后，磋商小组应当要求所有</w:t>
      </w:r>
      <w:r>
        <w:rPr>
          <w:rFonts w:hint="eastAsia"/>
          <w:sz w:val="24"/>
          <w:highlight w:val="none"/>
        </w:rPr>
        <w:t>实质性响应</w:t>
      </w:r>
      <w:r>
        <w:rPr>
          <w:sz w:val="24"/>
          <w:highlight w:val="none"/>
        </w:rPr>
        <w:t>的</w:t>
      </w:r>
      <w:r>
        <w:rPr>
          <w:rFonts w:hint="eastAsia"/>
          <w:sz w:val="24"/>
          <w:szCs w:val="18"/>
          <w:highlight w:val="none"/>
        </w:rPr>
        <w:t>参审单位</w:t>
      </w:r>
      <w:r>
        <w:rPr>
          <w:sz w:val="24"/>
          <w:highlight w:val="none"/>
        </w:rPr>
        <w:t>在规定时间内提交最后报价</w:t>
      </w:r>
      <w:r>
        <w:rPr>
          <w:rFonts w:hint="eastAsia"/>
          <w:sz w:val="24"/>
          <w:highlight w:val="none"/>
        </w:rPr>
        <w:t>。</w:t>
      </w:r>
      <w:r>
        <w:rPr>
          <w:rFonts w:hint="eastAsia" w:cs="宋体"/>
          <w:b/>
          <w:bCs/>
          <w:sz w:val="24"/>
          <w:szCs w:val="24"/>
          <w:highlight w:val="none"/>
        </w:rPr>
        <w:t>磋商</w:t>
      </w:r>
      <w:r>
        <w:rPr>
          <w:rFonts w:cs="宋体"/>
          <w:b/>
          <w:bCs/>
          <w:sz w:val="24"/>
          <w:szCs w:val="24"/>
          <w:highlight w:val="none"/>
        </w:rPr>
        <w:t>文件中另有特殊规定的除外</w:t>
      </w:r>
      <w:r>
        <w:rPr>
          <w:rFonts w:hint="eastAsia" w:cs="宋体"/>
          <w:b/>
          <w:bCs/>
          <w:sz w:val="24"/>
          <w:szCs w:val="24"/>
          <w:highlight w:val="none"/>
        </w:rPr>
        <w:t>。</w:t>
      </w:r>
    </w:p>
    <w:p w14:paraId="098F74C5">
      <w:pPr>
        <w:spacing w:line="360" w:lineRule="auto"/>
        <w:ind w:firstLine="435"/>
        <w:rPr>
          <w:rFonts w:hint="eastAsia"/>
          <w:sz w:val="24"/>
          <w:highlight w:val="none"/>
        </w:rPr>
      </w:pPr>
      <w:r>
        <w:rPr>
          <w:rFonts w:hint="eastAsia"/>
          <w:sz w:val="24"/>
          <w:highlight w:val="none"/>
        </w:rPr>
        <w:t>19.3.4</w:t>
      </w:r>
      <w:r>
        <w:rPr>
          <w:rFonts w:hint="eastAsia"/>
          <w:b/>
          <w:sz w:val="24"/>
          <w:highlight w:val="none"/>
        </w:rPr>
        <w:t>综合评分</w:t>
      </w:r>
      <w:r>
        <w:rPr>
          <w:rFonts w:hint="eastAsia"/>
          <w:sz w:val="24"/>
          <w:highlight w:val="none"/>
        </w:rPr>
        <w:t>。磋商小组只对通过初审，实质上响应磋商要求的响应文件进行综合评分。经磋商确定最终项目需求和提交最后报价的</w:t>
      </w:r>
      <w:r>
        <w:rPr>
          <w:rFonts w:hint="eastAsia"/>
          <w:sz w:val="24"/>
          <w:szCs w:val="18"/>
          <w:highlight w:val="none"/>
        </w:rPr>
        <w:t>参审单位</w:t>
      </w:r>
      <w:r>
        <w:rPr>
          <w:rFonts w:hint="eastAsia"/>
          <w:sz w:val="24"/>
          <w:highlight w:val="none"/>
        </w:rPr>
        <w:t>后，由磋商小组采用综合评分法对提交最后报价的</w:t>
      </w:r>
      <w:r>
        <w:rPr>
          <w:rFonts w:hint="eastAsia"/>
          <w:sz w:val="24"/>
          <w:szCs w:val="18"/>
          <w:highlight w:val="none"/>
        </w:rPr>
        <w:t>参审单位</w:t>
      </w:r>
      <w:r>
        <w:rPr>
          <w:rFonts w:hint="eastAsia"/>
          <w:sz w:val="24"/>
          <w:highlight w:val="none"/>
        </w:rPr>
        <w:t>的响应文件和最后报价进行综合评分。</w:t>
      </w:r>
    </w:p>
    <w:p w14:paraId="48A973CF">
      <w:pPr>
        <w:spacing w:line="360" w:lineRule="auto"/>
        <w:ind w:firstLine="435"/>
        <w:rPr>
          <w:rFonts w:hint="eastAsia"/>
          <w:sz w:val="24"/>
          <w:highlight w:val="none"/>
        </w:rPr>
      </w:pPr>
      <w:r>
        <w:rPr>
          <w:rFonts w:hint="eastAsia"/>
          <w:sz w:val="24"/>
          <w:highlight w:val="none"/>
        </w:rPr>
        <w:t>19.4相关说明。</w:t>
      </w:r>
    </w:p>
    <w:p w14:paraId="48833F60">
      <w:pPr>
        <w:spacing w:line="360" w:lineRule="auto"/>
        <w:ind w:firstLine="435"/>
        <w:rPr>
          <w:rFonts w:hint="eastAsia"/>
          <w:sz w:val="24"/>
          <w:highlight w:val="none"/>
        </w:rPr>
      </w:pPr>
      <w:r>
        <w:rPr>
          <w:rFonts w:hint="eastAsia"/>
          <w:sz w:val="24"/>
          <w:highlight w:val="none"/>
        </w:rPr>
        <w:t>19.4.1为保证磋商活动顺利进行，</w:t>
      </w:r>
      <w:r>
        <w:rPr>
          <w:rFonts w:hint="eastAsia"/>
          <w:sz w:val="24"/>
          <w:szCs w:val="18"/>
          <w:highlight w:val="none"/>
        </w:rPr>
        <w:t>参审单位</w:t>
      </w:r>
      <w:r>
        <w:rPr>
          <w:rFonts w:hint="eastAsia"/>
          <w:sz w:val="24"/>
          <w:highlight w:val="none"/>
        </w:rPr>
        <w:t xml:space="preserve">可派相关技术人员进行网上答疑； </w:t>
      </w:r>
    </w:p>
    <w:p w14:paraId="28A4D518">
      <w:pPr>
        <w:spacing w:line="360" w:lineRule="auto"/>
        <w:ind w:firstLine="435"/>
        <w:rPr>
          <w:rFonts w:hint="eastAsia"/>
          <w:sz w:val="24"/>
          <w:highlight w:val="none"/>
        </w:rPr>
      </w:pPr>
      <w:r>
        <w:rPr>
          <w:rFonts w:hint="eastAsia"/>
          <w:sz w:val="24"/>
          <w:highlight w:val="none"/>
        </w:rPr>
        <w:t>19.4.2磋</w:t>
      </w:r>
      <w:r>
        <w:rPr>
          <w:sz w:val="24"/>
          <w:highlight w:val="none"/>
        </w:rPr>
        <w:t>商小组根据与</w:t>
      </w:r>
      <w:r>
        <w:rPr>
          <w:rFonts w:hint="eastAsia"/>
          <w:sz w:val="24"/>
          <w:szCs w:val="18"/>
          <w:highlight w:val="none"/>
        </w:rPr>
        <w:t>参审单位</w:t>
      </w:r>
      <w:r>
        <w:rPr>
          <w:sz w:val="24"/>
          <w:highlight w:val="none"/>
        </w:rPr>
        <w:t>磋商情况可能实质性变动</w:t>
      </w:r>
      <w:r>
        <w:rPr>
          <w:rFonts w:hint="eastAsia"/>
          <w:sz w:val="24"/>
          <w:highlight w:val="none"/>
        </w:rPr>
        <w:t>磋商文件</w:t>
      </w:r>
      <w:r>
        <w:rPr>
          <w:sz w:val="24"/>
          <w:highlight w:val="none"/>
        </w:rPr>
        <w:t>的内容，包括</w:t>
      </w:r>
      <w:r>
        <w:rPr>
          <w:rFonts w:hint="eastAsia"/>
          <w:sz w:val="24"/>
          <w:highlight w:val="none"/>
        </w:rPr>
        <w:t>项目需求</w:t>
      </w:r>
      <w:r>
        <w:rPr>
          <w:sz w:val="24"/>
          <w:highlight w:val="none"/>
        </w:rPr>
        <w:t>中的技术、服务要求以及合同草案条款。磋商文件有实质性变动的，</w:t>
      </w:r>
      <w:r>
        <w:rPr>
          <w:rFonts w:hint="eastAsia"/>
          <w:sz w:val="24"/>
          <w:highlight w:val="none"/>
        </w:rPr>
        <w:t>经</w:t>
      </w:r>
      <w:r>
        <w:rPr>
          <w:rFonts w:hint="eastAsia"/>
          <w:sz w:val="24"/>
          <w:szCs w:val="18"/>
          <w:highlight w:val="none"/>
        </w:rPr>
        <w:t>业主单位</w:t>
      </w:r>
      <w:r>
        <w:rPr>
          <w:rFonts w:hint="eastAsia"/>
          <w:sz w:val="24"/>
          <w:highlight w:val="none"/>
        </w:rPr>
        <w:t>代表确认作为磋商文件的有效组成部分，</w:t>
      </w:r>
      <w:r>
        <w:rPr>
          <w:sz w:val="24"/>
          <w:highlight w:val="none"/>
        </w:rPr>
        <w:t>磋商小组</w:t>
      </w:r>
      <w:r>
        <w:rPr>
          <w:rFonts w:hint="eastAsia"/>
          <w:sz w:val="24"/>
          <w:highlight w:val="none"/>
        </w:rPr>
        <w:t>将</w:t>
      </w:r>
      <w:r>
        <w:rPr>
          <w:sz w:val="24"/>
          <w:highlight w:val="none"/>
        </w:rPr>
        <w:t>以书面形式通知所有参加磋商的</w:t>
      </w:r>
      <w:r>
        <w:rPr>
          <w:rFonts w:hint="eastAsia"/>
          <w:sz w:val="24"/>
          <w:szCs w:val="18"/>
          <w:highlight w:val="none"/>
        </w:rPr>
        <w:t>参审单位</w:t>
      </w:r>
      <w:r>
        <w:rPr>
          <w:sz w:val="24"/>
          <w:highlight w:val="none"/>
        </w:rPr>
        <w:t>。</w:t>
      </w:r>
    </w:p>
    <w:p w14:paraId="45D14F04">
      <w:pPr>
        <w:spacing w:line="360" w:lineRule="auto"/>
        <w:ind w:firstLine="435"/>
        <w:rPr>
          <w:rFonts w:hint="eastAsia"/>
          <w:sz w:val="24"/>
          <w:highlight w:val="none"/>
        </w:rPr>
      </w:pPr>
      <w:r>
        <w:rPr>
          <w:rFonts w:hint="eastAsia"/>
          <w:sz w:val="24"/>
          <w:highlight w:val="none"/>
        </w:rPr>
        <w:t>19.4.3磋商小组发现</w:t>
      </w:r>
      <w:r>
        <w:rPr>
          <w:rFonts w:hint="eastAsia"/>
          <w:sz w:val="24"/>
          <w:szCs w:val="18"/>
          <w:highlight w:val="none"/>
        </w:rPr>
        <w:t>参审单位</w:t>
      </w:r>
      <w:r>
        <w:rPr>
          <w:rFonts w:hint="eastAsia"/>
          <w:sz w:val="24"/>
          <w:highlight w:val="none"/>
        </w:rPr>
        <w:t>的报价或者某些分项报价明显低于其他通过初审的</w:t>
      </w:r>
      <w:r>
        <w:rPr>
          <w:rFonts w:hint="eastAsia"/>
          <w:sz w:val="24"/>
          <w:szCs w:val="18"/>
          <w:highlight w:val="none"/>
        </w:rPr>
        <w:t>参审单位</w:t>
      </w:r>
      <w:r>
        <w:rPr>
          <w:rFonts w:hint="eastAsia"/>
          <w:sz w:val="24"/>
          <w:highlight w:val="none"/>
        </w:rPr>
        <w:t>的报价，有可能影响产品质量和不能诚信履约的，应当要求其在合理的时间内提供书面说明，必要时提交相关证明材料；</w:t>
      </w:r>
      <w:r>
        <w:rPr>
          <w:rFonts w:hint="eastAsia"/>
          <w:sz w:val="24"/>
          <w:szCs w:val="18"/>
          <w:highlight w:val="none"/>
        </w:rPr>
        <w:t>参审单位</w:t>
      </w:r>
      <w:r>
        <w:rPr>
          <w:rFonts w:hint="eastAsia"/>
          <w:sz w:val="24"/>
          <w:highlight w:val="none"/>
        </w:rPr>
        <w:t>不能证明其报价合理性的，其响应文件将被认定为响应无效。</w:t>
      </w:r>
    </w:p>
    <w:p w14:paraId="5C8446B1">
      <w:pPr>
        <w:spacing w:line="360" w:lineRule="auto"/>
        <w:ind w:firstLine="435"/>
        <w:rPr>
          <w:rFonts w:hint="eastAsia"/>
          <w:sz w:val="24"/>
          <w:highlight w:val="none"/>
        </w:rPr>
      </w:pPr>
      <w:r>
        <w:rPr>
          <w:rFonts w:hint="eastAsia"/>
          <w:sz w:val="24"/>
          <w:highlight w:val="none"/>
        </w:rPr>
        <w:t>19.4.4</w:t>
      </w:r>
      <w:r>
        <w:rPr>
          <w:sz w:val="24"/>
          <w:highlight w:val="none"/>
        </w:rPr>
        <w:t>无论何种原因，即使</w:t>
      </w:r>
      <w:r>
        <w:rPr>
          <w:rFonts w:hint="eastAsia"/>
          <w:sz w:val="24"/>
          <w:szCs w:val="18"/>
          <w:highlight w:val="none"/>
        </w:rPr>
        <w:t>参审单位</w:t>
      </w:r>
      <w:r>
        <w:rPr>
          <w:rFonts w:hint="eastAsia"/>
          <w:sz w:val="24"/>
          <w:highlight w:val="none"/>
        </w:rPr>
        <w:t>磋商</w:t>
      </w:r>
      <w:r>
        <w:rPr>
          <w:sz w:val="24"/>
          <w:highlight w:val="none"/>
        </w:rPr>
        <w:t>时携带了证书材料的原件，但响应文件中未提供与之内容完全一致的</w:t>
      </w:r>
      <w:r>
        <w:rPr>
          <w:rFonts w:hint="eastAsia"/>
          <w:sz w:val="24"/>
          <w:highlight w:val="none"/>
        </w:rPr>
        <w:t>扫描件</w:t>
      </w:r>
      <w:r>
        <w:rPr>
          <w:sz w:val="24"/>
          <w:highlight w:val="none"/>
        </w:rPr>
        <w:t>或影印件的，</w:t>
      </w:r>
      <w:r>
        <w:rPr>
          <w:rFonts w:hint="eastAsia"/>
          <w:sz w:val="24"/>
          <w:highlight w:val="none"/>
        </w:rPr>
        <w:t>磋商</w:t>
      </w:r>
      <w:r>
        <w:rPr>
          <w:sz w:val="24"/>
          <w:highlight w:val="none"/>
        </w:rPr>
        <w:t>小组可以视同其未提供。</w:t>
      </w:r>
    </w:p>
    <w:p w14:paraId="2670A1B1">
      <w:pPr>
        <w:spacing w:line="360" w:lineRule="auto"/>
        <w:ind w:firstLine="435"/>
        <w:rPr>
          <w:rFonts w:hint="eastAsia"/>
          <w:sz w:val="24"/>
          <w:highlight w:val="none"/>
        </w:rPr>
      </w:pPr>
      <w:r>
        <w:rPr>
          <w:rFonts w:hint="eastAsia"/>
          <w:sz w:val="24"/>
          <w:highlight w:val="none"/>
        </w:rPr>
        <w:t>19.4.5磋商</w:t>
      </w:r>
      <w:r>
        <w:rPr>
          <w:sz w:val="24"/>
          <w:highlight w:val="none"/>
        </w:rPr>
        <w:t>小组决定响应文件的响应性及符合性只根据响应文件本身的内容，而不寻求其他外部证据。</w:t>
      </w:r>
    </w:p>
    <w:p w14:paraId="0A6675DC">
      <w:pPr>
        <w:spacing w:line="360" w:lineRule="auto"/>
        <w:ind w:firstLine="435"/>
        <w:rPr>
          <w:rFonts w:hint="eastAsia"/>
          <w:sz w:val="24"/>
          <w:highlight w:val="none"/>
        </w:rPr>
      </w:pPr>
      <w:r>
        <w:rPr>
          <w:rFonts w:hint="eastAsia"/>
          <w:sz w:val="24"/>
          <w:highlight w:val="none"/>
        </w:rPr>
        <w:t>19</w:t>
      </w:r>
      <w:r>
        <w:rPr>
          <w:sz w:val="24"/>
          <w:highlight w:val="none"/>
        </w:rPr>
        <w:t>.</w:t>
      </w:r>
      <w:r>
        <w:rPr>
          <w:rFonts w:hint="eastAsia"/>
          <w:sz w:val="24"/>
          <w:highlight w:val="none"/>
        </w:rPr>
        <w:t>5</w:t>
      </w:r>
      <w:r>
        <w:rPr>
          <w:rFonts w:hint="eastAsia"/>
          <w:sz w:val="24"/>
          <w:szCs w:val="18"/>
          <w:highlight w:val="none"/>
        </w:rPr>
        <w:t>参审单位</w:t>
      </w:r>
      <w:r>
        <w:rPr>
          <w:rFonts w:hint="eastAsia"/>
          <w:sz w:val="24"/>
          <w:highlight w:val="none"/>
        </w:rPr>
        <w:t>授权</w:t>
      </w:r>
      <w:r>
        <w:rPr>
          <w:sz w:val="24"/>
          <w:highlight w:val="none"/>
        </w:rPr>
        <w:t>代表对</w:t>
      </w:r>
      <w:r>
        <w:rPr>
          <w:rFonts w:hint="eastAsia"/>
          <w:sz w:val="24"/>
          <w:highlight w:val="none"/>
        </w:rPr>
        <w:t>磋商过程</w:t>
      </w:r>
      <w:r>
        <w:rPr>
          <w:sz w:val="24"/>
          <w:highlight w:val="none"/>
        </w:rPr>
        <w:t>有疑义，以及认为</w:t>
      </w:r>
      <w:r>
        <w:rPr>
          <w:rFonts w:hint="eastAsia"/>
          <w:sz w:val="24"/>
          <w:szCs w:val="18"/>
          <w:highlight w:val="none"/>
        </w:rPr>
        <w:t>业主单位</w:t>
      </w:r>
      <w:r>
        <w:rPr>
          <w:sz w:val="24"/>
          <w:highlight w:val="none"/>
        </w:rPr>
        <w:t>、</w:t>
      </w:r>
      <w:r>
        <w:rPr>
          <w:rFonts w:hint="eastAsia"/>
          <w:sz w:val="24"/>
          <w:highlight w:val="none"/>
        </w:rPr>
        <w:t>代理机构</w:t>
      </w:r>
      <w:r>
        <w:rPr>
          <w:sz w:val="24"/>
          <w:highlight w:val="none"/>
        </w:rPr>
        <w:t>相关工作人员有需要回避的情形的，应当场提出询问或者回避申请</w:t>
      </w:r>
      <w:r>
        <w:rPr>
          <w:rFonts w:hint="eastAsia"/>
          <w:sz w:val="24"/>
          <w:highlight w:val="none"/>
        </w:rPr>
        <w:t>，并说明理由。</w:t>
      </w:r>
      <w:r>
        <w:rPr>
          <w:sz w:val="24"/>
          <w:highlight w:val="none"/>
        </w:rPr>
        <w:t xml:space="preserve"> </w:t>
      </w:r>
    </w:p>
    <w:p w14:paraId="56958298">
      <w:pPr>
        <w:spacing w:line="360" w:lineRule="auto"/>
        <w:ind w:firstLine="437"/>
        <w:outlineLvl w:val="2"/>
        <w:rPr>
          <w:rFonts w:hint="eastAsia"/>
          <w:b/>
          <w:sz w:val="24"/>
          <w:highlight w:val="none"/>
        </w:rPr>
      </w:pPr>
      <w:r>
        <w:rPr>
          <w:rFonts w:hint="eastAsia"/>
          <w:b/>
          <w:sz w:val="24"/>
          <w:highlight w:val="none"/>
        </w:rPr>
        <w:t>20</w:t>
      </w:r>
      <w:r>
        <w:rPr>
          <w:b/>
          <w:sz w:val="24"/>
          <w:highlight w:val="none"/>
        </w:rPr>
        <w:t>.终止磋商</w:t>
      </w:r>
    </w:p>
    <w:p w14:paraId="06D75E4B">
      <w:pPr>
        <w:spacing w:line="360" w:lineRule="auto"/>
        <w:ind w:firstLine="435"/>
        <w:rPr>
          <w:rFonts w:hint="eastAsia"/>
          <w:sz w:val="24"/>
          <w:highlight w:val="none"/>
        </w:rPr>
      </w:pPr>
      <w:r>
        <w:rPr>
          <w:rFonts w:hint="eastAsia"/>
          <w:sz w:val="24"/>
          <w:highlight w:val="none"/>
        </w:rPr>
        <w:t>20.1出现下列情况之一时，</w:t>
      </w:r>
      <w:r>
        <w:rPr>
          <w:rFonts w:hint="eastAsia"/>
          <w:sz w:val="24"/>
          <w:szCs w:val="18"/>
          <w:highlight w:val="none"/>
        </w:rPr>
        <w:t>业主单位</w:t>
      </w:r>
      <w:r>
        <w:rPr>
          <w:rFonts w:hint="eastAsia"/>
          <w:sz w:val="24"/>
          <w:highlight w:val="none"/>
        </w:rPr>
        <w:t>和代理机构有权宣布终止磋商，并将理由通知所有</w:t>
      </w:r>
      <w:r>
        <w:rPr>
          <w:rFonts w:hint="eastAsia"/>
          <w:sz w:val="24"/>
          <w:szCs w:val="18"/>
          <w:highlight w:val="none"/>
        </w:rPr>
        <w:t>参审单位</w:t>
      </w:r>
      <w:r>
        <w:rPr>
          <w:rFonts w:hint="eastAsia"/>
          <w:sz w:val="24"/>
          <w:highlight w:val="none"/>
        </w:rPr>
        <w:t>：</w:t>
      </w:r>
    </w:p>
    <w:p w14:paraId="61D082F9">
      <w:pPr>
        <w:spacing w:line="360" w:lineRule="auto"/>
        <w:ind w:firstLine="435"/>
        <w:rPr>
          <w:rFonts w:hint="eastAsia"/>
          <w:sz w:val="24"/>
          <w:highlight w:val="none"/>
        </w:rPr>
      </w:pPr>
      <w:r>
        <w:rPr>
          <w:rFonts w:hint="eastAsia"/>
          <w:sz w:val="24"/>
          <w:highlight w:val="none"/>
        </w:rPr>
        <w:t>（1）有效</w:t>
      </w:r>
      <w:r>
        <w:rPr>
          <w:rFonts w:hint="eastAsia"/>
          <w:sz w:val="24"/>
          <w:szCs w:val="18"/>
          <w:highlight w:val="none"/>
        </w:rPr>
        <w:t>参审单位</w:t>
      </w:r>
      <w:r>
        <w:rPr>
          <w:rFonts w:hint="eastAsia"/>
          <w:sz w:val="24"/>
          <w:highlight w:val="none"/>
        </w:rPr>
        <w:t>数量不足，导致本次磋商缺乏竞争的；</w:t>
      </w:r>
    </w:p>
    <w:p w14:paraId="74263FB4">
      <w:pPr>
        <w:spacing w:line="360" w:lineRule="auto"/>
        <w:ind w:firstLine="435"/>
        <w:rPr>
          <w:rFonts w:hint="eastAsia"/>
          <w:sz w:val="24"/>
          <w:highlight w:val="none"/>
        </w:rPr>
      </w:pPr>
      <w:r>
        <w:rPr>
          <w:rFonts w:hint="eastAsia"/>
          <w:sz w:val="24"/>
          <w:highlight w:val="none"/>
        </w:rPr>
        <w:t>（2）出现影响磋商公正的违法、违规行为的；</w:t>
      </w:r>
    </w:p>
    <w:p w14:paraId="349108A2">
      <w:pPr>
        <w:spacing w:line="360" w:lineRule="auto"/>
        <w:ind w:firstLine="435"/>
        <w:rPr>
          <w:rFonts w:hint="eastAsia"/>
          <w:sz w:val="24"/>
          <w:highlight w:val="none"/>
        </w:rPr>
      </w:pPr>
      <w:r>
        <w:rPr>
          <w:rFonts w:hint="eastAsia"/>
          <w:sz w:val="24"/>
          <w:highlight w:val="none"/>
        </w:rPr>
        <w:t>（3）因重大变故，磋商任务取消的；</w:t>
      </w:r>
    </w:p>
    <w:p w14:paraId="263CF989">
      <w:pPr>
        <w:spacing w:line="360" w:lineRule="auto"/>
        <w:ind w:firstLine="435"/>
        <w:rPr>
          <w:rFonts w:hint="eastAsia"/>
          <w:sz w:val="24"/>
          <w:highlight w:val="none"/>
        </w:rPr>
      </w:pPr>
      <w:r>
        <w:rPr>
          <w:rFonts w:hint="eastAsia"/>
          <w:sz w:val="24"/>
          <w:highlight w:val="none"/>
        </w:rPr>
        <w:t>（4）法律法规规定的其他情形。</w:t>
      </w:r>
    </w:p>
    <w:p w14:paraId="6E6E83E6">
      <w:pPr>
        <w:spacing w:line="360" w:lineRule="auto"/>
        <w:ind w:firstLine="437"/>
        <w:outlineLvl w:val="2"/>
        <w:rPr>
          <w:rFonts w:hint="eastAsia"/>
          <w:b/>
          <w:sz w:val="24"/>
          <w:highlight w:val="none"/>
        </w:rPr>
      </w:pPr>
      <w:r>
        <w:rPr>
          <w:b/>
          <w:sz w:val="24"/>
          <w:highlight w:val="none"/>
        </w:rPr>
        <w:t>2</w:t>
      </w:r>
      <w:r>
        <w:rPr>
          <w:rFonts w:hint="eastAsia"/>
          <w:b/>
          <w:sz w:val="24"/>
          <w:highlight w:val="none"/>
        </w:rPr>
        <w:t>1</w:t>
      </w:r>
      <w:r>
        <w:rPr>
          <w:b/>
          <w:sz w:val="24"/>
          <w:highlight w:val="none"/>
        </w:rPr>
        <w:t>.响应文件的澄清、说明或</w:t>
      </w:r>
      <w:r>
        <w:rPr>
          <w:rFonts w:hint="eastAsia"/>
          <w:b/>
          <w:sz w:val="24"/>
          <w:highlight w:val="none"/>
        </w:rPr>
        <w:t>更正</w:t>
      </w:r>
    </w:p>
    <w:p w14:paraId="7F0FF1F6">
      <w:pPr>
        <w:spacing w:line="360" w:lineRule="auto"/>
        <w:ind w:firstLine="470" w:firstLineChars="196"/>
        <w:rPr>
          <w:rFonts w:hint="eastAsia" w:cs="宋体"/>
          <w:sz w:val="24"/>
          <w:highlight w:val="none"/>
        </w:rPr>
      </w:pPr>
      <w:r>
        <w:rPr>
          <w:rFonts w:hint="eastAsia" w:cs="宋体"/>
          <w:sz w:val="24"/>
          <w:highlight w:val="none"/>
        </w:rPr>
        <w:t>21.1磋商小组将对响应文件的有效性、完整性和响应程度进行审查，审查时可以要求</w:t>
      </w:r>
      <w:r>
        <w:rPr>
          <w:rFonts w:hint="eastAsia"/>
          <w:sz w:val="24"/>
          <w:szCs w:val="18"/>
          <w:highlight w:val="none"/>
        </w:rPr>
        <w:t>参审单位</w:t>
      </w:r>
      <w:r>
        <w:rPr>
          <w:rFonts w:hint="eastAsia" w:cs="宋体"/>
          <w:sz w:val="24"/>
          <w:highlight w:val="none"/>
        </w:rPr>
        <w:t>对响应文件中含义不明确、同类问题表述不一致或者有明显文字和计算错误的内容等作出必要的澄清、说明或者更正。</w:t>
      </w:r>
      <w:r>
        <w:rPr>
          <w:rFonts w:hint="eastAsia"/>
          <w:sz w:val="24"/>
          <w:szCs w:val="18"/>
          <w:highlight w:val="none"/>
        </w:rPr>
        <w:t>参审单位</w:t>
      </w:r>
      <w:r>
        <w:rPr>
          <w:rFonts w:hint="eastAsia" w:cs="宋体"/>
          <w:sz w:val="24"/>
          <w:highlight w:val="none"/>
        </w:rPr>
        <w:t>的澄清、说明或者更正不得超出响应文件的范围或者改变响应文件的实质性内容。对不同文字文本响应文件的解释发生异议的，以中文文本为准。</w:t>
      </w:r>
    </w:p>
    <w:p w14:paraId="46DDAD5C">
      <w:pPr>
        <w:spacing w:line="360" w:lineRule="auto"/>
        <w:ind w:firstLine="435"/>
        <w:jc w:val="left"/>
        <w:rPr>
          <w:rFonts w:hint="eastAsia" w:cs="宋体"/>
          <w:sz w:val="24"/>
          <w:highlight w:val="none"/>
        </w:rPr>
      </w:pPr>
      <w:r>
        <w:rPr>
          <w:rFonts w:hint="eastAsia" w:cs="宋体"/>
          <w:sz w:val="24"/>
          <w:highlight w:val="none"/>
        </w:rPr>
        <w:t>21.2磋商小组通过优质采电子工具将需要澄清、说明或补正的内容以询问函的形式发送给</w:t>
      </w:r>
      <w:r>
        <w:rPr>
          <w:rFonts w:hint="eastAsia"/>
          <w:sz w:val="24"/>
          <w:szCs w:val="18"/>
          <w:highlight w:val="none"/>
        </w:rPr>
        <w:t>参审单位</w:t>
      </w:r>
      <w:r>
        <w:rPr>
          <w:rFonts w:hint="eastAsia" w:cs="宋体"/>
          <w:sz w:val="24"/>
          <w:highlight w:val="none"/>
        </w:rPr>
        <w:t>，</w:t>
      </w:r>
      <w:r>
        <w:rPr>
          <w:rFonts w:hint="eastAsia"/>
          <w:sz w:val="24"/>
          <w:szCs w:val="18"/>
          <w:highlight w:val="none"/>
        </w:rPr>
        <w:t>参审单位</w:t>
      </w:r>
      <w:r>
        <w:rPr>
          <w:rFonts w:hint="eastAsia" w:cs="宋体"/>
          <w:sz w:val="24"/>
          <w:highlight w:val="none"/>
        </w:rPr>
        <w:t>应登录优质采客户端并保持在线状态，以便及时接收磋商小组可能发出的询问函，并在询问函载明的时间内回复，若</w:t>
      </w:r>
      <w:r>
        <w:rPr>
          <w:rFonts w:hint="eastAsia"/>
          <w:sz w:val="24"/>
          <w:szCs w:val="18"/>
          <w:highlight w:val="none"/>
        </w:rPr>
        <w:t>参审单位</w:t>
      </w:r>
      <w:r>
        <w:rPr>
          <w:rFonts w:hint="eastAsia" w:cs="宋体"/>
          <w:sz w:val="24"/>
          <w:highlight w:val="none"/>
        </w:rPr>
        <w:t>未及时回复，视为放弃澄清。</w:t>
      </w:r>
    </w:p>
    <w:p w14:paraId="2D8AB845">
      <w:pPr>
        <w:spacing w:line="360" w:lineRule="auto"/>
        <w:ind w:firstLine="435"/>
        <w:rPr>
          <w:rFonts w:hint="eastAsia"/>
          <w:highlight w:val="none"/>
        </w:rPr>
      </w:pPr>
      <w:r>
        <w:rPr>
          <w:rFonts w:hint="eastAsia" w:cs="宋体"/>
          <w:b/>
          <w:bCs/>
          <w:sz w:val="24"/>
          <w:szCs w:val="24"/>
          <w:highlight w:val="none"/>
          <w:lang w:bidi="ar"/>
        </w:rPr>
        <w:t>如有询问，授权代表（或法定代表人）可通过远程登录的方式接受网上询问，也可凭本人有效身份证明参加询问。因授权代表联系不上、没有及时登录系统等情形而无法接受磋商小组询问的，</w:t>
      </w:r>
      <w:r>
        <w:rPr>
          <w:rFonts w:hint="eastAsia"/>
          <w:b/>
          <w:sz w:val="24"/>
          <w:szCs w:val="18"/>
          <w:highlight w:val="none"/>
        </w:rPr>
        <w:t>参审单位</w:t>
      </w:r>
      <w:r>
        <w:rPr>
          <w:rFonts w:hint="eastAsia" w:cs="宋体"/>
          <w:b/>
          <w:bCs/>
          <w:sz w:val="24"/>
          <w:szCs w:val="24"/>
          <w:highlight w:val="none"/>
          <w:lang w:bidi="ar"/>
        </w:rPr>
        <w:t>自行承担相关风险。</w:t>
      </w:r>
    </w:p>
    <w:p w14:paraId="33B92205">
      <w:pPr>
        <w:spacing w:line="360" w:lineRule="auto"/>
        <w:ind w:firstLine="437"/>
        <w:outlineLvl w:val="2"/>
        <w:rPr>
          <w:rFonts w:hint="eastAsia"/>
          <w:b/>
          <w:sz w:val="24"/>
          <w:highlight w:val="none"/>
        </w:rPr>
      </w:pPr>
      <w:r>
        <w:rPr>
          <w:b/>
          <w:sz w:val="24"/>
          <w:highlight w:val="none"/>
        </w:rPr>
        <w:t>2</w:t>
      </w:r>
      <w:r>
        <w:rPr>
          <w:rFonts w:hint="eastAsia"/>
          <w:b/>
          <w:sz w:val="24"/>
          <w:highlight w:val="none"/>
        </w:rPr>
        <w:t>2</w:t>
      </w:r>
      <w:r>
        <w:rPr>
          <w:b/>
          <w:sz w:val="24"/>
          <w:highlight w:val="none"/>
        </w:rPr>
        <w:t>.最后报价</w:t>
      </w:r>
    </w:p>
    <w:p w14:paraId="4939E4F6">
      <w:pPr>
        <w:spacing w:line="360" w:lineRule="auto"/>
        <w:ind w:firstLine="435"/>
        <w:rPr>
          <w:rFonts w:hint="eastAsia"/>
          <w:sz w:val="24"/>
          <w:highlight w:val="none"/>
        </w:rPr>
      </w:pPr>
      <w:r>
        <w:rPr>
          <w:rFonts w:hint="eastAsia"/>
          <w:sz w:val="24"/>
          <w:highlight w:val="none"/>
        </w:rPr>
        <w:t>22.1本次磋商一次性报价</w:t>
      </w:r>
      <w:r>
        <w:rPr>
          <w:sz w:val="24"/>
          <w:highlight w:val="none"/>
        </w:rPr>
        <w:t>。</w:t>
      </w:r>
    </w:p>
    <w:p w14:paraId="4CE26383">
      <w:pPr>
        <w:spacing w:line="360" w:lineRule="auto"/>
        <w:ind w:firstLine="435"/>
        <w:rPr>
          <w:rFonts w:hint="eastAsia"/>
          <w:sz w:val="24"/>
          <w:highlight w:val="none"/>
        </w:rPr>
      </w:pPr>
      <w:r>
        <w:rPr>
          <w:rFonts w:hint="eastAsia"/>
          <w:sz w:val="24"/>
          <w:highlight w:val="none"/>
        </w:rPr>
        <w:t>22.2</w:t>
      </w:r>
      <w:r>
        <w:rPr>
          <w:sz w:val="24"/>
          <w:highlight w:val="none"/>
        </w:rPr>
        <w:t>最后报价是</w:t>
      </w:r>
      <w:r>
        <w:rPr>
          <w:rFonts w:hint="eastAsia"/>
          <w:sz w:val="24"/>
          <w:szCs w:val="18"/>
          <w:highlight w:val="none"/>
        </w:rPr>
        <w:t>参审单位</w:t>
      </w:r>
      <w:r>
        <w:rPr>
          <w:sz w:val="24"/>
          <w:highlight w:val="none"/>
        </w:rPr>
        <w:t>响应文件的有效组成部分，也是签订合同的依据。</w:t>
      </w:r>
    </w:p>
    <w:p w14:paraId="1FED961E">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22.4除国家政策性文件规定以外，</w:t>
      </w:r>
      <w:r>
        <w:rPr>
          <w:rFonts w:hint="eastAsia"/>
          <w:sz w:val="24"/>
          <w:szCs w:val="18"/>
          <w:highlight w:val="none"/>
        </w:rPr>
        <w:t>参审单位</w:t>
      </w:r>
      <w:r>
        <w:rPr>
          <w:rFonts w:hint="eastAsia" w:cs="宋体"/>
          <w:sz w:val="24"/>
          <w:szCs w:val="24"/>
          <w:highlight w:val="none"/>
          <w:lang w:bidi="ar"/>
        </w:rPr>
        <w:t>所报价格在合同实施期间不因市场变化因素而变动。</w:t>
      </w:r>
    </w:p>
    <w:p w14:paraId="1148785A">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22.5</w:t>
      </w:r>
      <w:r>
        <w:rPr>
          <w:rFonts w:hint="eastAsia"/>
          <w:sz w:val="24"/>
          <w:szCs w:val="18"/>
          <w:highlight w:val="none"/>
        </w:rPr>
        <w:t>参审单位</w:t>
      </w:r>
      <w:r>
        <w:rPr>
          <w:rFonts w:hint="eastAsia" w:cs="宋体"/>
          <w:sz w:val="24"/>
          <w:szCs w:val="24"/>
          <w:highlight w:val="none"/>
          <w:lang w:bidi="ar"/>
        </w:rPr>
        <w:t>应当按照企业定额或 2018 版安徽省建设工程计价依据以及材料市场价格信息等，结合自身实力、施工经验、现场环境以及磋商文件的要求自主报价。</w:t>
      </w:r>
    </w:p>
    <w:p w14:paraId="402C7500">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22.6</w:t>
      </w:r>
      <w:r>
        <w:rPr>
          <w:rFonts w:hint="eastAsia"/>
          <w:sz w:val="24"/>
          <w:szCs w:val="18"/>
          <w:highlight w:val="none"/>
        </w:rPr>
        <w:t>参审单位</w:t>
      </w:r>
      <w:r>
        <w:rPr>
          <w:rFonts w:hint="eastAsia" w:cs="宋体"/>
          <w:sz w:val="24"/>
          <w:szCs w:val="24"/>
          <w:highlight w:val="none"/>
          <w:lang w:bidi="ar"/>
        </w:rPr>
        <w:t xml:space="preserve">的报价应严格执行标准，不得降低标准进行竞争。  </w:t>
      </w:r>
    </w:p>
    <w:p w14:paraId="2F446E63">
      <w:pPr>
        <w:spacing w:line="360" w:lineRule="auto"/>
        <w:ind w:firstLine="480" w:firstLineChars="200"/>
        <w:jc w:val="left"/>
        <w:rPr>
          <w:rFonts w:hint="eastAsia" w:cs="宋体"/>
          <w:sz w:val="24"/>
          <w:szCs w:val="24"/>
          <w:highlight w:val="none"/>
        </w:rPr>
      </w:pPr>
      <w:r>
        <w:rPr>
          <w:rFonts w:hint="eastAsia" w:cs="宋体"/>
          <w:sz w:val="24"/>
          <w:szCs w:val="24"/>
          <w:highlight w:val="none"/>
          <w:lang w:bidi="ar"/>
        </w:rPr>
        <w:t>22.7 除非</w:t>
      </w:r>
      <w:r>
        <w:rPr>
          <w:rFonts w:hint="eastAsia"/>
          <w:sz w:val="24"/>
          <w:szCs w:val="18"/>
          <w:highlight w:val="none"/>
        </w:rPr>
        <w:t>业主单位</w:t>
      </w:r>
      <w:r>
        <w:rPr>
          <w:rFonts w:hint="eastAsia" w:cs="宋体"/>
          <w:sz w:val="24"/>
          <w:szCs w:val="24"/>
          <w:highlight w:val="none"/>
          <w:lang w:bidi="ar"/>
        </w:rPr>
        <w:t>对磋商文件予以澄清、修改，否则</w:t>
      </w:r>
      <w:r>
        <w:rPr>
          <w:rFonts w:hint="eastAsia"/>
          <w:sz w:val="24"/>
          <w:szCs w:val="18"/>
          <w:highlight w:val="none"/>
        </w:rPr>
        <w:t>参审单位</w:t>
      </w:r>
      <w:r>
        <w:rPr>
          <w:rFonts w:hint="eastAsia" w:cs="宋体"/>
          <w:sz w:val="24"/>
          <w:szCs w:val="24"/>
          <w:highlight w:val="none"/>
          <w:lang w:bidi="ar"/>
        </w:rPr>
        <w:t>应按</w:t>
      </w:r>
      <w:r>
        <w:rPr>
          <w:rFonts w:hint="eastAsia"/>
          <w:sz w:val="24"/>
          <w:szCs w:val="18"/>
          <w:highlight w:val="none"/>
        </w:rPr>
        <w:t>业主单位</w:t>
      </w:r>
      <w:r>
        <w:rPr>
          <w:rFonts w:hint="eastAsia" w:cs="宋体"/>
          <w:sz w:val="24"/>
          <w:szCs w:val="24"/>
          <w:highlight w:val="none"/>
          <w:lang w:bidi="ar"/>
        </w:rPr>
        <w:t>提供的工程量清单中列出的工程项目和工程量逐项填报综合单价和合价。</w:t>
      </w:r>
      <w:r>
        <w:rPr>
          <w:rFonts w:hint="eastAsia"/>
          <w:sz w:val="24"/>
          <w:szCs w:val="18"/>
          <w:highlight w:val="none"/>
        </w:rPr>
        <w:t>参审单位</w:t>
      </w:r>
      <w:r>
        <w:rPr>
          <w:rFonts w:hint="eastAsia" w:cs="宋体"/>
          <w:sz w:val="24"/>
          <w:szCs w:val="24"/>
          <w:highlight w:val="none"/>
          <w:lang w:bidi="ar"/>
        </w:rPr>
        <w:t>不得在工程量清单中任意增删、修改清单项目与工程量及项目排列顺序。</w:t>
      </w:r>
    </w:p>
    <w:p w14:paraId="26F62274">
      <w:pPr>
        <w:spacing w:line="360" w:lineRule="auto"/>
        <w:ind w:firstLine="480" w:firstLineChars="200"/>
        <w:rPr>
          <w:rFonts w:hint="eastAsia" w:cs="宋体"/>
          <w:sz w:val="24"/>
          <w:szCs w:val="24"/>
          <w:highlight w:val="none"/>
        </w:rPr>
      </w:pPr>
      <w:r>
        <w:rPr>
          <w:rFonts w:hint="eastAsia" w:cs="宋体"/>
          <w:sz w:val="24"/>
          <w:szCs w:val="24"/>
          <w:highlight w:val="none"/>
          <w:lang w:bidi="ar"/>
        </w:rPr>
        <w:t>22.8除非合同中另有规定，</w:t>
      </w:r>
      <w:r>
        <w:rPr>
          <w:rFonts w:hint="eastAsia"/>
          <w:sz w:val="24"/>
          <w:szCs w:val="18"/>
          <w:highlight w:val="none"/>
        </w:rPr>
        <w:t>参审单位</w:t>
      </w:r>
      <w:r>
        <w:rPr>
          <w:rFonts w:hint="eastAsia" w:cs="宋体"/>
          <w:sz w:val="24"/>
          <w:szCs w:val="24"/>
          <w:highlight w:val="none"/>
          <w:lang w:bidi="ar"/>
        </w:rPr>
        <w:t>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w:t>
      </w:r>
      <w:r>
        <w:rPr>
          <w:rFonts w:hint="eastAsia"/>
          <w:sz w:val="24"/>
          <w:szCs w:val="18"/>
          <w:highlight w:val="none"/>
        </w:rPr>
        <w:t>参审单位</w:t>
      </w:r>
      <w:r>
        <w:rPr>
          <w:rFonts w:hint="eastAsia" w:cs="宋体"/>
          <w:sz w:val="24"/>
          <w:szCs w:val="24"/>
          <w:highlight w:val="none"/>
          <w:lang w:bidi="ar"/>
        </w:rPr>
        <w:t>在响应文件中提出的各项支付金额的总和。每一清单项目只允许有一个报价，任何有选择的报价将不予接受。</w:t>
      </w:r>
      <w:r>
        <w:rPr>
          <w:rFonts w:hint="eastAsia"/>
          <w:sz w:val="24"/>
          <w:szCs w:val="18"/>
          <w:highlight w:val="none"/>
        </w:rPr>
        <w:t>参审单位</w:t>
      </w:r>
      <w:r>
        <w:rPr>
          <w:rFonts w:hint="eastAsia" w:cs="宋体"/>
          <w:sz w:val="24"/>
          <w:szCs w:val="24"/>
          <w:highlight w:val="none"/>
          <w:lang w:bidi="ar"/>
        </w:rPr>
        <w:t>未填综合单价或合价的清单项目，将被视为该项费用已包括在其他有价款的综合单价或合价以及总价内，</w:t>
      </w:r>
      <w:r>
        <w:rPr>
          <w:rFonts w:hint="eastAsia"/>
          <w:sz w:val="24"/>
          <w:szCs w:val="18"/>
          <w:highlight w:val="none"/>
        </w:rPr>
        <w:t>参审单位</w:t>
      </w:r>
      <w:r>
        <w:rPr>
          <w:rFonts w:hint="eastAsia" w:cs="宋体"/>
          <w:sz w:val="24"/>
          <w:szCs w:val="24"/>
          <w:highlight w:val="none"/>
          <w:lang w:bidi="ar"/>
        </w:rPr>
        <w:t>必须按合同要求完成工程量清单中未填综合单价或合价的工程项目，任何与未填综合单价或合价的工程项目有关的工程价款，</w:t>
      </w:r>
      <w:r>
        <w:rPr>
          <w:rFonts w:hint="eastAsia"/>
          <w:sz w:val="24"/>
          <w:szCs w:val="18"/>
          <w:highlight w:val="none"/>
        </w:rPr>
        <w:t>业主单位</w:t>
      </w:r>
      <w:r>
        <w:rPr>
          <w:rFonts w:hint="eastAsia" w:cs="宋体"/>
          <w:sz w:val="24"/>
          <w:szCs w:val="24"/>
          <w:highlight w:val="none"/>
          <w:lang w:bidi="ar"/>
        </w:rPr>
        <w:t>将不再另行支付。</w:t>
      </w:r>
    </w:p>
    <w:p w14:paraId="6F019EE0">
      <w:pPr>
        <w:spacing w:line="360" w:lineRule="auto"/>
        <w:ind w:firstLine="437"/>
        <w:outlineLvl w:val="2"/>
        <w:rPr>
          <w:rFonts w:hint="eastAsia"/>
          <w:b/>
          <w:sz w:val="24"/>
          <w:highlight w:val="none"/>
        </w:rPr>
      </w:pPr>
      <w:r>
        <w:rPr>
          <w:b/>
          <w:sz w:val="24"/>
          <w:highlight w:val="none"/>
        </w:rPr>
        <w:t>23.</w:t>
      </w:r>
      <w:r>
        <w:rPr>
          <w:rFonts w:hint="eastAsia" w:cs="宋体"/>
          <w:b/>
          <w:bCs/>
          <w:sz w:val="24"/>
          <w:szCs w:val="24"/>
          <w:highlight w:val="none"/>
          <w:lang w:bidi="ar"/>
        </w:rPr>
        <w:t>成交候选人的推荐原则及标准</w:t>
      </w:r>
    </w:p>
    <w:p w14:paraId="7E4F93DE">
      <w:pPr>
        <w:spacing w:line="360" w:lineRule="auto"/>
        <w:ind w:firstLine="435"/>
        <w:rPr>
          <w:rFonts w:hint="eastAsia"/>
          <w:sz w:val="24"/>
          <w:highlight w:val="none"/>
        </w:rPr>
      </w:pPr>
      <w:r>
        <w:rPr>
          <w:sz w:val="24"/>
          <w:highlight w:val="none"/>
        </w:rPr>
        <w:t>23.1</w:t>
      </w:r>
      <w:r>
        <w:rPr>
          <w:rFonts w:hint="eastAsia"/>
          <w:sz w:val="24"/>
          <w:highlight w:val="none"/>
        </w:rPr>
        <w:t>磋商小组</w:t>
      </w:r>
      <w:r>
        <w:rPr>
          <w:sz w:val="24"/>
          <w:highlight w:val="none"/>
        </w:rPr>
        <w:t>依据本项目</w:t>
      </w:r>
      <w:r>
        <w:rPr>
          <w:rFonts w:hint="eastAsia"/>
          <w:sz w:val="24"/>
          <w:highlight w:val="none"/>
        </w:rPr>
        <w:t>磋商</w:t>
      </w:r>
      <w:r>
        <w:rPr>
          <w:sz w:val="24"/>
          <w:highlight w:val="none"/>
        </w:rPr>
        <w:t>文件所约定的</w:t>
      </w:r>
      <w:r>
        <w:rPr>
          <w:rFonts w:hint="eastAsia"/>
          <w:sz w:val="24"/>
          <w:highlight w:val="none"/>
        </w:rPr>
        <w:t>评审</w:t>
      </w:r>
      <w:r>
        <w:rPr>
          <w:sz w:val="24"/>
          <w:highlight w:val="none"/>
        </w:rPr>
        <w:t>方法</w:t>
      </w:r>
      <w:r>
        <w:rPr>
          <w:rFonts w:hint="eastAsia"/>
          <w:sz w:val="24"/>
          <w:highlight w:val="none"/>
        </w:rPr>
        <w:t>和标准</w:t>
      </w:r>
      <w:r>
        <w:rPr>
          <w:sz w:val="24"/>
          <w:highlight w:val="none"/>
        </w:rPr>
        <w:t>，</w:t>
      </w:r>
      <w:r>
        <w:rPr>
          <w:rFonts w:hint="eastAsia"/>
          <w:sz w:val="24"/>
          <w:highlight w:val="none"/>
        </w:rPr>
        <w:t>按照有效</w:t>
      </w:r>
      <w:r>
        <w:rPr>
          <w:rFonts w:hint="eastAsia"/>
          <w:sz w:val="24"/>
          <w:szCs w:val="18"/>
          <w:highlight w:val="none"/>
        </w:rPr>
        <w:t>参审单位</w:t>
      </w:r>
      <w:r>
        <w:rPr>
          <w:rFonts w:hint="eastAsia"/>
          <w:sz w:val="24"/>
          <w:highlight w:val="none"/>
        </w:rPr>
        <w:t>综合总得分由高到低依次推荐成交候选</w:t>
      </w:r>
      <w:r>
        <w:rPr>
          <w:rFonts w:hint="eastAsia"/>
          <w:sz w:val="24"/>
          <w:szCs w:val="18"/>
          <w:highlight w:val="none"/>
        </w:rPr>
        <w:t>人</w:t>
      </w:r>
      <w:r>
        <w:rPr>
          <w:rFonts w:hint="eastAsia"/>
          <w:sz w:val="24"/>
          <w:highlight w:val="none"/>
        </w:rPr>
        <w:t>。综合总得分出现两家或两家以上相同者，按最后报价由低到高排序推荐成交候选</w:t>
      </w:r>
      <w:r>
        <w:rPr>
          <w:rFonts w:hint="eastAsia"/>
          <w:sz w:val="24"/>
          <w:szCs w:val="18"/>
          <w:highlight w:val="none"/>
        </w:rPr>
        <w:t>人</w:t>
      </w:r>
      <w:r>
        <w:rPr>
          <w:rFonts w:hint="eastAsia"/>
          <w:sz w:val="24"/>
          <w:highlight w:val="none"/>
        </w:rPr>
        <w:t>；综合总得分且最后报价均相同的，由磋商小组按照技术指标优劣顺序推荐成交候选</w:t>
      </w:r>
      <w:r>
        <w:rPr>
          <w:rFonts w:hint="eastAsia"/>
          <w:sz w:val="24"/>
          <w:szCs w:val="18"/>
          <w:highlight w:val="none"/>
        </w:rPr>
        <w:t>人</w:t>
      </w:r>
      <w:r>
        <w:rPr>
          <w:rFonts w:hint="eastAsia"/>
          <w:sz w:val="24"/>
          <w:highlight w:val="none"/>
        </w:rPr>
        <w:t>。</w:t>
      </w:r>
    </w:p>
    <w:p w14:paraId="7A23746C">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23.2凡发现成交候选人有下列行为之一的，成交无效，并移交监管部门依法处理：</w:t>
      </w:r>
    </w:p>
    <w:p w14:paraId="5C76ECBD">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23.2.1有下列情形之一的，属于</w:t>
      </w:r>
      <w:r>
        <w:rPr>
          <w:rFonts w:hint="eastAsia"/>
          <w:sz w:val="24"/>
          <w:szCs w:val="18"/>
          <w:highlight w:val="none"/>
        </w:rPr>
        <w:t>参审单位间</w:t>
      </w:r>
      <w:r>
        <w:rPr>
          <w:rFonts w:hint="eastAsia" w:cs="宋体"/>
          <w:sz w:val="24"/>
          <w:szCs w:val="24"/>
          <w:highlight w:val="none"/>
          <w:lang w:bidi="ar"/>
        </w:rPr>
        <w:t>相互串通：</w:t>
      </w:r>
    </w:p>
    <w:p w14:paraId="0398CF33">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23.2.1.1</w:t>
      </w:r>
      <w:r>
        <w:rPr>
          <w:rFonts w:hint="eastAsia"/>
          <w:sz w:val="24"/>
          <w:szCs w:val="18"/>
          <w:highlight w:val="none"/>
        </w:rPr>
        <w:t>参审单位</w:t>
      </w:r>
      <w:r>
        <w:rPr>
          <w:rFonts w:hint="eastAsia" w:cs="宋体"/>
          <w:sz w:val="24"/>
          <w:szCs w:val="24"/>
          <w:highlight w:val="none"/>
          <w:lang w:bidi="ar"/>
        </w:rPr>
        <w:t>之间协商报价等响应文件的实质性内容；</w:t>
      </w:r>
    </w:p>
    <w:p w14:paraId="72D99FD3">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23.2.1.2</w:t>
      </w:r>
      <w:r>
        <w:rPr>
          <w:rFonts w:hint="eastAsia"/>
          <w:sz w:val="24"/>
          <w:szCs w:val="18"/>
          <w:highlight w:val="none"/>
        </w:rPr>
        <w:t>参审单位</w:t>
      </w:r>
      <w:r>
        <w:rPr>
          <w:rFonts w:hint="eastAsia" w:cs="宋体"/>
          <w:sz w:val="24"/>
          <w:szCs w:val="24"/>
          <w:highlight w:val="none"/>
          <w:lang w:bidi="ar"/>
        </w:rPr>
        <w:t>之间约定成交人；</w:t>
      </w:r>
    </w:p>
    <w:p w14:paraId="2A693C41">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23.2.1.3</w:t>
      </w:r>
      <w:r>
        <w:rPr>
          <w:rFonts w:hint="eastAsia"/>
          <w:sz w:val="24"/>
          <w:szCs w:val="18"/>
          <w:highlight w:val="none"/>
        </w:rPr>
        <w:t>参审单位</w:t>
      </w:r>
      <w:r>
        <w:rPr>
          <w:rFonts w:hint="eastAsia" w:cs="宋体"/>
          <w:sz w:val="24"/>
          <w:szCs w:val="24"/>
          <w:highlight w:val="none"/>
          <w:lang w:bidi="ar"/>
        </w:rPr>
        <w:t>之间约定部分</w:t>
      </w:r>
      <w:r>
        <w:rPr>
          <w:rFonts w:hint="eastAsia"/>
          <w:sz w:val="24"/>
          <w:szCs w:val="18"/>
          <w:highlight w:val="none"/>
        </w:rPr>
        <w:t>参审单位</w:t>
      </w:r>
      <w:r>
        <w:rPr>
          <w:rFonts w:hint="eastAsia" w:cs="宋体"/>
          <w:sz w:val="24"/>
          <w:szCs w:val="24"/>
          <w:highlight w:val="none"/>
          <w:lang w:bidi="ar"/>
        </w:rPr>
        <w:t>放弃磋商或者成交；</w:t>
      </w:r>
    </w:p>
    <w:p w14:paraId="6B103CA6">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23.2.1.4属于同一集团、协会、商会等组织成员的</w:t>
      </w:r>
      <w:r>
        <w:rPr>
          <w:rFonts w:hint="eastAsia"/>
          <w:sz w:val="24"/>
          <w:szCs w:val="18"/>
          <w:highlight w:val="none"/>
        </w:rPr>
        <w:t>参审单位</w:t>
      </w:r>
      <w:r>
        <w:rPr>
          <w:rFonts w:hint="eastAsia" w:cs="宋体"/>
          <w:sz w:val="24"/>
          <w:szCs w:val="24"/>
          <w:highlight w:val="none"/>
          <w:lang w:bidi="ar"/>
        </w:rPr>
        <w:t>按照该组织要求协同磋商；</w:t>
      </w:r>
    </w:p>
    <w:p w14:paraId="20E61027">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23.2.1.5</w:t>
      </w:r>
      <w:r>
        <w:rPr>
          <w:rFonts w:hint="eastAsia"/>
          <w:sz w:val="24"/>
          <w:szCs w:val="18"/>
          <w:highlight w:val="none"/>
        </w:rPr>
        <w:t>参审单位</w:t>
      </w:r>
      <w:r>
        <w:rPr>
          <w:rFonts w:hint="eastAsia" w:cs="宋体"/>
          <w:sz w:val="24"/>
          <w:szCs w:val="24"/>
          <w:highlight w:val="none"/>
          <w:lang w:bidi="ar"/>
        </w:rPr>
        <w:t>之间为谋取成交或者排斥特定</w:t>
      </w:r>
      <w:r>
        <w:rPr>
          <w:rFonts w:hint="eastAsia"/>
          <w:sz w:val="24"/>
          <w:szCs w:val="18"/>
          <w:highlight w:val="none"/>
        </w:rPr>
        <w:t>参审单位</w:t>
      </w:r>
      <w:r>
        <w:rPr>
          <w:rFonts w:hint="eastAsia" w:cs="宋体"/>
          <w:sz w:val="24"/>
          <w:szCs w:val="24"/>
          <w:highlight w:val="none"/>
          <w:lang w:bidi="ar"/>
        </w:rPr>
        <w:t>而采取的其他联合行动。</w:t>
      </w:r>
    </w:p>
    <w:p w14:paraId="44CB5CA3">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23.2.2有下列情形之一的，视为</w:t>
      </w:r>
      <w:r>
        <w:rPr>
          <w:rFonts w:hint="eastAsia"/>
          <w:sz w:val="24"/>
          <w:szCs w:val="18"/>
          <w:highlight w:val="none"/>
        </w:rPr>
        <w:t>参审单位间</w:t>
      </w:r>
      <w:r>
        <w:rPr>
          <w:rFonts w:hint="eastAsia" w:cs="宋体"/>
          <w:sz w:val="24"/>
          <w:szCs w:val="24"/>
          <w:highlight w:val="none"/>
          <w:lang w:bidi="ar"/>
        </w:rPr>
        <w:t>相互串通：</w:t>
      </w:r>
    </w:p>
    <w:p w14:paraId="253001ED">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23.2.2.1不同</w:t>
      </w:r>
      <w:r>
        <w:rPr>
          <w:rFonts w:hint="eastAsia"/>
          <w:sz w:val="24"/>
          <w:szCs w:val="18"/>
          <w:highlight w:val="none"/>
        </w:rPr>
        <w:t>参审单位</w:t>
      </w:r>
      <w:r>
        <w:rPr>
          <w:rFonts w:hint="eastAsia" w:cs="宋体"/>
          <w:sz w:val="24"/>
          <w:szCs w:val="24"/>
          <w:highlight w:val="none"/>
          <w:lang w:bidi="ar"/>
        </w:rPr>
        <w:t>的响应文件由同一单位或者个人编制；</w:t>
      </w:r>
    </w:p>
    <w:p w14:paraId="4A1E3525">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23.2.2.2不同</w:t>
      </w:r>
      <w:r>
        <w:rPr>
          <w:rFonts w:hint="eastAsia"/>
          <w:sz w:val="24"/>
          <w:szCs w:val="18"/>
          <w:highlight w:val="none"/>
        </w:rPr>
        <w:t>参审单位</w:t>
      </w:r>
      <w:r>
        <w:rPr>
          <w:rFonts w:hint="eastAsia" w:cs="宋体"/>
          <w:sz w:val="24"/>
          <w:szCs w:val="24"/>
          <w:highlight w:val="none"/>
          <w:lang w:bidi="ar"/>
        </w:rPr>
        <w:t>委托同一单位或者个人办理磋商事宜；</w:t>
      </w:r>
    </w:p>
    <w:p w14:paraId="64D014A0">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23.2.2.3不同</w:t>
      </w:r>
      <w:r>
        <w:rPr>
          <w:rFonts w:hint="eastAsia"/>
          <w:sz w:val="24"/>
          <w:szCs w:val="18"/>
          <w:highlight w:val="none"/>
        </w:rPr>
        <w:t>参审单位</w:t>
      </w:r>
      <w:r>
        <w:rPr>
          <w:rFonts w:hint="eastAsia" w:cs="宋体"/>
          <w:sz w:val="24"/>
          <w:szCs w:val="24"/>
          <w:highlight w:val="none"/>
          <w:lang w:bidi="ar"/>
        </w:rPr>
        <w:t>的响应文件载明的项目管理成员为同一人；</w:t>
      </w:r>
    </w:p>
    <w:p w14:paraId="0F135792">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23.2.2.4不同</w:t>
      </w:r>
      <w:r>
        <w:rPr>
          <w:rFonts w:hint="eastAsia"/>
          <w:sz w:val="24"/>
          <w:szCs w:val="18"/>
          <w:highlight w:val="none"/>
        </w:rPr>
        <w:t>参审单位</w:t>
      </w:r>
      <w:r>
        <w:rPr>
          <w:rFonts w:hint="eastAsia" w:cs="宋体"/>
          <w:sz w:val="24"/>
          <w:szCs w:val="24"/>
          <w:highlight w:val="none"/>
          <w:lang w:bidi="ar"/>
        </w:rPr>
        <w:t>的响应文件异常一致或者报价呈规律性差异；</w:t>
      </w:r>
    </w:p>
    <w:p w14:paraId="21BAA94A">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23.2.2.5不同</w:t>
      </w:r>
      <w:r>
        <w:rPr>
          <w:rFonts w:hint="eastAsia"/>
          <w:sz w:val="24"/>
          <w:szCs w:val="18"/>
          <w:highlight w:val="none"/>
        </w:rPr>
        <w:t>参审单位</w:t>
      </w:r>
      <w:r>
        <w:rPr>
          <w:rFonts w:hint="eastAsia" w:cs="宋体"/>
          <w:sz w:val="24"/>
          <w:szCs w:val="24"/>
          <w:highlight w:val="none"/>
          <w:lang w:bidi="ar"/>
        </w:rPr>
        <w:t>的响应文件相互混装；</w:t>
      </w:r>
    </w:p>
    <w:p w14:paraId="27CA1627">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23.2.2.6不同</w:t>
      </w:r>
      <w:r>
        <w:rPr>
          <w:rFonts w:hint="eastAsia"/>
          <w:sz w:val="24"/>
          <w:szCs w:val="18"/>
          <w:highlight w:val="none"/>
        </w:rPr>
        <w:t>参审单位</w:t>
      </w:r>
      <w:r>
        <w:rPr>
          <w:rFonts w:hint="eastAsia" w:cs="宋体"/>
          <w:sz w:val="24"/>
          <w:szCs w:val="24"/>
          <w:highlight w:val="none"/>
          <w:lang w:bidi="ar"/>
        </w:rPr>
        <w:t>的磋商保证金从同一单位或者个人的账户转出。</w:t>
      </w:r>
    </w:p>
    <w:p w14:paraId="5FB1A09F">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23.2.3有下列情形之一的，属于</w:t>
      </w:r>
      <w:r>
        <w:rPr>
          <w:rFonts w:hint="eastAsia"/>
          <w:sz w:val="24"/>
          <w:szCs w:val="18"/>
          <w:highlight w:val="none"/>
        </w:rPr>
        <w:t>业主单位</w:t>
      </w:r>
      <w:r>
        <w:rPr>
          <w:rFonts w:hint="eastAsia" w:cs="宋体"/>
          <w:sz w:val="24"/>
          <w:szCs w:val="24"/>
          <w:highlight w:val="none"/>
          <w:lang w:bidi="ar"/>
        </w:rPr>
        <w:t>与</w:t>
      </w:r>
      <w:r>
        <w:rPr>
          <w:rFonts w:hint="eastAsia"/>
          <w:sz w:val="24"/>
          <w:szCs w:val="18"/>
          <w:highlight w:val="none"/>
        </w:rPr>
        <w:t>参审单位</w:t>
      </w:r>
      <w:r>
        <w:rPr>
          <w:rFonts w:hint="eastAsia" w:cs="宋体"/>
          <w:sz w:val="24"/>
          <w:szCs w:val="24"/>
          <w:highlight w:val="none"/>
          <w:lang w:bidi="ar"/>
        </w:rPr>
        <w:t>串通：</w:t>
      </w:r>
    </w:p>
    <w:p w14:paraId="21352612">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23.2.3.1</w:t>
      </w:r>
      <w:r>
        <w:rPr>
          <w:rFonts w:hint="eastAsia"/>
          <w:sz w:val="24"/>
          <w:szCs w:val="18"/>
          <w:highlight w:val="none"/>
        </w:rPr>
        <w:t>业主单位</w:t>
      </w:r>
      <w:r>
        <w:rPr>
          <w:rFonts w:hint="eastAsia" w:cs="宋体"/>
          <w:sz w:val="24"/>
          <w:szCs w:val="24"/>
          <w:highlight w:val="none"/>
          <w:lang w:bidi="ar"/>
        </w:rPr>
        <w:t>在磋商前开启响应文件并将有关信息泄露给其他</w:t>
      </w:r>
      <w:r>
        <w:rPr>
          <w:rFonts w:hint="eastAsia"/>
          <w:sz w:val="24"/>
          <w:szCs w:val="18"/>
          <w:highlight w:val="none"/>
        </w:rPr>
        <w:t>参审单位</w:t>
      </w:r>
      <w:r>
        <w:rPr>
          <w:rFonts w:hint="eastAsia" w:cs="宋体"/>
          <w:sz w:val="24"/>
          <w:szCs w:val="24"/>
          <w:highlight w:val="none"/>
          <w:lang w:bidi="ar"/>
        </w:rPr>
        <w:t>；</w:t>
      </w:r>
    </w:p>
    <w:p w14:paraId="18430A41">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23.2.3.2</w:t>
      </w:r>
      <w:r>
        <w:rPr>
          <w:rFonts w:hint="eastAsia"/>
          <w:sz w:val="24"/>
          <w:szCs w:val="18"/>
          <w:highlight w:val="none"/>
        </w:rPr>
        <w:t>业主单位</w:t>
      </w:r>
      <w:r>
        <w:rPr>
          <w:rFonts w:hint="eastAsia" w:cs="宋体"/>
          <w:sz w:val="24"/>
          <w:szCs w:val="24"/>
          <w:highlight w:val="none"/>
          <w:lang w:bidi="ar"/>
        </w:rPr>
        <w:t>直接或者间接向</w:t>
      </w:r>
      <w:r>
        <w:rPr>
          <w:rFonts w:hint="eastAsia"/>
          <w:sz w:val="24"/>
          <w:szCs w:val="18"/>
          <w:highlight w:val="none"/>
        </w:rPr>
        <w:t>参审单位</w:t>
      </w:r>
      <w:r>
        <w:rPr>
          <w:rFonts w:hint="eastAsia" w:cs="宋体"/>
          <w:sz w:val="24"/>
          <w:szCs w:val="24"/>
          <w:highlight w:val="none"/>
          <w:lang w:bidi="ar"/>
        </w:rPr>
        <w:t>泄露标底、磋商小组成员等信息；</w:t>
      </w:r>
    </w:p>
    <w:p w14:paraId="42622332">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23.2.3.3</w:t>
      </w:r>
      <w:r>
        <w:rPr>
          <w:rFonts w:hint="eastAsia"/>
          <w:sz w:val="24"/>
          <w:szCs w:val="18"/>
          <w:highlight w:val="none"/>
        </w:rPr>
        <w:t>业主单位</w:t>
      </w:r>
      <w:r>
        <w:rPr>
          <w:rFonts w:hint="eastAsia" w:cs="宋体"/>
          <w:sz w:val="24"/>
          <w:szCs w:val="24"/>
          <w:highlight w:val="none"/>
          <w:lang w:bidi="ar"/>
        </w:rPr>
        <w:t>明示或者暗示</w:t>
      </w:r>
      <w:r>
        <w:rPr>
          <w:rFonts w:hint="eastAsia"/>
          <w:sz w:val="24"/>
          <w:szCs w:val="18"/>
          <w:highlight w:val="none"/>
        </w:rPr>
        <w:t>参审单位</w:t>
      </w:r>
      <w:r>
        <w:rPr>
          <w:rFonts w:hint="eastAsia" w:cs="宋体"/>
          <w:sz w:val="24"/>
          <w:szCs w:val="24"/>
          <w:highlight w:val="none"/>
          <w:lang w:bidi="ar"/>
        </w:rPr>
        <w:t>压低或者抬高报价；</w:t>
      </w:r>
    </w:p>
    <w:p w14:paraId="6BCD2FA2">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23.2.3.4</w:t>
      </w:r>
      <w:r>
        <w:rPr>
          <w:rFonts w:hint="eastAsia"/>
          <w:sz w:val="24"/>
          <w:szCs w:val="18"/>
          <w:highlight w:val="none"/>
        </w:rPr>
        <w:t>业主单位</w:t>
      </w:r>
      <w:r>
        <w:rPr>
          <w:rFonts w:hint="eastAsia" w:cs="宋体"/>
          <w:sz w:val="24"/>
          <w:szCs w:val="24"/>
          <w:highlight w:val="none"/>
          <w:lang w:bidi="ar"/>
        </w:rPr>
        <w:t>授意</w:t>
      </w:r>
      <w:r>
        <w:rPr>
          <w:rFonts w:hint="eastAsia"/>
          <w:sz w:val="24"/>
          <w:szCs w:val="18"/>
          <w:highlight w:val="none"/>
        </w:rPr>
        <w:t>参审单位</w:t>
      </w:r>
      <w:r>
        <w:rPr>
          <w:rFonts w:hint="eastAsia" w:cs="宋体"/>
          <w:sz w:val="24"/>
          <w:szCs w:val="24"/>
          <w:highlight w:val="none"/>
          <w:lang w:bidi="ar"/>
        </w:rPr>
        <w:t>撤换、修改响应文件；</w:t>
      </w:r>
    </w:p>
    <w:p w14:paraId="22B8AC9E">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23.2.3.5</w:t>
      </w:r>
      <w:r>
        <w:rPr>
          <w:rFonts w:hint="eastAsia"/>
          <w:sz w:val="24"/>
          <w:szCs w:val="18"/>
          <w:highlight w:val="none"/>
        </w:rPr>
        <w:t>业主单位</w:t>
      </w:r>
      <w:r>
        <w:rPr>
          <w:rFonts w:hint="eastAsia" w:cs="宋体"/>
          <w:sz w:val="24"/>
          <w:szCs w:val="24"/>
          <w:highlight w:val="none"/>
          <w:lang w:bidi="ar"/>
        </w:rPr>
        <w:t>明示或者暗示</w:t>
      </w:r>
      <w:r>
        <w:rPr>
          <w:rFonts w:hint="eastAsia"/>
          <w:sz w:val="24"/>
          <w:szCs w:val="18"/>
          <w:highlight w:val="none"/>
        </w:rPr>
        <w:t>参审单位</w:t>
      </w:r>
      <w:r>
        <w:rPr>
          <w:rFonts w:hint="eastAsia" w:cs="宋体"/>
          <w:sz w:val="24"/>
          <w:szCs w:val="24"/>
          <w:highlight w:val="none"/>
          <w:lang w:bidi="ar"/>
        </w:rPr>
        <w:t>为特定</w:t>
      </w:r>
      <w:r>
        <w:rPr>
          <w:rFonts w:hint="eastAsia"/>
          <w:sz w:val="24"/>
          <w:szCs w:val="18"/>
          <w:highlight w:val="none"/>
        </w:rPr>
        <w:t>参审单位</w:t>
      </w:r>
      <w:r>
        <w:rPr>
          <w:rFonts w:hint="eastAsia" w:cs="宋体"/>
          <w:sz w:val="24"/>
          <w:szCs w:val="24"/>
          <w:highlight w:val="none"/>
          <w:lang w:bidi="ar"/>
        </w:rPr>
        <w:t>成交提供方便；</w:t>
      </w:r>
    </w:p>
    <w:p w14:paraId="4308A6BC">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23.2.3.6</w:t>
      </w:r>
      <w:r>
        <w:rPr>
          <w:rFonts w:hint="eastAsia"/>
          <w:sz w:val="24"/>
          <w:szCs w:val="18"/>
          <w:highlight w:val="none"/>
        </w:rPr>
        <w:t>业主单位</w:t>
      </w:r>
      <w:r>
        <w:rPr>
          <w:rFonts w:hint="eastAsia" w:cs="宋体"/>
          <w:sz w:val="24"/>
          <w:szCs w:val="24"/>
          <w:highlight w:val="none"/>
          <w:lang w:bidi="ar"/>
        </w:rPr>
        <w:t>与</w:t>
      </w:r>
      <w:r>
        <w:rPr>
          <w:rFonts w:hint="eastAsia"/>
          <w:sz w:val="24"/>
          <w:szCs w:val="18"/>
          <w:highlight w:val="none"/>
        </w:rPr>
        <w:t>参审单位</w:t>
      </w:r>
      <w:r>
        <w:rPr>
          <w:rFonts w:hint="eastAsia" w:cs="宋体"/>
          <w:sz w:val="24"/>
          <w:szCs w:val="24"/>
          <w:highlight w:val="none"/>
          <w:lang w:bidi="ar"/>
        </w:rPr>
        <w:t>为谋求特定</w:t>
      </w:r>
      <w:r>
        <w:rPr>
          <w:rFonts w:hint="eastAsia"/>
          <w:sz w:val="24"/>
          <w:szCs w:val="18"/>
          <w:highlight w:val="none"/>
        </w:rPr>
        <w:t>参审单位</w:t>
      </w:r>
      <w:r>
        <w:rPr>
          <w:rFonts w:hint="eastAsia" w:cs="宋体"/>
          <w:sz w:val="24"/>
          <w:szCs w:val="24"/>
          <w:highlight w:val="none"/>
          <w:lang w:bidi="ar"/>
        </w:rPr>
        <w:t>成交而采取的其他串通行为。</w:t>
      </w:r>
    </w:p>
    <w:p w14:paraId="3DE0E1A4">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23.2.4使用通过受让或者租借等方式获取的资格、资质证书参与磋商的，</w:t>
      </w:r>
    </w:p>
    <w:p w14:paraId="79F37E57">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23.2.5</w:t>
      </w:r>
      <w:r>
        <w:rPr>
          <w:rFonts w:hint="eastAsia"/>
          <w:sz w:val="24"/>
          <w:szCs w:val="18"/>
          <w:highlight w:val="none"/>
        </w:rPr>
        <w:t>参审单位</w:t>
      </w:r>
      <w:r>
        <w:rPr>
          <w:rFonts w:hint="eastAsia" w:cs="宋体"/>
          <w:sz w:val="24"/>
          <w:szCs w:val="24"/>
          <w:highlight w:val="none"/>
          <w:lang w:bidi="ar"/>
        </w:rPr>
        <w:t>有下列情形之一的，属于以其他方式弄虚作假的行为：</w:t>
      </w:r>
    </w:p>
    <w:p w14:paraId="2E4960DC">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23.2.5.1使用伪造、变造的许可证件；</w:t>
      </w:r>
    </w:p>
    <w:p w14:paraId="53920DA5">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23.2.5.2提供虚假的财务状况或者业绩；</w:t>
      </w:r>
    </w:p>
    <w:p w14:paraId="370641A0">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23.2.5.3提供虚假的项目负责人或者主要技术人员简历、劳动关系证明；</w:t>
      </w:r>
    </w:p>
    <w:p w14:paraId="4C457D72">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23.2.5.4提供虚假的信用状况；</w:t>
      </w:r>
    </w:p>
    <w:p w14:paraId="5805E32A">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23.2.5.5其他弄虚作假的行为。</w:t>
      </w:r>
    </w:p>
    <w:p w14:paraId="6AE59A67">
      <w:pPr>
        <w:spacing w:line="360" w:lineRule="auto"/>
        <w:ind w:firstLine="480" w:firstLineChars="200"/>
        <w:rPr>
          <w:rFonts w:hint="eastAsia" w:cs="宋体"/>
          <w:sz w:val="24"/>
          <w:szCs w:val="24"/>
          <w:highlight w:val="none"/>
          <w:lang w:bidi="ar"/>
        </w:rPr>
      </w:pPr>
      <w:r>
        <w:rPr>
          <w:rFonts w:hint="eastAsia" w:cs="宋体"/>
          <w:sz w:val="24"/>
          <w:szCs w:val="24"/>
          <w:highlight w:val="none"/>
          <w:lang w:bidi="ar"/>
        </w:rPr>
        <w:t>23.2.6其他违反法规和规章强制性规定的行为。</w:t>
      </w:r>
    </w:p>
    <w:p w14:paraId="587CDE98">
      <w:pPr>
        <w:spacing w:line="360" w:lineRule="auto"/>
        <w:ind w:firstLine="437"/>
        <w:outlineLvl w:val="2"/>
        <w:rPr>
          <w:rFonts w:hint="eastAsia"/>
          <w:b/>
          <w:sz w:val="24"/>
          <w:highlight w:val="none"/>
        </w:rPr>
      </w:pPr>
      <w:r>
        <w:rPr>
          <w:b/>
          <w:sz w:val="24"/>
          <w:highlight w:val="none"/>
        </w:rPr>
        <w:t>2</w:t>
      </w:r>
      <w:r>
        <w:rPr>
          <w:rFonts w:hint="eastAsia"/>
          <w:b/>
          <w:sz w:val="24"/>
          <w:highlight w:val="none"/>
        </w:rPr>
        <w:t>4</w:t>
      </w:r>
      <w:r>
        <w:rPr>
          <w:b/>
          <w:sz w:val="24"/>
          <w:highlight w:val="none"/>
        </w:rPr>
        <w:t>.</w:t>
      </w:r>
      <w:r>
        <w:rPr>
          <w:rFonts w:hint="eastAsia"/>
          <w:b/>
          <w:sz w:val="24"/>
          <w:highlight w:val="none"/>
        </w:rPr>
        <w:t>确定成交候选人和成交人</w:t>
      </w:r>
    </w:p>
    <w:p w14:paraId="54C92F0D">
      <w:pPr>
        <w:spacing w:line="360" w:lineRule="auto"/>
        <w:ind w:firstLine="470" w:firstLineChars="196"/>
        <w:rPr>
          <w:rFonts w:hint="eastAsia"/>
          <w:sz w:val="24"/>
          <w:highlight w:val="none"/>
        </w:rPr>
      </w:pPr>
      <w:r>
        <w:rPr>
          <w:rFonts w:hint="eastAsia"/>
          <w:sz w:val="24"/>
          <w:highlight w:val="none"/>
        </w:rPr>
        <w:t>24.1磋商小组根据综合评分的结果和</w:t>
      </w:r>
      <w:r>
        <w:rPr>
          <w:rFonts w:hint="eastAsia"/>
          <w:sz w:val="24"/>
          <w:szCs w:val="18"/>
          <w:highlight w:val="none"/>
        </w:rPr>
        <w:t>参审单位</w:t>
      </w:r>
      <w:r>
        <w:rPr>
          <w:sz w:val="24"/>
          <w:highlight w:val="none"/>
        </w:rPr>
        <w:t>须知前附表中规定</w:t>
      </w:r>
      <w:r>
        <w:rPr>
          <w:rFonts w:hint="eastAsia"/>
          <w:sz w:val="24"/>
          <w:highlight w:val="none"/>
        </w:rPr>
        <w:t>确定成交候选人，并标明排列顺序。排名第一的成交候选人经</w:t>
      </w:r>
      <w:r>
        <w:rPr>
          <w:rFonts w:hint="eastAsia"/>
          <w:sz w:val="24"/>
          <w:szCs w:val="18"/>
          <w:highlight w:val="none"/>
        </w:rPr>
        <w:t>业主单位</w:t>
      </w:r>
      <w:r>
        <w:rPr>
          <w:rFonts w:hint="eastAsia"/>
          <w:sz w:val="24"/>
          <w:highlight w:val="none"/>
        </w:rPr>
        <w:t>或</w:t>
      </w:r>
      <w:r>
        <w:rPr>
          <w:rFonts w:hint="eastAsia"/>
          <w:sz w:val="24"/>
          <w:szCs w:val="18"/>
          <w:highlight w:val="none"/>
        </w:rPr>
        <w:t>业主单位</w:t>
      </w:r>
      <w:r>
        <w:rPr>
          <w:rFonts w:hint="eastAsia"/>
          <w:sz w:val="24"/>
          <w:highlight w:val="none"/>
        </w:rPr>
        <w:t>授权的磋商小组确定为成交人后，由代理机构在指定媒体上予以公告。</w:t>
      </w:r>
    </w:p>
    <w:p w14:paraId="33906BB8">
      <w:pPr>
        <w:spacing w:line="360" w:lineRule="auto"/>
        <w:ind w:firstLine="437"/>
        <w:outlineLvl w:val="2"/>
        <w:rPr>
          <w:rFonts w:hint="eastAsia"/>
          <w:b/>
          <w:sz w:val="24"/>
          <w:highlight w:val="none"/>
        </w:rPr>
      </w:pPr>
      <w:r>
        <w:rPr>
          <w:b/>
          <w:sz w:val="24"/>
          <w:highlight w:val="none"/>
        </w:rPr>
        <w:t>2</w:t>
      </w:r>
      <w:r>
        <w:rPr>
          <w:rFonts w:hint="eastAsia"/>
          <w:b/>
          <w:sz w:val="24"/>
          <w:highlight w:val="none"/>
        </w:rPr>
        <w:t>5</w:t>
      </w:r>
      <w:r>
        <w:rPr>
          <w:b/>
          <w:sz w:val="24"/>
          <w:highlight w:val="none"/>
        </w:rPr>
        <w:t>.编写评审报告</w:t>
      </w:r>
    </w:p>
    <w:p w14:paraId="3EEFD3CA">
      <w:pPr>
        <w:spacing w:line="360" w:lineRule="auto"/>
        <w:ind w:firstLine="435"/>
        <w:rPr>
          <w:rFonts w:hint="eastAsia"/>
          <w:sz w:val="24"/>
          <w:highlight w:val="none"/>
        </w:rPr>
      </w:pPr>
      <w:r>
        <w:rPr>
          <w:rFonts w:hint="eastAsia"/>
          <w:sz w:val="24"/>
          <w:highlight w:val="none"/>
        </w:rPr>
        <w:t>25.1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4C630B3">
      <w:pPr>
        <w:spacing w:line="360" w:lineRule="auto"/>
        <w:ind w:firstLine="437"/>
        <w:outlineLvl w:val="2"/>
        <w:rPr>
          <w:rFonts w:hint="eastAsia"/>
          <w:b/>
          <w:sz w:val="24"/>
          <w:highlight w:val="none"/>
        </w:rPr>
      </w:pPr>
      <w:r>
        <w:rPr>
          <w:rFonts w:hint="eastAsia"/>
          <w:b/>
          <w:sz w:val="24"/>
          <w:highlight w:val="none"/>
        </w:rPr>
        <w:t>26</w:t>
      </w:r>
      <w:r>
        <w:rPr>
          <w:b/>
          <w:sz w:val="24"/>
          <w:highlight w:val="none"/>
        </w:rPr>
        <w:t>.</w:t>
      </w:r>
      <w:r>
        <w:rPr>
          <w:rFonts w:hint="eastAsia"/>
          <w:b/>
          <w:sz w:val="24"/>
          <w:highlight w:val="none"/>
        </w:rPr>
        <w:t>保密要求</w:t>
      </w:r>
    </w:p>
    <w:p w14:paraId="0D19FD80">
      <w:pPr>
        <w:spacing w:line="360" w:lineRule="auto"/>
        <w:ind w:firstLine="435"/>
        <w:rPr>
          <w:rFonts w:hint="eastAsia"/>
          <w:sz w:val="24"/>
          <w:highlight w:val="none"/>
        </w:rPr>
      </w:pPr>
      <w:r>
        <w:rPr>
          <w:sz w:val="24"/>
          <w:highlight w:val="none"/>
        </w:rPr>
        <w:t>2</w:t>
      </w:r>
      <w:r>
        <w:rPr>
          <w:rFonts w:hint="eastAsia"/>
          <w:sz w:val="24"/>
          <w:highlight w:val="none"/>
        </w:rPr>
        <w:t>6.1评审将在严格保密的情况下进行。</w:t>
      </w:r>
    </w:p>
    <w:p w14:paraId="433CB480">
      <w:pPr>
        <w:spacing w:line="360" w:lineRule="auto"/>
        <w:ind w:firstLine="435"/>
        <w:rPr>
          <w:rFonts w:hint="eastAsia"/>
          <w:sz w:val="24"/>
          <w:highlight w:val="none"/>
        </w:rPr>
      </w:pPr>
      <w:r>
        <w:rPr>
          <w:sz w:val="24"/>
          <w:highlight w:val="none"/>
        </w:rPr>
        <w:t>2</w:t>
      </w:r>
      <w:r>
        <w:rPr>
          <w:rFonts w:hint="eastAsia"/>
          <w:sz w:val="24"/>
          <w:highlight w:val="none"/>
        </w:rPr>
        <w:t>6.2有关人员</w:t>
      </w:r>
      <w:r>
        <w:rPr>
          <w:sz w:val="24"/>
          <w:highlight w:val="none"/>
        </w:rPr>
        <w:t>应当</w:t>
      </w:r>
      <w:r>
        <w:rPr>
          <w:rFonts w:hint="eastAsia"/>
          <w:sz w:val="24"/>
          <w:highlight w:val="none"/>
        </w:rPr>
        <w:t>遵</w:t>
      </w:r>
      <w:r>
        <w:rPr>
          <w:sz w:val="24"/>
          <w:highlight w:val="none"/>
        </w:rPr>
        <w:t>守</w:t>
      </w:r>
      <w:r>
        <w:rPr>
          <w:rFonts w:hint="eastAsia"/>
          <w:sz w:val="24"/>
          <w:highlight w:val="none"/>
        </w:rPr>
        <w:t>评审</w:t>
      </w:r>
      <w:r>
        <w:rPr>
          <w:sz w:val="24"/>
          <w:highlight w:val="none"/>
        </w:rPr>
        <w:t>工作纪律，不得</w:t>
      </w:r>
      <w:r>
        <w:rPr>
          <w:rFonts w:hint="eastAsia"/>
          <w:sz w:val="24"/>
          <w:highlight w:val="none"/>
        </w:rPr>
        <w:t>泄露评审文件</w:t>
      </w:r>
      <w:r>
        <w:rPr>
          <w:sz w:val="24"/>
          <w:highlight w:val="none"/>
        </w:rPr>
        <w:t>、</w:t>
      </w:r>
      <w:r>
        <w:rPr>
          <w:rFonts w:hint="eastAsia"/>
          <w:sz w:val="24"/>
          <w:highlight w:val="none"/>
        </w:rPr>
        <w:t>评审</w:t>
      </w:r>
      <w:r>
        <w:rPr>
          <w:sz w:val="24"/>
          <w:highlight w:val="none"/>
        </w:rPr>
        <w:t>情况和</w:t>
      </w:r>
      <w:r>
        <w:rPr>
          <w:rFonts w:hint="eastAsia"/>
          <w:sz w:val="24"/>
          <w:highlight w:val="none"/>
        </w:rPr>
        <w:t>评审</w:t>
      </w:r>
      <w:r>
        <w:rPr>
          <w:sz w:val="24"/>
          <w:highlight w:val="none"/>
        </w:rPr>
        <w:t>中获悉的</w:t>
      </w:r>
      <w:r>
        <w:rPr>
          <w:rFonts w:hint="eastAsia"/>
          <w:sz w:val="24"/>
          <w:highlight w:val="none"/>
        </w:rPr>
        <w:t>国家秘密、</w:t>
      </w:r>
      <w:r>
        <w:rPr>
          <w:sz w:val="24"/>
          <w:highlight w:val="none"/>
        </w:rPr>
        <w:t>商业秘密。</w:t>
      </w:r>
    </w:p>
    <w:p w14:paraId="34D14DF2">
      <w:pPr>
        <w:spacing w:line="360" w:lineRule="auto"/>
        <w:ind w:firstLine="437"/>
        <w:outlineLvl w:val="2"/>
        <w:rPr>
          <w:rFonts w:hint="eastAsia"/>
          <w:b/>
          <w:sz w:val="24"/>
          <w:highlight w:val="none"/>
        </w:rPr>
      </w:pPr>
      <w:r>
        <w:rPr>
          <w:b/>
          <w:sz w:val="24"/>
          <w:highlight w:val="none"/>
        </w:rPr>
        <w:t>2</w:t>
      </w:r>
      <w:r>
        <w:rPr>
          <w:rFonts w:hint="eastAsia"/>
          <w:b/>
          <w:sz w:val="24"/>
          <w:highlight w:val="none"/>
        </w:rPr>
        <w:t>7</w:t>
      </w:r>
      <w:r>
        <w:rPr>
          <w:b/>
          <w:sz w:val="24"/>
          <w:highlight w:val="none"/>
        </w:rPr>
        <w:t>.</w:t>
      </w:r>
      <w:r>
        <w:rPr>
          <w:rFonts w:hint="eastAsia" w:cs="宋体"/>
          <w:b/>
          <w:bCs/>
          <w:sz w:val="24"/>
          <w:szCs w:val="24"/>
          <w:highlight w:val="none"/>
          <w:lang w:bidi="ar"/>
        </w:rPr>
        <w:t>成交候选人和成交结果公示</w:t>
      </w:r>
    </w:p>
    <w:p w14:paraId="35346089">
      <w:pPr>
        <w:spacing w:line="360" w:lineRule="auto"/>
        <w:ind w:firstLine="480" w:firstLineChars="200"/>
        <w:rPr>
          <w:rFonts w:hint="eastAsia" w:cs="宋体"/>
          <w:sz w:val="24"/>
          <w:szCs w:val="24"/>
          <w:highlight w:val="none"/>
        </w:rPr>
      </w:pPr>
      <w:r>
        <w:rPr>
          <w:rFonts w:hint="eastAsia" w:cs="宋体"/>
          <w:sz w:val="24"/>
          <w:szCs w:val="24"/>
          <w:highlight w:val="none"/>
          <w:lang w:bidi="ar"/>
        </w:rPr>
        <w:t>27.1 为体现“公开、公平、公正”的原则，磋商结束后，代理机构将在</w:t>
      </w:r>
      <w:r>
        <w:rPr>
          <w:rFonts w:hint="eastAsia"/>
          <w:sz w:val="24"/>
          <w:highlight w:val="none"/>
        </w:rPr>
        <w:t>发布磋商公告的媒介上</w:t>
      </w:r>
      <w:r>
        <w:rPr>
          <w:rFonts w:hint="eastAsia" w:cs="宋体"/>
          <w:sz w:val="24"/>
          <w:szCs w:val="24"/>
          <w:highlight w:val="none"/>
          <w:lang w:bidi="ar"/>
        </w:rPr>
        <w:t>发布成交候选人公示和成交结果公示。</w:t>
      </w:r>
    </w:p>
    <w:p w14:paraId="05563F92">
      <w:pPr>
        <w:spacing w:line="360" w:lineRule="auto"/>
        <w:ind w:firstLine="435"/>
        <w:rPr>
          <w:rFonts w:hint="eastAsia"/>
          <w:sz w:val="24"/>
          <w:highlight w:val="none"/>
        </w:rPr>
      </w:pPr>
      <w:r>
        <w:rPr>
          <w:rFonts w:hint="eastAsia" w:cs="宋体"/>
          <w:sz w:val="24"/>
          <w:szCs w:val="24"/>
          <w:highlight w:val="none"/>
          <w:lang w:bidi="ar"/>
        </w:rPr>
        <w:t xml:space="preserve">27.2 </w:t>
      </w:r>
      <w:r>
        <w:rPr>
          <w:rFonts w:hint="eastAsia"/>
          <w:sz w:val="24"/>
          <w:szCs w:val="18"/>
          <w:highlight w:val="none"/>
        </w:rPr>
        <w:t>业主单位</w:t>
      </w:r>
      <w:r>
        <w:rPr>
          <w:rFonts w:hint="eastAsia" w:cs="宋体"/>
          <w:sz w:val="24"/>
          <w:szCs w:val="24"/>
          <w:highlight w:val="none"/>
          <w:lang w:bidi="ar"/>
        </w:rPr>
        <w:t>在收到评审报告之日起3日内，依法公示成交候选人。</w:t>
      </w:r>
      <w:r>
        <w:rPr>
          <w:rFonts w:hint="eastAsia"/>
          <w:sz w:val="24"/>
          <w:szCs w:val="18"/>
          <w:highlight w:val="none"/>
        </w:rPr>
        <w:t>业主单位</w:t>
      </w:r>
      <w:r>
        <w:rPr>
          <w:rFonts w:hint="eastAsia" w:cs="宋体"/>
          <w:sz w:val="24"/>
          <w:szCs w:val="24"/>
          <w:highlight w:val="none"/>
          <w:lang w:bidi="ar"/>
        </w:rPr>
        <w:t>在确定成交人之日起3日内，依法公示成交结果。</w:t>
      </w:r>
    </w:p>
    <w:p w14:paraId="021E3C9D">
      <w:pPr>
        <w:spacing w:line="360" w:lineRule="auto"/>
        <w:ind w:firstLine="437"/>
        <w:outlineLvl w:val="2"/>
        <w:rPr>
          <w:rFonts w:hint="eastAsia"/>
          <w:b/>
          <w:sz w:val="24"/>
          <w:highlight w:val="none"/>
        </w:rPr>
      </w:pPr>
      <w:r>
        <w:rPr>
          <w:b/>
          <w:sz w:val="24"/>
          <w:highlight w:val="none"/>
        </w:rPr>
        <w:t>2</w:t>
      </w:r>
      <w:r>
        <w:rPr>
          <w:rFonts w:hint="eastAsia"/>
          <w:b/>
          <w:sz w:val="24"/>
          <w:highlight w:val="none"/>
        </w:rPr>
        <w:t>8</w:t>
      </w:r>
      <w:r>
        <w:rPr>
          <w:b/>
          <w:sz w:val="24"/>
          <w:highlight w:val="none"/>
        </w:rPr>
        <w:t>.</w:t>
      </w:r>
      <w:r>
        <w:rPr>
          <w:rFonts w:hint="eastAsia"/>
          <w:b/>
          <w:sz w:val="24"/>
          <w:highlight w:val="none"/>
        </w:rPr>
        <w:t>成交</w:t>
      </w:r>
      <w:r>
        <w:rPr>
          <w:b/>
          <w:sz w:val="24"/>
          <w:highlight w:val="none"/>
        </w:rPr>
        <w:t>通知书</w:t>
      </w:r>
    </w:p>
    <w:p w14:paraId="057EC0AA">
      <w:pPr>
        <w:spacing w:line="360" w:lineRule="auto"/>
        <w:ind w:firstLine="435"/>
        <w:rPr>
          <w:rFonts w:hint="eastAsia"/>
          <w:sz w:val="24"/>
          <w:highlight w:val="none"/>
        </w:rPr>
      </w:pPr>
      <w:r>
        <w:rPr>
          <w:sz w:val="24"/>
          <w:highlight w:val="none"/>
        </w:rPr>
        <w:t>2</w:t>
      </w:r>
      <w:r>
        <w:rPr>
          <w:rFonts w:hint="eastAsia"/>
          <w:sz w:val="24"/>
          <w:highlight w:val="none"/>
        </w:rPr>
        <w:t>8</w:t>
      </w:r>
      <w:r>
        <w:rPr>
          <w:sz w:val="24"/>
          <w:highlight w:val="none"/>
        </w:rPr>
        <w:t>.1</w:t>
      </w:r>
      <w:r>
        <w:rPr>
          <w:rFonts w:hint="eastAsia"/>
          <w:sz w:val="24"/>
          <w:highlight w:val="none"/>
        </w:rPr>
        <w:t>代理机构</w:t>
      </w:r>
      <w:r>
        <w:rPr>
          <w:sz w:val="24"/>
          <w:highlight w:val="none"/>
        </w:rPr>
        <w:t>发布</w:t>
      </w:r>
      <w:r>
        <w:rPr>
          <w:rFonts w:hint="eastAsia"/>
          <w:sz w:val="24"/>
          <w:highlight w:val="none"/>
        </w:rPr>
        <w:t>成交</w:t>
      </w:r>
      <w:r>
        <w:rPr>
          <w:sz w:val="24"/>
          <w:highlight w:val="none"/>
        </w:rPr>
        <w:t>结果公告的同时以</w:t>
      </w:r>
      <w:r>
        <w:rPr>
          <w:rFonts w:hint="eastAsia"/>
          <w:sz w:val="24"/>
          <w:szCs w:val="18"/>
          <w:highlight w:val="none"/>
          <w:u w:val="single"/>
        </w:rPr>
        <w:t>参审单位</w:t>
      </w:r>
      <w:r>
        <w:rPr>
          <w:rFonts w:hint="eastAsia"/>
          <w:sz w:val="24"/>
          <w:highlight w:val="none"/>
          <w:u w:val="single"/>
        </w:rPr>
        <w:t>须知前附表</w:t>
      </w:r>
      <w:r>
        <w:rPr>
          <w:rFonts w:hint="eastAsia"/>
          <w:sz w:val="24"/>
          <w:highlight w:val="none"/>
        </w:rPr>
        <w:t>规定的</w:t>
      </w:r>
      <w:r>
        <w:rPr>
          <w:sz w:val="24"/>
          <w:highlight w:val="none"/>
        </w:rPr>
        <w:t>形式向</w:t>
      </w:r>
      <w:r>
        <w:rPr>
          <w:rFonts w:hint="eastAsia"/>
          <w:sz w:val="24"/>
          <w:highlight w:val="none"/>
        </w:rPr>
        <w:t>成交人</w:t>
      </w:r>
      <w:r>
        <w:rPr>
          <w:sz w:val="24"/>
          <w:highlight w:val="none"/>
        </w:rPr>
        <w:t>发出</w:t>
      </w:r>
      <w:r>
        <w:rPr>
          <w:rFonts w:hint="eastAsia"/>
          <w:sz w:val="24"/>
          <w:highlight w:val="none"/>
        </w:rPr>
        <w:t>成交</w:t>
      </w:r>
      <w:r>
        <w:rPr>
          <w:sz w:val="24"/>
          <w:highlight w:val="none"/>
        </w:rPr>
        <w:t>通知书。</w:t>
      </w:r>
    </w:p>
    <w:p w14:paraId="0675C3B1">
      <w:pPr>
        <w:spacing w:line="360" w:lineRule="auto"/>
        <w:ind w:firstLine="435"/>
        <w:rPr>
          <w:rFonts w:hint="eastAsia"/>
          <w:sz w:val="24"/>
          <w:highlight w:val="none"/>
        </w:rPr>
      </w:pPr>
      <w:r>
        <w:rPr>
          <w:sz w:val="24"/>
          <w:highlight w:val="none"/>
        </w:rPr>
        <w:t>2</w:t>
      </w:r>
      <w:r>
        <w:rPr>
          <w:rFonts w:hint="eastAsia"/>
          <w:sz w:val="24"/>
          <w:highlight w:val="none"/>
        </w:rPr>
        <w:t>8</w:t>
      </w:r>
      <w:r>
        <w:rPr>
          <w:sz w:val="24"/>
          <w:highlight w:val="none"/>
        </w:rPr>
        <w:t>.2</w:t>
      </w:r>
      <w:r>
        <w:rPr>
          <w:rFonts w:hint="eastAsia"/>
          <w:sz w:val="24"/>
          <w:highlight w:val="none"/>
        </w:rPr>
        <w:t>成交</w:t>
      </w:r>
      <w:r>
        <w:rPr>
          <w:sz w:val="24"/>
          <w:highlight w:val="none"/>
        </w:rPr>
        <w:t>通知书对</w:t>
      </w:r>
      <w:r>
        <w:rPr>
          <w:rFonts w:hint="eastAsia"/>
          <w:sz w:val="24"/>
          <w:szCs w:val="18"/>
          <w:highlight w:val="none"/>
        </w:rPr>
        <w:t>业主单位</w:t>
      </w:r>
      <w:r>
        <w:rPr>
          <w:sz w:val="24"/>
          <w:highlight w:val="none"/>
        </w:rPr>
        <w:t>和</w:t>
      </w:r>
      <w:r>
        <w:rPr>
          <w:rFonts w:hint="eastAsia"/>
          <w:sz w:val="24"/>
          <w:highlight w:val="none"/>
        </w:rPr>
        <w:t>成交人</w:t>
      </w:r>
      <w:r>
        <w:rPr>
          <w:sz w:val="24"/>
          <w:highlight w:val="none"/>
        </w:rPr>
        <w:t>具有同等法律效力。</w:t>
      </w:r>
      <w:r>
        <w:rPr>
          <w:rFonts w:hint="eastAsia"/>
          <w:sz w:val="24"/>
          <w:highlight w:val="none"/>
        </w:rPr>
        <w:t>成交</w:t>
      </w:r>
      <w:r>
        <w:rPr>
          <w:sz w:val="24"/>
          <w:highlight w:val="none"/>
        </w:rPr>
        <w:t>通知书发出以后，</w:t>
      </w:r>
      <w:r>
        <w:rPr>
          <w:rFonts w:hint="eastAsia"/>
          <w:sz w:val="24"/>
          <w:szCs w:val="18"/>
          <w:highlight w:val="none"/>
        </w:rPr>
        <w:t>业主单位</w:t>
      </w:r>
      <w:r>
        <w:rPr>
          <w:sz w:val="24"/>
          <w:highlight w:val="none"/>
        </w:rPr>
        <w:t>改变</w:t>
      </w:r>
      <w:r>
        <w:rPr>
          <w:rFonts w:hint="eastAsia"/>
          <w:sz w:val="24"/>
          <w:highlight w:val="none"/>
        </w:rPr>
        <w:t>成交</w:t>
      </w:r>
      <w:r>
        <w:rPr>
          <w:sz w:val="24"/>
          <w:highlight w:val="none"/>
        </w:rPr>
        <w:t>结果或者</w:t>
      </w:r>
      <w:r>
        <w:rPr>
          <w:rFonts w:hint="eastAsia"/>
          <w:sz w:val="24"/>
          <w:highlight w:val="none"/>
        </w:rPr>
        <w:t>成交人</w:t>
      </w:r>
      <w:r>
        <w:rPr>
          <w:sz w:val="24"/>
          <w:highlight w:val="none"/>
        </w:rPr>
        <w:t>放弃</w:t>
      </w:r>
      <w:r>
        <w:rPr>
          <w:rFonts w:hint="eastAsia"/>
          <w:sz w:val="24"/>
          <w:highlight w:val="none"/>
        </w:rPr>
        <w:t>成交</w:t>
      </w:r>
      <w:r>
        <w:rPr>
          <w:sz w:val="24"/>
          <w:highlight w:val="none"/>
        </w:rPr>
        <w:t>资格，应当承担相应的法律责任。</w:t>
      </w:r>
    </w:p>
    <w:p w14:paraId="7ADE57FD">
      <w:pPr>
        <w:spacing w:line="360" w:lineRule="auto"/>
        <w:ind w:firstLine="435"/>
        <w:rPr>
          <w:rFonts w:hint="eastAsia"/>
          <w:sz w:val="24"/>
          <w:highlight w:val="none"/>
        </w:rPr>
      </w:pPr>
      <w:r>
        <w:rPr>
          <w:sz w:val="24"/>
          <w:highlight w:val="none"/>
        </w:rPr>
        <w:t>2</w:t>
      </w:r>
      <w:r>
        <w:rPr>
          <w:rFonts w:hint="eastAsia"/>
          <w:sz w:val="24"/>
          <w:highlight w:val="none"/>
        </w:rPr>
        <w:t>8</w:t>
      </w:r>
      <w:r>
        <w:rPr>
          <w:sz w:val="24"/>
          <w:highlight w:val="none"/>
        </w:rPr>
        <w:t>.3</w:t>
      </w:r>
      <w:r>
        <w:rPr>
          <w:rFonts w:hint="eastAsia"/>
          <w:sz w:val="24"/>
          <w:highlight w:val="none"/>
        </w:rPr>
        <w:t>成交</w:t>
      </w:r>
      <w:r>
        <w:rPr>
          <w:sz w:val="24"/>
          <w:highlight w:val="none"/>
        </w:rPr>
        <w:t>通知书是合同的组成部分。</w:t>
      </w:r>
    </w:p>
    <w:p w14:paraId="0464957A">
      <w:pPr>
        <w:spacing w:line="360" w:lineRule="auto"/>
        <w:ind w:firstLine="437"/>
        <w:outlineLvl w:val="2"/>
        <w:rPr>
          <w:rFonts w:hint="eastAsia"/>
          <w:b/>
          <w:sz w:val="24"/>
          <w:highlight w:val="none"/>
        </w:rPr>
      </w:pPr>
      <w:r>
        <w:rPr>
          <w:rFonts w:hint="eastAsia"/>
          <w:b/>
          <w:sz w:val="24"/>
          <w:highlight w:val="none"/>
        </w:rPr>
        <w:t>29</w:t>
      </w:r>
      <w:r>
        <w:rPr>
          <w:b/>
          <w:sz w:val="24"/>
          <w:highlight w:val="none"/>
        </w:rPr>
        <w:t>.告知</w:t>
      </w:r>
      <w:r>
        <w:rPr>
          <w:rFonts w:hint="eastAsia"/>
          <w:b/>
          <w:sz w:val="24"/>
          <w:highlight w:val="none"/>
        </w:rPr>
        <w:t>磋商</w:t>
      </w:r>
      <w:r>
        <w:rPr>
          <w:b/>
          <w:sz w:val="24"/>
          <w:highlight w:val="none"/>
        </w:rPr>
        <w:t>结果</w:t>
      </w:r>
    </w:p>
    <w:p w14:paraId="7BD4FAFD">
      <w:pPr>
        <w:spacing w:line="360" w:lineRule="auto"/>
        <w:ind w:firstLine="480" w:firstLineChars="200"/>
        <w:rPr>
          <w:rFonts w:hint="eastAsia"/>
          <w:sz w:val="24"/>
          <w:highlight w:val="none"/>
        </w:rPr>
      </w:pPr>
      <w:r>
        <w:rPr>
          <w:rFonts w:hint="eastAsia" w:cs="宋体"/>
          <w:sz w:val="24"/>
          <w:szCs w:val="24"/>
          <w:highlight w:val="none"/>
          <w:lang w:bidi="ar"/>
        </w:rPr>
        <w:t>29.1 代理机构对未成交的</w:t>
      </w:r>
      <w:r>
        <w:rPr>
          <w:rFonts w:hint="eastAsia"/>
          <w:sz w:val="24"/>
          <w:szCs w:val="18"/>
          <w:highlight w:val="none"/>
        </w:rPr>
        <w:t>参审单位</w:t>
      </w:r>
      <w:r>
        <w:rPr>
          <w:rFonts w:hint="eastAsia" w:cs="宋体"/>
          <w:sz w:val="24"/>
          <w:szCs w:val="24"/>
          <w:highlight w:val="none"/>
          <w:lang w:bidi="ar"/>
        </w:rPr>
        <w:t>不做未成交原因的解释。</w:t>
      </w:r>
    </w:p>
    <w:p w14:paraId="0379646F">
      <w:pPr>
        <w:spacing w:line="360" w:lineRule="auto"/>
        <w:ind w:firstLine="437"/>
        <w:outlineLvl w:val="2"/>
        <w:rPr>
          <w:rFonts w:hint="eastAsia"/>
          <w:b/>
          <w:sz w:val="24"/>
          <w:highlight w:val="none"/>
        </w:rPr>
      </w:pPr>
      <w:r>
        <w:rPr>
          <w:rFonts w:hint="eastAsia"/>
          <w:b/>
          <w:sz w:val="24"/>
          <w:highlight w:val="none"/>
        </w:rPr>
        <w:t>30</w:t>
      </w:r>
      <w:r>
        <w:rPr>
          <w:b/>
          <w:sz w:val="24"/>
          <w:highlight w:val="none"/>
        </w:rPr>
        <w:t>.履约保证金</w:t>
      </w:r>
    </w:p>
    <w:p w14:paraId="3F3CF6E7">
      <w:pPr>
        <w:spacing w:line="360" w:lineRule="auto"/>
        <w:ind w:firstLine="480" w:firstLineChars="200"/>
        <w:rPr>
          <w:rFonts w:hint="eastAsia" w:cs="宋体"/>
          <w:sz w:val="24"/>
          <w:szCs w:val="24"/>
          <w:highlight w:val="none"/>
        </w:rPr>
      </w:pPr>
      <w:r>
        <w:rPr>
          <w:rFonts w:hint="eastAsia" w:cs="宋体"/>
          <w:sz w:val="24"/>
          <w:szCs w:val="24"/>
          <w:highlight w:val="none"/>
          <w:lang w:bidi="ar"/>
        </w:rPr>
        <w:t>30.1 成交人应按照</w:t>
      </w:r>
      <w:r>
        <w:rPr>
          <w:rFonts w:hint="eastAsia"/>
          <w:sz w:val="24"/>
          <w:szCs w:val="18"/>
          <w:highlight w:val="none"/>
        </w:rPr>
        <w:t>参审单位</w:t>
      </w:r>
      <w:r>
        <w:rPr>
          <w:rFonts w:hint="eastAsia" w:cs="宋体"/>
          <w:sz w:val="24"/>
          <w:szCs w:val="24"/>
          <w:highlight w:val="none"/>
          <w:lang w:bidi="ar"/>
        </w:rPr>
        <w:t xml:space="preserve">须知前附表规定缴纳履约保证金。 </w:t>
      </w:r>
    </w:p>
    <w:p w14:paraId="1E25E932">
      <w:pPr>
        <w:spacing w:line="360" w:lineRule="auto"/>
        <w:ind w:firstLine="480" w:firstLineChars="200"/>
        <w:rPr>
          <w:rFonts w:hint="eastAsia"/>
          <w:sz w:val="24"/>
          <w:highlight w:val="none"/>
        </w:rPr>
      </w:pPr>
      <w:r>
        <w:rPr>
          <w:rFonts w:hint="eastAsia" w:cs="宋体"/>
          <w:sz w:val="24"/>
          <w:szCs w:val="24"/>
          <w:highlight w:val="none"/>
          <w:lang w:bidi="ar"/>
        </w:rPr>
        <w:t>30.2 如果成交人没有按照上述履约保证金的规定执行，将视为放弃成交资格。在此情况下，</w:t>
      </w:r>
      <w:r>
        <w:rPr>
          <w:rFonts w:hint="eastAsia"/>
          <w:sz w:val="24"/>
          <w:szCs w:val="18"/>
          <w:highlight w:val="none"/>
        </w:rPr>
        <w:t>业主单位</w:t>
      </w:r>
      <w:r>
        <w:rPr>
          <w:rFonts w:hint="eastAsia" w:cs="宋体"/>
          <w:sz w:val="24"/>
          <w:szCs w:val="24"/>
          <w:highlight w:val="none"/>
          <w:lang w:bidi="ar"/>
        </w:rPr>
        <w:t>可确定下一成交候选人为成交人，也可以重新开展磋商活动。</w:t>
      </w:r>
    </w:p>
    <w:p w14:paraId="18025633">
      <w:pPr>
        <w:spacing w:line="360" w:lineRule="auto"/>
        <w:ind w:firstLine="437"/>
        <w:outlineLvl w:val="2"/>
        <w:rPr>
          <w:rFonts w:hint="eastAsia"/>
          <w:b/>
          <w:sz w:val="24"/>
          <w:highlight w:val="none"/>
        </w:rPr>
      </w:pPr>
      <w:r>
        <w:rPr>
          <w:rFonts w:hint="eastAsia"/>
          <w:b/>
          <w:sz w:val="24"/>
          <w:highlight w:val="none"/>
        </w:rPr>
        <w:t>31</w:t>
      </w:r>
      <w:r>
        <w:rPr>
          <w:b/>
          <w:sz w:val="24"/>
          <w:highlight w:val="none"/>
        </w:rPr>
        <w:t>.</w:t>
      </w:r>
      <w:r>
        <w:rPr>
          <w:rFonts w:hint="eastAsia"/>
          <w:b/>
          <w:sz w:val="24"/>
          <w:highlight w:val="none"/>
        </w:rPr>
        <w:t>代理费</w:t>
      </w:r>
    </w:p>
    <w:p w14:paraId="1190EFB9">
      <w:pPr>
        <w:spacing w:line="360" w:lineRule="auto"/>
        <w:ind w:firstLine="435"/>
        <w:rPr>
          <w:rFonts w:hint="eastAsia"/>
          <w:sz w:val="24"/>
          <w:highlight w:val="none"/>
        </w:rPr>
      </w:pPr>
      <w:r>
        <w:rPr>
          <w:rFonts w:hint="eastAsia"/>
          <w:sz w:val="24"/>
          <w:highlight w:val="none"/>
        </w:rPr>
        <w:t>31</w:t>
      </w:r>
      <w:r>
        <w:rPr>
          <w:sz w:val="24"/>
          <w:highlight w:val="none"/>
        </w:rPr>
        <w:t>.1</w:t>
      </w:r>
      <w:r>
        <w:rPr>
          <w:rFonts w:hint="eastAsia"/>
          <w:sz w:val="24"/>
          <w:highlight w:val="none"/>
        </w:rPr>
        <w:t>在公告成交（成交）结果后，成交人</w:t>
      </w:r>
      <w:r>
        <w:rPr>
          <w:sz w:val="24"/>
          <w:highlight w:val="none"/>
        </w:rPr>
        <w:t>应向</w:t>
      </w:r>
      <w:r>
        <w:rPr>
          <w:rFonts w:hint="eastAsia"/>
          <w:sz w:val="24"/>
          <w:highlight w:val="none"/>
        </w:rPr>
        <w:t>肥西县公共资源交易有限责任公司交纳代理费。</w:t>
      </w:r>
    </w:p>
    <w:p w14:paraId="1F55A87C">
      <w:pPr>
        <w:spacing w:line="360" w:lineRule="auto"/>
        <w:ind w:firstLine="480" w:firstLineChars="200"/>
        <w:rPr>
          <w:rFonts w:hint="eastAsia"/>
          <w:b/>
          <w:bCs/>
          <w:sz w:val="24"/>
          <w:highlight w:val="none"/>
        </w:rPr>
      </w:pPr>
      <w:r>
        <w:rPr>
          <w:rFonts w:hint="eastAsia"/>
          <w:bCs/>
          <w:sz w:val="24"/>
          <w:highlight w:val="none"/>
        </w:rPr>
        <w:t>代理费缴纳账户：</w:t>
      </w:r>
    </w:p>
    <w:p w14:paraId="00E35A25">
      <w:pPr>
        <w:spacing w:line="360" w:lineRule="auto"/>
        <w:ind w:firstLine="482" w:firstLineChars="200"/>
        <w:rPr>
          <w:rFonts w:hint="eastAsia"/>
          <w:b/>
          <w:sz w:val="24"/>
          <w:highlight w:val="none"/>
        </w:rPr>
      </w:pPr>
      <w:r>
        <w:rPr>
          <w:rFonts w:hint="eastAsia"/>
          <w:b/>
          <w:sz w:val="24"/>
          <w:highlight w:val="none"/>
        </w:rPr>
        <w:t>户名：肥西县公共资源交易有限责任公司</w:t>
      </w:r>
    </w:p>
    <w:p w14:paraId="4ABC83CE">
      <w:pPr>
        <w:spacing w:line="360" w:lineRule="auto"/>
        <w:ind w:firstLine="482" w:firstLineChars="200"/>
        <w:rPr>
          <w:rFonts w:hint="eastAsia"/>
          <w:b/>
          <w:sz w:val="24"/>
          <w:highlight w:val="none"/>
        </w:rPr>
      </w:pPr>
      <w:r>
        <w:rPr>
          <w:rFonts w:hint="eastAsia"/>
          <w:b/>
          <w:sz w:val="24"/>
          <w:highlight w:val="none"/>
        </w:rPr>
        <w:t>账号：179746801939</w:t>
      </w:r>
    </w:p>
    <w:p w14:paraId="2B3CCB5F">
      <w:pPr>
        <w:spacing w:line="360" w:lineRule="auto"/>
        <w:ind w:firstLine="482" w:firstLineChars="200"/>
        <w:rPr>
          <w:rFonts w:hint="eastAsia"/>
          <w:b/>
          <w:sz w:val="24"/>
          <w:highlight w:val="none"/>
        </w:rPr>
      </w:pPr>
      <w:r>
        <w:rPr>
          <w:rFonts w:hint="eastAsia"/>
          <w:b/>
          <w:sz w:val="24"/>
          <w:highlight w:val="none"/>
        </w:rPr>
        <w:t>开户行：中国银行股份有限公司肥西支行</w:t>
      </w:r>
    </w:p>
    <w:p w14:paraId="6DDC6F08">
      <w:pPr>
        <w:spacing w:line="360" w:lineRule="auto"/>
        <w:ind w:firstLine="435"/>
        <w:rPr>
          <w:rStyle w:val="16"/>
          <w:rFonts w:hint="eastAsia"/>
          <w:b w:val="0"/>
          <w:bCs w:val="0"/>
          <w:sz w:val="24"/>
          <w:highlight w:val="none"/>
        </w:rPr>
      </w:pPr>
      <w:r>
        <w:rPr>
          <w:rFonts w:hint="eastAsia"/>
          <w:sz w:val="24"/>
          <w:highlight w:val="none"/>
        </w:rPr>
        <w:t>代理费的收取采用差额定率累进计费方式，具体收费标准参照关于印发《招标（采购）代理行业服务收费指导意见》的通知（合公协〔2023〕03号）文件收取。</w:t>
      </w:r>
    </w:p>
    <w:p w14:paraId="0F90F3F4">
      <w:pPr>
        <w:jc w:val="center"/>
        <w:rPr>
          <w:rStyle w:val="16"/>
          <w:rFonts w:hint="eastAsia" w:cs="宋体"/>
          <w:sz w:val="24"/>
          <w:highlight w:val="none"/>
        </w:rPr>
      </w:pPr>
      <w:r>
        <w:rPr>
          <w:rStyle w:val="16"/>
          <w:rFonts w:hint="eastAsia" w:cs="宋体"/>
          <w:sz w:val="24"/>
          <w:highlight w:val="none"/>
        </w:rPr>
        <w:t>收费标准</w:t>
      </w:r>
    </w:p>
    <w:tbl>
      <w:tblPr>
        <w:tblStyle w:val="13"/>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2E2FD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403" w:type="dxa"/>
            <w:tcBorders>
              <w:top w:val="single" w:color="auto" w:sz="4" w:space="0"/>
              <w:bottom w:val="single" w:color="auto" w:sz="4" w:space="0"/>
              <w:right w:val="single" w:color="auto" w:sz="4" w:space="0"/>
            </w:tcBorders>
            <w:vAlign w:val="center"/>
          </w:tcPr>
          <w:p w14:paraId="181F4ABC">
            <w:pPr>
              <w:jc w:val="center"/>
              <w:rPr>
                <w:rFonts w:hint="eastAsia" w:cs="宋体"/>
                <w:b/>
                <w:bCs/>
                <w:sz w:val="24"/>
                <w:highlight w:val="none"/>
              </w:rPr>
            </w:pPr>
            <w:r>
              <w:rPr>
                <w:rFonts w:hint="eastAsia" w:cs="宋体"/>
                <w:b/>
                <w:bCs/>
                <w:sz w:val="24"/>
                <w:highlight w:val="none"/>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348CA36F">
            <w:pPr>
              <w:jc w:val="center"/>
              <w:rPr>
                <w:rFonts w:hint="eastAsia" w:cs="宋体"/>
                <w:b/>
                <w:bCs/>
                <w:sz w:val="24"/>
                <w:highlight w:val="none"/>
              </w:rPr>
            </w:pPr>
            <w:r>
              <w:rPr>
                <w:rFonts w:hint="eastAsia" w:cs="宋体"/>
                <w:b/>
                <w:bCs/>
                <w:sz w:val="24"/>
                <w:highlight w:val="none"/>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59283E55">
            <w:pPr>
              <w:jc w:val="center"/>
              <w:rPr>
                <w:rFonts w:hint="eastAsia" w:cs="宋体"/>
                <w:b/>
                <w:bCs/>
                <w:sz w:val="24"/>
                <w:highlight w:val="none"/>
              </w:rPr>
            </w:pPr>
            <w:r>
              <w:rPr>
                <w:rFonts w:hint="eastAsia" w:cs="宋体"/>
                <w:b/>
                <w:bCs/>
                <w:sz w:val="24"/>
                <w:highlight w:val="none"/>
              </w:rPr>
              <w:t>服务</w:t>
            </w:r>
          </w:p>
        </w:tc>
        <w:tc>
          <w:tcPr>
            <w:tcW w:w="1282" w:type="dxa"/>
            <w:tcBorders>
              <w:top w:val="single" w:color="auto" w:sz="4" w:space="0"/>
              <w:left w:val="single" w:color="auto" w:sz="4" w:space="0"/>
              <w:bottom w:val="single" w:color="auto" w:sz="4" w:space="0"/>
            </w:tcBorders>
            <w:vAlign w:val="center"/>
          </w:tcPr>
          <w:p w14:paraId="3F6D8619">
            <w:pPr>
              <w:jc w:val="center"/>
              <w:rPr>
                <w:rFonts w:hint="eastAsia" w:cs="宋体"/>
                <w:b/>
                <w:bCs/>
                <w:sz w:val="24"/>
                <w:highlight w:val="none"/>
              </w:rPr>
            </w:pPr>
            <w:r>
              <w:rPr>
                <w:rFonts w:hint="eastAsia" w:cs="宋体"/>
                <w:b/>
                <w:bCs/>
                <w:sz w:val="24"/>
                <w:highlight w:val="none"/>
              </w:rPr>
              <w:t>工程</w:t>
            </w:r>
          </w:p>
        </w:tc>
      </w:tr>
      <w:tr w14:paraId="32796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403" w:type="dxa"/>
            <w:tcBorders>
              <w:top w:val="single" w:color="auto" w:sz="4" w:space="0"/>
              <w:bottom w:val="single" w:color="auto" w:sz="4" w:space="0"/>
              <w:right w:val="single" w:color="auto" w:sz="4" w:space="0"/>
            </w:tcBorders>
            <w:vAlign w:val="center"/>
          </w:tcPr>
          <w:p w14:paraId="404ED56A">
            <w:pPr>
              <w:jc w:val="center"/>
              <w:rPr>
                <w:rFonts w:hint="eastAsia" w:cs="宋体"/>
                <w:bCs/>
                <w:sz w:val="24"/>
                <w:highlight w:val="none"/>
              </w:rPr>
            </w:pPr>
            <w:r>
              <w:rPr>
                <w:rFonts w:cs="宋体"/>
                <w:bCs/>
                <w:sz w:val="24"/>
                <w:highlight w:val="none"/>
              </w:rPr>
              <w:t>100</w:t>
            </w:r>
            <w:r>
              <w:rPr>
                <w:rFonts w:hint="eastAsia" w:cs="宋体"/>
                <w:bCs/>
                <w:sz w:val="24"/>
                <w:highlight w:val="none"/>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432DEE8F">
            <w:pPr>
              <w:jc w:val="center"/>
              <w:rPr>
                <w:rFonts w:hint="eastAsia" w:cs="宋体"/>
                <w:bCs/>
                <w:sz w:val="24"/>
                <w:highlight w:val="none"/>
              </w:rPr>
            </w:pPr>
            <w:r>
              <w:rPr>
                <w:rFonts w:cs="宋体"/>
                <w:bCs/>
                <w:sz w:val="24"/>
                <w:highlight w:val="none"/>
              </w:rPr>
              <w:t>1.</w:t>
            </w:r>
            <w:r>
              <w:rPr>
                <w:rFonts w:hint="eastAsia" w:cs="宋体"/>
                <w:bCs/>
                <w:sz w:val="24"/>
                <w:highlight w:val="none"/>
              </w:rPr>
              <w:t>5</w:t>
            </w:r>
            <w:r>
              <w:rPr>
                <w:rFonts w:cs="宋体"/>
                <w:bCs/>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B56F639">
            <w:pPr>
              <w:jc w:val="center"/>
              <w:rPr>
                <w:rFonts w:hint="eastAsia" w:cs="宋体"/>
                <w:bCs/>
                <w:sz w:val="24"/>
                <w:highlight w:val="none"/>
              </w:rPr>
            </w:pPr>
            <w:r>
              <w:rPr>
                <w:rFonts w:cs="宋体"/>
                <w:bCs/>
                <w:sz w:val="24"/>
                <w:highlight w:val="none"/>
              </w:rPr>
              <w:t>1.</w:t>
            </w:r>
            <w:r>
              <w:rPr>
                <w:rFonts w:hint="eastAsia" w:cs="宋体"/>
                <w:bCs/>
                <w:sz w:val="24"/>
                <w:highlight w:val="none"/>
              </w:rPr>
              <w:t>5</w:t>
            </w:r>
            <w:r>
              <w:rPr>
                <w:rFonts w:cs="宋体"/>
                <w:bCs/>
                <w:sz w:val="24"/>
                <w:highlight w:val="none"/>
              </w:rPr>
              <w:t>%</w:t>
            </w:r>
          </w:p>
        </w:tc>
        <w:tc>
          <w:tcPr>
            <w:tcW w:w="1282" w:type="dxa"/>
            <w:tcBorders>
              <w:top w:val="single" w:color="auto" w:sz="4" w:space="0"/>
              <w:left w:val="single" w:color="auto" w:sz="4" w:space="0"/>
              <w:bottom w:val="single" w:color="auto" w:sz="4" w:space="0"/>
            </w:tcBorders>
            <w:vAlign w:val="center"/>
          </w:tcPr>
          <w:p w14:paraId="3DF2BA13">
            <w:pPr>
              <w:jc w:val="center"/>
              <w:rPr>
                <w:rFonts w:hint="eastAsia" w:cs="宋体"/>
                <w:bCs/>
                <w:sz w:val="24"/>
                <w:highlight w:val="none"/>
              </w:rPr>
            </w:pPr>
            <w:r>
              <w:rPr>
                <w:rFonts w:hint="eastAsia" w:cs="宋体"/>
                <w:bCs/>
                <w:sz w:val="24"/>
                <w:highlight w:val="none"/>
              </w:rPr>
              <w:t>1.0</w:t>
            </w:r>
            <w:r>
              <w:rPr>
                <w:rFonts w:cs="宋体"/>
                <w:bCs/>
                <w:sz w:val="24"/>
                <w:highlight w:val="none"/>
              </w:rPr>
              <w:t>%</w:t>
            </w:r>
          </w:p>
        </w:tc>
      </w:tr>
      <w:tr w14:paraId="67128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403" w:type="dxa"/>
            <w:tcBorders>
              <w:top w:val="single" w:color="auto" w:sz="4" w:space="0"/>
              <w:bottom w:val="single" w:color="auto" w:sz="4" w:space="0"/>
              <w:right w:val="single" w:color="auto" w:sz="4" w:space="0"/>
            </w:tcBorders>
            <w:vAlign w:val="center"/>
          </w:tcPr>
          <w:p w14:paraId="6DBE1A7C">
            <w:pPr>
              <w:jc w:val="center"/>
              <w:rPr>
                <w:rFonts w:hint="eastAsia" w:cs="宋体"/>
                <w:bCs/>
                <w:sz w:val="24"/>
                <w:highlight w:val="none"/>
              </w:rPr>
            </w:pPr>
            <w:r>
              <w:rPr>
                <w:rFonts w:cs="宋体"/>
                <w:bCs/>
                <w:sz w:val="24"/>
                <w:highlight w:val="none"/>
              </w:rPr>
              <w:t>100</w:t>
            </w:r>
            <w:r>
              <w:rPr>
                <w:rFonts w:hint="eastAsia" w:cs="宋体"/>
                <w:bCs/>
                <w:sz w:val="24"/>
                <w:highlight w:val="none"/>
              </w:rPr>
              <w:t>万元</w:t>
            </w:r>
            <w:r>
              <w:rPr>
                <w:rFonts w:cs="宋体"/>
                <w:bCs/>
                <w:sz w:val="24"/>
                <w:highlight w:val="none"/>
              </w:rPr>
              <w:t>-500</w:t>
            </w:r>
            <w:r>
              <w:rPr>
                <w:rFonts w:hint="eastAsia" w:cs="宋体"/>
                <w:bCs/>
                <w:sz w:val="24"/>
                <w:highlight w:val="none"/>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6C7D06C8">
            <w:pPr>
              <w:jc w:val="center"/>
              <w:rPr>
                <w:rFonts w:hint="eastAsia" w:cs="宋体"/>
                <w:bCs/>
                <w:sz w:val="24"/>
                <w:highlight w:val="none"/>
              </w:rPr>
            </w:pPr>
            <w:r>
              <w:rPr>
                <w:rFonts w:hint="eastAsia" w:cs="宋体"/>
                <w:bCs/>
                <w:sz w:val="24"/>
                <w:highlight w:val="none"/>
              </w:rPr>
              <w:t>1</w:t>
            </w:r>
            <w:r>
              <w:rPr>
                <w:rFonts w:cs="宋体"/>
                <w:bCs/>
                <w:sz w:val="24"/>
                <w:highlight w:val="none"/>
              </w:rPr>
              <w:t>.</w:t>
            </w:r>
            <w:r>
              <w:rPr>
                <w:rFonts w:hint="eastAsia" w:cs="宋体"/>
                <w:bCs/>
                <w:sz w:val="24"/>
                <w:highlight w:val="none"/>
              </w:rPr>
              <w:t>1</w:t>
            </w:r>
            <w:r>
              <w:rPr>
                <w:rFonts w:cs="宋体"/>
                <w:bCs/>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71CFC91F">
            <w:pPr>
              <w:jc w:val="center"/>
              <w:rPr>
                <w:rFonts w:hint="eastAsia" w:cs="宋体"/>
                <w:bCs/>
                <w:sz w:val="24"/>
                <w:highlight w:val="none"/>
              </w:rPr>
            </w:pPr>
            <w:r>
              <w:rPr>
                <w:rFonts w:cs="宋体"/>
                <w:bCs/>
                <w:sz w:val="24"/>
                <w:highlight w:val="none"/>
              </w:rPr>
              <w:t>0.</w:t>
            </w:r>
            <w:r>
              <w:rPr>
                <w:rFonts w:hint="eastAsia" w:cs="宋体"/>
                <w:bCs/>
                <w:sz w:val="24"/>
                <w:highlight w:val="none"/>
              </w:rPr>
              <w:t>8</w:t>
            </w:r>
            <w:r>
              <w:rPr>
                <w:rFonts w:cs="宋体"/>
                <w:bCs/>
                <w:sz w:val="24"/>
                <w:highlight w:val="none"/>
              </w:rPr>
              <w:t>%</w:t>
            </w:r>
          </w:p>
        </w:tc>
        <w:tc>
          <w:tcPr>
            <w:tcW w:w="1282" w:type="dxa"/>
            <w:tcBorders>
              <w:top w:val="single" w:color="auto" w:sz="4" w:space="0"/>
              <w:left w:val="single" w:color="auto" w:sz="4" w:space="0"/>
              <w:bottom w:val="single" w:color="auto" w:sz="4" w:space="0"/>
            </w:tcBorders>
            <w:vAlign w:val="center"/>
          </w:tcPr>
          <w:p w14:paraId="5415E7C1">
            <w:pPr>
              <w:jc w:val="center"/>
              <w:rPr>
                <w:rFonts w:hint="eastAsia" w:cs="宋体"/>
                <w:bCs/>
                <w:sz w:val="24"/>
                <w:highlight w:val="none"/>
              </w:rPr>
            </w:pPr>
            <w:r>
              <w:rPr>
                <w:rFonts w:cs="宋体"/>
                <w:bCs/>
                <w:sz w:val="24"/>
                <w:highlight w:val="none"/>
              </w:rPr>
              <w:t>0.</w:t>
            </w:r>
            <w:r>
              <w:rPr>
                <w:rFonts w:hint="eastAsia" w:cs="宋体"/>
                <w:bCs/>
                <w:sz w:val="24"/>
                <w:highlight w:val="none"/>
              </w:rPr>
              <w:t>7</w:t>
            </w:r>
            <w:r>
              <w:rPr>
                <w:rFonts w:cs="宋体"/>
                <w:bCs/>
                <w:sz w:val="24"/>
                <w:highlight w:val="none"/>
              </w:rPr>
              <w:t>%</w:t>
            </w:r>
          </w:p>
        </w:tc>
      </w:tr>
      <w:tr w14:paraId="684F4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403" w:type="dxa"/>
            <w:tcBorders>
              <w:top w:val="single" w:color="auto" w:sz="4" w:space="0"/>
              <w:bottom w:val="single" w:color="auto" w:sz="4" w:space="0"/>
              <w:right w:val="single" w:color="auto" w:sz="4" w:space="0"/>
            </w:tcBorders>
            <w:vAlign w:val="center"/>
          </w:tcPr>
          <w:p w14:paraId="34F5B0B2">
            <w:pPr>
              <w:jc w:val="center"/>
              <w:rPr>
                <w:rFonts w:hint="eastAsia" w:cs="宋体"/>
                <w:bCs/>
                <w:sz w:val="24"/>
                <w:highlight w:val="none"/>
              </w:rPr>
            </w:pPr>
            <w:r>
              <w:rPr>
                <w:rFonts w:cs="宋体"/>
                <w:bCs/>
                <w:sz w:val="24"/>
                <w:highlight w:val="none"/>
              </w:rPr>
              <w:t>500</w:t>
            </w:r>
            <w:r>
              <w:rPr>
                <w:rFonts w:hint="eastAsia" w:cs="宋体"/>
                <w:bCs/>
                <w:sz w:val="24"/>
                <w:highlight w:val="none"/>
              </w:rPr>
              <w:t>万元</w:t>
            </w:r>
            <w:r>
              <w:rPr>
                <w:rFonts w:cs="宋体"/>
                <w:bCs/>
                <w:sz w:val="24"/>
                <w:highlight w:val="none"/>
              </w:rPr>
              <w:t>-1000</w:t>
            </w:r>
            <w:r>
              <w:rPr>
                <w:rFonts w:hint="eastAsia" w:cs="宋体"/>
                <w:bCs/>
                <w:sz w:val="24"/>
                <w:highlight w:val="none"/>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6257C96D">
            <w:pPr>
              <w:jc w:val="center"/>
              <w:rPr>
                <w:rFonts w:hint="eastAsia" w:cs="宋体"/>
                <w:bCs/>
                <w:sz w:val="24"/>
                <w:highlight w:val="none"/>
              </w:rPr>
            </w:pPr>
            <w:r>
              <w:rPr>
                <w:rFonts w:cs="宋体"/>
                <w:bCs/>
                <w:sz w:val="24"/>
                <w:highlight w:val="none"/>
              </w:rPr>
              <w:t>0.</w:t>
            </w:r>
            <w:r>
              <w:rPr>
                <w:rFonts w:hint="eastAsia" w:cs="宋体"/>
                <w:bCs/>
                <w:sz w:val="24"/>
                <w:highlight w:val="none"/>
              </w:rPr>
              <w:t>8</w:t>
            </w:r>
            <w:r>
              <w:rPr>
                <w:rFonts w:cs="宋体"/>
                <w:bCs/>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29F4E13">
            <w:pPr>
              <w:jc w:val="center"/>
              <w:rPr>
                <w:rFonts w:hint="eastAsia" w:cs="宋体"/>
                <w:bCs/>
                <w:sz w:val="24"/>
                <w:highlight w:val="none"/>
              </w:rPr>
            </w:pPr>
            <w:r>
              <w:rPr>
                <w:rFonts w:cs="宋体"/>
                <w:bCs/>
                <w:sz w:val="24"/>
                <w:highlight w:val="none"/>
              </w:rPr>
              <w:t>0.</w:t>
            </w:r>
            <w:r>
              <w:rPr>
                <w:rFonts w:hint="eastAsia" w:cs="宋体"/>
                <w:bCs/>
                <w:sz w:val="24"/>
                <w:highlight w:val="none"/>
              </w:rPr>
              <w:t>45</w:t>
            </w:r>
            <w:r>
              <w:rPr>
                <w:rFonts w:cs="宋体"/>
                <w:bCs/>
                <w:sz w:val="24"/>
                <w:highlight w:val="none"/>
              </w:rPr>
              <w:t>%</w:t>
            </w:r>
          </w:p>
        </w:tc>
        <w:tc>
          <w:tcPr>
            <w:tcW w:w="1282" w:type="dxa"/>
            <w:tcBorders>
              <w:top w:val="single" w:color="auto" w:sz="4" w:space="0"/>
              <w:left w:val="single" w:color="auto" w:sz="4" w:space="0"/>
              <w:bottom w:val="single" w:color="auto" w:sz="4" w:space="0"/>
            </w:tcBorders>
            <w:vAlign w:val="center"/>
          </w:tcPr>
          <w:p w14:paraId="26510B11">
            <w:pPr>
              <w:jc w:val="center"/>
              <w:rPr>
                <w:rFonts w:hint="eastAsia" w:cs="宋体"/>
                <w:bCs/>
                <w:sz w:val="24"/>
                <w:highlight w:val="none"/>
              </w:rPr>
            </w:pPr>
            <w:r>
              <w:rPr>
                <w:rFonts w:cs="宋体"/>
                <w:bCs/>
                <w:sz w:val="24"/>
                <w:highlight w:val="none"/>
              </w:rPr>
              <w:t>0.</w:t>
            </w:r>
            <w:r>
              <w:rPr>
                <w:rFonts w:hint="eastAsia" w:cs="宋体"/>
                <w:bCs/>
                <w:sz w:val="24"/>
                <w:highlight w:val="none"/>
              </w:rPr>
              <w:t>55</w:t>
            </w:r>
            <w:r>
              <w:rPr>
                <w:rFonts w:cs="宋体"/>
                <w:bCs/>
                <w:sz w:val="24"/>
                <w:highlight w:val="none"/>
              </w:rPr>
              <w:t>%</w:t>
            </w:r>
          </w:p>
        </w:tc>
      </w:tr>
      <w:tr w14:paraId="71D80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403" w:type="dxa"/>
            <w:tcBorders>
              <w:top w:val="single" w:color="auto" w:sz="4" w:space="0"/>
              <w:bottom w:val="single" w:color="auto" w:sz="4" w:space="0"/>
              <w:right w:val="single" w:color="auto" w:sz="4" w:space="0"/>
            </w:tcBorders>
            <w:vAlign w:val="center"/>
          </w:tcPr>
          <w:p w14:paraId="59F96D60">
            <w:pPr>
              <w:jc w:val="center"/>
              <w:rPr>
                <w:rFonts w:hint="eastAsia" w:cs="宋体"/>
                <w:bCs/>
                <w:sz w:val="24"/>
                <w:highlight w:val="none"/>
              </w:rPr>
            </w:pPr>
            <w:r>
              <w:rPr>
                <w:rFonts w:cs="宋体"/>
                <w:bCs/>
                <w:sz w:val="24"/>
                <w:highlight w:val="none"/>
              </w:rPr>
              <w:t>1000</w:t>
            </w:r>
            <w:r>
              <w:rPr>
                <w:rFonts w:hint="eastAsia" w:cs="宋体"/>
                <w:bCs/>
                <w:sz w:val="24"/>
                <w:highlight w:val="none"/>
              </w:rPr>
              <w:t>万元</w:t>
            </w:r>
            <w:r>
              <w:rPr>
                <w:rFonts w:cs="宋体"/>
                <w:bCs/>
                <w:sz w:val="24"/>
                <w:highlight w:val="none"/>
              </w:rPr>
              <w:t>-5000</w:t>
            </w:r>
            <w:r>
              <w:rPr>
                <w:rFonts w:hint="eastAsia" w:cs="宋体"/>
                <w:bCs/>
                <w:sz w:val="24"/>
                <w:highlight w:val="none"/>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65C9513C">
            <w:pPr>
              <w:jc w:val="center"/>
              <w:rPr>
                <w:rFonts w:hint="eastAsia" w:cs="宋体"/>
                <w:bCs/>
                <w:sz w:val="24"/>
                <w:highlight w:val="none"/>
              </w:rPr>
            </w:pPr>
            <w:r>
              <w:rPr>
                <w:rFonts w:cs="宋体"/>
                <w:bCs/>
                <w:sz w:val="24"/>
                <w:highlight w:val="none"/>
              </w:rPr>
              <w:t>0.</w:t>
            </w:r>
            <w:r>
              <w:rPr>
                <w:rFonts w:hint="eastAsia" w:cs="宋体"/>
                <w:bCs/>
                <w:sz w:val="24"/>
                <w:highlight w:val="none"/>
              </w:rPr>
              <w:t>5</w:t>
            </w:r>
            <w:r>
              <w:rPr>
                <w:rFonts w:cs="宋体"/>
                <w:bCs/>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F93451F">
            <w:pPr>
              <w:jc w:val="center"/>
              <w:rPr>
                <w:rFonts w:hint="eastAsia" w:cs="宋体"/>
                <w:bCs/>
                <w:sz w:val="24"/>
                <w:highlight w:val="none"/>
              </w:rPr>
            </w:pPr>
            <w:r>
              <w:rPr>
                <w:rFonts w:cs="宋体"/>
                <w:bCs/>
                <w:sz w:val="24"/>
                <w:highlight w:val="none"/>
              </w:rPr>
              <w:t>0.2</w:t>
            </w:r>
            <w:r>
              <w:rPr>
                <w:rFonts w:hint="eastAsia" w:cs="宋体"/>
                <w:bCs/>
                <w:sz w:val="24"/>
                <w:highlight w:val="none"/>
              </w:rPr>
              <w:t>5</w:t>
            </w:r>
            <w:r>
              <w:rPr>
                <w:rFonts w:cs="宋体"/>
                <w:bCs/>
                <w:sz w:val="24"/>
                <w:highlight w:val="none"/>
              </w:rPr>
              <w:t>%</w:t>
            </w:r>
          </w:p>
        </w:tc>
        <w:tc>
          <w:tcPr>
            <w:tcW w:w="1282" w:type="dxa"/>
            <w:tcBorders>
              <w:top w:val="single" w:color="auto" w:sz="4" w:space="0"/>
              <w:left w:val="single" w:color="auto" w:sz="4" w:space="0"/>
              <w:bottom w:val="single" w:color="auto" w:sz="4" w:space="0"/>
            </w:tcBorders>
            <w:vAlign w:val="center"/>
          </w:tcPr>
          <w:p w14:paraId="44CE5D01">
            <w:pPr>
              <w:jc w:val="center"/>
              <w:rPr>
                <w:rFonts w:hint="eastAsia" w:cs="宋体"/>
                <w:bCs/>
                <w:sz w:val="24"/>
                <w:highlight w:val="none"/>
              </w:rPr>
            </w:pPr>
            <w:r>
              <w:rPr>
                <w:rFonts w:cs="宋体"/>
                <w:bCs/>
                <w:sz w:val="24"/>
                <w:highlight w:val="none"/>
              </w:rPr>
              <w:t>0.</w:t>
            </w:r>
            <w:r>
              <w:rPr>
                <w:rFonts w:hint="eastAsia" w:cs="宋体"/>
                <w:bCs/>
                <w:sz w:val="24"/>
                <w:highlight w:val="none"/>
              </w:rPr>
              <w:t>35</w:t>
            </w:r>
            <w:r>
              <w:rPr>
                <w:rFonts w:cs="宋体"/>
                <w:bCs/>
                <w:sz w:val="24"/>
                <w:highlight w:val="none"/>
              </w:rPr>
              <w:t>%</w:t>
            </w:r>
          </w:p>
        </w:tc>
      </w:tr>
      <w:tr w14:paraId="3CE6A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403" w:type="dxa"/>
            <w:tcBorders>
              <w:top w:val="single" w:color="auto" w:sz="4" w:space="0"/>
              <w:bottom w:val="single" w:color="auto" w:sz="4" w:space="0"/>
              <w:right w:val="single" w:color="auto" w:sz="4" w:space="0"/>
            </w:tcBorders>
            <w:vAlign w:val="center"/>
          </w:tcPr>
          <w:p w14:paraId="58B308A3">
            <w:pPr>
              <w:jc w:val="center"/>
              <w:rPr>
                <w:rFonts w:hint="eastAsia" w:cs="宋体"/>
                <w:bCs/>
                <w:sz w:val="24"/>
                <w:highlight w:val="none"/>
              </w:rPr>
            </w:pPr>
            <w:r>
              <w:rPr>
                <w:rFonts w:cs="宋体"/>
                <w:bCs/>
                <w:sz w:val="24"/>
                <w:highlight w:val="none"/>
              </w:rPr>
              <w:t>5000</w:t>
            </w:r>
            <w:r>
              <w:rPr>
                <w:rFonts w:hint="eastAsia" w:cs="宋体"/>
                <w:bCs/>
                <w:sz w:val="24"/>
                <w:highlight w:val="none"/>
              </w:rPr>
              <w:t>万元</w:t>
            </w:r>
            <w:r>
              <w:rPr>
                <w:rFonts w:cs="宋体"/>
                <w:bCs/>
                <w:sz w:val="24"/>
                <w:highlight w:val="none"/>
              </w:rPr>
              <w:t>-1</w:t>
            </w:r>
            <w:r>
              <w:rPr>
                <w:rFonts w:hint="eastAsia" w:cs="宋体"/>
                <w:bCs/>
                <w:sz w:val="24"/>
                <w:highlight w:val="none"/>
              </w:rPr>
              <w:t>亿元（含</w:t>
            </w:r>
            <w:r>
              <w:rPr>
                <w:rFonts w:cs="宋体"/>
                <w:bCs/>
                <w:sz w:val="24"/>
                <w:highlight w:val="none"/>
              </w:rPr>
              <w:t>1</w:t>
            </w:r>
            <w:r>
              <w:rPr>
                <w:rFonts w:hint="eastAsia" w:cs="宋体"/>
                <w:bCs/>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3363A97C">
            <w:pPr>
              <w:jc w:val="center"/>
              <w:rPr>
                <w:rFonts w:hint="eastAsia" w:cs="宋体"/>
                <w:bCs/>
                <w:sz w:val="24"/>
                <w:highlight w:val="none"/>
              </w:rPr>
            </w:pPr>
            <w:r>
              <w:rPr>
                <w:rFonts w:cs="宋体"/>
                <w:bCs/>
                <w:sz w:val="24"/>
                <w:highlight w:val="none"/>
              </w:rPr>
              <w:t>0.2</w:t>
            </w:r>
            <w:r>
              <w:rPr>
                <w:rFonts w:hint="eastAsia" w:cs="宋体"/>
                <w:bCs/>
                <w:sz w:val="24"/>
                <w:highlight w:val="none"/>
              </w:rPr>
              <w:t>5</w:t>
            </w:r>
            <w:r>
              <w:rPr>
                <w:rFonts w:cs="宋体"/>
                <w:bCs/>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66BA3C75">
            <w:pPr>
              <w:jc w:val="center"/>
              <w:rPr>
                <w:rFonts w:hint="eastAsia" w:cs="宋体"/>
                <w:bCs/>
                <w:sz w:val="24"/>
                <w:highlight w:val="none"/>
              </w:rPr>
            </w:pPr>
            <w:r>
              <w:rPr>
                <w:rFonts w:cs="宋体"/>
                <w:bCs/>
                <w:sz w:val="24"/>
                <w:highlight w:val="none"/>
              </w:rPr>
              <w:t>0.</w:t>
            </w:r>
            <w:r>
              <w:rPr>
                <w:rFonts w:hint="eastAsia" w:cs="宋体"/>
                <w:bCs/>
                <w:sz w:val="24"/>
                <w:highlight w:val="none"/>
              </w:rPr>
              <w:t>1</w:t>
            </w:r>
            <w:r>
              <w:rPr>
                <w:rFonts w:cs="宋体"/>
                <w:bCs/>
                <w:sz w:val="24"/>
                <w:highlight w:val="none"/>
              </w:rPr>
              <w:t>%</w:t>
            </w:r>
          </w:p>
        </w:tc>
        <w:tc>
          <w:tcPr>
            <w:tcW w:w="1282" w:type="dxa"/>
            <w:tcBorders>
              <w:top w:val="single" w:color="auto" w:sz="4" w:space="0"/>
              <w:left w:val="single" w:color="auto" w:sz="4" w:space="0"/>
              <w:bottom w:val="single" w:color="auto" w:sz="4" w:space="0"/>
            </w:tcBorders>
            <w:vAlign w:val="center"/>
          </w:tcPr>
          <w:p w14:paraId="2C94F415">
            <w:pPr>
              <w:jc w:val="center"/>
              <w:rPr>
                <w:rFonts w:hint="eastAsia" w:cs="宋体"/>
                <w:bCs/>
                <w:sz w:val="24"/>
                <w:highlight w:val="none"/>
              </w:rPr>
            </w:pPr>
            <w:r>
              <w:rPr>
                <w:rFonts w:cs="宋体"/>
                <w:bCs/>
                <w:sz w:val="24"/>
                <w:highlight w:val="none"/>
              </w:rPr>
              <w:t>0.</w:t>
            </w:r>
            <w:r>
              <w:rPr>
                <w:rFonts w:hint="eastAsia" w:cs="宋体"/>
                <w:bCs/>
                <w:sz w:val="24"/>
                <w:highlight w:val="none"/>
              </w:rPr>
              <w:t>2</w:t>
            </w:r>
            <w:r>
              <w:rPr>
                <w:rFonts w:cs="宋体"/>
                <w:bCs/>
                <w:sz w:val="24"/>
                <w:highlight w:val="none"/>
              </w:rPr>
              <w:t>%</w:t>
            </w:r>
          </w:p>
        </w:tc>
      </w:tr>
      <w:tr w14:paraId="4DE99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403" w:type="dxa"/>
            <w:tcBorders>
              <w:top w:val="single" w:color="auto" w:sz="4" w:space="0"/>
              <w:bottom w:val="single" w:color="auto" w:sz="4" w:space="0"/>
              <w:right w:val="single" w:color="auto" w:sz="4" w:space="0"/>
            </w:tcBorders>
            <w:vAlign w:val="center"/>
          </w:tcPr>
          <w:p w14:paraId="03C28B2E">
            <w:pPr>
              <w:jc w:val="center"/>
              <w:rPr>
                <w:rFonts w:hint="eastAsia" w:cs="宋体"/>
                <w:bCs/>
                <w:sz w:val="24"/>
                <w:highlight w:val="none"/>
              </w:rPr>
            </w:pPr>
            <w:r>
              <w:rPr>
                <w:rFonts w:cs="宋体"/>
                <w:bCs/>
                <w:sz w:val="24"/>
                <w:highlight w:val="none"/>
              </w:rPr>
              <w:t>1</w:t>
            </w:r>
            <w:r>
              <w:rPr>
                <w:rFonts w:hint="eastAsia" w:cs="宋体"/>
                <w:bCs/>
                <w:sz w:val="24"/>
                <w:highlight w:val="none"/>
              </w:rPr>
              <w:t>亿元</w:t>
            </w:r>
            <w:r>
              <w:rPr>
                <w:rFonts w:cs="宋体"/>
                <w:bCs/>
                <w:sz w:val="24"/>
                <w:highlight w:val="none"/>
              </w:rPr>
              <w:t>-10</w:t>
            </w:r>
            <w:r>
              <w:rPr>
                <w:rFonts w:hint="eastAsia" w:cs="宋体"/>
                <w:bCs/>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2FBE6B09">
            <w:pPr>
              <w:jc w:val="center"/>
              <w:rPr>
                <w:rFonts w:hint="eastAsia" w:cs="宋体"/>
                <w:bCs/>
                <w:sz w:val="24"/>
                <w:highlight w:val="none"/>
              </w:rPr>
            </w:pPr>
            <w:r>
              <w:rPr>
                <w:rFonts w:cs="宋体"/>
                <w:bCs/>
                <w:sz w:val="24"/>
                <w:highlight w:val="none"/>
              </w:rPr>
              <w:t>0.0</w:t>
            </w:r>
            <w:r>
              <w:rPr>
                <w:rFonts w:hint="eastAsia" w:cs="宋体"/>
                <w:bCs/>
                <w:sz w:val="24"/>
                <w:highlight w:val="none"/>
              </w:rPr>
              <w:t>5</w:t>
            </w:r>
            <w:r>
              <w:rPr>
                <w:rFonts w:cs="宋体"/>
                <w:bCs/>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D89C1B9">
            <w:pPr>
              <w:jc w:val="center"/>
              <w:rPr>
                <w:rFonts w:hint="eastAsia" w:cs="宋体"/>
                <w:bCs/>
                <w:sz w:val="24"/>
                <w:highlight w:val="none"/>
              </w:rPr>
            </w:pPr>
            <w:r>
              <w:rPr>
                <w:rFonts w:cs="宋体"/>
                <w:bCs/>
                <w:sz w:val="24"/>
                <w:highlight w:val="none"/>
              </w:rPr>
              <w:t>0.0</w:t>
            </w:r>
            <w:r>
              <w:rPr>
                <w:rFonts w:hint="eastAsia" w:cs="宋体"/>
                <w:bCs/>
                <w:sz w:val="24"/>
                <w:highlight w:val="none"/>
              </w:rPr>
              <w:t>5</w:t>
            </w:r>
            <w:r>
              <w:rPr>
                <w:rFonts w:cs="宋体"/>
                <w:bCs/>
                <w:sz w:val="24"/>
                <w:highlight w:val="none"/>
              </w:rPr>
              <w:t>%</w:t>
            </w:r>
          </w:p>
        </w:tc>
        <w:tc>
          <w:tcPr>
            <w:tcW w:w="1282" w:type="dxa"/>
            <w:tcBorders>
              <w:top w:val="single" w:color="auto" w:sz="4" w:space="0"/>
              <w:left w:val="single" w:color="auto" w:sz="4" w:space="0"/>
              <w:bottom w:val="single" w:color="auto" w:sz="4" w:space="0"/>
            </w:tcBorders>
            <w:vAlign w:val="center"/>
          </w:tcPr>
          <w:p w14:paraId="7605461C">
            <w:pPr>
              <w:jc w:val="center"/>
              <w:rPr>
                <w:rFonts w:hint="eastAsia" w:cs="宋体"/>
                <w:bCs/>
                <w:sz w:val="24"/>
                <w:highlight w:val="none"/>
              </w:rPr>
            </w:pPr>
            <w:r>
              <w:rPr>
                <w:rFonts w:cs="宋体"/>
                <w:bCs/>
                <w:sz w:val="24"/>
                <w:highlight w:val="none"/>
              </w:rPr>
              <w:t>0.0</w:t>
            </w:r>
            <w:r>
              <w:rPr>
                <w:rFonts w:hint="eastAsia" w:cs="宋体"/>
                <w:bCs/>
                <w:sz w:val="24"/>
                <w:highlight w:val="none"/>
              </w:rPr>
              <w:t>5</w:t>
            </w:r>
            <w:r>
              <w:rPr>
                <w:rFonts w:cs="宋体"/>
                <w:bCs/>
                <w:sz w:val="24"/>
                <w:highlight w:val="none"/>
              </w:rPr>
              <w:t>%</w:t>
            </w:r>
          </w:p>
        </w:tc>
      </w:tr>
      <w:tr w14:paraId="1BE39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403" w:type="dxa"/>
            <w:tcBorders>
              <w:top w:val="single" w:color="auto" w:sz="4" w:space="0"/>
              <w:bottom w:val="single" w:color="auto" w:sz="4" w:space="0"/>
              <w:right w:val="single" w:color="auto" w:sz="4" w:space="0"/>
            </w:tcBorders>
            <w:vAlign w:val="center"/>
          </w:tcPr>
          <w:p w14:paraId="18BB9E88">
            <w:pPr>
              <w:jc w:val="center"/>
              <w:rPr>
                <w:rFonts w:hint="eastAsia" w:cs="宋体"/>
                <w:bCs/>
                <w:sz w:val="24"/>
                <w:highlight w:val="none"/>
              </w:rPr>
            </w:pPr>
            <w:r>
              <w:rPr>
                <w:rFonts w:cs="宋体"/>
                <w:bCs/>
                <w:sz w:val="24"/>
                <w:highlight w:val="none"/>
              </w:rPr>
              <w:t>10</w:t>
            </w:r>
            <w:r>
              <w:rPr>
                <w:rFonts w:hint="eastAsia" w:cs="宋体"/>
                <w:bCs/>
                <w:sz w:val="24"/>
                <w:highlight w:val="none"/>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31C642F3">
            <w:pPr>
              <w:jc w:val="center"/>
              <w:rPr>
                <w:rFonts w:hint="eastAsia" w:cs="宋体"/>
                <w:bCs/>
                <w:sz w:val="24"/>
                <w:highlight w:val="none"/>
              </w:rPr>
            </w:pPr>
            <w:r>
              <w:rPr>
                <w:rFonts w:cs="宋体"/>
                <w:bCs/>
                <w:sz w:val="24"/>
                <w:highlight w:val="none"/>
              </w:rPr>
              <w:t>0.0</w:t>
            </w:r>
            <w:r>
              <w:rPr>
                <w:rFonts w:hint="eastAsia" w:cs="宋体"/>
                <w:bCs/>
                <w:sz w:val="24"/>
                <w:highlight w:val="none"/>
              </w:rPr>
              <w:t>1</w:t>
            </w:r>
            <w:r>
              <w:rPr>
                <w:rFonts w:cs="宋体"/>
                <w:bCs/>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0A51AD0A">
            <w:pPr>
              <w:jc w:val="center"/>
              <w:rPr>
                <w:rFonts w:hint="eastAsia" w:cs="宋体"/>
                <w:bCs/>
                <w:sz w:val="24"/>
                <w:highlight w:val="none"/>
              </w:rPr>
            </w:pPr>
            <w:r>
              <w:rPr>
                <w:rFonts w:cs="宋体"/>
                <w:bCs/>
                <w:sz w:val="24"/>
                <w:highlight w:val="none"/>
              </w:rPr>
              <w:t>0.0</w:t>
            </w:r>
            <w:r>
              <w:rPr>
                <w:rFonts w:hint="eastAsia" w:cs="宋体"/>
                <w:bCs/>
                <w:sz w:val="24"/>
                <w:highlight w:val="none"/>
              </w:rPr>
              <w:t>1</w:t>
            </w:r>
            <w:r>
              <w:rPr>
                <w:rFonts w:cs="宋体"/>
                <w:bCs/>
                <w:sz w:val="24"/>
                <w:highlight w:val="none"/>
              </w:rPr>
              <w:t>%</w:t>
            </w:r>
          </w:p>
        </w:tc>
        <w:tc>
          <w:tcPr>
            <w:tcW w:w="1282" w:type="dxa"/>
            <w:tcBorders>
              <w:top w:val="single" w:color="auto" w:sz="4" w:space="0"/>
              <w:left w:val="single" w:color="auto" w:sz="4" w:space="0"/>
              <w:bottom w:val="single" w:color="auto" w:sz="4" w:space="0"/>
            </w:tcBorders>
            <w:vAlign w:val="center"/>
          </w:tcPr>
          <w:p w14:paraId="541AB00D">
            <w:pPr>
              <w:jc w:val="center"/>
              <w:rPr>
                <w:rFonts w:hint="eastAsia" w:cs="宋体"/>
                <w:bCs/>
                <w:sz w:val="24"/>
                <w:highlight w:val="none"/>
              </w:rPr>
            </w:pPr>
            <w:r>
              <w:rPr>
                <w:rFonts w:cs="宋体"/>
                <w:bCs/>
                <w:sz w:val="24"/>
                <w:highlight w:val="none"/>
              </w:rPr>
              <w:t>0.0</w:t>
            </w:r>
            <w:r>
              <w:rPr>
                <w:rFonts w:hint="eastAsia" w:cs="宋体"/>
                <w:bCs/>
                <w:sz w:val="24"/>
                <w:highlight w:val="none"/>
              </w:rPr>
              <w:t>1</w:t>
            </w:r>
            <w:r>
              <w:rPr>
                <w:rFonts w:cs="宋体"/>
                <w:bCs/>
                <w:sz w:val="24"/>
                <w:highlight w:val="none"/>
              </w:rPr>
              <w:t>%</w:t>
            </w:r>
          </w:p>
        </w:tc>
      </w:tr>
    </w:tbl>
    <w:p w14:paraId="6E570C14">
      <w:pPr>
        <w:spacing w:line="360" w:lineRule="auto"/>
        <w:ind w:firstLine="437"/>
        <w:outlineLvl w:val="2"/>
        <w:rPr>
          <w:rFonts w:hint="eastAsia"/>
          <w:b/>
          <w:sz w:val="24"/>
          <w:highlight w:val="none"/>
        </w:rPr>
      </w:pPr>
      <w:r>
        <w:rPr>
          <w:rFonts w:hint="eastAsia"/>
          <w:b/>
          <w:sz w:val="24"/>
          <w:highlight w:val="none"/>
        </w:rPr>
        <w:t>32</w:t>
      </w:r>
      <w:r>
        <w:rPr>
          <w:b/>
          <w:sz w:val="24"/>
          <w:highlight w:val="none"/>
        </w:rPr>
        <w:t>.签订合同</w:t>
      </w:r>
    </w:p>
    <w:p w14:paraId="02C048BE">
      <w:pPr>
        <w:spacing w:line="360" w:lineRule="auto"/>
        <w:ind w:firstLine="480" w:firstLineChars="200"/>
        <w:rPr>
          <w:rFonts w:hint="eastAsia" w:cs="宋体"/>
          <w:sz w:val="24"/>
          <w:szCs w:val="24"/>
          <w:highlight w:val="none"/>
        </w:rPr>
      </w:pPr>
      <w:r>
        <w:rPr>
          <w:rFonts w:hint="eastAsia" w:cs="宋体"/>
          <w:sz w:val="24"/>
          <w:szCs w:val="24"/>
          <w:highlight w:val="none"/>
          <w:lang w:bidi="ar"/>
        </w:rPr>
        <w:t>32.1</w:t>
      </w:r>
      <w:r>
        <w:rPr>
          <w:rFonts w:hint="eastAsia"/>
          <w:sz w:val="24"/>
          <w:szCs w:val="18"/>
          <w:highlight w:val="none"/>
        </w:rPr>
        <w:t>业主单位</w:t>
      </w:r>
      <w:r>
        <w:rPr>
          <w:rFonts w:hint="eastAsia" w:cs="宋体"/>
          <w:sz w:val="24"/>
          <w:szCs w:val="24"/>
          <w:highlight w:val="none"/>
          <w:lang w:bidi="ar"/>
        </w:rPr>
        <w:t>与成交人应当自发出成交通知书之日起30日内签订合同。</w:t>
      </w:r>
    </w:p>
    <w:p w14:paraId="4450C1DB">
      <w:pPr>
        <w:spacing w:line="360" w:lineRule="auto"/>
        <w:ind w:firstLine="480" w:firstLineChars="200"/>
        <w:rPr>
          <w:rFonts w:hint="eastAsia" w:cs="宋体"/>
          <w:sz w:val="24"/>
          <w:szCs w:val="24"/>
          <w:highlight w:val="none"/>
        </w:rPr>
      </w:pPr>
      <w:r>
        <w:rPr>
          <w:rFonts w:hint="eastAsia" w:cs="宋体"/>
          <w:sz w:val="24"/>
          <w:szCs w:val="24"/>
          <w:highlight w:val="none"/>
          <w:lang w:bidi="ar"/>
        </w:rPr>
        <w:t>32.2磋商文件、成交人的响应文件及其澄清文件等，均为签订合同的依据。</w:t>
      </w:r>
    </w:p>
    <w:p w14:paraId="17E2A655">
      <w:pPr>
        <w:spacing w:line="360" w:lineRule="auto"/>
        <w:ind w:firstLine="470" w:firstLineChars="196"/>
        <w:rPr>
          <w:rFonts w:hint="eastAsia"/>
          <w:sz w:val="24"/>
          <w:highlight w:val="none"/>
        </w:rPr>
      </w:pPr>
      <w:r>
        <w:rPr>
          <w:rFonts w:hint="eastAsia" w:cs="宋体"/>
          <w:sz w:val="24"/>
          <w:szCs w:val="24"/>
          <w:highlight w:val="none"/>
          <w:lang w:bidi="ar"/>
        </w:rPr>
        <w:t>32.3成交人拒绝与</w:t>
      </w:r>
      <w:r>
        <w:rPr>
          <w:rFonts w:hint="eastAsia"/>
          <w:sz w:val="24"/>
          <w:szCs w:val="18"/>
          <w:highlight w:val="none"/>
        </w:rPr>
        <w:t>业主单位</w:t>
      </w:r>
      <w:r>
        <w:rPr>
          <w:rFonts w:hint="eastAsia" w:cs="宋体"/>
          <w:sz w:val="24"/>
          <w:szCs w:val="24"/>
          <w:highlight w:val="none"/>
          <w:lang w:bidi="ar"/>
        </w:rPr>
        <w:t>签订合同的，</w:t>
      </w:r>
      <w:r>
        <w:rPr>
          <w:rFonts w:hint="eastAsia"/>
          <w:sz w:val="24"/>
          <w:szCs w:val="18"/>
          <w:highlight w:val="none"/>
        </w:rPr>
        <w:t>业主单位</w:t>
      </w:r>
      <w:r>
        <w:rPr>
          <w:rFonts w:hint="eastAsia" w:cs="宋体"/>
          <w:sz w:val="24"/>
          <w:szCs w:val="24"/>
          <w:highlight w:val="none"/>
          <w:lang w:bidi="ar"/>
        </w:rPr>
        <w:t>可以按照评审报告推荐的成交候选人名单排序，确定下一成交候选人为成交人，也可以重新开展磋商活动。成交人拒绝签订合同的不得参加对该项目重新开展的磋商活动。</w:t>
      </w:r>
    </w:p>
    <w:p w14:paraId="3F5907A1">
      <w:pPr>
        <w:spacing w:line="360" w:lineRule="auto"/>
        <w:ind w:firstLine="437"/>
        <w:outlineLvl w:val="2"/>
        <w:rPr>
          <w:rFonts w:hint="eastAsia"/>
          <w:b/>
          <w:sz w:val="24"/>
          <w:highlight w:val="none"/>
        </w:rPr>
      </w:pPr>
      <w:r>
        <w:rPr>
          <w:b/>
          <w:sz w:val="24"/>
          <w:highlight w:val="none"/>
        </w:rPr>
        <w:t>3</w:t>
      </w:r>
      <w:r>
        <w:rPr>
          <w:rFonts w:hint="eastAsia"/>
          <w:b/>
          <w:sz w:val="24"/>
          <w:highlight w:val="none"/>
        </w:rPr>
        <w:t>3</w:t>
      </w:r>
      <w:r>
        <w:rPr>
          <w:b/>
          <w:sz w:val="24"/>
          <w:highlight w:val="none"/>
        </w:rPr>
        <w:t>.廉洁自律规定</w:t>
      </w:r>
    </w:p>
    <w:p w14:paraId="76E21A88">
      <w:pPr>
        <w:spacing w:line="360" w:lineRule="auto"/>
        <w:ind w:firstLine="480" w:firstLineChars="200"/>
        <w:rPr>
          <w:rFonts w:hint="eastAsia" w:cs="宋体"/>
          <w:sz w:val="24"/>
          <w:szCs w:val="24"/>
          <w:highlight w:val="none"/>
        </w:rPr>
      </w:pPr>
      <w:r>
        <w:rPr>
          <w:rFonts w:hint="eastAsia" w:cs="宋体"/>
          <w:sz w:val="24"/>
          <w:szCs w:val="24"/>
          <w:highlight w:val="none"/>
          <w:lang w:bidi="ar"/>
        </w:rPr>
        <w:t>33.1代理机构工作人员不得以不正当手段获取代理业务，不得与</w:t>
      </w:r>
      <w:r>
        <w:rPr>
          <w:rFonts w:hint="eastAsia"/>
          <w:sz w:val="24"/>
          <w:szCs w:val="18"/>
          <w:highlight w:val="none"/>
        </w:rPr>
        <w:t>业主单位</w:t>
      </w:r>
      <w:r>
        <w:rPr>
          <w:rFonts w:hint="eastAsia" w:cs="宋体"/>
          <w:sz w:val="24"/>
          <w:szCs w:val="24"/>
          <w:highlight w:val="none"/>
          <w:lang w:bidi="ar"/>
        </w:rPr>
        <w:t>、</w:t>
      </w:r>
      <w:r>
        <w:rPr>
          <w:rFonts w:hint="eastAsia"/>
          <w:sz w:val="24"/>
          <w:szCs w:val="18"/>
          <w:highlight w:val="none"/>
        </w:rPr>
        <w:t>参审单位</w:t>
      </w:r>
      <w:r>
        <w:rPr>
          <w:rFonts w:hint="eastAsia" w:cs="宋体"/>
          <w:sz w:val="24"/>
          <w:szCs w:val="24"/>
          <w:highlight w:val="none"/>
          <w:lang w:bidi="ar"/>
        </w:rPr>
        <w:t>恶意串通。</w:t>
      </w:r>
    </w:p>
    <w:p w14:paraId="44C390A9">
      <w:pPr>
        <w:spacing w:line="360" w:lineRule="auto"/>
        <w:ind w:firstLine="435"/>
        <w:rPr>
          <w:rFonts w:hint="eastAsia"/>
          <w:sz w:val="24"/>
          <w:highlight w:val="none"/>
        </w:rPr>
      </w:pPr>
      <w:r>
        <w:rPr>
          <w:rFonts w:hint="eastAsia" w:cs="宋体"/>
          <w:sz w:val="24"/>
          <w:szCs w:val="24"/>
          <w:highlight w:val="none"/>
          <w:lang w:bidi="ar"/>
        </w:rPr>
        <w:t>33.2代理机构工作人员不得接受</w:t>
      </w:r>
      <w:r>
        <w:rPr>
          <w:rFonts w:hint="eastAsia"/>
          <w:sz w:val="24"/>
          <w:szCs w:val="18"/>
          <w:highlight w:val="none"/>
        </w:rPr>
        <w:t>业主单位</w:t>
      </w:r>
      <w:r>
        <w:rPr>
          <w:rFonts w:hint="eastAsia" w:cs="宋体"/>
          <w:sz w:val="24"/>
          <w:szCs w:val="24"/>
          <w:highlight w:val="none"/>
          <w:lang w:bidi="ar"/>
        </w:rPr>
        <w:t>或者</w:t>
      </w:r>
      <w:r>
        <w:rPr>
          <w:rFonts w:hint="eastAsia"/>
          <w:sz w:val="24"/>
          <w:szCs w:val="18"/>
          <w:highlight w:val="none"/>
        </w:rPr>
        <w:t>参审单位</w:t>
      </w:r>
      <w:r>
        <w:rPr>
          <w:rFonts w:hint="eastAsia" w:cs="宋体"/>
          <w:sz w:val="24"/>
          <w:szCs w:val="24"/>
          <w:highlight w:val="none"/>
          <w:lang w:bidi="ar"/>
        </w:rPr>
        <w:t>组织的宴请、旅游、娱乐，不得收受礼品、现金、有价证券等，不得向</w:t>
      </w:r>
      <w:r>
        <w:rPr>
          <w:rFonts w:hint="eastAsia"/>
          <w:sz w:val="24"/>
          <w:szCs w:val="18"/>
          <w:highlight w:val="none"/>
        </w:rPr>
        <w:t>业主单位</w:t>
      </w:r>
      <w:r>
        <w:rPr>
          <w:rFonts w:hint="eastAsia" w:cs="宋体"/>
          <w:sz w:val="24"/>
          <w:szCs w:val="24"/>
          <w:highlight w:val="none"/>
          <w:lang w:bidi="ar"/>
        </w:rPr>
        <w:t>或者</w:t>
      </w:r>
      <w:r>
        <w:rPr>
          <w:rFonts w:hint="eastAsia"/>
          <w:sz w:val="24"/>
          <w:szCs w:val="18"/>
          <w:highlight w:val="none"/>
        </w:rPr>
        <w:t>参审单位</w:t>
      </w:r>
      <w:r>
        <w:rPr>
          <w:rFonts w:hint="eastAsia" w:cs="宋体"/>
          <w:sz w:val="24"/>
          <w:szCs w:val="24"/>
          <w:highlight w:val="none"/>
          <w:lang w:bidi="ar"/>
        </w:rPr>
        <w:t>报销应当由个人承担的费用。</w:t>
      </w:r>
    </w:p>
    <w:p w14:paraId="3EE99B62">
      <w:pPr>
        <w:spacing w:line="360" w:lineRule="auto"/>
        <w:ind w:firstLine="437"/>
        <w:outlineLvl w:val="2"/>
        <w:rPr>
          <w:rFonts w:hint="eastAsia"/>
          <w:b/>
          <w:sz w:val="24"/>
          <w:highlight w:val="none"/>
        </w:rPr>
      </w:pPr>
      <w:r>
        <w:rPr>
          <w:b/>
          <w:sz w:val="24"/>
          <w:highlight w:val="none"/>
        </w:rPr>
        <w:t>3</w:t>
      </w:r>
      <w:r>
        <w:rPr>
          <w:rFonts w:hint="eastAsia"/>
          <w:b/>
          <w:sz w:val="24"/>
          <w:highlight w:val="none"/>
        </w:rPr>
        <w:t>4</w:t>
      </w:r>
      <w:r>
        <w:rPr>
          <w:b/>
          <w:sz w:val="24"/>
          <w:highlight w:val="none"/>
        </w:rPr>
        <w:t>.</w:t>
      </w:r>
      <w:r>
        <w:rPr>
          <w:rFonts w:hint="eastAsia" w:cs="宋体"/>
          <w:b/>
          <w:bCs/>
          <w:sz w:val="24"/>
          <w:szCs w:val="24"/>
          <w:highlight w:val="none"/>
          <w:lang w:bidi="ar"/>
        </w:rPr>
        <w:t>异议的提出与接收</w:t>
      </w:r>
    </w:p>
    <w:p w14:paraId="14D86F12">
      <w:pPr>
        <w:spacing w:line="360" w:lineRule="auto"/>
        <w:ind w:firstLine="480" w:firstLineChars="200"/>
        <w:rPr>
          <w:rFonts w:hint="eastAsia" w:cs="宋体"/>
          <w:sz w:val="24"/>
          <w:szCs w:val="24"/>
          <w:highlight w:val="none"/>
        </w:rPr>
      </w:pPr>
      <w:r>
        <w:rPr>
          <w:rFonts w:hint="eastAsia" w:cs="宋体"/>
          <w:sz w:val="24"/>
          <w:szCs w:val="24"/>
          <w:highlight w:val="none"/>
          <w:lang w:bidi="ar"/>
        </w:rPr>
        <w:t>34.1</w:t>
      </w:r>
      <w:r>
        <w:rPr>
          <w:rFonts w:hint="eastAsia"/>
          <w:sz w:val="24"/>
          <w:szCs w:val="18"/>
          <w:highlight w:val="none"/>
        </w:rPr>
        <w:t>参审单位</w:t>
      </w:r>
      <w:r>
        <w:rPr>
          <w:rFonts w:hint="eastAsia" w:cs="宋体"/>
          <w:sz w:val="24"/>
          <w:szCs w:val="24"/>
          <w:highlight w:val="none"/>
          <w:lang w:bidi="ar"/>
        </w:rPr>
        <w:t>认为磋商文件、磋商过程和成交结果使自己的权益受到损害的，可以在知道或者应知其权益受到损害之日起三日内，以书面形式向</w:t>
      </w:r>
      <w:r>
        <w:rPr>
          <w:rFonts w:hint="eastAsia"/>
          <w:sz w:val="24"/>
          <w:szCs w:val="18"/>
          <w:highlight w:val="none"/>
        </w:rPr>
        <w:t>业主单位</w:t>
      </w:r>
      <w:r>
        <w:rPr>
          <w:rFonts w:hint="eastAsia" w:cs="宋体"/>
          <w:sz w:val="24"/>
          <w:szCs w:val="24"/>
          <w:highlight w:val="none"/>
          <w:lang w:bidi="ar"/>
        </w:rPr>
        <w:t>或其委托的代理机构提出异议。</w:t>
      </w:r>
    </w:p>
    <w:p w14:paraId="074605CC">
      <w:pPr>
        <w:spacing w:line="360" w:lineRule="auto"/>
        <w:ind w:firstLine="480" w:firstLineChars="200"/>
        <w:rPr>
          <w:rFonts w:hint="eastAsia"/>
          <w:highlight w:val="none"/>
        </w:rPr>
      </w:pPr>
      <w:r>
        <w:rPr>
          <w:rFonts w:hint="eastAsia" w:cs="宋体"/>
          <w:sz w:val="24"/>
          <w:szCs w:val="24"/>
          <w:highlight w:val="none"/>
          <w:lang w:bidi="ar"/>
        </w:rPr>
        <w:t>34.2异议应以书面形式实名提出，书面异议材料应当包括以下内容：</w:t>
      </w:r>
    </w:p>
    <w:p w14:paraId="471F9782">
      <w:pPr>
        <w:spacing w:line="360" w:lineRule="auto"/>
        <w:ind w:firstLine="480" w:firstLineChars="200"/>
        <w:rPr>
          <w:rFonts w:hint="eastAsia"/>
          <w:highlight w:val="none"/>
        </w:rPr>
      </w:pPr>
      <w:r>
        <w:rPr>
          <w:rFonts w:cs="宋体"/>
          <w:sz w:val="24"/>
          <w:szCs w:val="24"/>
          <w:highlight w:val="none"/>
          <w:lang w:bidi="ar"/>
        </w:rPr>
        <w:t>34.</w:t>
      </w:r>
      <w:r>
        <w:rPr>
          <w:rFonts w:hint="eastAsia" w:cs="宋体"/>
          <w:sz w:val="24"/>
          <w:szCs w:val="24"/>
          <w:highlight w:val="none"/>
          <w:lang w:bidi="ar"/>
        </w:rPr>
        <w:t>3异议人的名称、地址、有效联系方式；</w:t>
      </w:r>
    </w:p>
    <w:p w14:paraId="2E1DF262">
      <w:pPr>
        <w:spacing w:line="360" w:lineRule="auto"/>
        <w:ind w:firstLine="480" w:firstLineChars="200"/>
        <w:rPr>
          <w:rFonts w:hint="eastAsia" w:cs="宋体"/>
          <w:sz w:val="24"/>
          <w:szCs w:val="24"/>
          <w:highlight w:val="none"/>
          <w:lang w:bidi="ar"/>
        </w:rPr>
      </w:pPr>
      <w:r>
        <w:rPr>
          <w:rFonts w:cs="宋体"/>
          <w:sz w:val="24"/>
          <w:szCs w:val="24"/>
          <w:highlight w:val="none"/>
          <w:lang w:bidi="ar"/>
        </w:rPr>
        <w:t>34.</w:t>
      </w:r>
      <w:r>
        <w:rPr>
          <w:rFonts w:hint="eastAsia" w:cs="宋体"/>
          <w:sz w:val="24"/>
          <w:szCs w:val="24"/>
          <w:highlight w:val="none"/>
          <w:lang w:bidi="ar"/>
        </w:rPr>
        <w:t>5项目名称、项目编号、包别号（如有）；</w:t>
      </w:r>
    </w:p>
    <w:p w14:paraId="414DC071">
      <w:pPr>
        <w:spacing w:line="360" w:lineRule="auto"/>
        <w:ind w:firstLine="480" w:firstLineChars="200"/>
        <w:rPr>
          <w:rFonts w:hint="eastAsia" w:cs="宋体"/>
          <w:sz w:val="24"/>
          <w:szCs w:val="24"/>
          <w:highlight w:val="none"/>
          <w:lang w:bidi="ar"/>
        </w:rPr>
      </w:pPr>
      <w:r>
        <w:rPr>
          <w:rFonts w:cs="宋体"/>
          <w:sz w:val="24"/>
          <w:szCs w:val="24"/>
          <w:highlight w:val="none"/>
          <w:lang w:bidi="ar"/>
        </w:rPr>
        <w:t>34.</w:t>
      </w:r>
      <w:r>
        <w:rPr>
          <w:rFonts w:hint="eastAsia" w:cs="宋体"/>
          <w:sz w:val="24"/>
          <w:szCs w:val="24"/>
          <w:highlight w:val="none"/>
          <w:lang w:bidi="ar"/>
        </w:rPr>
        <w:t>6被异议人名称；</w:t>
      </w:r>
    </w:p>
    <w:p w14:paraId="5557AD4D">
      <w:pPr>
        <w:spacing w:line="360" w:lineRule="auto"/>
        <w:ind w:firstLine="480" w:firstLineChars="200"/>
        <w:rPr>
          <w:rFonts w:hint="eastAsia" w:cs="宋体"/>
          <w:sz w:val="24"/>
          <w:szCs w:val="24"/>
          <w:highlight w:val="none"/>
          <w:lang w:bidi="ar"/>
        </w:rPr>
      </w:pPr>
      <w:r>
        <w:rPr>
          <w:rFonts w:cs="宋体"/>
          <w:sz w:val="24"/>
          <w:szCs w:val="24"/>
          <w:highlight w:val="none"/>
          <w:lang w:bidi="ar"/>
        </w:rPr>
        <w:t>34.</w:t>
      </w:r>
      <w:r>
        <w:rPr>
          <w:rFonts w:hint="eastAsia" w:cs="宋体"/>
          <w:sz w:val="24"/>
          <w:szCs w:val="24"/>
          <w:highlight w:val="none"/>
          <w:lang w:bidi="ar"/>
        </w:rPr>
        <w:t>7具体的异议事项、基本事实及必要的证明材料；</w:t>
      </w:r>
    </w:p>
    <w:p w14:paraId="25105D71">
      <w:pPr>
        <w:spacing w:line="360" w:lineRule="auto"/>
        <w:ind w:firstLine="480" w:firstLineChars="200"/>
        <w:rPr>
          <w:rFonts w:hint="eastAsia" w:cs="宋体"/>
          <w:sz w:val="24"/>
          <w:szCs w:val="24"/>
          <w:highlight w:val="none"/>
          <w:lang w:bidi="ar"/>
        </w:rPr>
      </w:pPr>
      <w:r>
        <w:rPr>
          <w:rFonts w:cs="宋体"/>
          <w:sz w:val="24"/>
          <w:szCs w:val="24"/>
          <w:highlight w:val="none"/>
          <w:lang w:bidi="ar"/>
        </w:rPr>
        <w:t>34.</w:t>
      </w:r>
      <w:r>
        <w:rPr>
          <w:rFonts w:hint="eastAsia" w:cs="宋体"/>
          <w:sz w:val="24"/>
          <w:szCs w:val="24"/>
          <w:highlight w:val="none"/>
          <w:lang w:bidi="ar"/>
        </w:rPr>
        <w:t>8明确的请求及主张；</w:t>
      </w:r>
    </w:p>
    <w:p w14:paraId="196152E4">
      <w:pPr>
        <w:spacing w:line="360" w:lineRule="auto"/>
        <w:ind w:firstLine="480" w:firstLineChars="200"/>
        <w:rPr>
          <w:rFonts w:hint="eastAsia"/>
          <w:highlight w:val="none"/>
        </w:rPr>
      </w:pPr>
      <w:r>
        <w:rPr>
          <w:rFonts w:cs="宋体"/>
          <w:sz w:val="24"/>
          <w:szCs w:val="24"/>
          <w:highlight w:val="none"/>
          <w:lang w:bidi="ar"/>
        </w:rPr>
        <w:t>34.</w:t>
      </w:r>
      <w:r>
        <w:rPr>
          <w:rFonts w:hint="eastAsia" w:cs="宋体"/>
          <w:sz w:val="24"/>
          <w:szCs w:val="24"/>
          <w:highlight w:val="none"/>
          <w:lang w:bidi="ar"/>
        </w:rPr>
        <w:t>9提起异议的日期。</w:t>
      </w:r>
    </w:p>
    <w:p w14:paraId="6AE0B3A4">
      <w:pPr>
        <w:spacing w:line="360" w:lineRule="auto"/>
        <w:ind w:firstLine="480" w:firstLineChars="200"/>
        <w:rPr>
          <w:rFonts w:hint="eastAsia"/>
          <w:highlight w:val="none"/>
        </w:rPr>
      </w:pPr>
      <w:r>
        <w:rPr>
          <w:rFonts w:hint="eastAsia" w:cs="宋体"/>
          <w:sz w:val="24"/>
          <w:szCs w:val="24"/>
          <w:highlight w:val="none"/>
          <w:lang w:bidi="ar"/>
        </w:rPr>
        <w:t>异议人为法人或者其他组织的，应当由法定代表人或其委托代理人（需有委托授权书）签字并加盖公章。异议人需要修改、补充异议材料的，应当在异议期内提交修改或补充材料。</w:t>
      </w:r>
    </w:p>
    <w:p w14:paraId="06B8F4BD">
      <w:pPr>
        <w:spacing w:line="360" w:lineRule="auto"/>
        <w:ind w:firstLine="435"/>
        <w:rPr>
          <w:rFonts w:hint="eastAsia"/>
          <w:sz w:val="24"/>
          <w:highlight w:val="none"/>
        </w:rPr>
      </w:pPr>
      <w:r>
        <w:rPr>
          <w:rFonts w:hint="eastAsia" w:cs="宋体"/>
          <w:sz w:val="24"/>
          <w:szCs w:val="24"/>
          <w:highlight w:val="none"/>
          <w:lang w:bidi="ar"/>
        </w:rPr>
        <w:t>34.10代理机构异议函接收部门、联系电话和通讯地址，见</w:t>
      </w:r>
      <w:r>
        <w:rPr>
          <w:rFonts w:hint="eastAsia"/>
          <w:sz w:val="24"/>
          <w:szCs w:val="18"/>
          <w:highlight w:val="none"/>
        </w:rPr>
        <w:t>参审单位</w:t>
      </w:r>
      <w:r>
        <w:rPr>
          <w:rFonts w:hint="eastAsia" w:cs="宋体"/>
          <w:sz w:val="24"/>
          <w:szCs w:val="24"/>
          <w:highlight w:val="none"/>
          <w:lang w:bidi="ar"/>
        </w:rPr>
        <w:t>须知前附表。</w:t>
      </w:r>
    </w:p>
    <w:p w14:paraId="778F01FD">
      <w:pPr>
        <w:spacing w:line="360" w:lineRule="auto"/>
        <w:ind w:firstLine="437"/>
        <w:outlineLvl w:val="2"/>
        <w:rPr>
          <w:rFonts w:hint="eastAsia"/>
          <w:b/>
          <w:sz w:val="24"/>
          <w:highlight w:val="none"/>
        </w:rPr>
      </w:pPr>
      <w:r>
        <w:rPr>
          <w:b/>
          <w:sz w:val="24"/>
          <w:highlight w:val="none"/>
        </w:rPr>
        <w:t>3</w:t>
      </w:r>
      <w:r>
        <w:rPr>
          <w:rFonts w:hint="eastAsia"/>
          <w:b/>
          <w:sz w:val="24"/>
          <w:highlight w:val="none"/>
        </w:rPr>
        <w:t>5</w:t>
      </w:r>
      <w:r>
        <w:rPr>
          <w:b/>
          <w:sz w:val="24"/>
          <w:highlight w:val="none"/>
        </w:rPr>
        <w:t>.需要补充的其他内容</w:t>
      </w:r>
    </w:p>
    <w:p w14:paraId="668FF45E">
      <w:pPr>
        <w:spacing w:line="360" w:lineRule="auto"/>
        <w:ind w:firstLine="435"/>
        <w:rPr>
          <w:rFonts w:hint="eastAsia"/>
          <w:sz w:val="24"/>
          <w:highlight w:val="none"/>
        </w:rPr>
      </w:pPr>
      <w:r>
        <w:rPr>
          <w:rFonts w:hint="eastAsia"/>
          <w:sz w:val="24"/>
          <w:highlight w:val="none"/>
        </w:rPr>
        <w:t>需要补充的其他内容，见</w:t>
      </w:r>
      <w:r>
        <w:rPr>
          <w:rFonts w:hint="eastAsia"/>
          <w:sz w:val="24"/>
          <w:szCs w:val="18"/>
          <w:highlight w:val="none"/>
          <w:u w:val="single"/>
        </w:rPr>
        <w:t>参审单位</w:t>
      </w:r>
      <w:r>
        <w:rPr>
          <w:rFonts w:hint="eastAsia"/>
          <w:sz w:val="24"/>
          <w:highlight w:val="none"/>
          <w:u w:val="single"/>
        </w:rPr>
        <w:t>须知前附表</w:t>
      </w:r>
      <w:r>
        <w:rPr>
          <w:rFonts w:hint="eastAsia"/>
          <w:sz w:val="24"/>
          <w:highlight w:val="none"/>
        </w:rPr>
        <w:t>。</w:t>
      </w:r>
    </w:p>
    <w:p w14:paraId="525F8399">
      <w:pPr>
        <w:spacing w:line="360" w:lineRule="auto"/>
        <w:jc w:val="center"/>
        <w:outlineLvl w:val="0"/>
        <w:rPr>
          <w:rFonts w:hint="eastAsia"/>
          <w:b/>
          <w:sz w:val="28"/>
          <w:highlight w:val="none"/>
        </w:rPr>
      </w:pPr>
      <w:r>
        <w:rPr>
          <w:sz w:val="24"/>
          <w:highlight w:val="none"/>
        </w:rPr>
        <w:br w:type="page"/>
      </w:r>
      <w:bookmarkStart w:id="30" w:name="_Toc21664"/>
      <w:r>
        <w:rPr>
          <w:rFonts w:hint="eastAsia"/>
          <w:b/>
          <w:sz w:val="28"/>
          <w:highlight w:val="none"/>
        </w:rPr>
        <w:t>第三章  项目需求</w:t>
      </w:r>
      <w:bookmarkEnd w:id="30"/>
    </w:p>
    <w:tbl>
      <w:tblPr>
        <w:tblStyle w:val="14"/>
        <w:tblpPr w:leftFromText="180" w:rightFromText="180" w:vertAnchor="text" w:horzAnchor="page" w:tblpXSpec="center" w:tblpY="609"/>
        <w:tblOverlap w:val="never"/>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897"/>
        <w:gridCol w:w="7796"/>
      </w:tblGrid>
      <w:tr w14:paraId="1A17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10E7AC0">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color w:val="000000" w:themeColor="text1"/>
                <w:sz w:val="24"/>
                <w:szCs w:val="24"/>
                <w:highlight w:val="none"/>
                <w14:textFill>
                  <w14:solidFill>
                    <w14:schemeClr w14:val="tx1"/>
                  </w14:solidFill>
                </w14:textFill>
              </w:rPr>
            </w:pPr>
            <w:r>
              <w:rPr>
                <w:rFonts w:hint="eastAsia" w:cs="@仿宋_GB2312"/>
                <w:b/>
                <w:color w:val="000000" w:themeColor="text1"/>
                <w:sz w:val="24"/>
                <w:szCs w:val="24"/>
                <w:highlight w:val="none"/>
                <w14:textFill>
                  <w14:solidFill>
                    <w14:schemeClr w14:val="tx1"/>
                  </w14:solidFill>
                </w14:textFill>
              </w:rPr>
              <w:t>序号</w:t>
            </w:r>
          </w:p>
        </w:tc>
        <w:tc>
          <w:tcPr>
            <w:tcW w:w="897" w:type="dxa"/>
            <w:vAlign w:val="center"/>
          </w:tcPr>
          <w:p w14:paraId="2D04D008">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color w:val="000000" w:themeColor="text1"/>
                <w:sz w:val="24"/>
                <w:szCs w:val="24"/>
                <w:highlight w:val="none"/>
                <w14:textFill>
                  <w14:solidFill>
                    <w14:schemeClr w14:val="tx1"/>
                  </w14:solidFill>
                </w14:textFill>
              </w:rPr>
            </w:pPr>
            <w:r>
              <w:rPr>
                <w:rFonts w:hint="eastAsia" w:cs="@仿宋_GB2312"/>
                <w:b/>
                <w:color w:val="000000" w:themeColor="text1"/>
                <w:sz w:val="24"/>
                <w:szCs w:val="24"/>
                <w:highlight w:val="none"/>
                <w14:textFill>
                  <w14:solidFill>
                    <w14:schemeClr w14:val="tx1"/>
                  </w14:solidFill>
                </w14:textFill>
              </w:rPr>
              <w:t>内容</w:t>
            </w:r>
          </w:p>
        </w:tc>
        <w:tc>
          <w:tcPr>
            <w:tcW w:w="7796" w:type="dxa"/>
            <w:vAlign w:val="center"/>
          </w:tcPr>
          <w:p w14:paraId="65CB199B">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color w:val="000000" w:themeColor="text1"/>
                <w:sz w:val="24"/>
                <w:szCs w:val="24"/>
                <w:highlight w:val="none"/>
                <w14:textFill>
                  <w14:solidFill>
                    <w14:schemeClr w14:val="tx1"/>
                  </w14:solidFill>
                </w14:textFill>
              </w:rPr>
            </w:pPr>
            <w:r>
              <w:rPr>
                <w:rFonts w:hint="eastAsia" w:cs="@仿宋_GB2312"/>
                <w:b/>
                <w:color w:val="000000" w:themeColor="text1"/>
                <w:sz w:val="24"/>
                <w:szCs w:val="24"/>
                <w:highlight w:val="none"/>
                <w14:textFill>
                  <w14:solidFill>
                    <w14:schemeClr w14:val="tx1"/>
                  </w14:solidFill>
                </w14:textFill>
              </w:rPr>
              <w:t>说明和要求</w:t>
            </w:r>
          </w:p>
        </w:tc>
      </w:tr>
      <w:tr w14:paraId="4447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A84E38F">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color w:val="000000" w:themeColor="text1"/>
                <w:sz w:val="24"/>
                <w:szCs w:val="24"/>
                <w:highlight w:val="none"/>
                <w14:textFill>
                  <w14:solidFill>
                    <w14:schemeClr w14:val="tx1"/>
                  </w14:solidFill>
                </w14:textFill>
              </w:rPr>
            </w:pPr>
            <w:r>
              <w:rPr>
                <w:rFonts w:hint="eastAsia" w:cs="@仿宋_GB2312"/>
                <w:color w:val="000000" w:themeColor="text1"/>
                <w:sz w:val="24"/>
                <w:szCs w:val="24"/>
                <w:highlight w:val="none"/>
                <w14:textFill>
                  <w14:solidFill>
                    <w14:schemeClr w14:val="tx1"/>
                  </w14:solidFill>
                </w14:textFill>
              </w:rPr>
              <w:t>1</w:t>
            </w:r>
          </w:p>
        </w:tc>
        <w:tc>
          <w:tcPr>
            <w:tcW w:w="897" w:type="dxa"/>
            <w:vAlign w:val="center"/>
          </w:tcPr>
          <w:p w14:paraId="2512A050">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color w:val="000000" w:themeColor="text1"/>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人员到岗及履约要求</w:t>
            </w:r>
          </w:p>
        </w:tc>
        <w:tc>
          <w:tcPr>
            <w:tcW w:w="7796" w:type="dxa"/>
            <w:vAlign w:val="center"/>
          </w:tcPr>
          <w:p w14:paraId="6F964ABD">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cs="@仿宋_GB2312"/>
                <w:color w:val="000000" w:themeColor="text1"/>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（1）</w:t>
            </w:r>
            <w:r>
              <w:rPr>
                <w:rFonts w:hint="eastAsia"/>
                <w:color w:val="000000" w:themeColor="text1"/>
                <w:kern w:val="2"/>
                <w:sz w:val="24"/>
                <w:szCs w:val="24"/>
                <w:highlight w:val="none"/>
                <w14:textFill>
                  <w14:solidFill>
                    <w14:schemeClr w14:val="tx1"/>
                  </w14:solidFill>
                </w14:textFill>
              </w:rPr>
              <w:t>参审单位</w:t>
            </w:r>
            <w:r>
              <w:rPr>
                <w:rFonts w:hint="eastAsia" w:cs="@仿宋_GB2312"/>
                <w:color w:val="000000" w:themeColor="text1"/>
                <w:kern w:val="2"/>
                <w:sz w:val="24"/>
                <w:szCs w:val="24"/>
                <w:highlight w:val="none"/>
                <w14:textFill>
                  <w14:solidFill>
                    <w14:schemeClr w14:val="tx1"/>
                  </w14:solidFill>
                </w14:textFill>
              </w:rPr>
              <w:t>一旦成交，磋商时所报的本项目的项目经理、施工现场技术负责人、各专业负责工程师及施工机械等在整个项目施工期内必须在位，否则</w:t>
            </w:r>
            <w:r>
              <w:rPr>
                <w:rFonts w:hint="eastAsia"/>
                <w:color w:val="000000" w:themeColor="text1"/>
                <w:kern w:val="2"/>
                <w:sz w:val="24"/>
                <w:szCs w:val="24"/>
                <w:highlight w:val="none"/>
                <w14:textFill>
                  <w14:solidFill>
                    <w14:schemeClr w14:val="tx1"/>
                  </w14:solidFill>
                </w14:textFill>
              </w:rPr>
              <w:t>业主单位</w:t>
            </w:r>
            <w:r>
              <w:rPr>
                <w:rFonts w:hint="eastAsia" w:cs="@仿宋_GB2312"/>
                <w:color w:val="000000" w:themeColor="text1"/>
                <w:kern w:val="2"/>
                <w:sz w:val="24"/>
                <w:szCs w:val="24"/>
                <w:highlight w:val="none"/>
                <w14:textFill>
                  <w14:solidFill>
                    <w14:schemeClr w14:val="tx1"/>
                  </w14:solidFill>
                </w14:textFill>
              </w:rPr>
              <w:t>有权终止合同。由此造成的损失，成交人自行承担并赔偿可能给</w:t>
            </w:r>
            <w:r>
              <w:rPr>
                <w:rFonts w:hint="eastAsia"/>
                <w:color w:val="000000" w:themeColor="text1"/>
                <w:kern w:val="2"/>
                <w:sz w:val="24"/>
                <w:szCs w:val="24"/>
                <w:highlight w:val="none"/>
                <w14:textFill>
                  <w14:solidFill>
                    <w14:schemeClr w14:val="tx1"/>
                  </w14:solidFill>
                </w14:textFill>
              </w:rPr>
              <w:t>业主单位</w:t>
            </w:r>
            <w:r>
              <w:rPr>
                <w:rFonts w:hint="eastAsia" w:cs="@仿宋_GB2312"/>
                <w:color w:val="000000" w:themeColor="text1"/>
                <w:kern w:val="2"/>
                <w:sz w:val="24"/>
                <w:szCs w:val="24"/>
                <w:highlight w:val="none"/>
                <w14:textFill>
                  <w14:solidFill>
                    <w14:schemeClr w14:val="tx1"/>
                  </w14:solidFill>
                </w14:textFill>
              </w:rPr>
              <w:t>造成的损失。</w:t>
            </w:r>
          </w:p>
          <w:p w14:paraId="31A019EA">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cs="@仿宋_GB2312"/>
                <w:color w:val="000000" w:themeColor="text1"/>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（2）成交人不得擅自更换磋商时所报项目经理及项目部主要管理人员。确需更换时，须报</w:t>
            </w:r>
            <w:r>
              <w:rPr>
                <w:rFonts w:hint="eastAsia"/>
                <w:color w:val="000000" w:themeColor="text1"/>
                <w:kern w:val="2"/>
                <w:sz w:val="24"/>
                <w:szCs w:val="24"/>
                <w:highlight w:val="none"/>
                <w14:textFill>
                  <w14:solidFill>
                    <w14:schemeClr w14:val="tx1"/>
                  </w14:solidFill>
                </w14:textFill>
              </w:rPr>
              <w:t>业主单位</w:t>
            </w:r>
            <w:r>
              <w:rPr>
                <w:rFonts w:hint="eastAsia" w:cs="@仿宋_GB2312"/>
                <w:color w:val="000000" w:themeColor="text1"/>
                <w:kern w:val="2"/>
                <w:sz w:val="24"/>
                <w:szCs w:val="24"/>
                <w:highlight w:val="none"/>
                <w14:textFill>
                  <w14:solidFill>
                    <w14:schemeClr w14:val="tx1"/>
                  </w14:solidFill>
                </w14:textFill>
              </w:rPr>
              <w:t>同意，更换后人员不得低于成交人磋商时所报人员资质和技术水平。</w:t>
            </w:r>
            <w:r>
              <w:rPr>
                <w:rFonts w:hint="eastAsia"/>
                <w:color w:val="000000" w:themeColor="text1"/>
                <w:kern w:val="2"/>
                <w:sz w:val="24"/>
                <w:szCs w:val="24"/>
                <w:highlight w:val="none"/>
                <w14:textFill>
                  <w14:solidFill>
                    <w14:schemeClr w14:val="tx1"/>
                  </w14:solidFill>
                </w14:textFill>
              </w:rPr>
              <w:t>业主单位</w:t>
            </w:r>
            <w:r>
              <w:rPr>
                <w:rFonts w:hint="eastAsia" w:cs="@仿宋_GB2312"/>
                <w:color w:val="000000" w:themeColor="text1"/>
                <w:kern w:val="2"/>
                <w:sz w:val="24"/>
                <w:szCs w:val="24"/>
                <w:highlight w:val="none"/>
                <w14:textFill>
                  <w14:solidFill>
                    <w14:schemeClr w14:val="tx1"/>
                  </w14:solidFill>
                </w14:textFill>
              </w:rPr>
              <w:t>如认为有必要，可要求对上述人员中的部分人员作出更好地调整。</w:t>
            </w:r>
          </w:p>
          <w:p w14:paraId="25BCCB8A">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color w:val="000000" w:themeColor="text1"/>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（3）成交人未能按照承诺到岗尽职的，</w:t>
            </w:r>
            <w:r>
              <w:rPr>
                <w:rFonts w:hint="eastAsia"/>
                <w:color w:val="000000" w:themeColor="text1"/>
                <w:kern w:val="2"/>
                <w:sz w:val="24"/>
                <w:szCs w:val="24"/>
                <w:highlight w:val="none"/>
                <w14:textFill>
                  <w14:solidFill>
                    <w14:schemeClr w14:val="tx1"/>
                  </w14:solidFill>
                </w14:textFill>
              </w:rPr>
              <w:t>业主单位</w:t>
            </w:r>
            <w:r>
              <w:rPr>
                <w:rFonts w:hint="eastAsia" w:cs="@仿宋_GB2312"/>
                <w:color w:val="000000" w:themeColor="text1"/>
                <w:kern w:val="2"/>
                <w:sz w:val="24"/>
                <w:szCs w:val="24"/>
                <w:highlight w:val="none"/>
                <w14:textFill>
                  <w14:solidFill>
                    <w14:schemeClr w14:val="tx1"/>
                  </w14:solidFill>
                </w14:textFill>
              </w:rPr>
              <w:t>将视情况严重程度对其作出相应处理，给予警告并发出整改通知。如仍未及时整改，</w:t>
            </w:r>
            <w:r>
              <w:rPr>
                <w:rFonts w:hint="eastAsia"/>
                <w:color w:val="000000" w:themeColor="text1"/>
                <w:kern w:val="2"/>
                <w:sz w:val="24"/>
                <w:szCs w:val="24"/>
                <w:highlight w:val="none"/>
                <w14:textFill>
                  <w14:solidFill>
                    <w14:schemeClr w14:val="tx1"/>
                  </w14:solidFill>
                </w14:textFill>
              </w:rPr>
              <w:t>业主单位</w:t>
            </w:r>
            <w:r>
              <w:rPr>
                <w:rFonts w:hint="eastAsia" w:cs="@仿宋_GB2312"/>
                <w:color w:val="000000" w:themeColor="text1"/>
                <w:kern w:val="2"/>
                <w:sz w:val="24"/>
                <w:szCs w:val="24"/>
                <w:highlight w:val="none"/>
                <w14:textFill>
                  <w14:solidFill>
                    <w14:schemeClr w14:val="tx1"/>
                  </w14:solidFill>
                </w14:textFill>
              </w:rPr>
              <w:t>有权责令其停工整改、直至终止合同，引进新的承包人。</w:t>
            </w:r>
            <w:r>
              <w:rPr>
                <w:rFonts w:hint="eastAsia"/>
                <w:color w:val="000000" w:themeColor="text1"/>
                <w:kern w:val="2"/>
                <w:sz w:val="24"/>
                <w:szCs w:val="24"/>
                <w:highlight w:val="none"/>
                <w14:textFill>
                  <w14:solidFill>
                    <w14:schemeClr w14:val="tx1"/>
                  </w14:solidFill>
                </w14:textFill>
              </w:rPr>
              <w:t>业主单位</w:t>
            </w:r>
            <w:r>
              <w:rPr>
                <w:rFonts w:hint="eastAsia" w:cs="@仿宋_GB2312"/>
                <w:color w:val="000000" w:themeColor="text1"/>
                <w:kern w:val="2"/>
                <w:sz w:val="24"/>
                <w:szCs w:val="24"/>
                <w:highlight w:val="none"/>
                <w14:textFill>
                  <w14:solidFill>
                    <w14:schemeClr w14:val="tx1"/>
                  </w14:solidFill>
                </w14:textFill>
              </w:rPr>
              <w:t>还将停止支付工程款项，扣留任何未付的工程进度款项补偿</w:t>
            </w:r>
            <w:r>
              <w:rPr>
                <w:rFonts w:hint="eastAsia"/>
                <w:color w:val="000000" w:themeColor="text1"/>
                <w:kern w:val="2"/>
                <w:sz w:val="24"/>
                <w:szCs w:val="24"/>
                <w:highlight w:val="none"/>
                <w14:textFill>
                  <w14:solidFill>
                    <w14:schemeClr w14:val="tx1"/>
                  </w14:solidFill>
                </w14:textFill>
              </w:rPr>
              <w:t>业主单位</w:t>
            </w:r>
            <w:r>
              <w:rPr>
                <w:rFonts w:hint="eastAsia" w:cs="@仿宋_GB2312"/>
                <w:color w:val="000000" w:themeColor="text1"/>
                <w:kern w:val="2"/>
                <w:sz w:val="24"/>
                <w:szCs w:val="24"/>
                <w:highlight w:val="none"/>
                <w14:textFill>
                  <w14:solidFill>
                    <w14:schemeClr w14:val="tx1"/>
                  </w14:solidFill>
                </w14:textFill>
              </w:rPr>
              <w:t>的有关损失或工期延误的损失，并就此向承包人索赔。</w:t>
            </w:r>
          </w:p>
        </w:tc>
      </w:tr>
      <w:tr w14:paraId="726C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98F2302">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color w:val="000000" w:themeColor="text1"/>
                <w:sz w:val="24"/>
                <w:szCs w:val="24"/>
                <w:highlight w:val="none"/>
                <w14:textFill>
                  <w14:solidFill>
                    <w14:schemeClr w14:val="tx1"/>
                  </w14:solidFill>
                </w14:textFill>
              </w:rPr>
            </w:pPr>
            <w:r>
              <w:rPr>
                <w:rFonts w:hint="eastAsia" w:cs="@仿宋_GB2312"/>
                <w:color w:val="000000" w:themeColor="text1"/>
                <w:sz w:val="24"/>
                <w:szCs w:val="24"/>
                <w:highlight w:val="none"/>
                <w14:textFill>
                  <w14:solidFill>
                    <w14:schemeClr w14:val="tx1"/>
                  </w14:solidFill>
                </w14:textFill>
              </w:rPr>
              <w:t>2</w:t>
            </w:r>
          </w:p>
        </w:tc>
        <w:tc>
          <w:tcPr>
            <w:tcW w:w="897" w:type="dxa"/>
            <w:vAlign w:val="center"/>
          </w:tcPr>
          <w:p w14:paraId="0D0182E9">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color w:val="000000" w:themeColor="text1"/>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材料要求</w:t>
            </w:r>
          </w:p>
        </w:tc>
        <w:tc>
          <w:tcPr>
            <w:tcW w:w="7796" w:type="dxa"/>
            <w:vAlign w:val="center"/>
          </w:tcPr>
          <w:p w14:paraId="14A45015">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cs="@仿宋_GB2312"/>
                <w:color w:val="000000" w:themeColor="text1"/>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（1）成交人自行采购的材料应满足设计和规范要求的质量等级，并须按有关技术规范要求对材料质量进行检验。成交人选定的材料供应厂家和价格需经</w:t>
            </w:r>
            <w:r>
              <w:rPr>
                <w:rFonts w:hint="eastAsia"/>
                <w:color w:val="000000" w:themeColor="text1"/>
                <w:kern w:val="2"/>
                <w:sz w:val="24"/>
                <w:szCs w:val="24"/>
                <w:highlight w:val="none"/>
                <w14:textFill>
                  <w14:solidFill>
                    <w14:schemeClr w14:val="tx1"/>
                  </w14:solidFill>
                </w14:textFill>
              </w:rPr>
              <w:t>业主单位</w:t>
            </w:r>
            <w:r>
              <w:rPr>
                <w:rFonts w:hint="eastAsia" w:cs="@仿宋_GB2312"/>
                <w:color w:val="000000" w:themeColor="text1"/>
                <w:kern w:val="2"/>
                <w:sz w:val="24"/>
                <w:szCs w:val="24"/>
                <w:highlight w:val="none"/>
                <w14:textFill>
                  <w14:solidFill>
                    <w14:schemeClr w14:val="tx1"/>
                  </w14:solidFill>
                </w14:textFill>
              </w:rPr>
              <w:t>和监理单位认可。如</w:t>
            </w:r>
            <w:r>
              <w:rPr>
                <w:rFonts w:hint="eastAsia"/>
                <w:color w:val="000000" w:themeColor="text1"/>
                <w:kern w:val="2"/>
                <w:sz w:val="24"/>
                <w:szCs w:val="24"/>
                <w:highlight w:val="none"/>
                <w14:textFill>
                  <w14:solidFill>
                    <w14:schemeClr w14:val="tx1"/>
                  </w14:solidFill>
                </w14:textFill>
              </w:rPr>
              <w:t>业主单位</w:t>
            </w:r>
            <w:r>
              <w:rPr>
                <w:rFonts w:hint="eastAsia" w:cs="@仿宋_GB2312"/>
                <w:color w:val="000000" w:themeColor="text1"/>
                <w:kern w:val="2"/>
                <w:sz w:val="24"/>
                <w:szCs w:val="24"/>
                <w:highlight w:val="none"/>
                <w14:textFill>
                  <w14:solidFill>
                    <w14:schemeClr w14:val="tx1"/>
                  </w14:solidFill>
                </w14:textFill>
              </w:rPr>
              <w:t>和监理单位对某种或某些材料的质量有异议，有权提出停止使用的要求，成交人必须服从该要求。若该材料经权威检验部门鉴定确有质量问题，由此而发生的一切费用由成交人自负。因成交人自行采购的材料质量引起的工程质量问题由成交人承担所造成的一切损失。</w:t>
            </w:r>
          </w:p>
          <w:p w14:paraId="7B15296C">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cs="@仿宋_GB2312"/>
                <w:color w:val="000000" w:themeColor="text1"/>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（2）如本项目</w:t>
            </w:r>
            <w:r>
              <w:rPr>
                <w:rFonts w:hint="eastAsia"/>
                <w:color w:val="000000" w:themeColor="text1"/>
                <w:kern w:val="2"/>
                <w:sz w:val="24"/>
                <w:szCs w:val="24"/>
                <w:highlight w:val="none"/>
                <w14:textFill>
                  <w14:solidFill>
                    <w14:schemeClr w14:val="tx1"/>
                  </w14:solidFill>
                </w14:textFill>
              </w:rPr>
              <w:t>业主单位</w:t>
            </w:r>
            <w:r>
              <w:rPr>
                <w:rFonts w:hint="eastAsia" w:cs="@仿宋_GB2312"/>
                <w:color w:val="000000" w:themeColor="text1"/>
                <w:kern w:val="2"/>
                <w:sz w:val="24"/>
                <w:szCs w:val="24"/>
                <w:highlight w:val="none"/>
                <w14:textFill>
                  <w14:solidFill>
                    <w14:schemeClr w14:val="tx1"/>
                  </w14:solidFill>
                </w14:textFill>
              </w:rPr>
              <w:t>对工程质量有特殊需求的，对主要设备及材料提供不少于三个的参考品牌，对于</w:t>
            </w:r>
            <w:r>
              <w:rPr>
                <w:rFonts w:hint="eastAsia"/>
                <w:color w:val="000000" w:themeColor="text1"/>
                <w:kern w:val="2"/>
                <w:sz w:val="24"/>
                <w:szCs w:val="24"/>
                <w:highlight w:val="none"/>
                <w14:textFill>
                  <w14:solidFill>
                    <w14:schemeClr w14:val="tx1"/>
                  </w14:solidFill>
                </w14:textFill>
              </w:rPr>
              <w:t>业主单位</w:t>
            </w:r>
            <w:r>
              <w:rPr>
                <w:rFonts w:hint="eastAsia" w:cs="@仿宋_GB2312"/>
                <w:color w:val="000000" w:themeColor="text1"/>
                <w:kern w:val="2"/>
                <w:sz w:val="24"/>
                <w:szCs w:val="24"/>
                <w:highlight w:val="none"/>
                <w14:textFill>
                  <w14:solidFill>
                    <w14:schemeClr w14:val="tx1"/>
                  </w14:solidFill>
                </w14:textFill>
              </w:rPr>
              <w:t>参考品牌的材料，</w:t>
            </w:r>
            <w:r>
              <w:rPr>
                <w:rFonts w:hint="eastAsia"/>
                <w:color w:val="000000" w:themeColor="text1"/>
                <w:kern w:val="2"/>
                <w:sz w:val="24"/>
                <w:szCs w:val="24"/>
                <w:highlight w:val="none"/>
                <w14:textFill>
                  <w14:solidFill>
                    <w14:schemeClr w14:val="tx1"/>
                  </w14:solidFill>
                </w14:textFill>
              </w:rPr>
              <w:t>参审单位</w:t>
            </w:r>
            <w:r>
              <w:rPr>
                <w:rFonts w:hint="eastAsia" w:cs="@仿宋_GB2312"/>
                <w:color w:val="000000" w:themeColor="text1"/>
                <w:kern w:val="2"/>
                <w:sz w:val="24"/>
                <w:szCs w:val="24"/>
                <w:highlight w:val="none"/>
                <w14:textFill>
                  <w14:solidFill>
                    <w14:schemeClr w14:val="tx1"/>
                  </w14:solidFill>
                </w14:textFill>
              </w:rPr>
              <w:t>可选用参考品牌或不低于参考品牌质量标准的其它品牌；采用其它品牌的应在响应文件中提供相关技术参数证明材料供磋商小组评审，未提供相关技术参数证明材料或经磋商小组评审未通过的，成交后只能从</w:t>
            </w:r>
            <w:r>
              <w:rPr>
                <w:rFonts w:hint="eastAsia"/>
                <w:color w:val="000000" w:themeColor="text1"/>
                <w:kern w:val="2"/>
                <w:sz w:val="24"/>
                <w:szCs w:val="24"/>
                <w:highlight w:val="none"/>
                <w14:textFill>
                  <w14:solidFill>
                    <w14:schemeClr w14:val="tx1"/>
                  </w14:solidFill>
                </w14:textFill>
              </w:rPr>
              <w:t>业主单位</w:t>
            </w:r>
            <w:r>
              <w:rPr>
                <w:rFonts w:hint="eastAsia" w:cs="@仿宋_GB2312"/>
                <w:color w:val="000000" w:themeColor="text1"/>
                <w:kern w:val="2"/>
                <w:sz w:val="24"/>
                <w:szCs w:val="24"/>
                <w:highlight w:val="none"/>
                <w14:textFill>
                  <w14:solidFill>
                    <w14:schemeClr w14:val="tx1"/>
                  </w14:solidFill>
                </w14:textFill>
              </w:rPr>
              <w:t>参考品牌中进行选择，价格不予调整。</w:t>
            </w:r>
          </w:p>
          <w:p w14:paraId="459E2988">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（3）对于</w:t>
            </w:r>
            <w:r>
              <w:rPr>
                <w:rFonts w:hint="eastAsia"/>
                <w:color w:val="000000" w:themeColor="text1"/>
                <w:kern w:val="2"/>
                <w:sz w:val="24"/>
                <w:szCs w:val="24"/>
                <w:highlight w:val="none"/>
                <w14:textFill>
                  <w14:solidFill>
                    <w14:schemeClr w14:val="tx1"/>
                  </w14:solidFill>
                </w14:textFill>
              </w:rPr>
              <w:t>业主单位</w:t>
            </w:r>
            <w:r>
              <w:rPr>
                <w:rFonts w:hint="eastAsia" w:cs="@仿宋_GB2312"/>
                <w:color w:val="000000" w:themeColor="text1"/>
                <w:kern w:val="2"/>
                <w:sz w:val="24"/>
                <w:szCs w:val="24"/>
                <w:highlight w:val="none"/>
                <w14:textFill>
                  <w14:solidFill>
                    <w14:schemeClr w14:val="tx1"/>
                  </w14:solidFill>
                </w14:textFill>
              </w:rPr>
              <w:t>参考品牌的材料，</w:t>
            </w:r>
            <w:r>
              <w:rPr>
                <w:rFonts w:hint="eastAsia"/>
                <w:color w:val="000000" w:themeColor="text1"/>
                <w:kern w:val="2"/>
                <w:sz w:val="24"/>
                <w:szCs w:val="24"/>
                <w:highlight w:val="none"/>
                <w14:textFill>
                  <w14:solidFill>
                    <w14:schemeClr w14:val="tx1"/>
                  </w14:solidFill>
                </w14:textFill>
              </w:rPr>
              <w:t>参审单位</w:t>
            </w:r>
            <w:r>
              <w:rPr>
                <w:rFonts w:hint="eastAsia" w:cs="@仿宋_GB2312"/>
                <w:color w:val="000000" w:themeColor="text1"/>
                <w:kern w:val="2"/>
                <w:sz w:val="24"/>
                <w:szCs w:val="24"/>
                <w:highlight w:val="none"/>
                <w14:textFill>
                  <w14:solidFill>
                    <w14:schemeClr w14:val="tx1"/>
                  </w14:solidFill>
                </w14:textFill>
              </w:rPr>
              <w:t>如认为参考品牌有限定性、唯一性、明显不在同一档次等级的或者其他异议的，应在本项目网上询问截止时间前通过电子交易系统提交。</w:t>
            </w:r>
          </w:p>
        </w:tc>
      </w:tr>
      <w:tr w14:paraId="1C22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B174FAF">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p>
        </w:tc>
        <w:tc>
          <w:tcPr>
            <w:tcW w:w="897" w:type="dxa"/>
            <w:vAlign w:val="center"/>
          </w:tcPr>
          <w:p w14:paraId="57B7EB74">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cs="@仿宋_GB2312"/>
                <w:color w:val="000000" w:themeColor="text1"/>
                <w:kern w:val="2"/>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重要说明</w:t>
            </w:r>
          </w:p>
        </w:tc>
        <w:tc>
          <w:tcPr>
            <w:tcW w:w="7796" w:type="dxa"/>
            <w:vAlign w:val="center"/>
          </w:tcPr>
          <w:p w14:paraId="158ECEF0">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cs="@仿宋_GB2312"/>
                <w:color w:val="000000" w:themeColor="text1"/>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（1）本项目的磋商文件、工程量清单、最高限价（控制价）、澄清、修改、补充等相关资料均通过优质采发布，请</w:t>
            </w:r>
            <w:r>
              <w:rPr>
                <w:rFonts w:hint="eastAsia"/>
                <w:color w:val="000000" w:themeColor="text1"/>
                <w:kern w:val="2"/>
                <w:sz w:val="24"/>
                <w:szCs w:val="24"/>
                <w:highlight w:val="none"/>
                <w14:textFill>
                  <w14:solidFill>
                    <w14:schemeClr w14:val="tx1"/>
                  </w14:solidFill>
                </w14:textFill>
              </w:rPr>
              <w:t>参审单位</w:t>
            </w:r>
            <w:r>
              <w:rPr>
                <w:rFonts w:hint="eastAsia" w:cs="@仿宋_GB2312"/>
                <w:color w:val="000000" w:themeColor="text1"/>
                <w:kern w:val="2"/>
                <w:sz w:val="24"/>
                <w:szCs w:val="24"/>
                <w:highlight w:val="none"/>
                <w14:textFill>
                  <w14:solidFill>
                    <w14:schemeClr w14:val="tx1"/>
                  </w14:solidFill>
                </w14:textFill>
              </w:rPr>
              <w:t>自行从网上下载，</w:t>
            </w:r>
            <w:r>
              <w:rPr>
                <w:rFonts w:hint="eastAsia"/>
                <w:color w:val="000000" w:themeColor="text1"/>
                <w:kern w:val="2"/>
                <w:sz w:val="24"/>
                <w:szCs w:val="24"/>
                <w:highlight w:val="none"/>
                <w14:textFill>
                  <w14:solidFill>
                    <w14:schemeClr w14:val="tx1"/>
                  </w14:solidFill>
                </w14:textFill>
              </w:rPr>
              <w:t>参审单位</w:t>
            </w:r>
            <w:r>
              <w:rPr>
                <w:rFonts w:hint="eastAsia" w:cs="@仿宋_GB2312"/>
                <w:color w:val="000000" w:themeColor="text1"/>
                <w:kern w:val="2"/>
                <w:sz w:val="24"/>
                <w:szCs w:val="24"/>
                <w:highlight w:val="none"/>
                <w14:textFill>
                  <w14:solidFill>
                    <w14:schemeClr w14:val="tx1"/>
                  </w14:solidFill>
                </w14:textFill>
              </w:rPr>
              <w:t>应当及时查看有无相关澄清、修改、补充等内容。</w:t>
            </w:r>
          </w:p>
          <w:p w14:paraId="4530175B">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cs="@仿宋_GB2312"/>
                <w:color w:val="000000" w:themeColor="text1"/>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（2）在工程项目磋商过程中，</w:t>
            </w:r>
            <w:r>
              <w:rPr>
                <w:rFonts w:hint="eastAsia"/>
                <w:color w:val="000000" w:themeColor="text1"/>
                <w:kern w:val="2"/>
                <w:sz w:val="24"/>
                <w:szCs w:val="24"/>
                <w:highlight w:val="none"/>
                <w14:textFill>
                  <w14:solidFill>
                    <w14:schemeClr w14:val="tx1"/>
                  </w14:solidFill>
                </w14:textFill>
              </w:rPr>
              <w:t>参审单位</w:t>
            </w:r>
            <w:r>
              <w:rPr>
                <w:rFonts w:hint="eastAsia" w:cs="@仿宋_GB2312"/>
                <w:color w:val="000000" w:themeColor="text1"/>
                <w:kern w:val="2"/>
                <w:sz w:val="24"/>
                <w:szCs w:val="24"/>
                <w:highlight w:val="none"/>
                <w14:textFill>
                  <w14:solidFill>
                    <w14:schemeClr w14:val="tx1"/>
                  </w14:solidFill>
                </w14:textFill>
              </w:rPr>
              <w:t>最后报价与公布的最高限价（控制价）或项目概算相比降幅过小，或</w:t>
            </w:r>
            <w:r>
              <w:rPr>
                <w:rFonts w:hint="eastAsia"/>
                <w:color w:val="000000" w:themeColor="text1"/>
                <w:kern w:val="2"/>
                <w:sz w:val="24"/>
                <w:szCs w:val="24"/>
                <w:highlight w:val="none"/>
                <w14:textFill>
                  <w14:solidFill>
                    <w14:schemeClr w14:val="tx1"/>
                  </w14:solidFill>
                </w14:textFill>
              </w:rPr>
              <w:t>参审单位</w:t>
            </w:r>
            <w:r>
              <w:rPr>
                <w:rFonts w:hint="eastAsia" w:cs="@仿宋_GB2312"/>
                <w:color w:val="000000" w:themeColor="text1"/>
                <w:kern w:val="2"/>
                <w:sz w:val="24"/>
                <w:szCs w:val="24"/>
                <w:highlight w:val="none"/>
                <w14:textFill>
                  <w14:solidFill>
                    <w14:schemeClr w14:val="tx1"/>
                  </w14:solidFill>
                </w14:textFill>
              </w:rPr>
              <w:t>最后报价明显缺乏竞争性的，磋商小组可以否决其报价。</w:t>
            </w:r>
          </w:p>
          <w:p w14:paraId="1B52AD3E">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cs="@仿宋_GB2312"/>
                <w:color w:val="000000" w:themeColor="text1"/>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（3）承包人在工程实施过程中用工行为，必须严格执行国家及地方政府的有关规定，依法签订劳动合同，并按规定及时足额支付工资。</w:t>
            </w:r>
          </w:p>
          <w:p w14:paraId="1BDB3931">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color w:val="000000" w:themeColor="text1"/>
                <w:kern w:val="2"/>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4）建设工程不可竞争费构成及计费标准按《关于调整合肥市建设工程不可竞争费构成及计费标准的通知》（合造价〔2021〕5号）执行，本工程最高限价（控制价）已按规定的措施项目、费率和单价列出本工程施工扬尘污染防治费用和建筑工人实名制管理费用清单，</w:t>
            </w:r>
            <w:r>
              <w:rPr>
                <w:rFonts w:hint="eastAsia"/>
                <w:color w:val="000000" w:themeColor="text1"/>
                <w:kern w:val="2"/>
                <w:sz w:val="24"/>
                <w:szCs w:val="24"/>
                <w:highlight w:val="none"/>
                <w14:textFill>
                  <w14:solidFill>
                    <w14:schemeClr w14:val="tx1"/>
                  </w14:solidFill>
                </w14:textFill>
              </w:rPr>
              <w:t>参审单位</w:t>
            </w:r>
            <w:r>
              <w:rPr>
                <w:rFonts w:hint="eastAsia" w:cs="@仿宋_GB2312"/>
                <w:color w:val="000000" w:themeColor="text1"/>
                <w:kern w:val="2"/>
                <w:sz w:val="24"/>
                <w:szCs w:val="24"/>
                <w:highlight w:val="none"/>
                <w14:textFill>
                  <w14:solidFill>
                    <w14:schemeClr w14:val="tx1"/>
                  </w14:solidFill>
                </w14:textFill>
              </w:rPr>
              <w:t>应承诺报价中已包含磋商文件公布的施工扬尘污染防治费用和建筑工人实名制管理费用。</w:t>
            </w:r>
          </w:p>
        </w:tc>
      </w:tr>
      <w:tr w14:paraId="164D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4A761FDA">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w:t>
            </w:r>
          </w:p>
        </w:tc>
        <w:tc>
          <w:tcPr>
            <w:tcW w:w="897" w:type="dxa"/>
            <w:vAlign w:val="center"/>
          </w:tcPr>
          <w:p w14:paraId="124B8192">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cs="@仿宋_GB2312"/>
                <w:b/>
                <w:bCs/>
                <w:color w:val="000000" w:themeColor="text1"/>
                <w:kern w:val="2"/>
                <w:sz w:val="24"/>
                <w:szCs w:val="24"/>
                <w:highlight w:val="none"/>
                <w14:textFill>
                  <w14:solidFill>
                    <w14:schemeClr w14:val="tx1"/>
                  </w14:solidFill>
                </w14:textFill>
              </w:rPr>
            </w:pPr>
            <w:r>
              <w:rPr>
                <w:rFonts w:hint="eastAsia" w:cs="@仿宋_GB2312"/>
                <w:b/>
                <w:bCs/>
                <w:color w:val="000000" w:themeColor="text1"/>
                <w:kern w:val="2"/>
                <w:sz w:val="24"/>
                <w:szCs w:val="24"/>
                <w:highlight w:val="none"/>
                <w14:textFill>
                  <w14:solidFill>
                    <w14:schemeClr w14:val="tx1"/>
                  </w14:solidFill>
                </w14:textFill>
              </w:rPr>
              <w:t>报价须知</w:t>
            </w:r>
          </w:p>
        </w:tc>
        <w:tc>
          <w:tcPr>
            <w:tcW w:w="7796" w:type="dxa"/>
            <w:vAlign w:val="center"/>
          </w:tcPr>
          <w:p w14:paraId="16C46C0B">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color w:val="000000" w:themeColor="text1"/>
                <w:kern w:val="2"/>
                <w:sz w:val="24"/>
                <w:szCs w:val="24"/>
                <w:highlight w:val="none"/>
                <w14:textFill>
                  <w14:solidFill>
                    <w14:schemeClr w14:val="tx1"/>
                  </w14:solidFill>
                </w14:textFill>
              </w:rPr>
            </w:pPr>
            <w:r>
              <w:rPr>
                <w:rFonts w:hint="eastAsia"/>
                <w:b/>
                <w:bCs/>
                <w:color w:val="000000" w:themeColor="text1"/>
                <w:kern w:val="2"/>
                <w:sz w:val="24"/>
                <w:szCs w:val="24"/>
                <w:highlight w:val="none"/>
                <w14:textFill>
                  <w14:solidFill>
                    <w14:schemeClr w14:val="tx1"/>
                  </w14:solidFill>
                </w14:textFill>
              </w:rPr>
              <w:t>本项目采用总价报</w:t>
            </w:r>
            <w:r>
              <w:rPr>
                <w:rFonts w:hint="eastAsia" w:ascii="宋体" w:hAnsi="宋体" w:eastAsia="宋体" w:cs="Times New Roman"/>
                <w:b/>
                <w:bCs/>
                <w:color w:val="000000" w:themeColor="text1"/>
                <w:kern w:val="2"/>
                <w:sz w:val="24"/>
                <w:szCs w:val="24"/>
                <w:highlight w:val="none"/>
                <w14:textFill>
                  <w14:solidFill>
                    <w14:schemeClr w14:val="tx1"/>
                  </w14:solidFill>
                </w14:textFill>
              </w:rPr>
              <w:t>价</w:t>
            </w:r>
            <w:r>
              <w:rPr>
                <w:rFonts w:hint="eastAsia" w:ascii="宋体" w:hAnsi="宋体" w:eastAsia="宋体" w:cs="Times New Roman"/>
                <w:color w:val="000000" w:themeColor="text1"/>
                <w:kern w:val="2"/>
                <w:sz w:val="24"/>
                <w:szCs w:val="24"/>
                <w:highlight w:val="none"/>
                <w14:textFill>
                  <w14:solidFill>
                    <w14:schemeClr w14:val="tx1"/>
                  </w14:solidFill>
                </w14:textFill>
              </w:rPr>
              <w:t>，所报价格应包含但不限于</w:t>
            </w:r>
            <w:r>
              <w:rPr>
                <w:rFonts w:hint="eastAsia" w:ascii="宋体" w:hAnsi="宋体" w:eastAsia="宋体" w:cs="Times New Roman"/>
                <w:color w:val="000000" w:themeColor="text1"/>
                <w:kern w:val="2"/>
                <w:sz w:val="24"/>
                <w:szCs w:val="24"/>
                <w:highlight w:val="none"/>
                <w:lang w:val="en-US" w:eastAsia="zh-CN"/>
                <w14:textFill>
                  <w14:solidFill>
                    <w14:schemeClr w14:val="tx1"/>
                  </w14:solidFill>
                </w14:textFill>
              </w:rPr>
              <w:t>人工费、材料费、机械费、管理费、利润、税金</w:t>
            </w:r>
            <w:r>
              <w:rPr>
                <w:rFonts w:hint="eastAsia" w:ascii="宋体" w:hAnsi="宋体" w:eastAsia="宋体" w:cs="Times New Roman"/>
                <w:color w:val="000000" w:themeColor="text1"/>
                <w:kern w:val="2"/>
                <w:sz w:val="24"/>
                <w:szCs w:val="24"/>
                <w:highlight w:val="none"/>
                <w14:textFill>
                  <w14:solidFill>
                    <w14:schemeClr w14:val="tx1"/>
                  </w14:solidFill>
                </w14:textFill>
              </w:rPr>
              <w:t>等为完成本次项目所发生的一切费用。参</w:t>
            </w:r>
            <w:r>
              <w:rPr>
                <w:rFonts w:hint="eastAsia"/>
                <w:color w:val="000000" w:themeColor="text1"/>
                <w:kern w:val="2"/>
                <w:sz w:val="24"/>
                <w:szCs w:val="24"/>
                <w:highlight w:val="none"/>
                <w14:textFill>
                  <w14:solidFill>
                    <w14:schemeClr w14:val="tx1"/>
                  </w14:solidFill>
                </w14:textFill>
              </w:rPr>
              <w:t>审单位自行考虑可能存在的各种风险、责任、义务等支出。后期不得以估计不足等理由提出任何增加服务价款的要求。</w:t>
            </w:r>
          </w:p>
          <w:p w14:paraId="75ADA811">
            <w:pPr>
              <w:keepNext w:val="0"/>
              <w:keepLines w:val="0"/>
              <w:pageBreakBefore w:val="0"/>
              <w:widowControl w:val="0"/>
              <w:kinsoku/>
              <w:wordWrap/>
              <w:overflowPunct/>
              <w:topLinePunct w:val="0"/>
              <w:autoSpaceDE/>
              <w:autoSpaceDN/>
              <w:bidi w:val="0"/>
              <w:snapToGrid/>
              <w:spacing w:line="460" w:lineRule="exact"/>
              <w:ind w:firstLine="0" w:firstLineChars="0"/>
              <w:textAlignment w:val="auto"/>
              <w:rPr>
                <w:rFonts w:hint="eastAsia" w:cs="@仿宋_GB2312"/>
                <w:color w:val="000000" w:themeColor="text1"/>
                <w:kern w:val="2"/>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参审单位最后报价均不得高于磋商文件（公告）列明的项目预算、最高限价（控制价），</w:t>
            </w:r>
            <w:r>
              <w:rPr>
                <w:rFonts w:hint="eastAsia" w:cs="@仿宋_GB2312"/>
                <w:color w:val="000000" w:themeColor="text1"/>
                <w:kern w:val="2"/>
                <w:sz w:val="24"/>
                <w:szCs w:val="24"/>
                <w:highlight w:val="none"/>
                <w:lang w:val="en-US" w:eastAsia="zh-CN"/>
                <w14:textFill>
                  <w14:solidFill>
                    <w14:schemeClr w14:val="tx1"/>
                  </w14:solidFill>
                </w14:textFill>
              </w:rPr>
              <w:t>且报价中各分项清单单价</w:t>
            </w:r>
            <w:r>
              <w:rPr>
                <w:rFonts w:hint="eastAsia" w:cs="@仿宋_GB2312"/>
                <w:color w:val="000000" w:themeColor="text1"/>
                <w:kern w:val="2"/>
                <w:sz w:val="24"/>
                <w:szCs w:val="24"/>
                <w:highlight w:val="none"/>
                <w14:textFill>
                  <w14:solidFill>
                    <w14:schemeClr w14:val="tx1"/>
                  </w14:solidFill>
                </w14:textFill>
              </w:rPr>
              <w:t>不得高于</w:t>
            </w:r>
            <w:r>
              <w:rPr>
                <w:rFonts w:hint="eastAsia" w:cs="@仿宋_GB2312"/>
                <w:color w:val="000000" w:themeColor="text1"/>
                <w:kern w:val="2"/>
                <w:sz w:val="24"/>
                <w:szCs w:val="24"/>
                <w:highlight w:val="none"/>
                <w:lang w:val="en-US" w:eastAsia="zh-CN"/>
                <w14:textFill>
                  <w14:solidFill>
                    <w14:schemeClr w14:val="tx1"/>
                  </w14:solidFill>
                </w14:textFill>
              </w:rPr>
              <w:t>控制价中对应清单项单价，</w:t>
            </w:r>
            <w:r>
              <w:rPr>
                <w:rFonts w:hint="eastAsia" w:cs="@仿宋_GB2312"/>
                <w:color w:val="000000" w:themeColor="text1"/>
                <w:kern w:val="2"/>
                <w:sz w:val="24"/>
                <w:szCs w:val="24"/>
                <w:highlight w:val="none"/>
                <w14:textFill>
                  <w14:solidFill>
                    <w14:schemeClr w14:val="tx1"/>
                  </w14:solidFill>
                </w14:textFill>
              </w:rPr>
              <w:t>否则其响应文件将被认定为响应无效。</w:t>
            </w:r>
          </w:p>
        </w:tc>
      </w:tr>
      <w:tr w14:paraId="2E52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FFC7BA0">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5</w:t>
            </w:r>
          </w:p>
        </w:tc>
        <w:tc>
          <w:tcPr>
            <w:tcW w:w="897" w:type="dxa"/>
            <w:vAlign w:val="center"/>
          </w:tcPr>
          <w:p w14:paraId="2519D190">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default" w:eastAsia="宋体" w:cs="@仿宋_GB2312"/>
                <w:b/>
                <w:bCs/>
                <w:color w:val="000000" w:themeColor="text1"/>
                <w:kern w:val="2"/>
                <w:sz w:val="24"/>
                <w:szCs w:val="24"/>
                <w:highlight w:val="none"/>
                <w:lang w:val="en-US" w:eastAsia="zh-CN"/>
                <w14:textFill>
                  <w14:solidFill>
                    <w14:schemeClr w14:val="tx1"/>
                  </w14:solidFill>
                </w14:textFill>
              </w:rPr>
            </w:pPr>
            <w:r>
              <w:rPr>
                <w:rFonts w:hint="eastAsia" w:cs="@仿宋_GB2312"/>
                <w:b/>
                <w:bCs/>
                <w:color w:val="000000" w:themeColor="text1"/>
                <w:kern w:val="2"/>
                <w:sz w:val="24"/>
                <w:szCs w:val="24"/>
                <w:highlight w:val="none"/>
                <w:lang w:val="en-US" w:eastAsia="zh-CN"/>
                <w14:textFill>
                  <w14:solidFill>
                    <w14:schemeClr w14:val="tx1"/>
                  </w14:solidFill>
                </w14:textFill>
              </w:rPr>
              <w:t>项目经理</w:t>
            </w:r>
          </w:p>
        </w:tc>
        <w:tc>
          <w:tcPr>
            <w:tcW w:w="7796" w:type="dxa"/>
            <w:vAlign w:val="center"/>
          </w:tcPr>
          <w:p w14:paraId="3E254757">
            <w:pPr>
              <w:spacing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项目经理须为供应商在职员工并由供应商依法缴纳社保，</w:t>
            </w:r>
            <w:r>
              <w:rPr>
                <w:rFonts w:hint="eastAsia" w:ascii="宋体" w:hAnsi="宋体" w:eastAsia="宋体" w:cs="宋体"/>
                <w:kern w:val="2"/>
                <w:sz w:val="24"/>
                <w:szCs w:val="24"/>
                <w:highlight w:val="none"/>
                <w:lang w:val="en-US" w:eastAsia="zh-CN"/>
              </w:rPr>
              <w:t>业主方</w:t>
            </w:r>
            <w:r>
              <w:rPr>
                <w:rFonts w:hint="eastAsia" w:ascii="宋体" w:hAnsi="宋体" w:eastAsia="宋体" w:cs="宋体"/>
                <w:kern w:val="2"/>
                <w:sz w:val="24"/>
                <w:szCs w:val="24"/>
                <w:highlight w:val="none"/>
              </w:rPr>
              <w:t>有权在合同签订后进场施工前进行核实，若发现虚假响应，将追究违约责任</w:t>
            </w:r>
            <w:r>
              <w:rPr>
                <w:rFonts w:hint="eastAsia" w:ascii="宋体" w:hAnsi="宋体" w:eastAsia="宋体" w:cs="宋体"/>
                <w:kern w:val="2"/>
                <w:sz w:val="24"/>
                <w:szCs w:val="24"/>
                <w:highlight w:val="none"/>
                <w:lang w:val="en-US" w:eastAsia="zh-CN"/>
              </w:rPr>
              <w:t>。</w:t>
            </w:r>
          </w:p>
          <w:p w14:paraId="6C27AD5E">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）项目经理不得同时担任两个及以上建设工程施工项目负责人，以下情形除外：</w:t>
            </w:r>
          </w:p>
          <w:p w14:paraId="17EAEFDF">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①法定情形；</w:t>
            </w:r>
          </w:p>
          <w:p w14:paraId="087F0224">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②虽在其他项目上担任项目经理岗位，但本项目成交后能够从该项目撤离，全面履约。</w:t>
            </w:r>
          </w:p>
          <w:p w14:paraId="556F2A71">
            <w:pPr>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）成交后若项目经理在其他项目上担任项目经理岗位，导致该项目经理无法进场履约的，</w:t>
            </w:r>
            <w:r>
              <w:rPr>
                <w:rFonts w:hint="eastAsia" w:ascii="宋体" w:hAnsi="宋体" w:eastAsia="宋体" w:cs="宋体"/>
                <w:color w:val="auto"/>
                <w:kern w:val="2"/>
                <w:sz w:val="24"/>
                <w:szCs w:val="24"/>
                <w:highlight w:val="none"/>
                <w:lang w:val="en-US" w:eastAsia="zh-CN"/>
              </w:rPr>
              <w:t>业主方</w:t>
            </w:r>
            <w:r>
              <w:rPr>
                <w:rFonts w:hint="eastAsia" w:ascii="宋体" w:hAnsi="宋体" w:eastAsia="宋体" w:cs="宋体"/>
                <w:color w:val="auto"/>
                <w:kern w:val="2"/>
                <w:sz w:val="24"/>
                <w:szCs w:val="24"/>
                <w:highlight w:val="none"/>
              </w:rPr>
              <w:t>可取消其成交资格。供应商因此原因被取消成交资格的，视为无正当理由放弃成交资格。</w:t>
            </w:r>
          </w:p>
          <w:p w14:paraId="06521946">
            <w:pPr>
              <w:spacing w:line="360" w:lineRule="auto"/>
              <w:rPr>
                <w:rFonts w:hint="eastAsia" w:ascii="宋体" w:hAnsi="宋体" w:eastAsia="宋体" w:cs="宋体"/>
                <w:b w:val="0"/>
                <w:bCs/>
                <w:color w:val="FF0000"/>
                <w:kern w:val="0"/>
                <w:sz w:val="24"/>
                <w:szCs w:val="28"/>
                <w:u w:val="none"/>
                <w:lang w:val="en-US" w:eastAsia="zh-CN" w:bidi="ar-SA"/>
              </w:rPr>
            </w:pPr>
            <w:r>
              <w:rPr>
                <w:rFonts w:hint="eastAsia" w:ascii="宋体" w:hAnsi="宋体" w:eastAsia="宋体" w:cs="宋体"/>
                <w:b w:val="0"/>
                <w:bCs/>
                <w:color w:val="FF0000"/>
                <w:kern w:val="0"/>
                <w:sz w:val="24"/>
                <w:szCs w:val="28"/>
                <w:u w:val="none"/>
                <w:lang w:val="en-US" w:eastAsia="zh-CN" w:bidi="ar-SA"/>
              </w:rPr>
              <w:t>（4）</w:t>
            </w:r>
            <w:r>
              <w:rPr>
                <w:rFonts w:hint="eastAsia" w:ascii="宋体" w:hAnsi="宋体" w:eastAsia="宋体" w:cs="宋体"/>
                <w:color w:val="FF0000"/>
                <w:kern w:val="2"/>
                <w:sz w:val="24"/>
                <w:szCs w:val="24"/>
                <w:highlight w:val="none"/>
                <w:u w:val="none"/>
                <w:lang w:val="en-US" w:eastAsia="zh-CN"/>
              </w:rPr>
              <w:t>供应商拟委任项目经理</w:t>
            </w:r>
            <w:r>
              <w:rPr>
                <w:rFonts w:hint="eastAsia" w:ascii="宋体" w:hAnsi="宋体" w:eastAsia="宋体" w:cs="宋体"/>
                <w:color w:val="FF0000"/>
                <w:kern w:val="2"/>
                <w:sz w:val="24"/>
                <w:szCs w:val="24"/>
                <w:u w:val="none"/>
              </w:rPr>
              <w:t>须</w:t>
            </w:r>
            <w:r>
              <w:rPr>
                <w:rFonts w:hint="eastAsia" w:ascii="宋体" w:hAnsi="宋体" w:eastAsia="宋体" w:cs="宋体"/>
                <w:b w:val="0"/>
                <w:bCs/>
                <w:color w:val="FF0000"/>
                <w:kern w:val="0"/>
                <w:sz w:val="24"/>
                <w:szCs w:val="28"/>
                <w:u w:val="none"/>
                <w:lang w:val="en-US" w:eastAsia="zh-CN" w:bidi="ar-SA"/>
              </w:rPr>
              <w:t>具有建筑工程二级及以上注册建造师证书和有效的安全生产考核合格证（B证）。</w:t>
            </w:r>
          </w:p>
          <w:p w14:paraId="09942346">
            <w:pPr>
              <w:spacing w:line="360" w:lineRule="auto"/>
              <w:rPr>
                <w:rFonts w:hint="eastAsia" w:ascii="宋体" w:hAnsi="宋体" w:eastAsia="宋体" w:cs="宋体"/>
                <w:b/>
                <w:bCs/>
                <w:kern w:val="2"/>
                <w:sz w:val="24"/>
                <w:szCs w:val="22"/>
                <w:lang w:val="en-US" w:eastAsia="zh-CN"/>
              </w:rPr>
            </w:pPr>
            <w:r>
              <w:rPr>
                <w:rFonts w:hint="eastAsia" w:ascii="宋体" w:hAnsi="宋体" w:eastAsia="宋体" w:cs="宋体"/>
                <w:b/>
                <w:bCs/>
                <w:kern w:val="2"/>
                <w:sz w:val="24"/>
                <w:szCs w:val="22"/>
                <w:lang w:val="en-US" w:eastAsia="zh-CN"/>
              </w:rPr>
              <w:t>注：响应文件中提供人员证书扫描件，未提供响应无效。采用一级建造师投标的应符合《住房和城乡建设部办公厅关于全面实行一级建造师电子注册证书的通知》(建办市〔2021〕40号)规定，响应文件中应提供一级建造师电子注册证书，且应在个人签名处手写本人签名，未手写签名或与签名图像笔迹不一致的，该电子证书无效。安徽省二级建造师电子证书右上角增加使用时限的标注。查看和下载电子证书时，本人应确认该证书的使用时限。电子证书使用时限为180天,但使用时限距注册专业有效期或建造师满65周岁不足180天的，使用时限截止日期以注册专业有效期截止日期或建造师满65周岁当日为准。超出使用时限的电子证书无效，需重新下载电子证书并再次确认使用时限。</w:t>
            </w:r>
          </w:p>
          <w:p w14:paraId="7FCBFCAC">
            <w:pPr>
              <w:spacing w:line="360" w:lineRule="auto"/>
              <w:rPr>
                <w:rFonts w:hint="eastAsia" w:ascii="宋体" w:hAnsi="宋体" w:eastAsia="宋体" w:cs="宋体"/>
                <w:b/>
                <w:bCs/>
                <w:kern w:val="2"/>
                <w:sz w:val="24"/>
                <w:szCs w:val="22"/>
                <w:lang w:val="en-US" w:eastAsia="zh-CN"/>
              </w:rPr>
            </w:pPr>
            <w:r>
              <w:rPr>
                <w:rFonts w:hint="eastAsia" w:ascii="宋体" w:hAnsi="宋体" w:eastAsia="宋体" w:cs="宋体"/>
                <w:b/>
                <w:bCs/>
                <w:kern w:val="2"/>
                <w:sz w:val="24"/>
                <w:szCs w:val="22"/>
                <w:lang w:val="en-US" w:eastAsia="zh-CN"/>
              </w:rPr>
              <w:t>2024年8月31日之前新旧二级建造师电子证书具有同等法律效力。自2024年9月1日起，旧二级建造师电子证书失效。二级建造师打印电子证书后，应在个人签名处手写本人签名，未手写签名或与签名图像笔迹不一致的，该电子证书无效。注:</w:t>
            </w:r>
          </w:p>
          <w:p w14:paraId="71F92FF7">
            <w:pPr>
              <w:spacing w:line="360" w:lineRule="auto"/>
              <w:rPr>
                <w:rFonts w:hint="eastAsia" w:ascii="宋体" w:hAnsi="宋体" w:eastAsia="宋体" w:cs="宋体"/>
                <w:b/>
                <w:bCs/>
                <w:kern w:val="2"/>
                <w:sz w:val="24"/>
                <w:szCs w:val="22"/>
                <w:lang w:val="en-US" w:eastAsia="zh-CN"/>
              </w:rPr>
            </w:pPr>
            <w:r>
              <w:rPr>
                <w:rFonts w:hint="eastAsia" w:ascii="宋体" w:hAnsi="宋体" w:eastAsia="宋体" w:cs="宋体"/>
                <w:b/>
                <w:bCs/>
                <w:kern w:val="2"/>
                <w:sz w:val="24"/>
                <w:szCs w:val="22"/>
                <w:lang w:val="en-US" w:eastAsia="zh-CN"/>
              </w:rPr>
              <w:t>1.相关政策详见《关于加强二级建造师事中事后监管工作的通知》(建市函(2024)137号)</w:t>
            </w:r>
          </w:p>
          <w:p w14:paraId="45D273BB">
            <w:pPr>
              <w:spacing w:line="360" w:lineRule="auto"/>
              <w:rPr>
                <w:rFonts w:hint="eastAsia" w:cs="@仿宋_GB2312"/>
                <w:color w:val="000000" w:themeColor="text1"/>
                <w:kern w:val="2"/>
                <w:sz w:val="24"/>
                <w:szCs w:val="24"/>
                <w:highlight w:val="none"/>
                <w14:textFill>
                  <w14:solidFill>
                    <w14:schemeClr w14:val="tx1"/>
                  </w14:solidFill>
                </w14:textFill>
              </w:rPr>
            </w:pPr>
            <w:r>
              <w:rPr>
                <w:rFonts w:hint="eastAsia" w:ascii="宋体" w:hAnsi="宋体" w:eastAsia="宋体" w:cs="宋体"/>
                <w:b/>
                <w:bCs/>
                <w:kern w:val="2"/>
                <w:sz w:val="24"/>
                <w:szCs w:val="22"/>
                <w:lang w:val="en-US" w:eastAsia="zh-CN"/>
              </w:rPr>
              <w:t>2.对于其他省份颁发的二级建造师注册证书使用要求，证书颁发单位另有规定的按其规定执行。</w:t>
            </w:r>
          </w:p>
        </w:tc>
      </w:tr>
      <w:tr w14:paraId="2D80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4C8A689">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w:t>
            </w:r>
          </w:p>
        </w:tc>
        <w:tc>
          <w:tcPr>
            <w:tcW w:w="897" w:type="dxa"/>
            <w:vAlign w:val="center"/>
          </w:tcPr>
          <w:p w14:paraId="33A70BFA">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cs="@仿宋_GB2312"/>
                <w:b/>
                <w:bCs/>
                <w:color w:val="000000" w:themeColor="text1"/>
                <w:kern w:val="2"/>
                <w:sz w:val="24"/>
                <w:szCs w:val="24"/>
                <w:highlight w:val="none"/>
                <w14:textFill>
                  <w14:solidFill>
                    <w14:schemeClr w14:val="tx1"/>
                  </w14:solidFill>
                </w14:textFill>
              </w:rPr>
            </w:pPr>
            <w:r>
              <w:rPr>
                <w:rFonts w:hint="eastAsia" w:cs="@仿宋_GB2312"/>
                <w:b/>
                <w:bCs/>
                <w:color w:val="000000" w:themeColor="text1"/>
                <w:kern w:val="2"/>
                <w:sz w:val="24"/>
                <w:szCs w:val="24"/>
                <w:highlight w:val="none"/>
                <w14:textFill>
                  <w14:solidFill>
                    <w14:schemeClr w14:val="tx1"/>
                  </w14:solidFill>
                </w14:textFill>
              </w:rPr>
              <w:t>付款方式</w:t>
            </w:r>
          </w:p>
        </w:tc>
        <w:tc>
          <w:tcPr>
            <w:tcW w:w="7796" w:type="dxa"/>
            <w:vAlign w:val="center"/>
          </w:tcPr>
          <w:p w14:paraId="7DABFAC0">
            <w:pPr>
              <w:keepNext w:val="0"/>
              <w:keepLines w:val="0"/>
              <w:pageBreakBefore w:val="0"/>
              <w:widowControl w:val="0"/>
              <w:kinsoku/>
              <w:wordWrap/>
              <w:overflowPunct/>
              <w:topLinePunct w:val="0"/>
              <w:autoSpaceDE/>
              <w:autoSpaceDN/>
              <w:bidi w:val="0"/>
              <w:adjustRightInd w:val="0"/>
              <w:snapToGrid/>
              <w:spacing w:line="460" w:lineRule="exact"/>
              <w:ind w:firstLine="0" w:firstLineChars="0"/>
              <w:textAlignment w:val="auto"/>
              <w:rPr>
                <w:rFonts w:hint="default" w:eastAsia="宋体" w:cs="@仿宋_GB2312"/>
                <w:color w:val="000000" w:themeColor="text1"/>
                <w:kern w:val="2"/>
                <w:sz w:val="24"/>
                <w:szCs w:val="24"/>
                <w:highlight w:val="none"/>
                <w:lang w:val="en-US" w:eastAsia="zh-CN"/>
                <w14:textFill>
                  <w14:solidFill>
                    <w14:schemeClr w14:val="tx1"/>
                  </w14:solidFill>
                </w14:textFill>
              </w:rPr>
            </w:pPr>
            <w:r>
              <w:rPr>
                <w:rFonts w:hint="eastAsia" w:cs="@仿宋_GB2312"/>
                <w:color w:val="000000" w:themeColor="text1"/>
                <w:kern w:val="2"/>
                <w:sz w:val="24"/>
                <w:szCs w:val="24"/>
                <w:highlight w:val="none"/>
                <w:lang w:val="en-US" w:eastAsia="zh-CN"/>
                <w14:textFill>
                  <w14:solidFill>
                    <w14:schemeClr w14:val="tx1"/>
                  </w14:solidFill>
                </w14:textFill>
              </w:rPr>
              <w:t>工程竣工验收合格审定后一次性付清。</w:t>
            </w:r>
          </w:p>
        </w:tc>
      </w:tr>
      <w:tr w14:paraId="5FF2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3A8B940">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eastAsia"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w:t>
            </w:r>
          </w:p>
        </w:tc>
        <w:tc>
          <w:tcPr>
            <w:tcW w:w="897" w:type="dxa"/>
            <w:vAlign w:val="center"/>
          </w:tcPr>
          <w:p w14:paraId="09C64B48">
            <w:pPr>
              <w:keepNext w:val="0"/>
              <w:keepLines w:val="0"/>
              <w:pageBreakBefore w:val="0"/>
              <w:widowControl w:val="0"/>
              <w:kinsoku/>
              <w:wordWrap/>
              <w:overflowPunct/>
              <w:topLinePunct w:val="0"/>
              <w:autoSpaceDE/>
              <w:autoSpaceDN/>
              <w:bidi w:val="0"/>
              <w:snapToGrid/>
              <w:spacing w:line="460" w:lineRule="exact"/>
              <w:ind w:firstLine="0" w:firstLineChars="0"/>
              <w:jc w:val="center"/>
              <w:textAlignment w:val="auto"/>
              <w:rPr>
                <w:rFonts w:hint="default" w:eastAsia="宋体" w:cs="@仿宋_GB2312"/>
                <w:b/>
                <w:bCs/>
                <w:color w:val="000000" w:themeColor="text1"/>
                <w:kern w:val="2"/>
                <w:sz w:val="24"/>
                <w:szCs w:val="24"/>
                <w:highlight w:val="none"/>
                <w:lang w:val="en-US" w:eastAsia="zh-CN"/>
                <w14:textFill>
                  <w14:solidFill>
                    <w14:schemeClr w14:val="tx1"/>
                  </w14:solidFill>
                </w14:textFill>
              </w:rPr>
            </w:pPr>
            <w:r>
              <w:rPr>
                <w:rFonts w:hint="eastAsia" w:cs="@仿宋_GB2312"/>
                <w:b/>
                <w:bCs/>
                <w:color w:val="000000" w:themeColor="text1"/>
                <w:kern w:val="2"/>
                <w:sz w:val="24"/>
                <w:szCs w:val="24"/>
                <w:highlight w:val="none"/>
                <w:lang w:val="en-US" w:eastAsia="zh-CN"/>
                <w14:textFill>
                  <w14:solidFill>
                    <w14:schemeClr w14:val="tx1"/>
                  </w14:solidFill>
                </w14:textFill>
              </w:rPr>
              <w:t>计划工期</w:t>
            </w:r>
          </w:p>
        </w:tc>
        <w:tc>
          <w:tcPr>
            <w:tcW w:w="7796" w:type="dxa"/>
            <w:vAlign w:val="center"/>
          </w:tcPr>
          <w:p w14:paraId="455E066D">
            <w:pPr>
              <w:keepNext w:val="0"/>
              <w:keepLines w:val="0"/>
              <w:pageBreakBefore w:val="0"/>
              <w:widowControl w:val="0"/>
              <w:kinsoku/>
              <w:wordWrap/>
              <w:overflowPunct/>
              <w:topLinePunct w:val="0"/>
              <w:autoSpaceDE/>
              <w:autoSpaceDN/>
              <w:bidi w:val="0"/>
              <w:adjustRightInd w:val="0"/>
              <w:snapToGrid/>
              <w:spacing w:line="460" w:lineRule="exact"/>
              <w:ind w:firstLine="0" w:firstLineChars="0"/>
              <w:textAlignment w:val="auto"/>
              <w:rPr>
                <w:rFonts w:hint="default" w:eastAsia="宋体" w:cs="@仿宋_GB2312"/>
                <w:color w:val="000000" w:themeColor="text1"/>
                <w:kern w:val="2"/>
                <w:sz w:val="24"/>
                <w:szCs w:val="24"/>
                <w:highlight w:val="none"/>
                <w:lang w:val="en-US" w:eastAsia="zh-CN"/>
                <w14:textFill>
                  <w14:solidFill>
                    <w14:schemeClr w14:val="tx1"/>
                  </w14:solidFill>
                </w14:textFill>
              </w:rPr>
            </w:pPr>
            <w:r>
              <w:rPr>
                <w:rFonts w:hint="eastAsia"/>
                <w:b w:val="0"/>
                <w:color w:val="000000" w:themeColor="text1"/>
                <w:sz w:val="24"/>
                <w:highlight w:val="none"/>
                <w14:textFill>
                  <w14:solidFill>
                    <w14:schemeClr w14:val="tx1"/>
                  </w14:solidFill>
                </w14:textFill>
              </w:rPr>
              <w:t>计划</w:t>
            </w:r>
            <w:r>
              <w:rPr>
                <w:b w:val="0"/>
                <w:color w:val="000000" w:themeColor="text1"/>
                <w:sz w:val="24"/>
                <w:highlight w:val="none"/>
                <w14:textFill>
                  <w14:solidFill>
                    <w14:schemeClr w14:val="tx1"/>
                  </w14:solidFill>
                </w14:textFill>
              </w:rPr>
              <w:t>工期：</w:t>
            </w:r>
            <w:r>
              <w:rPr>
                <w:rFonts w:hint="eastAsia"/>
                <w:b w:val="0"/>
                <w:color w:val="000000" w:themeColor="text1"/>
                <w:sz w:val="24"/>
                <w:highlight w:val="none"/>
                <w:u w:val="single"/>
                <w:lang w:val="en-US" w:eastAsia="zh-CN"/>
                <w14:textFill>
                  <w14:solidFill>
                    <w14:schemeClr w14:val="tx1"/>
                  </w14:solidFill>
                </w14:textFill>
              </w:rPr>
              <w:t>30</w:t>
            </w:r>
            <w:r>
              <w:rPr>
                <w:b w:val="0"/>
                <w:color w:val="000000" w:themeColor="text1"/>
                <w:sz w:val="24"/>
                <w:highlight w:val="none"/>
                <w14:textFill>
                  <w14:solidFill>
                    <w14:schemeClr w14:val="tx1"/>
                  </w14:solidFill>
                </w14:textFill>
              </w:rPr>
              <w:t>日历天</w:t>
            </w:r>
            <w:r>
              <w:rPr>
                <w:rFonts w:hint="eastAsia"/>
                <w:b w:val="0"/>
                <w:color w:val="000000" w:themeColor="text1"/>
                <w:sz w:val="24"/>
                <w:highlight w:val="none"/>
                <w:lang w:val="en-US" w:eastAsia="zh-CN"/>
                <w14:textFill>
                  <w14:solidFill>
                    <w14:schemeClr w14:val="tx1"/>
                  </w14:solidFill>
                </w14:textFill>
              </w:rPr>
              <w:t xml:space="preserve">  </w:t>
            </w:r>
          </w:p>
        </w:tc>
      </w:tr>
    </w:tbl>
    <w:p w14:paraId="2982B45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rPr>
      </w:pPr>
      <w:bookmarkStart w:id="31" w:name="_Toc21101"/>
    </w:p>
    <w:p w14:paraId="4BDB4BAE">
      <w:pPr>
        <w:spacing w:line="360" w:lineRule="auto"/>
        <w:jc w:val="center"/>
        <w:outlineLvl w:val="0"/>
        <w:rPr>
          <w:rFonts w:hint="eastAsia"/>
          <w:b/>
          <w:sz w:val="28"/>
          <w:highlight w:val="none"/>
        </w:rPr>
      </w:pPr>
      <w:r>
        <w:rPr>
          <w:rFonts w:hint="eastAsia"/>
          <w:b/>
          <w:sz w:val="28"/>
          <w:highlight w:val="none"/>
        </w:rPr>
        <w:t>第四章  评审方法和标准</w:t>
      </w:r>
      <w:bookmarkEnd w:id="31"/>
    </w:p>
    <w:p w14:paraId="69584FBC">
      <w:pPr>
        <w:spacing w:line="360" w:lineRule="auto"/>
        <w:ind w:firstLine="437"/>
        <w:outlineLvl w:val="1"/>
        <w:rPr>
          <w:rFonts w:hint="eastAsia"/>
          <w:b/>
          <w:sz w:val="24"/>
          <w:highlight w:val="none"/>
        </w:rPr>
      </w:pPr>
      <w:bookmarkStart w:id="32" w:name="_Toc19546"/>
      <w:bookmarkStart w:id="33" w:name="_Toc1500"/>
      <w:r>
        <w:rPr>
          <w:rFonts w:hint="eastAsia"/>
          <w:b/>
          <w:sz w:val="24"/>
          <w:highlight w:val="none"/>
        </w:rPr>
        <w:t>一、总则</w:t>
      </w:r>
      <w:bookmarkEnd w:id="32"/>
      <w:bookmarkEnd w:id="33"/>
    </w:p>
    <w:p w14:paraId="0F6A3FE2">
      <w:pPr>
        <w:spacing w:line="360" w:lineRule="auto"/>
        <w:ind w:firstLine="435"/>
        <w:rPr>
          <w:rFonts w:hint="eastAsia"/>
          <w:sz w:val="24"/>
          <w:highlight w:val="none"/>
        </w:rPr>
      </w:pPr>
      <w:r>
        <w:rPr>
          <w:rFonts w:hint="eastAsia"/>
          <w:sz w:val="24"/>
          <w:highlight w:val="none"/>
        </w:rPr>
        <w:t>本项目将按照磋商文件第二章 参审单位须知的相关要求</w:t>
      </w:r>
      <w:r>
        <w:rPr>
          <w:sz w:val="24"/>
          <w:highlight w:val="none"/>
        </w:rPr>
        <w:t>及本章的规定</w:t>
      </w:r>
      <w:r>
        <w:rPr>
          <w:rFonts w:hint="eastAsia"/>
          <w:sz w:val="24"/>
          <w:highlight w:val="none"/>
        </w:rPr>
        <w:t>评审</w:t>
      </w:r>
      <w:r>
        <w:rPr>
          <w:sz w:val="24"/>
          <w:highlight w:val="none"/>
        </w:rPr>
        <w:t>。</w:t>
      </w:r>
    </w:p>
    <w:p w14:paraId="5A6CF771">
      <w:pPr>
        <w:spacing w:line="360" w:lineRule="auto"/>
        <w:ind w:firstLine="437"/>
        <w:outlineLvl w:val="1"/>
        <w:rPr>
          <w:rFonts w:hint="eastAsia"/>
          <w:b/>
          <w:sz w:val="24"/>
          <w:highlight w:val="none"/>
        </w:rPr>
      </w:pPr>
      <w:bookmarkStart w:id="34" w:name="_Toc4924"/>
      <w:bookmarkStart w:id="35" w:name="_Toc4201"/>
      <w:r>
        <w:rPr>
          <w:rFonts w:hint="eastAsia"/>
          <w:b/>
          <w:sz w:val="24"/>
          <w:highlight w:val="none"/>
        </w:rPr>
        <w:t>二、评审方法</w:t>
      </w:r>
      <w:bookmarkEnd w:id="34"/>
      <w:bookmarkEnd w:id="35"/>
    </w:p>
    <w:p w14:paraId="6CF3997F">
      <w:pPr>
        <w:spacing w:line="360" w:lineRule="auto"/>
        <w:ind w:firstLine="435"/>
        <w:outlineLvl w:val="2"/>
        <w:rPr>
          <w:rFonts w:hint="eastAsia"/>
          <w:sz w:val="24"/>
          <w:highlight w:val="none"/>
        </w:rPr>
      </w:pPr>
      <w:r>
        <w:rPr>
          <w:rFonts w:hint="eastAsia"/>
          <w:sz w:val="24"/>
          <w:highlight w:val="none"/>
        </w:rPr>
        <w:t>2.1初审</w:t>
      </w:r>
    </w:p>
    <w:p w14:paraId="7A65F140">
      <w:pPr>
        <w:spacing w:line="360" w:lineRule="auto"/>
        <w:ind w:firstLine="435"/>
        <w:rPr>
          <w:rFonts w:hint="eastAsia"/>
          <w:sz w:val="24"/>
          <w:highlight w:val="none"/>
        </w:rPr>
      </w:pPr>
      <w:r>
        <w:rPr>
          <w:rFonts w:hint="eastAsia"/>
          <w:sz w:val="24"/>
          <w:highlight w:val="none"/>
        </w:rPr>
        <w:t>磋商小组对</w:t>
      </w:r>
      <w:r>
        <w:rPr>
          <w:rFonts w:hint="eastAsia"/>
          <w:sz w:val="24"/>
          <w:szCs w:val="18"/>
          <w:highlight w:val="none"/>
        </w:rPr>
        <w:t>参审单位</w:t>
      </w:r>
      <w:r>
        <w:rPr>
          <w:rFonts w:hint="eastAsia"/>
          <w:sz w:val="24"/>
          <w:highlight w:val="none"/>
        </w:rPr>
        <w:t>的响应文件进行初审，以确定其是否满足磋商文件的实质性要求。初审表如下：</w:t>
      </w:r>
    </w:p>
    <w:tbl>
      <w:tblPr>
        <w:tblStyle w:val="1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391"/>
        <w:gridCol w:w="5535"/>
      </w:tblGrid>
      <w:tr w14:paraId="1E3A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3"/>
            <w:tcBorders>
              <w:bottom w:val="single" w:color="auto" w:sz="4" w:space="0"/>
            </w:tcBorders>
            <w:vAlign w:val="center"/>
          </w:tcPr>
          <w:p w14:paraId="0274FF0A">
            <w:pPr>
              <w:adjustRightInd w:val="0"/>
              <w:snapToGrid w:val="0"/>
              <w:spacing w:line="360" w:lineRule="auto"/>
              <w:ind w:right="-10"/>
              <w:jc w:val="center"/>
              <w:rPr>
                <w:rFonts w:hint="eastAsia"/>
                <w:b/>
                <w:sz w:val="24"/>
                <w:highlight w:val="none"/>
              </w:rPr>
            </w:pPr>
            <w:r>
              <w:rPr>
                <w:rFonts w:hint="eastAsia"/>
                <w:b/>
                <w:sz w:val="24"/>
                <w:highlight w:val="none"/>
              </w:rPr>
              <w:t>项目初审表</w:t>
            </w:r>
          </w:p>
        </w:tc>
      </w:tr>
      <w:tr w14:paraId="4E81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5C969B80">
            <w:pPr>
              <w:adjustRightInd w:val="0"/>
              <w:snapToGrid w:val="0"/>
              <w:spacing w:line="360" w:lineRule="auto"/>
              <w:ind w:right="-10"/>
              <w:jc w:val="center"/>
              <w:rPr>
                <w:rFonts w:hint="eastAsia"/>
                <w:b/>
                <w:sz w:val="24"/>
                <w:highlight w:val="none"/>
              </w:rPr>
            </w:pPr>
            <w:r>
              <w:rPr>
                <w:rFonts w:hint="eastAsia"/>
                <w:b/>
                <w:sz w:val="24"/>
                <w:highlight w:val="none"/>
              </w:rPr>
              <w:t>序号</w:t>
            </w:r>
          </w:p>
        </w:tc>
        <w:tc>
          <w:tcPr>
            <w:tcW w:w="2391" w:type="dxa"/>
            <w:tcBorders>
              <w:bottom w:val="single" w:color="auto" w:sz="4" w:space="0"/>
            </w:tcBorders>
            <w:vAlign w:val="center"/>
          </w:tcPr>
          <w:p w14:paraId="459879FA">
            <w:pPr>
              <w:pStyle w:val="20"/>
              <w:pBdr>
                <w:bottom w:val="none" w:color="auto" w:sz="0" w:space="0"/>
              </w:pBdr>
              <w:snapToGrid w:val="0"/>
              <w:spacing w:line="360" w:lineRule="auto"/>
              <w:ind w:right="-10"/>
              <w:textAlignment w:val="auto"/>
              <w:rPr>
                <w:rFonts w:hint="eastAsia"/>
                <w:b/>
                <w:kern w:val="2"/>
                <w:szCs w:val="24"/>
                <w:highlight w:val="none"/>
              </w:rPr>
            </w:pPr>
            <w:r>
              <w:rPr>
                <w:rFonts w:hint="eastAsia"/>
                <w:b/>
                <w:kern w:val="2"/>
                <w:szCs w:val="24"/>
                <w:highlight w:val="none"/>
              </w:rPr>
              <w:t>评审指标</w:t>
            </w:r>
          </w:p>
        </w:tc>
        <w:tc>
          <w:tcPr>
            <w:tcW w:w="5535" w:type="dxa"/>
            <w:tcBorders>
              <w:bottom w:val="single" w:color="auto" w:sz="4" w:space="0"/>
            </w:tcBorders>
            <w:vAlign w:val="center"/>
          </w:tcPr>
          <w:p w14:paraId="20288DE5">
            <w:pPr>
              <w:adjustRightInd w:val="0"/>
              <w:snapToGrid w:val="0"/>
              <w:spacing w:line="360" w:lineRule="auto"/>
              <w:ind w:right="-10"/>
              <w:jc w:val="center"/>
              <w:rPr>
                <w:rFonts w:hint="eastAsia"/>
                <w:b/>
                <w:sz w:val="24"/>
                <w:highlight w:val="none"/>
              </w:rPr>
            </w:pPr>
            <w:r>
              <w:rPr>
                <w:rFonts w:hint="eastAsia"/>
                <w:b/>
                <w:sz w:val="24"/>
                <w:highlight w:val="none"/>
              </w:rPr>
              <w:t>合格条件</w:t>
            </w:r>
          </w:p>
        </w:tc>
      </w:tr>
      <w:tr w14:paraId="0471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6F961B57">
            <w:pPr>
              <w:pStyle w:val="24"/>
              <w:numPr>
                <w:ilvl w:val="0"/>
                <w:numId w:val="1"/>
              </w:numPr>
              <w:adjustRightInd w:val="0"/>
              <w:snapToGrid w:val="0"/>
              <w:spacing w:line="360" w:lineRule="auto"/>
              <w:ind w:right="-10" w:firstLineChars="0"/>
              <w:jc w:val="center"/>
              <w:rPr>
                <w:rFonts w:hint="eastAsia"/>
                <w:sz w:val="24"/>
                <w:highlight w:val="none"/>
              </w:rPr>
            </w:pPr>
          </w:p>
        </w:tc>
        <w:tc>
          <w:tcPr>
            <w:tcW w:w="2391" w:type="dxa"/>
            <w:tcBorders>
              <w:bottom w:val="single" w:color="auto" w:sz="4" w:space="0"/>
            </w:tcBorders>
            <w:vAlign w:val="center"/>
          </w:tcPr>
          <w:p w14:paraId="49789FC7">
            <w:pPr>
              <w:pStyle w:val="20"/>
              <w:pBdr>
                <w:bottom w:val="none" w:color="auto" w:sz="0" w:space="0"/>
              </w:pBdr>
              <w:snapToGrid w:val="0"/>
              <w:spacing w:line="360" w:lineRule="auto"/>
              <w:ind w:right="-10"/>
              <w:textAlignment w:val="auto"/>
              <w:rPr>
                <w:rFonts w:hint="eastAsia"/>
                <w:kern w:val="2"/>
                <w:szCs w:val="24"/>
                <w:highlight w:val="none"/>
              </w:rPr>
            </w:pPr>
            <w:r>
              <w:rPr>
                <w:rFonts w:hint="eastAsia"/>
                <w:highlight w:val="none"/>
              </w:rPr>
              <w:t>营业执照</w:t>
            </w:r>
          </w:p>
        </w:tc>
        <w:tc>
          <w:tcPr>
            <w:tcW w:w="5535" w:type="dxa"/>
            <w:tcBorders>
              <w:bottom w:val="single" w:color="auto" w:sz="4" w:space="0"/>
            </w:tcBorders>
            <w:vAlign w:val="center"/>
          </w:tcPr>
          <w:p w14:paraId="3BA984B6">
            <w:pPr>
              <w:adjustRightInd w:val="0"/>
              <w:snapToGrid w:val="0"/>
              <w:spacing w:line="360" w:lineRule="auto"/>
              <w:ind w:right="-10"/>
              <w:jc w:val="left"/>
              <w:rPr>
                <w:rFonts w:hint="eastAsia"/>
                <w:sz w:val="24"/>
                <w:highlight w:val="none"/>
              </w:rPr>
            </w:pPr>
            <w:r>
              <w:rPr>
                <w:rFonts w:hint="eastAsia"/>
                <w:sz w:val="24"/>
                <w:highlight w:val="none"/>
              </w:rPr>
              <w:t>提供有效的营业执照扫描件，应完整的体现出营业执照的全部内容。</w:t>
            </w:r>
          </w:p>
        </w:tc>
      </w:tr>
      <w:tr w14:paraId="4CA9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20F70CD">
            <w:pPr>
              <w:pStyle w:val="24"/>
              <w:numPr>
                <w:ilvl w:val="0"/>
                <w:numId w:val="1"/>
              </w:numPr>
              <w:adjustRightInd w:val="0"/>
              <w:snapToGrid w:val="0"/>
              <w:spacing w:line="360" w:lineRule="auto"/>
              <w:ind w:right="-10" w:firstLineChars="0"/>
              <w:jc w:val="center"/>
              <w:rPr>
                <w:rFonts w:hint="eastAsia"/>
                <w:sz w:val="24"/>
                <w:highlight w:val="none"/>
              </w:rPr>
            </w:pPr>
          </w:p>
        </w:tc>
        <w:tc>
          <w:tcPr>
            <w:tcW w:w="2391" w:type="dxa"/>
            <w:vAlign w:val="center"/>
          </w:tcPr>
          <w:p w14:paraId="5D6D0D88">
            <w:pPr>
              <w:pStyle w:val="20"/>
              <w:pBdr>
                <w:bottom w:val="none" w:color="auto" w:sz="0" w:space="0"/>
              </w:pBdr>
              <w:snapToGrid w:val="0"/>
              <w:spacing w:line="360" w:lineRule="auto"/>
              <w:ind w:right="-10"/>
              <w:textAlignment w:val="auto"/>
              <w:rPr>
                <w:rFonts w:hint="eastAsia"/>
                <w:kern w:val="2"/>
                <w:szCs w:val="24"/>
                <w:highlight w:val="none"/>
              </w:rPr>
            </w:pPr>
            <w:r>
              <w:rPr>
                <w:rFonts w:hint="eastAsia"/>
                <w:highlight w:val="none"/>
              </w:rPr>
              <w:t>资质证书</w:t>
            </w:r>
          </w:p>
        </w:tc>
        <w:tc>
          <w:tcPr>
            <w:tcW w:w="5535" w:type="dxa"/>
            <w:vAlign w:val="center"/>
          </w:tcPr>
          <w:p w14:paraId="7EE2B4C7">
            <w:pPr>
              <w:adjustRightInd w:val="0"/>
              <w:snapToGrid w:val="0"/>
              <w:spacing w:line="360" w:lineRule="auto"/>
              <w:ind w:right="-10"/>
              <w:jc w:val="left"/>
              <w:rPr>
                <w:rFonts w:hint="eastAsia"/>
                <w:sz w:val="24"/>
                <w:highlight w:val="none"/>
              </w:rPr>
            </w:pPr>
            <w:r>
              <w:rPr>
                <w:rFonts w:hint="eastAsia"/>
                <w:sz w:val="24"/>
                <w:highlight w:val="none"/>
              </w:rPr>
              <w:t>提供满足</w:t>
            </w:r>
            <w:r>
              <w:rPr>
                <w:rFonts w:hint="eastAsia"/>
                <w:sz w:val="24"/>
                <w:szCs w:val="18"/>
                <w:highlight w:val="none"/>
              </w:rPr>
              <w:t>参审单位</w:t>
            </w:r>
            <w:r>
              <w:rPr>
                <w:rFonts w:hint="eastAsia"/>
                <w:sz w:val="24"/>
                <w:highlight w:val="none"/>
              </w:rPr>
              <w:t>资格中本项目的特定资格要求的资质证书扫描件。</w:t>
            </w:r>
          </w:p>
        </w:tc>
      </w:tr>
      <w:tr w14:paraId="0DE9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8D4E9C9">
            <w:pPr>
              <w:pStyle w:val="24"/>
              <w:numPr>
                <w:ilvl w:val="0"/>
                <w:numId w:val="1"/>
              </w:numPr>
              <w:adjustRightInd w:val="0"/>
              <w:snapToGrid w:val="0"/>
              <w:spacing w:line="360" w:lineRule="auto"/>
              <w:ind w:right="-10" w:firstLineChars="0"/>
              <w:jc w:val="center"/>
              <w:rPr>
                <w:rFonts w:hint="eastAsia"/>
                <w:sz w:val="24"/>
                <w:highlight w:val="none"/>
              </w:rPr>
            </w:pPr>
          </w:p>
        </w:tc>
        <w:tc>
          <w:tcPr>
            <w:tcW w:w="2391" w:type="dxa"/>
            <w:vAlign w:val="center"/>
          </w:tcPr>
          <w:p w14:paraId="497B3BEB">
            <w:pPr>
              <w:pStyle w:val="20"/>
              <w:pBdr>
                <w:bottom w:val="none" w:color="auto" w:sz="0" w:space="0"/>
              </w:pBdr>
              <w:snapToGrid w:val="0"/>
              <w:spacing w:line="360" w:lineRule="auto"/>
              <w:ind w:right="-10"/>
              <w:textAlignment w:val="auto"/>
              <w:rPr>
                <w:rFonts w:hint="eastAsia"/>
                <w:kern w:val="2"/>
                <w:szCs w:val="24"/>
                <w:highlight w:val="none"/>
              </w:rPr>
            </w:pPr>
            <w:r>
              <w:rPr>
                <w:rFonts w:hint="eastAsia"/>
                <w:highlight w:val="none"/>
              </w:rPr>
              <w:t>安全生产许可证</w:t>
            </w:r>
          </w:p>
        </w:tc>
        <w:tc>
          <w:tcPr>
            <w:tcW w:w="5535" w:type="dxa"/>
            <w:vAlign w:val="center"/>
          </w:tcPr>
          <w:p w14:paraId="4DBCB15D">
            <w:pPr>
              <w:spacing w:line="360" w:lineRule="auto"/>
              <w:jc w:val="left"/>
              <w:rPr>
                <w:rFonts w:hint="eastAsia"/>
                <w:sz w:val="24"/>
                <w:highlight w:val="none"/>
              </w:rPr>
            </w:pPr>
            <w:r>
              <w:rPr>
                <w:rFonts w:hint="eastAsia"/>
                <w:sz w:val="24"/>
                <w:highlight w:val="none"/>
              </w:rPr>
              <w:t>提供有效的安全生产许可证扫描件。</w:t>
            </w:r>
          </w:p>
        </w:tc>
      </w:tr>
      <w:tr w14:paraId="1EE2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A83F51D">
            <w:pPr>
              <w:pStyle w:val="24"/>
              <w:numPr>
                <w:ilvl w:val="0"/>
                <w:numId w:val="1"/>
              </w:numPr>
              <w:adjustRightInd w:val="0"/>
              <w:snapToGrid w:val="0"/>
              <w:spacing w:line="360" w:lineRule="auto"/>
              <w:ind w:right="-10" w:firstLineChars="0"/>
              <w:jc w:val="center"/>
              <w:rPr>
                <w:rFonts w:hint="eastAsia"/>
                <w:sz w:val="24"/>
                <w:highlight w:val="none"/>
              </w:rPr>
            </w:pPr>
          </w:p>
        </w:tc>
        <w:tc>
          <w:tcPr>
            <w:tcW w:w="2391" w:type="dxa"/>
            <w:vAlign w:val="center"/>
          </w:tcPr>
          <w:p w14:paraId="0FFA89F8">
            <w:pPr>
              <w:pStyle w:val="20"/>
              <w:pBdr>
                <w:bottom w:val="none" w:color="auto" w:sz="0" w:space="0"/>
              </w:pBdr>
              <w:snapToGrid w:val="0"/>
              <w:spacing w:line="360" w:lineRule="auto"/>
              <w:ind w:right="-10"/>
              <w:textAlignment w:val="auto"/>
              <w:rPr>
                <w:rFonts w:hint="eastAsia"/>
                <w:kern w:val="2"/>
                <w:szCs w:val="24"/>
                <w:highlight w:val="none"/>
              </w:rPr>
            </w:pPr>
            <w:r>
              <w:rPr>
                <w:rFonts w:hint="eastAsia"/>
                <w:highlight w:val="none"/>
              </w:rPr>
              <w:t>项目经理</w:t>
            </w:r>
          </w:p>
        </w:tc>
        <w:tc>
          <w:tcPr>
            <w:tcW w:w="5535" w:type="dxa"/>
            <w:vAlign w:val="center"/>
          </w:tcPr>
          <w:p w14:paraId="4BC91565">
            <w:pPr>
              <w:adjustRightInd w:val="0"/>
              <w:snapToGrid w:val="0"/>
              <w:spacing w:line="360" w:lineRule="auto"/>
              <w:ind w:right="-10"/>
              <w:jc w:val="left"/>
              <w:rPr>
                <w:rFonts w:hint="eastAsia"/>
                <w:sz w:val="24"/>
                <w:highlight w:val="none"/>
              </w:rPr>
            </w:pPr>
            <w:r>
              <w:rPr>
                <w:rFonts w:hint="eastAsia"/>
                <w:sz w:val="24"/>
                <w:highlight w:val="none"/>
              </w:rPr>
              <w:t>符合磋商文件要求。</w:t>
            </w:r>
          </w:p>
        </w:tc>
      </w:tr>
      <w:tr w14:paraId="389A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AE370C2">
            <w:pPr>
              <w:pStyle w:val="24"/>
              <w:numPr>
                <w:ilvl w:val="0"/>
                <w:numId w:val="1"/>
              </w:numPr>
              <w:adjustRightInd w:val="0"/>
              <w:snapToGrid w:val="0"/>
              <w:spacing w:line="360" w:lineRule="auto"/>
              <w:ind w:right="-10" w:firstLineChars="0"/>
              <w:jc w:val="center"/>
              <w:rPr>
                <w:rFonts w:hint="eastAsia"/>
                <w:sz w:val="24"/>
                <w:highlight w:val="none"/>
              </w:rPr>
            </w:pPr>
          </w:p>
        </w:tc>
        <w:tc>
          <w:tcPr>
            <w:tcW w:w="2391" w:type="dxa"/>
            <w:vAlign w:val="center"/>
          </w:tcPr>
          <w:p w14:paraId="22D33386">
            <w:pPr>
              <w:pStyle w:val="20"/>
              <w:pBdr>
                <w:bottom w:val="none" w:color="auto" w:sz="0" w:space="0"/>
              </w:pBdr>
              <w:snapToGrid w:val="0"/>
              <w:spacing w:line="360" w:lineRule="auto"/>
              <w:ind w:right="-10"/>
              <w:textAlignment w:val="auto"/>
              <w:rPr>
                <w:rFonts w:hint="eastAsia"/>
                <w:kern w:val="2"/>
                <w:szCs w:val="24"/>
                <w:highlight w:val="none"/>
              </w:rPr>
            </w:pPr>
            <w:r>
              <w:rPr>
                <w:rFonts w:hint="eastAsia"/>
                <w:highlight w:val="none"/>
              </w:rPr>
              <w:t>承诺函</w:t>
            </w:r>
          </w:p>
        </w:tc>
        <w:tc>
          <w:tcPr>
            <w:tcW w:w="5535" w:type="dxa"/>
            <w:vAlign w:val="center"/>
          </w:tcPr>
          <w:p w14:paraId="416ADD4D">
            <w:pPr>
              <w:adjustRightInd w:val="0"/>
              <w:snapToGrid w:val="0"/>
              <w:spacing w:line="360" w:lineRule="auto"/>
              <w:ind w:right="-10"/>
              <w:jc w:val="left"/>
              <w:rPr>
                <w:rFonts w:hint="eastAsia"/>
                <w:sz w:val="24"/>
                <w:highlight w:val="none"/>
              </w:rPr>
            </w:pPr>
            <w:r>
              <w:rPr>
                <w:rFonts w:hint="eastAsia"/>
                <w:sz w:val="24"/>
                <w:highlight w:val="none"/>
              </w:rPr>
              <w:t>符合磋商文件要求。</w:t>
            </w:r>
          </w:p>
        </w:tc>
      </w:tr>
      <w:tr w14:paraId="70EC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FD8742C">
            <w:pPr>
              <w:pStyle w:val="24"/>
              <w:numPr>
                <w:ilvl w:val="0"/>
                <w:numId w:val="1"/>
              </w:numPr>
              <w:adjustRightInd w:val="0"/>
              <w:snapToGrid w:val="0"/>
              <w:spacing w:line="360" w:lineRule="auto"/>
              <w:ind w:right="-10" w:firstLineChars="0"/>
              <w:jc w:val="center"/>
              <w:rPr>
                <w:rFonts w:hint="eastAsia"/>
                <w:sz w:val="24"/>
                <w:highlight w:val="none"/>
              </w:rPr>
            </w:pPr>
          </w:p>
        </w:tc>
        <w:tc>
          <w:tcPr>
            <w:tcW w:w="2391" w:type="dxa"/>
            <w:vAlign w:val="center"/>
          </w:tcPr>
          <w:p w14:paraId="6F7B3008">
            <w:pPr>
              <w:pStyle w:val="20"/>
              <w:pBdr>
                <w:bottom w:val="none" w:color="auto" w:sz="0" w:space="0"/>
              </w:pBdr>
              <w:snapToGrid w:val="0"/>
              <w:spacing w:line="360" w:lineRule="auto"/>
              <w:ind w:right="-10"/>
              <w:textAlignment w:val="auto"/>
              <w:rPr>
                <w:rFonts w:hint="eastAsia"/>
                <w:kern w:val="2"/>
                <w:szCs w:val="24"/>
                <w:highlight w:val="none"/>
              </w:rPr>
            </w:pPr>
            <w:r>
              <w:rPr>
                <w:rFonts w:hint="eastAsia"/>
                <w:highlight w:val="none"/>
                <w:lang w:val="en-US" w:eastAsia="zh-CN"/>
              </w:rPr>
              <w:t>磋商保证金及</w:t>
            </w:r>
            <w:r>
              <w:rPr>
                <w:rFonts w:hint="eastAsia"/>
                <w:highlight w:val="none"/>
              </w:rPr>
              <w:t>电子交易服务费</w:t>
            </w:r>
          </w:p>
        </w:tc>
        <w:tc>
          <w:tcPr>
            <w:tcW w:w="5535" w:type="dxa"/>
            <w:vAlign w:val="center"/>
          </w:tcPr>
          <w:p w14:paraId="4EA3A33E">
            <w:pPr>
              <w:spacing w:line="360" w:lineRule="auto"/>
              <w:jc w:val="left"/>
              <w:rPr>
                <w:rFonts w:hint="eastAsia"/>
                <w:sz w:val="24"/>
                <w:highlight w:val="none"/>
              </w:rPr>
            </w:pPr>
            <w:r>
              <w:rPr>
                <w:rFonts w:hint="eastAsia"/>
                <w:sz w:val="24"/>
                <w:highlight w:val="none"/>
              </w:rPr>
              <w:t>符合磋商文件要求，具体</w:t>
            </w:r>
            <w:r>
              <w:rPr>
                <w:rFonts w:hint="eastAsia" w:cs="宋体"/>
                <w:b/>
                <w:bCs/>
                <w:sz w:val="24"/>
                <w:szCs w:val="24"/>
                <w:highlight w:val="none"/>
              </w:rPr>
              <w:t>以代理机构财务查询为准。</w:t>
            </w:r>
          </w:p>
        </w:tc>
      </w:tr>
      <w:tr w14:paraId="3CD5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6E6420B">
            <w:pPr>
              <w:pStyle w:val="24"/>
              <w:numPr>
                <w:ilvl w:val="0"/>
                <w:numId w:val="1"/>
              </w:numPr>
              <w:adjustRightInd w:val="0"/>
              <w:snapToGrid w:val="0"/>
              <w:spacing w:line="360" w:lineRule="auto"/>
              <w:ind w:right="-10" w:firstLineChars="0"/>
              <w:jc w:val="center"/>
              <w:rPr>
                <w:rFonts w:hint="eastAsia"/>
                <w:sz w:val="24"/>
                <w:highlight w:val="none"/>
              </w:rPr>
            </w:pPr>
          </w:p>
        </w:tc>
        <w:tc>
          <w:tcPr>
            <w:tcW w:w="2391" w:type="dxa"/>
            <w:vAlign w:val="center"/>
          </w:tcPr>
          <w:p w14:paraId="16AA5529">
            <w:pPr>
              <w:pStyle w:val="20"/>
              <w:pBdr>
                <w:bottom w:val="none" w:color="auto" w:sz="0" w:space="0"/>
              </w:pBdr>
              <w:snapToGrid w:val="0"/>
              <w:spacing w:line="360" w:lineRule="auto"/>
              <w:ind w:right="-10"/>
              <w:textAlignment w:val="auto"/>
              <w:rPr>
                <w:rFonts w:hint="eastAsia"/>
                <w:kern w:val="2"/>
                <w:szCs w:val="24"/>
                <w:highlight w:val="none"/>
              </w:rPr>
            </w:pPr>
            <w:r>
              <w:rPr>
                <w:rFonts w:hint="eastAsia"/>
                <w:highlight w:val="none"/>
              </w:rPr>
              <w:t>授权书</w:t>
            </w:r>
          </w:p>
        </w:tc>
        <w:tc>
          <w:tcPr>
            <w:tcW w:w="5535" w:type="dxa"/>
            <w:vAlign w:val="center"/>
          </w:tcPr>
          <w:p w14:paraId="28777E4D">
            <w:pPr>
              <w:adjustRightInd w:val="0"/>
              <w:snapToGrid w:val="0"/>
              <w:spacing w:line="360" w:lineRule="auto"/>
              <w:ind w:right="-10"/>
              <w:jc w:val="left"/>
              <w:rPr>
                <w:rFonts w:hint="eastAsia"/>
                <w:sz w:val="24"/>
                <w:highlight w:val="none"/>
              </w:rPr>
            </w:pPr>
            <w:r>
              <w:rPr>
                <w:rFonts w:hint="eastAsia"/>
                <w:sz w:val="24"/>
                <w:highlight w:val="none"/>
              </w:rPr>
              <w:t>符合磋商文件要求。</w:t>
            </w:r>
          </w:p>
        </w:tc>
      </w:tr>
      <w:tr w14:paraId="7B14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ECB9AEE">
            <w:pPr>
              <w:pStyle w:val="24"/>
              <w:numPr>
                <w:ilvl w:val="0"/>
                <w:numId w:val="1"/>
              </w:numPr>
              <w:adjustRightInd w:val="0"/>
              <w:snapToGrid w:val="0"/>
              <w:spacing w:line="360" w:lineRule="auto"/>
              <w:ind w:right="-10" w:firstLineChars="0"/>
              <w:jc w:val="center"/>
              <w:rPr>
                <w:rFonts w:hint="eastAsia"/>
                <w:sz w:val="24"/>
                <w:highlight w:val="none"/>
              </w:rPr>
            </w:pPr>
          </w:p>
        </w:tc>
        <w:tc>
          <w:tcPr>
            <w:tcW w:w="2391" w:type="dxa"/>
            <w:vAlign w:val="center"/>
          </w:tcPr>
          <w:p w14:paraId="4EB5F87B">
            <w:pPr>
              <w:pStyle w:val="20"/>
              <w:pBdr>
                <w:bottom w:val="none" w:color="auto" w:sz="0" w:space="0"/>
              </w:pBdr>
              <w:snapToGrid w:val="0"/>
              <w:spacing w:line="360" w:lineRule="auto"/>
              <w:ind w:right="-10"/>
              <w:textAlignment w:val="auto"/>
              <w:rPr>
                <w:rFonts w:hint="eastAsia"/>
                <w:kern w:val="2"/>
                <w:szCs w:val="24"/>
                <w:highlight w:val="none"/>
              </w:rPr>
            </w:pPr>
            <w:r>
              <w:rPr>
                <w:rFonts w:hint="eastAsia"/>
                <w:highlight w:val="none"/>
              </w:rPr>
              <w:t>磋商响应函</w:t>
            </w:r>
          </w:p>
        </w:tc>
        <w:tc>
          <w:tcPr>
            <w:tcW w:w="5535" w:type="dxa"/>
            <w:vAlign w:val="center"/>
          </w:tcPr>
          <w:p w14:paraId="6DDC9610">
            <w:pPr>
              <w:adjustRightInd w:val="0"/>
              <w:snapToGrid w:val="0"/>
              <w:spacing w:line="360" w:lineRule="auto"/>
              <w:ind w:right="-10"/>
              <w:jc w:val="left"/>
              <w:rPr>
                <w:rFonts w:hint="eastAsia"/>
                <w:sz w:val="24"/>
                <w:highlight w:val="none"/>
              </w:rPr>
            </w:pPr>
            <w:r>
              <w:rPr>
                <w:rFonts w:hint="eastAsia"/>
                <w:sz w:val="24"/>
                <w:highlight w:val="none"/>
              </w:rPr>
              <w:t>符合磋商文件要求。</w:t>
            </w:r>
          </w:p>
        </w:tc>
      </w:tr>
      <w:tr w14:paraId="5A2F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8580F56">
            <w:pPr>
              <w:pStyle w:val="24"/>
              <w:numPr>
                <w:ilvl w:val="0"/>
                <w:numId w:val="1"/>
              </w:numPr>
              <w:adjustRightInd w:val="0"/>
              <w:snapToGrid w:val="0"/>
              <w:spacing w:line="360" w:lineRule="auto"/>
              <w:ind w:right="-10" w:firstLineChars="0"/>
              <w:jc w:val="center"/>
              <w:rPr>
                <w:rFonts w:hint="eastAsia"/>
                <w:sz w:val="24"/>
                <w:highlight w:val="none"/>
              </w:rPr>
            </w:pPr>
          </w:p>
        </w:tc>
        <w:tc>
          <w:tcPr>
            <w:tcW w:w="2391" w:type="dxa"/>
            <w:vAlign w:val="center"/>
          </w:tcPr>
          <w:p w14:paraId="1B58EE07">
            <w:pPr>
              <w:pStyle w:val="20"/>
              <w:pBdr>
                <w:bottom w:val="none" w:color="auto" w:sz="0" w:space="0"/>
              </w:pBdr>
              <w:snapToGrid w:val="0"/>
              <w:spacing w:line="360" w:lineRule="auto"/>
              <w:ind w:right="-10"/>
              <w:textAlignment w:val="auto"/>
              <w:rPr>
                <w:rFonts w:hint="eastAsia"/>
                <w:kern w:val="2"/>
                <w:szCs w:val="24"/>
                <w:highlight w:val="none"/>
              </w:rPr>
            </w:pPr>
            <w:r>
              <w:rPr>
                <w:rFonts w:hint="eastAsia"/>
                <w:highlight w:val="none"/>
              </w:rPr>
              <w:t>报价表</w:t>
            </w:r>
          </w:p>
        </w:tc>
        <w:tc>
          <w:tcPr>
            <w:tcW w:w="5535" w:type="dxa"/>
            <w:vAlign w:val="center"/>
          </w:tcPr>
          <w:p w14:paraId="4C2F42C3">
            <w:pPr>
              <w:adjustRightInd w:val="0"/>
              <w:snapToGrid w:val="0"/>
              <w:spacing w:line="360" w:lineRule="auto"/>
              <w:ind w:right="-10"/>
              <w:jc w:val="left"/>
              <w:rPr>
                <w:rFonts w:hint="eastAsia"/>
                <w:sz w:val="24"/>
                <w:highlight w:val="none"/>
              </w:rPr>
            </w:pPr>
            <w:r>
              <w:rPr>
                <w:rFonts w:hint="eastAsia"/>
                <w:sz w:val="24"/>
                <w:highlight w:val="none"/>
              </w:rPr>
              <w:t>符合磋商文件要求。</w:t>
            </w:r>
          </w:p>
        </w:tc>
      </w:tr>
      <w:tr w14:paraId="4FBC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C1D3894">
            <w:pPr>
              <w:pStyle w:val="24"/>
              <w:numPr>
                <w:ilvl w:val="0"/>
                <w:numId w:val="1"/>
              </w:numPr>
              <w:adjustRightInd w:val="0"/>
              <w:snapToGrid w:val="0"/>
              <w:spacing w:line="360" w:lineRule="auto"/>
              <w:ind w:right="-10" w:firstLineChars="0"/>
              <w:jc w:val="center"/>
              <w:rPr>
                <w:rFonts w:hint="eastAsia"/>
                <w:sz w:val="24"/>
                <w:highlight w:val="none"/>
              </w:rPr>
            </w:pPr>
          </w:p>
        </w:tc>
        <w:tc>
          <w:tcPr>
            <w:tcW w:w="2391" w:type="dxa"/>
            <w:vAlign w:val="center"/>
          </w:tcPr>
          <w:p w14:paraId="38321995">
            <w:pPr>
              <w:pStyle w:val="20"/>
              <w:pBdr>
                <w:bottom w:val="none" w:color="auto" w:sz="0" w:space="0"/>
              </w:pBdr>
              <w:snapToGrid w:val="0"/>
              <w:spacing w:line="360" w:lineRule="auto"/>
              <w:ind w:right="-10"/>
              <w:textAlignment w:val="auto"/>
              <w:rPr>
                <w:rFonts w:hint="eastAsia"/>
                <w:kern w:val="2"/>
                <w:szCs w:val="24"/>
                <w:highlight w:val="none"/>
              </w:rPr>
            </w:pPr>
            <w:r>
              <w:rPr>
                <w:rFonts w:hint="eastAsia"/>
                <w:kern w:val="2"/>
                <w:szCs w:val="24"/>
                <w:highlight w:val="none"/>
              </w:rPr>
              <w:t>无不良信用记录声明函</w:t>
            </w:r>
          </w:p>
        </w:tc>
        <w:tc>
          <w:tcPr>
            <w:tcW w:w="5535" w:type="dxa"/>
            <w:vAlign w:val="center"/>
          </w:tcPr>
          <w:p w14:paraId="094971D8">
            <w:pPr>
              <w:adjustRightInd w:val="0"/>
              <w:snapToGrid w:val="0"/>
              <w:spacing w:line="360" w:lineRule="auto"/>
              <w:ind w:right="-10"/>
              <w:jc w:val="left"/>
              <w:rPr>
                <w:rFonts w:hint="eastAsia"/>
                <w:sz w:val="24"/>
                <w:highlight w:val="none"/>
              </w:rPr>
            </w:pPr>
            <w:r>
              <w:rPr>
                <w:rFonts w:hint="eastAsia"/>
                <w:sz w:val="24"/>
                <w:highlight w:val="none"/>
              </w:rPr>
              <w:t>符合磋商文件要求。</w:t>
            </w:r>
          </w:p>
        </w:tc>
      </w:tr>
      <w:tr w14:paraId="7A59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EECC2A7">
            <w:pPr>
              <w:pStyle w:val="24"/>
              <w:numPr>
                <w:ilvl w:val="0"/>
                <w:numId w:val="1"/>
              </w:numPr>
              <w:adjustRightInd w:val="0"/>
              <w:snapToGrid w:val="0"/>
              <w:spacing w:line="360" w:lineRule="auto"/>
              <w:ind w:right="-10" w:firstLineChars="0"/>
              <w:jc w:val="center"/>
              <w:rPr>
                <w:rFonts w:hint="eastAsia"/>
                <w:sz w:val="24"/>
                <w:highlight w:val="none"/>
              </w:rPr>
            </w:pPr>
          </w:p>
        </w:tc>
        <w:tc>
          <w:tcPr>
            <w:tcW w:w="2391" w:type="dxa"/>
            <w:vAlign w:val="center"/>
          </w:tcPr>
          <w:p w14:paraId="7DC8477B">
            <w:pPr>
              <w:pStyle w:val="20"/>
              <w:pBdr>
                <w:bottom w:val="none" w:color="auto" w:sz="0" w:space="0"/>
              </w:pBdr>
              <w:snapToGrid w:val="0"/>
              <w:spacing w:line="360" w:lineRule="auto"/>
              <w:ind w:right="-10"/>
              <w:textAlignment w:val="auto"/>
              <w:rPr>
                <w:rFonts w:hint="eastAsia"/>
                <w:kern w:val="2"/>
                <w:szCs w:val="24"/>
                <w:highlight w:val="none"/>
              </w:rPr>
            </w:pPr>
            <w:r>
              <w:rPr>
                <w:rFonts w:hint="eastAsia"/>
                <w:highlight w:val="none"/>
              </w:rPr>
              <w:t>其他要求</w:t>
            </w:r>
          </w:p>
        </w:tc>
        <w:tc>
          <w:tcPr>
            <w:tcW w:w="5535" w:type="dxa"/>
            <w:vAlign w:val="center"/>
          </w:tcPr>
          <w:p w14:paraId="7ED2EF65">
            <w:pPr>
              <w:adjustRightInd w:val="0"/>
              <w:snapToGrid w:val="0"/>
              <w:spacing w:line="360" w:lineRule="auto"/>
              <w:ind w:right="-10"/>
              <w:jc w:val="left"/>
              <w:rPr>
                <w:rFonts w:hint="eastAsia"/>
                <w:sz w:val="24"/>
                <w:highlight w:val="none"/>
              </w:rPr>
            </w:pPr>
            <w:r>
              <w:rPr>
                <w:rFonts w:hint="eastAsia"/>
                <w:sz w:val="24"/>
                <w:szCs w:val="28"/>
                <w:highlight w:val="none"/>
              </w:rPr>
              <w:t>符合法律、行政法规规定的其他条件或磋商文件列明的其他要求</w:t>
            </w:r>
          </w:p>
        </w:tc>
      </w:tr>
      <w:tr w14:paraId="2412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3"/>
            <w:tcBorders>
              <w:bottom w:val="single" w:color="auto" w:sz="4" w:space="0"/>
            </w:tcBorders>
            <w:vAlign w:val="center"/>
          </w:tcPr>
          <w:p w14:paraId="605C8912">
            <w:pPr>
              <w:adjustRightInd w:val="0"/>
              <w:snapToGrid w:val="0"/>
              <w:spacing w:line="360" w:lineRule="auto"/>
              <w:ind w:right="-10"/>
              <w:jc w:val="left"/>
              <w:rPr>
                <w:rFonts w:hint="eastAsia"/>
                <w:sz w:val="24"/>
                <w:highlight w:val="none"/>
              </w:rPr>
            </w:pPr>
            <w:r>
              <w:rPr>
                <w:rFonts w:hint="eastAsia"/>
                <w:sz w:val="24"/>
                <w:highlight w:val="none"/>
              </w:rPr>
              <w:t>评审指标通过标准：</w:t>
            </w:r>
            <w:r>
              <w:rPr>
                <w:rFonts w:hint="eastAsia"/>
                <w:sz w:val="24"/>
                <w:szCs w:val="18"/>
                <w:highlight w:val="none"/>
              </w:rPr>
              <w:t>参审单位</w:t>
            </w:r>
            <w:r>
              <w:rPr>
                <w:rFonts w:hint="eastAsia"/>
                <w:sz w:val="24"/>
                <w:highlight w:val="none"/>
              </w:rPr>
              <w:t>必须通过上述全部指标。</w:t>
            </w:r>
          </w:p>
        </w:tc>
      </w:tr>
    </w:tbl>
    <w:p w14:paraId="5E158F01">
      <w:pPr>
        <w:spacing w:line="360" w:lineRule="auto"/>
        <w:ind w:firstLine="435"/>
        <w:rPr>
          <w:rFonts w:hint="eastAsia"/>
          <w:sz w:val="24"/>
          <w:highlight w:val="none"/>
        </w:rPr>
      </w:pPr>
      <w:r>
        <w:rPr>
          <w:rFonts w:hint="eastAsia"/>
          <w:b/>
          <w:bCs/>
          <w:sz w:val="24"/>
          <w:highlight w:val="none"/>
        </w:rPr>
        <w:t>初审指标通过标准：</w:t>
      </w:r>
      <w:r>
        <w:rPr>
          <w:rFonts w:hint="eastAsia"/>
          <w:sz w:val="24"/>
          <w:szCs w:val="18"/>
          <w:highlight w:val="none"/>
        </w:rPr>
        <w:t>参审单位</w:t>
      </w:r>
      <w:r>
        <w:rPr>
          <w:rFonts w:hint="eastAsia"/>
          <w:sz w:val="24"/>
          <w:highlight w:val="none"/>
        </w:rPr>
        <w:t>必须通过初审表中的全部评审指标。</w:t>
      </w:r>
    </w:p>
    <w:p w14:paraId="4C76752A">
      <w:pPr>
        <w:spacing w:line="360" w:lineRule="auto"/>
        <w:ind w:firstLine="435"/>
        <w:outlineLvl w:val="2"/>
        <w:rPr>
          <w:rFonts w:hint="eastAsia"/>
          <w:b/>
          <w:sz w:val="24"/>
          <w:highlight w:val="none"/>
        </w:rPr>
      </w:pPr>
      <w:r>
        <w:rPr>
          <w:rFonts w:hint="eastAsia"/>
          <w:b/>
          <w:sz w:val="24"/>
          <w:highlight w:val="none"/>
        </w:rPr>
        <w:t>2.2综合评分</w:t>
      </w:r>
    </w:p>
    <w:p w14:paraId="4899A8F6">
      <w:pPr>
        <w:spacing w:line="360" w:lineRule="auto"/>
        <w:ind w:firstLine="435"/>
        <w:rPr>
          <w:rFonts w:hint="eastAsia"/>
          <w:sz w:val="24"/>
          <w:highlight w:val="none"/>
        </w:rPr>
      </w:pPr>
      <w:r>
        <w:rPr>
          <w:rFonts w:hint="eastAsia"/>
          <w:sz w:val="24"/>
          <w:highlight w:val="none"/>
        </w:rPr>
        <w:t>2</w:t>
      </w:r>
      <w:r>
        <w:rPr>
          <w:sz w:val="24"/>
          <w:highlight w:val="none"/>
        </w:rPr>
        <w:t>.</w:t>
      </w:r>
      <w:r>
        <w:rPr>
          <w:rFonts w:hint="eastAsia"/>
          <w:sz w:val="24"/>
          <w:highlight w:val="none"/>
        </w:rPr>
        <w:t>2</w:t>
      </w:r>
      <w:r>
        <w:rPr>
          <w:sz w:val="24"/>
          <w:highlight w:val="none"/>
        </w:rPr>
        <w:t>.1</w:t>
      </w:r>
      <w:r>
        <w:rPr>
          <w:rFonts w:hint="eastAsia"/>
          <w:sz w:val="24"/>
          <w:highlight w:val="none"/>
        </w:rPr>
        <w:t>磋商小组按照下表对进入综合评分的所有</w:t>
      </w:r>
      <w:r>
        <w:rPr>
          <w:rFonts w:hint="eastAsia"/>
          <w:sz w:val="24"/>
          <w:szCs w:val="18"/>
          <w:highlight w:val="none"/>
        </w:rPr>
        <w:t>参审单位</w:t>
      </w:r>
      <w:r>
        <w:rPr>
          <w:rFonts w:hint="eastAsia"/>
          <w:sz w:val="24"/>
          <w:highlight w:val="none"/>
        </w:rPr>
        <w:t>的响应文件进行综合评分。</w:t>
      </w:r>
    </w:p>
    <w:p w14:paraId="51C80B00">
      <w:pPr>
        <w:spacing w:line="360" w:lineRule="auto"/>
        <w:ind w:firstLine="435"/>
        <w:rPr>
          <w:rFonts w:hint="eastAsia" w:eastAsia="宋体"/>
          <w:sz w:val="24"/>
          <w:highlight w:val="none"/>
          <w:lang w:val="en-US" w:eastAsia="zh-CN"/>
        </w:rPr>
      </w:pPr>
      <w:r>
        <w:rPr>
          <w:rFonts w:hint="eastAsia"/>
          <w:b/>
          <w:bCs/>
          <w:sz w:val="24"/>
          <w:highlight w:val="none"/>
        </w:rPr>
        <w:t>2</w:t>
      </w:r>
      <w:r>
        <w:rPr>
          <w:b/>
          <w:bCs/>
          <w:sz w:val="24"/>
          <w:highlight w:val="none"/>
        </w:rPr>
        <w:t>.</w:t>
      </w:r>
      <w:r>
        <w:rPr>
          <w:rFonts w:hint="eastAsia"/>
          <w:b/>
          <w:bCs/>
          <w:sz w:val="24"/>
          <w:highlight w:val="none"/>
        </w:rPr>
        <w:t>2</w:t>
      </w:r>
      <w:r>
        <w:rPr>
          <w:b/>
          <w:bCs/>
          <w:sz w:val="24"/>
          <w:highlight w:val="none"/>
        </w:rPr>
        <w:t>.2</w:t>
      </w:r>
      <w:r>
        <w:rPr>
          <w:rFonts w:hint="eastAsia" w:ascii="宋体" w:hAnsi="宋体" w:eastAsia="宋体" w:cs="宋体"/>
          <w:b/>
          <w:bCs/>
          <w:sz w:val="24"/>
          <w:highlight w:val="none"/>
        </w:rPr>
        <w:t>本项目综合评分满分为100分，其中：技术资信分值占总分值的权重为</w:t>
      </w:r>
      <w:r>
        <w:rPr>
          <w:rFonts w:hint="eastAsia" w:cs="宋体"/>
          <w:b/>
          <w:bCs/>
          <w:sz w:val="24"/>
          <w:highlight w:val="none"/>
          <w:u w:val="single"/>
          <w:lang w:val="en-US" w:eastAsia="zh-CN"/>
        </w:rPr>
        <w:t>90</w:t>
      </w:r>
      <w:r>
        <w:rPr>
          <w:rFonts w:hint="eastAsia" w:ascii="宋体" w:hAnsi="宋体" w:eastAsia="宋体" w:cs="宋体"/>
          <w:b/>
          <w:bCs/>
          <w:sz w:val="24"/>
          <w:highlight w:val="none"/>
        </w:rPr>
        <w:t>%，价格分值占总分值的权重为</w:t>
      </w:r>
      <w:r>
        <w:rPr>
          <w:rFonts w:hint="eastAsia" w:cs="宋体"/>
          <w:b/>
          <w:bCs/>
          <w:sz w:val="24"/>
          <w:highlight w:val="none"/>
          <w:u w:val="single"/>
          <w:lang w:val="en-US" w:eastAsia="zh-CN"/>
        </w:rPr>
        <w:t>10</w:t>
      </w:r>
      <w:r>
        <w:rPr>
          <w:rFonts w:hint="eastAsia" w:ascii="宋体" w:hAnsi="宋体" w:eastAsia="宋体" w:cs="宋体"/>
          <w:b/>
          <w:bCs/>
          <w:sz w:val="24"/>
          <w:highlight w:val="none"/>
        </w:rPr>
        <w:t>%。具体评分细则如下：</w:t>
      </w:r>
    </w:p>
    <w:tbl>
      <w:tblPr>
        <w:tblStyle w:val="13"/>
        <w:tblW w:w="56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1281"/>
        <w:gridCol w:w="5496"/>
        <w:gridCol w:w="1252"/>
      </w:tblGrid>
      <w:tr w14:paraId="08AC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pct"/>
            <w:tcBorders>
              <w:top w:val="single" w:color="auto" w:sz="4" w:space="0"/>
              <w:left w:val="single" w:color="auto" w:sz="4" w:space="0"/>
              <w:bottom w:val="single" w:color="auto" w:sz="4" w:space="0"/>
              <w:right w:val="single" w:color="auto" w:sz="4" w:space="0"/>
            </w:tcBorders>
            <w:noWrap w:val="0"/>
            <w:vAlign w:val="center"/>
          </w:tcPr>
          <w:p w14:paraId="21C9D3F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u w:val="none"/>
              </w:rPr>
            </w:pPr>
            <w:r>
              <w:rPr>
                <w:rFonts w:hint="eastAsia" w:ascii="宋体" w:hAnsi="宋体" w:eastAsia="宋体" w:cs="宋体"/>
                <w:b/>
                <w:bCs/>
                <w:color w:val="auto"/>
                <w:sz w:val="24"/>
                <w:u w:val="none"/>
              </w:rPr>
              <w:t>类别</w:t>
            </w:r>
          </w:p>
        </w:tc>
        <w:tc>
          <w:tcPr>
            <w:tcW w:w="672" w:type="pct"/>
            <w:tcBorders>
              <w:top w:val="single" w:color="auto" w:sz="4" w:space="0"/>
              <w:left w:val="single" w:color="auto" w:sz="4" w:space="0"/>
              <w:bottom w:val="single" w:color="auto" w:sz="4" w:space="0"/>
              <w:right w:val="single" w:color="auto" w:sz="4" w:space="0"/>
            </w:tcBorders>
            <w:noWrap w:val="0"/>
            <w:vAlign w:val="center"/>
          </w:tcPr>
          <w:p w14:paraId="4F9EE2B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u w:val="none"/>
              </w:rPr>
            </w:pPr>
            <w:r>
              <w:rPr>
                <w:rFonts w:hint="eastAsia" w:ascii="宋体" w:hAnsi="宋体" w:eastAsia="宋体" w:cs="宋体"/>
                <w:b/>
                <w:bCs/>
                <w:color w:val="auto"/>
                <w:sz w:val="24"/>
                <w:u w:val="none"/>
              </w:rPr>
              <w:t>评分内容</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70D8B4A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u w:val="none"/>
              </w:rPr>
            </w:pPr>
            <w:r>
              <w:rPr>
                <w:rFonts w:hint="eastAsia" w:ascii="宋体" w:hAnsi="宋体" w:eastAsia="宋体" w:cs="宋体"/>
                <w:b/>
                <w:bCs/>
                <w:color w:val="auto"/>
                <w:sz w:val="24"/>
                <w:u w:val="none"/>
              </w:rPr>
              <w:t>评分标准</w:t>
            </w:r>
          </w:p>
        </w:tc>
        <w:tc>
          <w:tcPr>
            <w:tcW w:w="656" w:type="pct"/>
            <w:tcBorders>
              <w:top w:val="single" w:color="auto" w:sz="4" w:space="0"/>
              <w:left w:val="single" w:color="auto" w:sz="4" w:space="0"/>
              <w:bottom w:val="single" w:color="auto" w:sz="4" w:space="0"/>
              <w:right w:val="single" w:color="auto" w:sz="4" w:space="0"/>
            </w:tcBorders>
            <w:noWrap w:val="0"/>
            <w:vAlign w:val="center"/>
          </w:tcPr>
          <w:p w14:paraId="24DCFD6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u w:val="none"/>
              </w:rPr>
            </w:pPr>
            <w:r>
              <w:rPr>
                <w:rFonts w:hint="eastAsia" w:ascii="宋体" w:hAnsi="宋体" w:eastAsia="宋体" w:cs="宋体"/>
                <w:b/>
                <w:bCs/>
                <w:color w:val="auto"/>
                <w:sz w:val="24"/>
                <w:u w:val="none"/>
              </w:rPr>
              <w:t>分值范围</w:t>
            </w:r>
          </w:p>
        </w:tc>
      </w:tr>
      <w:tr w14:paraId="15BB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pct"/>
            <w:vMerge w:val="restart"/>
            <w:tcBorders>
              <w:top w:val="single" w:color="auto" w:sz="4" w:space="0"/>
              <w:left w:val="single" w:color="auto" w:sz="4" w:space="0"/>
              <w:right w:val="single" w:color="auto" w:sz="4" w:space="0"/>
            </w:tcBorders>
            <w:noWrap w:val="0"/>
            <w:vAlign w:val="center"/>
          </w:tcPr>
          <w:p w14:paraId="3FB65EC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技术资信分（</w:t>
            </w:r>
            <w:r>
              <w:rPr>
                <w:rFonts w:hint="eastAsia" w:cs="宋体"/>
                <w:b/>
                <w:bCs/>
                <w:color w:val="auto"/>
                <w:sz w:val="24"/>
                <w:u w:val="none"/>
                <w:lang w:val="en-US" w:eastAsia="zh-CN"/>
              </w:rPr>
              <w:t>90</w:t>
            </w:r>
            <w:r>
              <w:rPr>
                <w:rFonts w:hint="eastAsia" w:ascii="宋体" w:hAnsi="宋体" w:eastAsia="宋体" w:cs="宋体"/>
                <w:b/>
                <w:bCs/>
                <w:color w:val="auto"/>
                <w:sz w:val="24"/>
                <w:u w:val="none"/>
                <w:lang w:val="en-US" w:eastAsia="zh-CN"/>
              </w:rPr>
              <w:t>分）</w:t>
            </w:r>
          </w:p>
        </w:tc>
        <w:tc>
          <w:tcPr>
            <w:tcW w:w="672" w:type="pct"/>
            <w:tcBorders>
              <w:top w:val="single" w:color="auto" w:sz="4" w:space="0"/>
              <w:left w:val="single" w:color="auto" w:sz="4" w:space="0"/>
              <w:bottom w:val="single" w:color="auto" w:sz="4" w:space="0"/>
              <w:right w:val="single" w:color="auto" w:sz="4" w:space="0"/>
            </w:tcBorders>
            <w:noWrap w:val="0"/>
            <w:vAlign w:val="center"/>
          </w:tcPr>
          <w:p w14:paraId="1283615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color w:val="auto"/>
                <w:sz w:val="24"/>
                <w:szCs w:val="24"/>
                <w:u w:val="none"/>
                <w:lang w:val="en-US" w:eastAsia="zh-CN"/>
              </w:rPr>
              <w:t>项目实施方案</w:t>
            </w:r>
          </w:p>
        </w:tc>
        <w:tc>
          <w:tcPr>
            <w:tcW w:w="2884" w:type="pct"/>
            <w:tcBorders>
              <w:top w:val="single" w:color="auto" w:sz="4" w:space="0"/>
              <w:left w:val="single" w:color="auto" w:sz="4" w:space="0"/>
              <w:bottom w:val="single" w:color="auto" w:sz="4" w:space="0"/>
              <w:right w:val="single" w:color="auto" w:sz="4" w:space="0"/>
            </w:tcBorders>
            <w:noWrap w:val="0"/>
            <w:vAlign w:val="top"/>
          </w:tcPr>
          <w:p w14:paraId="7EFCE8F4">
            <w:pPr>
              <w:keepNext w:val="0"/>
              <w:keepLines w:val="0"/>
              <w:pageBreakBefore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b w:val="0"/>
                <w:bCs w:val="0"/>
                <w:sz w:val="24"/>
                <w:szCs w:val="24"/>
                <w:highlight w:val="none"/>
                <w:lang w:val="en-US" w:eastAsia="zh-CN"/>
              </w:rPr>
              <w:t>针对现场实际情况</w:t>
            </w:r>
            <w:r>
              <w:rPr>
                <w:rFonts w:hint="eastAsia" w:cs="宋体"/>
                <w:b w:val="0"/>
                <w:bCs w:val="0"/>
                <w:sz w:val="24"/>
                <w:szCs w:val="24"/>
                <w:highlight w:val="none"/>
                <w:lang w:val="en-US" w:eastAsia="zh-CN"/>
              </w:rPr>
              <w:t>，</w:t>
            </w:r>
            <w:r>
              <w:rPr>
                <w:rFonts w:hint="eastAsia" w:ascii="宋体" w:hAnsi="宋体" w:eastAsia="宋体" w:cs="宋体"/>
                <w:color w:val="auto"/>
                <w:sz w:val="24"/>
                <w:szCs w:val="24"/>
                <w:u w:val="none"/>
                <w:lang w:val="en-US" w:eastAsia="zh-CN"/>
              </w:rPr>
              <w:t>供应商提供项目实施方案，由磋商小组综合评分：</w:t>
            </w:r>
          </w:p>
          <w:p w14:paraId="0F179648">
            <w:pPr>
              <w:keepNext w:val="0"/>
              <w:keepLines w:val="0"/>
              <w:pageBreakBefore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1.各分部分项工程施工方案；</w:t>
            </w:r>
          </w:p>
          <w:p w14:paraId="573C842F">
            <w:pPr>
              <w:keepNext w:val="0"/>
              <w:keepLines w:val="0"/>
              <w:pageBreakBefore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2.关键工序；</w:t>
            </w:r>
          </w:p>
          <w:p w14:paraId="1BA53287">
            <w:pPr>
              <w:keepNext w:val="0"/>
              <w:keepLines w:val="0"/>
              <w:pageBreakBefore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3.技术保障措施；</w:t>
            </w:r>
          </w:p>
          <w:p w14:paraId="4605F59E">
            <w:pPr>
              <w:keepNext w:val="0"/>
              <w:keepLines w:val="0"/>
              <w:pageBreakBefore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4.施工技术等。</w:t>
            </w:r>
          </w:p>
          <w:p w14:paraId="1DF2DB10">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实施方案描述详尽、符合实际，针对性强得8≤F≤12分；</w:t>
            </w:r>
          </w:p>
          <w:p w14:paraId="4AC3071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实施方案比较明确、针对性较强，得4≤F＜8分；</w:t>
            </w:r>
          </w:p>
          <w:p w14:paraId="2A8CBC2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实施方案不明确、思路不清晰的，得1≤F＜4分；</w:t>
            </w:r>
          </w:p>
          <w:p w14:paraId="768BC970">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未提供不得分；</w:t>
            </w:r>
          </w:p>
          <w:p w14:paraId="5B97BC3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kern w:val="2"/>
                <w:sz w:val="24"/>
                <w:szCs w:val="28"/>
                <w:u w:val="none"/>
                <w:lang w:val="en-US" w:eastAsia="zh-CN" w:bidi="ar-SA"/>
              </w:rPr>
            </w:pPr>
            <w:r>
              <w:rPr>
                <w:rFonts w:hint="eastAsia" w:ascii="宋体" w:hAnsi="宋体" w:eastAsia="宋体" w:cs="宋体"/>
                <w:b/>
                <w:bCs/>
                <w:color w:val="000000"/>
                <w:sz w:val="24"/>
                <w:u w:val="none"/>
              </w:rPr>
              <w:t>注：</w:t>
            </w:r>
            <w:r>
              <w:rPr>
                <w:rFonts w:hint="eastAsia" w:ascii="宋体" w:hAnsi="宋体" w:eastAsia="宋体" w:cs="宋体"/>
                <w:b/>
                <w:color w:val="000000"/>
                <w:sz w:val="24"/>
                <w:u w:val="none"/>
              </w:rPr>
              <w:t>F为本项得分</w:t>
            </w:r>
            <w:r>
              <w:rPr>
                <w:rFonts w:hint="eastAsia" w:ascii="宋体" w:hAnsi="宋体" w:eastAsia="宋体" w:cs="宋体"/>
                <w:b/>
                <w:bCs/>
                <w:color w:val="000000"/>
                <w:sz w:val="24"/>
                <w:u w:val="none"/>
              </w:rPr>
              <w:t>。</w:t>
            </w:r>
          </w:p>
        </w:tc>
        <w:tc>
          <w:tcPr>
            <w:tcW w:w="656" w:type="pct"/>
            <w:tcBorders>
              <w:top w:val="single" w:color="auto" w:sz="4" w:space="0"/>
              <w:left w:val="single" w:color="auto" w:sz="4" w:space="0"/>
              <w:bottom w:val="single" w:color="auto" w:sz="4" w:space="0"/>
              <w:right w:val="single" w:color="auto" w:sz="4" w:space="0"/>
            </w:tcBorders>
            <w:noWrap w:val="0"/>
            <w:vAlign w:val="center"/>
          </w:tcPr>
          <w:p w14:paraId="42A20E3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sz w:val="24"/>
                <w:szCs w:val="24"/>
                <w:u w:val="none"/>
              </w:rPr>
              <w:t>0-</w:t>
            </w:r>
            <w:r>
              <w:rPr>
                <w:rFonts w:hint="eastAsia" w:ascii="宋体" w:hAnsi="宋体" w:eastAsia="宋体" w:cs="宋体"/>
                <w:color w:val="auto"/>
                <w:sz w:val="24"/>
                <w:szCs w:val="24"/>
                <w:u w:val="none"/>
                <w:lang w:val="en-US" w:eastAsia="zh-CN"/>
              </w:rPr>
              <w:t>12</w:t>
            </w:r>
            <w:r>
              <w:rPr>
                <w:rFonts w:hint="eastAsia" w:ascii="宋体" w:hAnsi="宋体" w:eastAsia="宋体" w:cs="宋体"/>
                <w:color w:val="auto"/>
                <w:sz w:val="24"/>
                <w:szCs w:val="24"/>
                <w:u w:val="none"/>
              </w:rPr>
              <w:t>分</w:t>
            </w:r>
          </w:p>
        </w:tc>
      </w:tr>
      <w:tr w14:paraId="7533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pct"/>
            <w:vMerge w:val="continue"/>
            <w:tcBorders>
              <w:left w:val="single" w:color="auto" w:sz="4" w:space="0"/>
              <w:right w:val="single" w:color="auto" w:sz="4" w:space="0"/>
            </w:tcBorders>
            <w:noWrap w:val="0"/>
            <w:vAlign w:val="center"/>
          </w:tcPr>
          <w:p w14:paraId="79DAB2E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u w:val="none"/>
                <w:lang w:val="en-US" w:eastAsia="zh-CN"/>
              </w:rPr>
            </w:pPr>
          </w:p>
        </w:tc>
        <w:tc>
          <w:tcPr>
            <w:tcW w:w="672" w:type="pct"/>
            <w:tcBorders>
              <w:top w:val="single" w:color="auto" w:sz="4" w:space="0"/>
              <w:left w:val="single" w:color="auto" w:sz="4" w:space="0"/>
              <w:right w:val="single" w:color="auto" w:sz="4" w:space="0"/>
            </w:tcBorders>
            <w:noWrap w:val="0"/>
            <w:vAlign w:val="center"/>
          </w:tcPr>
          <w:p w14:paraId="4747CE4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确保工程质量的管理体系与措施</w:t>
            </w:r>
          </w:p>
        </w:tc>
        <w:tc>
          <w:tcPr>
            <w:tcW w:w="2884" w:type="pct"/>
            <w:tcBorders>
              <w:top w:val="single" w:color="auto" w:sz="4" w:space="0"/>
              <w:left w:val="single" w:color="auto" w:sz="4" w:space="0"/>
              <w:bottom w:val="single" w:color="auto" w:sz="4" w:space="0"/>
              <w:right w:val="single" w:color="auto" w:sz="4" w:space="0"/>
            </w:tcBorders>
            <w:noWrap w:val="0"/>
            <w:vAlign w:val="top"/>
          </w:tcPr>
          <w:p w14:paraId="1E061C4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确保工程质量的管理体系与措施包含但不限于：</w:t>
            </w:r>
          </w:p>
          <w:p w14:paraId="5950684F">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1.施工完成部分与正在施工部分做好现场维护措施；</w:t>
            </w:r>
          </w:p>
          <w:p w14:paraId="15EA79B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2.成品保护措施；</w:t>
            </w:r>
          </w:p>
          <w:p w14:paraId="65BC1E2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3.质保具体内容；</w:t>
            </w:r>
          </w:p>
          <w:p w14:paraId="7653E5F7">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4.供应商认为本项目存在的施工重难点及解决措施。</w:t>
            </w:r>
          </w:p>
          <w:p w14:paraId="0F5F164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方案描述详尽、符合实际，针对性强得8≤F≤12分；</w:t>
            </w:r>
          </w:p>
          <w:p w14:paraId="6512927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方案比较明确、针对性较强，得4≤F＜8分；</w:t>
            </w:r>
          </w:p>
          <w:p w14:paraId="3193502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方案不明确、思路不清晰的，得1≤F＜4分；</w:t>
            </w:r>
          </w:p>
          <w:p w14:paraId="47872412">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sz w:val="24"/>
                <w:u w:val="none"/>
              </w:rPr>
            </w:pPr>
            <w:r>
              <w:rPr>
                <w:rFonts w:hint="eastAsia" w:ascii="宋体" w:hAnsi="宋体" w:eastAsia="宋体" w:cs="宋体"/>
                <w:b/>
                <w:bCs/>
                <w:color w:val="auto"/>
                <w:sz w:val="24"/>
                <w:u w:val="none"/>
                <w:lang w:val="en-US" w:eastAsia="zh-CN"/>
              </w:rPr>
              <w:t>未提供不得分；</w:t>
            </w:r>
          </w:p>
          <w:p w14:paraId="43CF4E6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b/>
                <w:bCs/>
                <w:color w:val="000000"/>
                <w:sz w:val="24"/>
                <w:u w:val="none"/>
              </w:rPr>
              <w:t>注：</w:t>
            </w:r>
            <w:r>
              <w:rPr>
                <w:rFonts w:hint="eastAsia" w:ascii="宋体" w:hAnsi="宋体" w:eastAsia="宋体" w:cs="宋体"/>
                <w:b/>
                <w:color w:val="000000"/>
                <w:sz w:val="24"/>
                <w:u w:val="none"/>
              </w:rPr>
              <w:t>F为本项得分</w:t>
            </w:r>
            <w:r>
              <w:rPr>
                <w:rFonts w:hint="eastAsia" w:ascii="宋体" w:hAnsi="宋体" w:eastAsia="宋体" w:cs="宋体"/>
                <w:b/>
                <w:bCs/>
                <w:color w:val="000000"/>
                <w:sz w:val="24"/>
                <w:u w:val="none"/>
              </w:rPr>
              <w:t>。</w:t>
            </w:r>
          </w:p>
        </w:tc>
        <w:tc>
          <w:tcPr>
            <w:tcW w:w="656" w:type="pct"/>
            <w:tcBorders>
              <w:top w:val="single" w:color="auto" w:sz="4" w:space="0"/>
              <w:left w:val="single" w:color="auto" w:sz="4" w:space="0"/>
              <w:bottom w:val="single" w:color="auto" w:sz="4" w:space="0"/>
              <w:right w:val="single" w:color="auto" w:sz="4" w:space="0"/>
            </w:tcBorders>
            <w:noWrap w:val="0"/>
            <w:vAlign w:val="center"/>
          </w:tcPr>
          <w:p w14:paraId="0667633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w:t>
            </w:r>
            <w:r>
              <w:rPr>
                <w:rFonts w:hint="eastAsia" w:ascii="宋体" w:hAnsi="宋体" w:eastAsia="宋体" w:cs="宋体"/>
                <w:color w:val="auto"/>
                <w:sz w:val="24"/>
                <w:szCs w:val="24"/>
                <w:u w:val="none"/>
                <w:lang w:val="en-US" w:eastAsia="zh-CN"/>
              </w:rPr>
              <w:t>12</w:t>
            </w:r>
            <w:r>
              <w:rPr>
                <w:rFonts w:hint="eastAsia" w:ascii="宋体" w:hAnsi="宋体" w:eastAsia="宋体" w:cs="宋体"/>
                <w:color w:val="auto"/>
                <w:sz w:val="24"/>
                <w:szCs w:val="24"/>
                <w:u w:val="none"/>
              </w:rPr>
              <w:t>分</w:t>
            </w:r>
          </w:p>
        </w:tc>
      </w:tr>
      <w:tr w14:paraId="1CE4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pct"/>
            <w:vMerge w:val="continue"/>
            <w:tcBorders>
              <w:left w:val="single" w:color="auto" w:sz="4" w:space="0"/>
              <w:right w:val="single" w:color="auto" w:sz="4" w:space="0"/>
            </w:tcBorders>
            <w:noWrap w:val="0"/>
            <w:vAlign w:val="center"/>
          </w:tcPr>
          <w:p w14:paraId="769C75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u w:val="none"/>
                <w:lang w:val="en-US" w:eastAsia="zh-CN"/>
              </w:rPr>
            </w:pPr>
          </w:p>
        </w:tc>
        <w:tc>
          <w:tcPr>
            <w:tcW w:w="672" w:type="pct"/>
            <w:tcBorders>
              <w:top w:val="single" w:color="auto" w:sz="4" w:space="0"/>
              <w:left w:val="single" w:color="auto" w:sz="4" w:space="0"/>
              <w:right w:val="single" w:color="auto" w:sz="4" w:space="0"/>
            </w:tcBorders>
            <w:noWrap w:val="0"/>
            <w:vAlign w:val="center"/>
          </w:tcPr>
          <w:p w14:paraId="0E22FBD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安全、文明施工的技术措施及规章制度</w:t>
            </w:r>
          </w:p>
        </w:tc>
        <w:tc>
          <w:tcPr>
            <w:tcW w:w="2884" w:type="pct"/>
            <w:tcBorders>
              <w:top w:val="single" w:color="auto" w:sz="4" w:space="0"/>
              <w:left w:val="single" w:color="auto" w:sz="4" w:space="0"/>
              <w:bottom w:val="single" w:color="auto" w:sz="4" w:space="0"/>
              <w:right w:val="single" w:color="auto" w:sz="4" w:space="0"/>
            </w:tcBorders>
            <w:noWrap w:val="0"/>
            <w:vAlign w:val="top"/>
          </w:tcPr>
          <w:p w14:paraId="34D99572">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安全、文明施工的技术措施及规章制度包含但不限于：</w:t>
            </w:r>
          </w:p>
          <w:p w14:paraId="58FD28A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1.安全、文明施工的技术措施；</w:t>
            </w:r>
          </w:p>
          <w:p w14:paraId="78E2445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2.安全、文明施工的规章制度；</w:t>
            </w:r>
          </w:p>
          <w:p w14:paraId="58BAF5F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3.安全、文明施工管理体系</w:t>
            </w:r>
            <w:r>
              <w:rPr>
                <w:rFonts w:hint="eastAsia" w:cs="宋体"/>
                <w:color w:val="auto"/>
                <w:sz w:val="24"/>
                <w:highlight w:val="none"/>
                <w:u w:val="none"/>
                <w:lang w:val="en-US" w:eastAsia="zh-CN"/>
              </w:rPr>
              <w:t>。</w:t>
            </w:r>
          </w:p>
          <w:p w14:paraId="3DCAC77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方案描述详尽、符合实际，针对性强得7≤F≤10分；</w:t>
            </w:r>
          </w:p>
          <w:p w14:paraId="1A01CAD0">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方案比较明确、针对性较强，得4≤F＜7分；</w:t>
            </w:r>
          </w:p>
          <w:p w14:paraId="147CB39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方案不明确、思路不清晰的，得1≤F＜4分；</w:t>
            </w:r>
          </w:p>
          <w:p w14:paraId="59F87975">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未提供不得分；</w:t>
            </w:r>
          </w:p>
          <w:p w14:paraId="01C91F5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u w:val="none"/>
                <w:lang w:val="en-US" w:eastAsia="zh-CN"/>
              </w:rPr>
            </w:pPr>
            <w:r>
              <w:rPr>
                <w:rFonts w:hint="eastAsia" w:ascii="宋体" w:hAnsi="宋体" w:eastAsia="宋体" w:cs="宋体"/>
                <w:b/>
                <w:bCs/>
                <w:color w:val="000000"/>
                <w:sz w:val="24"/>
                <w:u w:val="none"/>
              </w:rPr>
              <w:t>注：</w:t>
            </w:r>
            <w:r>
              <w:rPr>
                <w:rFonts w:hint="eastAsia" w:ascii="宋体" w:hAnsi="宋体" w:eastAsia="宋体" w:cs="宋体"/>
                <w:b/>
                <w:color w:val="000000"/>
                <w:sz w:val="24"/>
                <w:u w:val="none"/>
              </w:rPr>
              <w:t>F为本项得分</w:t>
            </w:r>
            <w:r>
              <w:rPr>
                <w:rFonts w:hint="eastAsia" w:ascii="宋体" w:hAnsi="宋体" w:eastAsia="宋体" w:cs="宋体"/>
                <w:b/>
                <w:bCs/>
                <w:color w:val="000000"/>
                <w:sz w:val="24"/>
                <w:u w:val="none"/>
              </w:rPr>
              <w:t>。</w:t>
            </w:r>
          </w:p>
        </w:tc>
        <w:tc>
          <w:tcPr>
            <w:tcW w:w="656" w:type="pct"/>
            <w:tcBorders>
              <w:top w:val="single" w:color="auto" w:sz="4" w:space="0"/>
              <w:left w:val="single" w:color="auto" w:sz="4" w:space="0"/>
              <w:bottom w:val="single" w:color="auto" w:sz="4" w:space="0"/>
              <w:right w:val="single" w:color="auto" w:sz="4" w:space="0"/>
            </w:tcBorders>
            <w:noWrap w:val="0"/>
            <w:vAlign w:val="center"/>
          </w:tcPr>
          <w:p w14:paraId="5087F7F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highlight w:val="none"/>
                <w:u w:val="none"/>
              </w:rPr>
              <w:t>0-</w:t>
            </w:r>
            <w:r>
              <w:rPr>
                <w:rFonts w:hint="eastAsia"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分</w:t>
            </w:r>
          </w:p>
        </w:tc>
      </w:tr>
      <w:tr w14:paraId="3EF2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pct"/>
            <w:vMerge w:val="continue"/>
            <w:tcBorders>
              <w:left w:val="single" w:color="auto" w:sz="4" w:space="0"/>
              <w:right w:val="single" w:color="auto" w:sz="4" w:space="0"/>
            </w:tcBorders>
            <w:noWrap w:val="0"/>
            <w:vAlign w:val="center"/>
          </w:tcPr>
          <w:p w14:paraId="4300DA8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u w:val="none"/>
                <w:lang w:val="en-US" w:eastAsia="zh-CN"/>
              </w:rPr>
            </w:pPr>
          </w:p>
        </w:tc>
        <w:tc>
          <w:tcPr>
            <w:tcW w:w="672" w:type="pct"/>
            <w:tcBorders>
              <w:top w:val="single" w:color="auto" w:sz="4" w:space="0"/>
              <w:left w:val="single" w:color="auto" w:sz="4" w:space="0"/>
              <w:right w:val="single" w:color="auto" w:sz="4" w:space="0"/>
            </w:tcBorders>
            <w:noWrap w:val="0"/>
            <w:vAlign w:val="center"/>
          </w:tcPr>
          <w:p w14:paraId="1627B6F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color w:val="000000"/>
                <w:kern w:val="0"/>
                <w:sz w:val="24"/>
                <w:szCs w:val="24"/>
                <w:u w:val="none"/>
                <w:lang w:val="en-US" w:eastAsia="zh-CN" w:bidi="ar"/>
              </w:rPr>
              <w:t>资源配备计划</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5C25670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结合本工程特点，依据供应商提出的资源配备计划包含但不限于：</w:t>
            </w:r>
          </w:p>
          <w:p w14:paraId="4B14ECF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1.主要物资、机械设备；</w:t>
            </w:r>
          </w:p>
          <w:p w14:paraId="425000F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2.劳动力计划。</w:t>
            </w:r>
          </w:p>
          <w:p w14:paraId="2F30B06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方案描述详尽、符合实际，针对性强得</w:t>
            </w:r>
            <w:r>
              <w:rPr>
                <w:rFonts w:hint="eastAsia" w:cs="宋体"/>
                <w:b/>
                <w:bCs/>
                <w:color w:val="auto"/>
                <w:sz w:val="24"/>
                <w:u w:val="none"/>
                <w:lang w:val="en-US" w:eastAsia="zh-CN"/>
              </w:rPr>
              <w:t>7</w:t>
            </w:r>
            <w:r>
              <w:rPr>
                <w:rFonts w:hint="eastAsia" w:ascii="宋体" w:hAnsi="宋体" w:eastAsia="宋体" w:cs="宋体"/>
                <w:b/>
                <w:bCs/>
                <w:color w:val="auto"/>
                <w:sz w:val="24"/>
                <w:u w:val="none"/>
                <w:lang w:val="en-US" w:eastAsia="zh-CN"/>
              </w:rPr>
              <w:t>≤F≤</w:t>
            </w:r>
            <w:r>
              <w:rPr>
                <w:rFonts w:hint="eastAsia" w:cs="宋体"/>
                <w:b/>
                <w:bCs/>
                <w:color w:val="auto"/>
                <w:sz w:val="24"/>
                <w:u w:val="none"/>
                <w:lang w:val="en-US" w:eastAsia="zh-CN"/>
              </w:rPr>
              <w:t>9</w:t>
            </w:r>
            <w:r>
              <w:rPr>
                <w:rFonts w:hint="eastAsia" w:ascii="宋体" w:hAnsi="宋体" w:eastAsia="宋体" w:cs="宋体"/>
                <w:b/>
                <w:bCs/>
                <w:color w:val="auto"/>
                <w:sz w:val="24"/>
                <w:u w:val="none"/>
                <w:lang w:val="en-US" w:eastAsia="zh-CN"/>
              </w:rPr>
              <w:t>分；</w:t>
            </w:r>
          </w:p>
          <w:p w14:paraId="347BD38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方案比较明确、针对性较强，得</w:t>
            </w:r>
            <w:r>
              <w:rPr>
                <w:rFonts w:hint="eastAsia" w:cs="宋体"/>
                <w:b/>
                <w:bCs/>
                <w:color w:val="auto"/>
                <w:sz w:val="24"/>
                <w:u w:val="none"/>
                <w:lang w:val="en-US" w:eastAsia="zh-CN"/>
              </w:rPr>
              <w:t>4</w:t>
            </w:r>
            <w:r>
              <w:rPr>
                <w:rFonts w:hint="eastAsia" w:ascii="宋体" w:hAnsi="宋体" w:eastAsia="宋体" w:cs="宋体"/>
                <w:b/>
                <w:bCs/>
                <w:color w:val="auto"/>
                <w:sz w:val="24"/>
                <w:u w:val="none"/>
                <w:lang w:val="en-US" w:eastAsia="zh-CN"/>
              </w:rPr>
              <w:t>≤F＜</w:t>
            </w:r>
            <w:r>
              <w:rPr>
                <w:rFonts w:hint="eastAsia" w:cs="宋体"/>
                <w:b/>
                <w:bCs/>
                <w:color w:val="auto"/>
                <w:sz w:val="24"/>
                <w:u w:val="none"/>
                <w:lang w:val="en-US" w:eastAsia="zh-CN"/>
              </w:rPr>
              <w:t>7</w:t>
            </w:r>
            <w:r>
              <w:rPr>
                <w:rFonts w:hint="eastAsia" w:ascii="宋体" w:hAnsi="宋体" w:eastAsia="宋体" w:cs="宋体"/>
                <w:b/>
                <w:bCs/>
                <w:color w:val="auto"/>
                <w:sz w:val="24"/>
                <w:u w:val="none"/>
                <w:lang w:val="en-US" w:eastAsia="zh-CN"/>
              </w:rPr>
              <w:t>分；</w:t>
            </w:r>
          </w:p>
          <w:p w14:paraId="5364343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方案不明确、思路不清晰的，得1≤F＜</w:t>
            </w:r>
            <w:r>
              <w:rPr>
                <w:rFonts w:hint="eastAsia" w:cs="宋体"/>
                <w:b/>
                <w:bCs/>
                <w:color w:val="auto"/>
                <w:sz w:val="24"/>
                <w:u w:val="none"/>
                <w:lang w:val="en-US" w:eastAsia="zh-CN"/>
              </w:rPr>
              <w:t>4</w:t>
            </w:r>
            <w:r>
              <w:rPr>
                <w:rFonts w:hint="eastAsia" w:ascii="宋体" w:hAnsi="宋体" w:eastAsia="宋体" w:cs="宋体"/>
                <w:b/>
                <w:bCs/>
                <w:color w:val="auto"/>
                <w:sz w:val="24"/>
                <w:u w:val="none"/>
                <w:lang w:val="en-US" w:eastAsia="zh-CN"/>
              </w:rPr>
              <w:t>分；</w:t>
            </w:r>
          </w:p>
          <w:p w14:paraId="751E53A5">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未提供不得分；</w:t>
            </w:r>
          </w:p>
          <w:p w14:paraId="0AA06E21">
            <w:pPr>
              <w:keepNext w:val="0"/>
              <w:keepLines w:val="0"/>
              <w:pageBreakBefore w:val="0"/>
              <w:tabs>
                <w:tab w:val="left" w:pos="4212"/>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pacing w:val="-2"/>
                <w:kern w:val="2"/>
                <w:sz w:val="24"/>
                <w:szCs w:val="24"/>
                <w:highlight w:val="none"/>
                <w:u w:val="none"/>
                <w:lang w:val="en-US" w:eastAsia="zh-CN" w:bidi="ar-SA"/>
              </w:rPr>
            </w:pPr>
            <w:r>
              <w:rPr>
                <w:rFonts w:hint="eastAsia" w:ascii="宋体" w:hAnsi="宋体" w:eastAsia="宋体" w:cs="宋体"/>
                <w:b/>
                <w:bCs/>
                <w:color w:val="000000"/>
                <w:sz w:val="24"/>
                <w:u w:val="none"/>
              </w:rPr>
              <w:t>注：</w:t>
            </w:r>
            <w:r>
              <w:rPr>
                <w:rFonts w:hint="eastAsia" w:ascii="宋体" w:hAnsi="宋体" w:eastAsia="宋体" w:cs="宋体"/>
                <w:b/>
                <w:color w:val="000000"/>
                <w:sz w:val="24"/>
                <w:u w:val="none"/>
              </w:rPr>
              <w:t>F为本项得分</w:t>
            </w:r>
            <w:r>
              <w:rPr>
                <w:rFonts w:hint="eastAsia" w:ascii="宋体" w:hAnsi="宋体" w:eastAsia="宋体" w:cs="宋体"/>
                <w:b/>
                <w:bCs/>
                <w:color w:val="000000"/>
                <w:sz w:val="24"/>
                <w:u w:val="none"/>
              </w:rPr>
              <w:t>。</w:t>
            </w:r>
          </w:p>
        </w:tc>
        <w:tc>
          <w:tcPr>
            <w:tcW w:w="656" w:type="pct"/>
            <w:tcBorders>
              <w:top w:val="single" w:color="auto" w:sz="4" w:space="0"/>
              <w:left w:val="single" w:color="auto" w:sz="4" w:space="0"/>
              <w:bottom w:val="single" w:color="auto" w:sz="4" w:space="0"/>
              <w:right w:val="single" w:color="auto" w:sz="4" w:space="0"/>
            </w:tcBorders>
            <w:noWrap w:val="0"/>
            <w:vAlign w:val="center"/>
          </w:tcPr>
          <w:p w14:paraId="478C1A2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9</w:t>
            </w:r>
            <w:r>
              <w:rPr>
                <w:rFonts w:hint="eastAsia" w:ascii="宋体" w:hAnsi="宋体" w:eastAsia="宋体" w:cs="宋体"/>
                <w:color w:val="auto"/>
                <w:sz w:val="24"/>
                <w:szCs w:val="24"/>
                <w:u w:val="none"/>
              </w:rPr>
              <w:t>分</w:t>
            </w:r>
          </w:p>
        </w:tc>
      </w:tr>
      <w:tr w14:paraId="73B2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pct"/>
            <w:vMerge w:val="continue"/>
            <w:tcBorders>
              <w:left w:val="single" w:color="auto" w:sz="4" w:space="0"/>
              <w:right w:val="single" w:color="auto" w:sz="4" w:space="0"/>
            </w:tcBorders>
            <w:noWrap w:val="0"/>
            <w:vAlign w:val="center"/>
          </w:tcPr>
          <w:p w14:paraId="0ED89CDC">
            <w:pPr>
              <w:keepNext w:val="0"/>
              <w:keepLines w:val="0"/>
              <w:pageBreakBefore w:val="0"/>
              <w:kinsoku/>
              <w:wordWrap/>
              <w:overflowPunct/>
              <w:topLinePunct w:val="0"/>
              <w:autoSpaceDE/>
              <w:autoSpaceDN/>
              <w:bidi w:val="0"/>
              <w:adjustRightInd/>
              <w:snapToGrid/>
              <w:spacing w:line="480" w:lineRule="exact"/>
              <w:ind w:firstLine="435"/>
              <w:jc w:val="center"/>
              <w:textAlignment w:val="auto"/>
              <w:rPr>
                <w:rFonts w:hint="eastAsia" w:ascii="宋体" w:hAnsi="宋体" w:eastAsia="宋体" w:cs="宋体"/>
                <w:b/>
                <w:bCs/>
                <w:color w:val="auto"/>
                <w:sz w:val="24"/>
                <w:u w:val="none"/>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70FF7CA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color w:val="auto"/>
                <w:sz w:val="24"/>
                <w:u w:val="none"/>
              </w:rPr>
              <w:t>人员配备</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1DC9BC6F">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u w:val="none"/>
              </w:rPr>
              <w:t>一、拟为本项目配</w:t>
            </w:r>
            <w:r>
              <w:rPr>
                <w:rFonts w:hint="eastAsia" w:ascii="宋体" w:hAnsi="宋体" w:eastAsia="宋体" w:cs="宋体"/>
                <w:b/>
                <w:bCs/>
                <w:color w:val="auto"/>
                <w:sz w:val="24"/>
                <w:szCs w:val="24"/>
                <w:highlight w:val="none"/>
                <w:u w:val="none"/>
              </w:rPr>
              <w:t>备的项目</w:t>
            </w:r>
            <w:r>
              <w:rPr>
                <w:rFonts w:hint="eastAsia" w:ascii="宋体" w:hAnsi="宋体" w:eastAsia="宋体" w:cs="宋体"/>
                <w:b/>
                <w:bCs/>
                <w:color w:val="auto"/>
                <w:sz w:val="24"/>
                <w:szCs w:val="24"/>
                <w:highlight w:val="none"/>
                <w:u w:val="none"/>
                <w:lang w:eastAsia="zh-CN"/>
              </w:rPr>
              <w:t>经理</w:t>
            </w:r>
            <w:r>
              <w:rPr>
                <w:rFonts w:hint="eastAsia" w:ascii="宋体" w:hAnsi="宋体" w:eastAsia="宋体" w:cs="宋体"/>
                <w:b/>
                <w:bCs/>
                <w:color w:val="auto"/>
                <w:sz w:val="24"/>
                <w:szCs w:val="24"/>
                <w:highlight w:val="none"/>
                <w:u w:val="none"/>
              </w:rPr>
              <w:t>（1人）（</w:t>
            </w:r>
            <w:r>
              <w:rPr>
                <w:rFonts w:hint="eastAsia" w:cs="宋体"/>
                <w:b/>
                <w:bCs/>
                <w:color w:val="auto"/>
                <w:sz w:val="24"/>
                <w:szCs w:val="24"/>
                <w:highlight w:val="none"/>
                <w:u w:val="none"/>
                <w:lang w:val="en-US" w:eastAsia="zh-CN"/>
              </w:rPr>
              <w:t>4</w:t>
            </w:r>
            <w:r>
              <w:rPr>
                <w:rFonts w:hint="eastAsia" w:ascii="宋体" w:hAnsi="宋体" w:eastAsia="宋体" w:cs="宋体"/>
                <w:b/>
                <w:bCs/>
                <w:color w:val="auto"/>
                <w:sz w:val="24"/>
                <w:szCs w:val="24"/>
                <w:highlight w:val="none"/>
                <w:u w:val="none"/>
              </w:rPr>
              <w:t>分）：</w:t>
            </w:r>
          </w:p>
          <w:p w14:paraId="3CE5457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具有</w:t>
            </w:r>
            <w:r>
              <w:rPr>
                <w:rFonts w:hint="eastAsia" w:cs="宋体"/>
                <w:color w:val="auto"/>
                <w:sz w:val="24"/>
                <w:szCs w:val="24"/>
                <w:highlight w:val="none"/>
                <w:u w:val="none"/>
                <w:lang w:val="en-US" w:eastAsia="zh-CN"/>
              </w:rPr>
              <w:t>中级及以上</w:t>
            </w:r>
            <w:r>
              <w:rPr>
                <w:rFonts w:hint="eastAsia" w:ascii="宋体" w:hAnsi="宋体" w:eastAsia="宋体" w:cs="宋体"/>
                <w:color w:val="auto"/>
                <w:sz w:val="24"/>
                <w:szCs w:val="24"/>
                <w:highlight w:val="none"/>
                <w:u w:val="none"/>
              </w:rPr>
              <w:t>职称证书得</w:t>
            </w:r>
            <w:r>
              <w:rPr>
                <w:rFonts w:hint="eastAsia"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分</w:t>
            </w:r>
            <w:r>
              <w:rPr>
                <w:rFonts w:hint="eastAsia" w:ascii="宋体" w:hAnsi="宋体" w:eastAsia="宋体" w:cs="宋体"/>
                <w:color w:val="auto"/>
                <w:sz w:val="24"/>
                <w:szCs w:val="24"/>
                <w:highlight w:val="none"/>
                <w:u w:val="none"/>
                <w:lang w:val="en-US" w:eastAsia="zh-CN"/>
              </w:rPr>
              <w:t>。</w:t>
            </w:r>
          </w:p>
          <w:p w14:paraId="3DFC403A">
            <w:pPr>
              <w:keepNext w:val="0"/>
              <w:keepLines w:val="0"/>
              <w:pageBreakBefore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u w:val="none"/>
              </w:rPr>
            </w:pPr>
            <w:r>
              <w:rPr>
                <w:rFonts w:hint="eastAsia" w:cs="宋体"/>
                <w:b/>
                <w:bCs/>
                <w:color w:val="auto"/>
                <w:sz w:val="24"/>
                <w:szCs w:val="24"/>
                <w:u w:val="none"/>
                <w:lang w:val="en-US" w:eastAsia="zh-CN"/>
              </w:rPr>
              <w:t>二、</w:t>
            </w:r>
            <w:r>
              <w:rPr>
                <w:rFonts w:hint="eastAsia" w:ascii="宋体" w:hAnsi="宋体" w:eastAsia="宋体" w:cs="宋体"/>
                <w:b/>
                <w:bCs/>
                <w:color w:val="auto"/>
                <w:sz w:val="24"/>
                <w:szCs w:val="24"/>
                <w:u w:val="none"/>
              </w:rPr>
              <w:t>拟为本项目配备的</w:t>
            </w:r>
            <w:r>
              <w:rPr>
                <w:rFonts w:hint="eastAsia" w:ascii="宋体" w:hAnsi="宋体" w:eastAsia="宋体" w:cs="宋体"/>
                <w:b/>
                <w:bCs/>
                <w:color w:val="auto"/>
                <w:sz w:val="24"/>
                <w:szCs w:val="24"/>
                <w:u w:val="none"/>
                <w:lang w:eastAsia="zh-CN"/>
              </w:rPr>
              <w:t>技术负责人</w:t>
            </w:r>
            <w:r>
              <w:rPr>
                <w:rFonts w:hint="eastAsia" w:ascii="宋体" w:hAnsi="宋体" w:eastAsia="宋体" w:cs="宋体"/>
                <w:b/>
                <w:bCs/>
                <w:color w:val="auto"/>
                <w:sz w:val="24"/>
                <w:szCs w:val="24"/>
                <w:u w:val="none"/>
              </w:rPr>
              <w:t>（1人）（</w:t>
            </w:r>
            <w:r>
              <w:rPr>
                <w:rFonts w:hint="eastAsia" w:cs="宋体"/>
                <w:b/>
                <w:bCs/>
                <w:color w:val="auto"/>
                <w:sz w:val="24"/>
                <w:szCs w:val="24"/>
                <w:u w:val="none"/>
                <w:lang w:val="en-US" w:eastAsia="zh-CN"/>
              </w:rPr>
              <w:t>8</w:t>
            </w:r>
            <w:r>
              <w:rPr>
                <w:rFonts w:hint="eastAsia" w:ascii="宋体" w:hAnsi="宋体" w:eastAsia="宋体" w:cs="宋体"/>
                <w:b/>
                <w:bCs/>
                <w:color w:val="auto"/>
                <w:sz w:val="24"/>
                <w:szCs w:val="24"/>
                <w:u w:val="none"/>
              </w:rPr>
              <w:t>分）：</w:t>
            </w:r>
          </w:p>
          <w:p w14:paraId="393C763C">
            <w:pPr>
              <w:keepNext w:val="0"/>
              <w:keepLines w:val="0"/>
              <w:pageBreakBefore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1.具有中级及以上职称证书</w:t>
            </w:r>
            <w:r>
              <w:rPr>
                <w:rFonts w:hint="eastAsia" w:ascii="宋体" w:hAnsi="宋体" w:eastAsia="宋体" w:cs="宋体"/>
                <w:color w:val="auto"/>
                <w:sz w:val="24"/>
                <w:szCs w:val="24"/>
                <w:highlight w:val="none"/>
                <w:u w:val="none"/>
              </w:rPr>
              <w:t>得</w:t>
            </w:r>
            <w:r>
              <w:rPr>
                <w:rFonts w:hint="eastAsia"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分</w:t>
            </w:r>
            <w:r>
              <w:rPr>
                <w:rFonts w:hint="eastAsia" w:ascii="宋体" w:hAnsi="宋体" w:eastAsia="宋体" w:cs="宋体"/>
                <w:color w:val="auto"/>
                <w:sz w:val="24"/>
                <w:szCs w:val="24"/>
                <w:highlight w:val="none"/>
                <w:u w:val="none"/>
                <w:lang w:val="en-US" w:eastAsia="zh-CN"/>
              </w:rPr>
              <w:t>。</w:t>
            </w:r>
          </w:p>
          <w:p w14:paraId="7607AF95">
            <w:pPr>
              <w:keepNext w:val="0"/>
              <w:keepLines w:val="0"/>
              <w:pageBreakBefore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u w:val="none"/>
                <w:lang w:val="en-US" w:eastAsia="zh-CN"/>
              </w:rPr>
            </w:pPr>
            <w:r>
              <w:rPr>
                <w:rFonts w:hint="eastAsia" w:cs="宋体"/>
                <w:color w:val="auto"/>
                <w:sz w:val="24"/>
                <w:szCs w:val="24"/>
                <w:u w:val="none"/>
                <w:lang w:val="en-US" w:eastAsia="zh-CN"/>
              </w:rPr>
              <w:t>2.具有建筑工程</w:t>
            </w:r>
            <w:r>
              <w:rPr>
                <w:rFonts w:hint="eastAsia" w:ascii="宋体" w:hAnsi="宋体" w:eastAsia="宋体" w:cs="宋体"/>
                <w:color w:val="auto"/>
                <w:sz w:val="24"/>
                <w:szCs w:val="24"/>
                <w:u w:val="none"/>
                <w:lang w:val="en-US" w:eastAsia="zh-CN"/>
              </w:rPr>
              <w:t>专业二级及以上注册建造师证书</w:t>
            </w:r>
            <w:r>
              <w:rPr>
                <w:rFonts w:hint="eastAsia" w:ascii="宋体" w:hAnsi="宋体" w:eastAsia="宋体" w:cs="宋体"/>
                <w:color w:val="auto"/>
                <w:sz w:val="24"/>
                <w:szCs w:val="24"/>
                <w:u w:val="none"/>
              </w:rPr>
              <w:t>，得</w:t>
            </w:r>
            <w:r>
              <w:rPr>
                <w:rFonts w:hint="eastAsia" w:cs="宋体"/>
                <w:color w:val="auto"/>
                <w:sz w:val="24"/>
                <w:szCs w:val="24"/>
                <w:u w:val="none"/>
                <w:lang w:val="en-US" w:eastAsia="zh-CN"/>
              </w:rPr>
              <w:t>4</w:t>
            </w:r>
            <w:r>
              <w:rPr>
                <w:rFonts w:hint="eastAsia" w:ascii="宋体" w:hAnsi="宋体" w:eastAsia="宋体" w:cs="宋体"/>
                <w:color w:val="auto"/>
                <w:sz w:val="24"/>
                <w:szCs w:val="24"/>
                <w:u w:val="none"/>
              </w:rPr>
              <w:t>分</w:t>
            </w:r>
            <w:r>
              <w:rPr>
                <w:rFonts w:hint="eastAsia" w:ascii="宋体" w:hAnsi="宋体" w:eastAsia="宋体" w:cs="宋体"/>
                <w:color w:val="auto"/>
                <w:sz w:val="24"/>
                <w:szCs w:val="24"/>
                <w:u w:val="none"/>
                <w:lang w:eastAsia="zh-CN"/>
              </w:rPr>
              <w:t>。</w:t>
            </w:r>
          </w:p>
          <w:p w14:paraId="1B254D3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lang w:eastAsia="zh-CN"/>
              </w:rPr>
              <w:t>三、</w:t>
            </w:r>
            <w:r>
              <w:rPr>
                <w:rFonts w:hint="eastAsia" w:ascii="宋体" w:hAnsi="宋体" w:eastAsia="宋体" w:cs="宋体"/>
                <w:b/>
                <w:bCs/>
                <w:color w:val="auto"/>
                <w:sz w:val="24"/>
                <w:szCs w:val="24"/>
                <w:u w:val="none"/>
              </w:rPr>
              <w:t>拟为本项目配备的其他人员（除项目经理和技术负责人外）（</w:t>
            </w:r>
            <w:r>
              <w:rPr>
                <w:rFonts w:hint="eastAsia" w:cs="宋体"/>
                <w:b/>
                <w:bCs/>
                <w:color w:val="auto"/>
                <w:sz w:val="24"/>
                <w:szCs w:val="24"/>
                <w:u w:val="none"/>
                <w:lang w:val="en-US" w:eastAsia="zh-CN"/>
              </w:rPr>
              <w:t>4</w:t>
            </w:r>
            <w:r>
              <w:rPr>
                <w:rFonts w:hint="eastAsia" w:ascii="宋体" w:hAnsi="宋体" w:eastAsia="宋体" w:cs="宋体"/>
                <w:b/>
                <w:bCs/>
                <w:color w:val="auto"/>
                <w:sz w:val="24"/>
                <w:szCs w:val="24"/>
                <w:u w:val="none"/>
              </w:rPr>
              <w:t>分）</w:t>
            </w:r>
          </w:p>
          <w:p w14:paraId="3DD97FBA">
            <w:pPr>
              <w:keepNext w:val="0"/>
              <w:keepLines w:val="0"/>
              <w:pageBreakBefore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u w:val="none"/>
                <w:lang w:val="en-US" w:eastAsia="zh-CN"/>
              </w:rPr>
              <w:t>1.具有中级及以上职称证书或</w:t>
            </w:r>
            <w:r>
              <w:rPr>
                <w:rFonts w:hint="eastAsia" w:cs="宋体"/>
                <w:color w:val="auto"/>
                <w:sz w:val="24"/>
                <w:szCs w:val="24"/>
                <w:u w:val="none"/>
                <w:lang w:val="en-US" w:eastAsia="zh-CN"/>
              </w:rPr>
              <w:t>建筑工程</w:t>
            </w:r>
            <w:r>
              <w:rPr>
                <w:rFonts w:hint="eastAsia" w:ascii="宋体" w:hAnsi="宋体" w:eastAsia="宋体" w:cs="宋体"/>
                <w:color w:val="auto"/>
                <w:sz w:val="24"/>
                <w:szCs w:val="24"/>
                <w:u w:val="none"/>
                <w:lang w:val="en-US" w:eastAsia="zh-CN"/>
              </w:rPr>
              <w:t>专业二级及以上注册建造师证书，每提供1个得</w:t>
            </w:r>
            <w:r>
              <w:rPr>
                <w:rFonts w:hint="eastAsia" w:cs="宋体"/>
                <w:color w:val="auto"/>
                <w:sz w:val="24"/>
                <w:szCs w:val="24"/>
                <w:u w:val="none"/>
                <w:lang w:val="en-US" w:eastAsia="zh-CN"/>
              </w:rPr>
              <w:t>2</w:t>
            </w:r>
            <w:r>
              <w:rPr>
                <w:rFonts w:hint="eastAsia" w:ascii="宋体" w:hAnsi="宋体" w:eastAsia="宋体" w:cs="宋体"/>
                <w:color w:val="auto"/>
                <w:sz w:val="24"/>
                <w:szCs w:val="24"/>
                <w:u w:val="none"/>
                <w:lang w:val="en-US" w:eastAsia="zh-CN"/>
              </w:rPr>
              <w:t>分。最高</w:t>
            </w:r>
            <w:r>
              <w:rPr>
                <w:rFonts w:hint="eastAsia" w:cs="宋体"/>
                <w:color w:val="auto"/>
                <w:sz w:val="24"/>
                <w:szCs w:val="24"/>
                <w:u w:val="none"/>
                <w:lang w:val="en-US" w:eastAsia="zh-CN"/>
              </w:rPr>
              <w:t>4</w:t>
            </w:r>
            <w:r>
              <w:rPr>
                <w:rFonts w:hint="eastAsia" w:ascii="宋体" w:hAnsi="宋体" w:eastAsia="宋体" w:cs="宋体"/>
                <w:color w:val="auto"/>
                <w:sz w:val="24"/>
                <w:szCs w:val="24"/>
                <w:u w:val="none"/>
                <w:lang w:val="en-US" w:eastAsia="zh-CN"/>
              </w:rPr>
              <w:t>分。</w:t>
            </w:r>
          </w:p>
          <w:p w14:paraId="7E11633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注：响应文件中提供上述人员证书扫描件或影印件，同时提供供应商为其缴纳的近3个月内（任意一个月即可）社保证明材料，</w:t>
            </w:r>
            <w:r>
              <w:rPr>
                <w:rFonts w:hint="eastAsia" w:ascii="宋体" w:hAnsi="宋体" w:eastAsia="宋体" w:cs="宋体"/>
                <w:b/>
                <w:bCs/>
                <w:color w:val="auto"/>
                <w:kern w:val="21"/>
                <w:sz w:val="24"/>
                <w:szCs w:val="24"/>
                <w:lang w:val="en-US" w:eastAsia="zh-CN" w:bidi="ar"/>
              </w:rPr>
              <w:t>具体详见供应商须知前附表，未提供或提供不全不得分。（注：社保证明材料至少含养老保险）。</w:t>
            </w:r>
          </w:p>
        </w:tc>
        <w:tc>
          <w:tcPr>
            <w:tcW w:w="656" w:type="pct"/>
            <w:tcBorders>
              <w:top w:val="single" w:color="auto" w:sz="4" w:space="0"/>
              <w:left w:val="single" w:color="auto" w:sz="4" w:space="0"/>
              <w:bottom w:val="single" w:color="auto" w:sz="4" w:space="0"/>
              <w:right w:val="single" w:color="auto" w:sz="4" w:space="0"/>
            </w:tcBorders>
            <w:noWrap w:val="0"/>
            <w:vAlign w:val="center"/>
          </w:tcPr>
          <w:p w14:paraId="08FD8C4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16</w:t>
            </w:r>
            <w:r>
              <w:rPr>
                <w:rFonts w:hint="eastAsia" w:ascii="宋体" w:hAnsi="宋体" w:eastAsia="宋体" w:cs="宋体"/>
                <w:color w:val="auto"/>
                <w:sz w:val="24"/>
                <w:szCs w:val="24"/>
                <w:u w:val="none"/>
              </w:rPr>
              <w:t>分</w:t>
            </w:r>
          </w:p>
        </w:tc>
      </w:tr>
      <w:tr w14:paraId="0823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pct"/>
            <w:vMerge w:val="continue"/>
            <w:tcBorders>
              <w:left w:val="single" w:color="auto" w:sz="4" w:space="0"/>
              <w:right w:val="single" w:color="auto" w:sz="4" w:space="0"/>
            </w:tcBorders>
            <w:noWrap w:val="0"/>
            <w:vAlign w:val="center"/>
          </w:tcPr>
          <w:p w14:paraId="764B2EE1">
            <w:pPr>
              <w:keepNext w:val="0"/>
              <w:keepLines w:val="0"/>
              <w:pageBreakBefore w:val="0"/>
              <w:kinsoku/>
              <w:wordWrap/>
              <w:overflowPunct/>
              <w:topLinePunct w:val="0"/>
              <w:autoSpaceDE/>
              <w:autoSpaceDN/>
              <w:bidi w:val="0"/>
              <w:adjustRightInd/>
              <w:snapToGrid/>
              <w:spacing w:line="480" w:lineRule="exact"/>
              <w:ind w:firstLine="435"/>
              <w:jc w:val="center"/>
              <w:textAlignment w:val="auto"/>
              <w:rPr>
                <w:rFonts w:hint="eastAsia" w:ascii="宋体" w:hAnsi="宋体" w:eastAsia="宋体" w:cs="宋体"/>
                <w:b/>
                <w:bCs/>
                <w:color w:val="auto"/>
                <w:sz w:val="24"/>
                <w:u w:val="none"/>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7103E4F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u w:val="none"/>
                <w:lang w:val="en-US" w:eastAsia="zh-CN"/>
              </w:rPr>
            </w:pPr>
            <w:r>
              <w:rPr>
                <w:rFonts w:hint="eastAsia" w:ascii="宋体" w:hAnsi="宋体" w:eastAsia="宋体" w:cs="宋体"/>
                <w:b w:val="0"/>
                <w:bCs w:val="0"/>
                <w:color w:val="auto"/>
                <w:sz w:val="24"/>
                <w:u w:val="none"/>
                <w:lang w:val="en-US" w:eastAsia="zh-CN"/>
              </w:rPr>
              <w:t>项目经理业绩</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4F0B54AF">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u w:val="none"/>
                <w:lang w:val="en-US" w:eastAsia="zh-CN"/>
              </w:rPr>
              <w:t>自2022</w:t>
            </w:r>
            <w:r>
              <w:rPr>
                <w:rFonts w:hint="eastAsia" w:ascii="宋体" w:hAnsi="宋体" w:eastAsia="宋体" w:cs="宋体"/>
                <w:color w:val="auto"/>
                <w:sz w:val="24"/>
                <w:szCs w:val="24"/>
                <w:highlight w:val="none"/>
                <w:u w:val="none"/>
                <w:lang w:val="en-US" w:eastAsia="zh-CN"/>
              </w:rPr>
              <w:t>年1月1日以来</w:t>
            </w:r>
            <w:r>
              <w:rPr>
                <w:rFonts w:hint="eastAsia" w:ascii="宋体" w:hAnsi="宋体" w:eastAsia="宋体" w:cs="宋体"/>
                <w:b/>
                <w:bCs/>
                <w:color w:val="auto"/>
                <w:sz w:val="24"/>
                <w:szCs w:val="24"/>
                <w:highlight w:val="none"/>
                <w:u w:val="none"/>
                <w:lang w:val="en-US" w:eastAsia="zh-CN"/>
              </w:rPr>
              <w:t>（以</w:t>
            </w:r>
            <w:r>
              <w:rPr>
                <w:rFonts w:hint="eastAsia" w:cs="宋体"/>
                <w:b/>
                <w:bCs/>
                <w:color w:val="auto"/>
                <w:sz w:val="24"/>
                <w:szCs w:val="24"/>
                <w:highlight w:val="none"/>
                <w:u w:val="none"/>
                <w:lang w:val="en-US" w:eastAsia="zh-CN"/>
              </w:rPr>
              <w:t>合同签订</w:t>
            </w:r>
            <w:r>
              <w:rPr>
                <w:rFonts w:hint="eastAsia" w:ascii="宋体" w:hAnsi="宋体" w:eastAsia="宋体" w:cs="宋体"/>
                <w:b/>
                <w:bCs/>
                <w:color w:val="auto"/>
                <w:sz w:val="24"/>
                <w:szCs w:val="24"/>
                <w:highlight w:val="none"/>
                <w:u w:val="none"/>
                <w:lang w:val="en-US" w:eastAsia="zh-CN"/>
              </w:rPr>
              <w:t>时间为准）</w:t>
            </w:r>
            <w:r>
              <w:rPr>
                <w:rFonts w:hint="eastAsia" w:ascii="宋体" w:hAnsi="宋体" w:eastAsia="宋体" w:cs="宋体"/>
                <w:color w:val="auto"/>
                <w:sz w:val="24"/>
                <w:szCs w:val="24"/>
                <w:highlight w:val="none"/>
                <w:u w:val="none"/>
                <w:lang w:val="en-US" w:eastAsia="zh-CN"/>
              </w:rPr>
              <w:t>，项目经理</w:t>
            </w:r>
            <w:r>
              <w:rPr>
                <w:rFonts w:hint="eastAsia" w:ascii="宋体" w:hAnsi="宋体" w:eastAsia="宋体" w:cs="宋体"/>
                <w:b w:val="0"/>
                <w:bCs w:val="0"/>
                <w:color w:val="auto"/>
                <w:sz w:val="24"/>
                <w:szCs w:val="24"/>
                <w:highlight w:val="none"/>
                <w:u w:val="none"/>
                <w:lang w:val="en-US" w:eastAsia="zh-CN"/>
              </w:rPr>
              <w:t>具有</w:t>
            </w:r>
            <w:r>
              <w:rPr>
                <w:rFonts w:hint="eastAsia" w:cs="宋体"/>
                <w:b/>
                <w:bCs/>
                <w:sz w:val="24"/>
                <w:szCs w:val="24"/>
                <w:highlight w:val="none"/>
                <w:u w:val="single"/>
                <w:lang w:val="en-US" w:eastAsia="zh-CN"/>
              </w:rPr>
              <w:t>类似工程施工</w:t>
            </w:r>
            <w:r>
              <w:rPr>
                <w:rFonts w:hint="eastAsia" w:ascii="宋体" w:hAnsi="宋体" w:eastAsia="宋体" w:cs="宋体"/>
                <w:color w:val="auto"/>
                <w:sz w:val="24"/>
                <w:szCs w:val="24"/>
                <w:highlight w:val="none"/>
                <w:u w:val="none"/>
                <w:lang w:val="en-US" w:eastAsia="zh-CN"/>
              </w:rPr>
              <w:t>业绩的，每个业绩得</w:t>
            </w:r>
            <w:r>
              <w:rPr>
                <w:rFonts w:hint="eastAsia"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分，最高得</w:t>
            </w:r>
            <w:r>
              <w:rPr>
                <w:rFonts w:hint="eastAsia"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en-US" w:eastAsia="zh-CN"/>
              </w:rPr>
              <w:t>分。</w:t>
            </w:r>
          </w:p>
          <w:p w14:paraId="0D7D4AC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highlight w:val="none"/>
              </w:rPr>
            </w:pPr>
            <w:r>
              <w:rPr>
                <w:rFonts w:hint="eastAsia" w:ascii="宋体" w:hAnsi="宋体" w:eastAsia="宋体" w:cs="宋体"/>
                <w:b/>
                <w:bCs/>
                <w:color w:val="auto"/>
                <w:sz w:val="24"/>
                <w:highlight w:val="none"/>
                <w:u w:val="none"/>
              </w:rPr>
              <w:t>注：</w:t>
            </w:r>
            <w:r>
              <w:rPr>
                <w:rFonts w:hint="eastAsia" w:cs="宋体"/>
                <w:b/>
                <w:bCs/>
                <w:color w:val="auto"/>
                <w:sz w:val="24"/>
                <w:highlight w:val="none"/>
                <w:u w:val="none"/>
                <w:lang w:eastAsia="zh-CN"/>
              </w:rPr>
              <w:t>（</w:t>
            </w:r>
            <w:r>
              <w:rPr>
                <w:rFonts w:hint="eastAsia" w:cs="宋体"/>
                <w:b/>
                <w:bCs/>
                <w:color w:val="auto"/>
                <w:sz w:val="24"/>
                <w:highlight w:val="none"/>
                <w:u w:val="none"/>
                <w:lang w:val="en-US" w:eastAsia="zh-CN"/>
              </w:rPr>
              <w:t>1</w:t>
            </w:r>
            <w:r>
              <w:rPr>
                <w:rFonts w:hint="eastAsia" w:cs="宋体"/>
                <w:b/>
                <w:bCs/>
                <w:color w:val="auto"/>
                <w:sz w:val="24"/>
                <w:highlight w:val="none"/>
                <w:u w:val="none"/>
                <w:lang w:eastAsia="zh-CN"/>
              </w:rPr>
              <w:t>）</w:t>
            </w:r>
            <w:r>
              <w:rPr>
                <w:rFonts w:hint="eastAsia" w:ascii="宋体" w:hAnsi="宋体" w:eastAsia="宋体" w:cs="宋体"/>
                <w:b/>
                <w:bCs/>
                <w:color w:val="000000"/>
                <w:kern w:val="0"/>
                <w:sz w:val="24"/>
                <w:szCs w:val="24"/>
                <w:highlight w:val="none"/>
                <w:lang w:val="en-US" w:eastAsia="zh-CN" w:bidi="ar"/>
              </w:rPr>
              <w:t>响应文件须同时提供以下证明材料：</w:t>
            </w:r>
          </w:p>
          <w:p w14:paraId="1527BA6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highlight w:val="none"/>
                <w:u w:val="none"/>
                <w:lang w:eastAsia="zh-CN"/>
              </w:rPr>
            </w:pPr>
            <w:r>
              <w:rPr>
                <w:rFonts w:hint="eastAsia" w:cs="宋体"/>
                <w:b/>
                <w:color w:val="auto"/>
                <w:sz w:val="24"/>
                <w:highlight w:val="none"/>
                <w:u w:val="none"/>
                <w:lang w:val="en-US" w:eastAsia="zh-CN"/>
              </w:rPr>
              <w:t>①</w:t>
            </w:r>
            <w:r>
              <w:rPr>
                <w:rFonts w:hint="eastAsia" w:ascii="宋体" w:hAnsi="宋体" w:eastAsia="宋体" w:cs="宋体"/>
                <w:b/>
                <w:color w:val="auto"/>
                <w:sz w:val="24"/>
                <w:highlight w:val="none"/>
                <w:u w:val="none"/>
              </w:rPr>
              <w:t>合同</w:t>
            </w:r>
            <w:r>
              <w:rPr>
                <w:rFonts w:hint="eastAsia" w:cs="宋体"/>
                <w:b/>
                <w:color w:val="auto"/>
                <w:sz w:val="24"/>
                <w:highlight w:val="none"/>
                <w:u w:val="none"/>
                <w:lang w:eastAsia="zh-CN"/>
              </w:rPr>
              <w:t>；</w:t>
            </w:r>
          </w:p>
          <w:p w14:paraId="39AC90E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u w:val="none"/>
                <w:lang w:val="en-US" w:eastAsia="zh-CN"/>
              </w:rPr>
            </w:pPr>
            <w:r>
              <w:rPr>
                <w:rFonts w:hint="eastAsia" w:cs="宋体"/>
                <w:b/>
                <w:color w:val="auto"/>
                <w:sz w:val="24"/>
                <w:u w:val="none"/>
                <w:lang w:val="en-US" w:eastAsia="zh-CN"/>
              </w:rPr>
              <w:t>②</w:t>
            </w:r>
            <w:r>
              <w:rPr>
                <w:rFonts w:hint="eastAsia" w:ascii="宋体" w:hAnsi="宋体" w:eastAsia="宋体" w:cs="宋体"/>
                <w:b/>
                <w:color w:val="auto"/>
                <w:sz w:val="24"/>
                <w:u w:val="none"/>
                <w:lang w:val="en-US" w:eastAsia="zh-CN"/>
              </w:rPr>
              <w:t>验收证明文件。</w:t>
            </w:r>
          </w:p>
          <w:p w14:paraId="78C2AFB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u w:val="none"/>
                <w:lang w:eastAsia="zh-CN"/>
              </w:rPr>
            </w:pPr>
            <w:r>
              <w:rPr>
                <w:rFonts w:hint="eastAsia" w:ascii="宋体" w:hAnsi="宋体" w:eastAsia="宋体" w:cs="宋体"/>
                <w:b/>
                <w:color w:val="auto"/>
                <w:sz w:val="24"/>
                <w:u w:val="none"/>
              </w:rPr>
              <w:t>如</w:t>
            </w:r>
            <w:r>
              <w:rPr>
                <w:rFonts w:hint="eastAsia" w:cs="宋体"/>
                <w:b/>
                <w:color w:val="auto"/>
                <w:sz w:val="24"/>
                <w:u w:val="none"/>
                <w:lang w:val="en-US" w:eastAsia="zh-CN"/>
              </w:rPr>
              <w:t>上述评审材料</w:t>
            </w:r>
            <w:r>
              <w:rPr>
                <w:rFonts w:hint="eastAsia" w:ascii="宋体" w:hAnsi="宋体" w:eastAsia="宋体" w:cs="宋体"/>
                <w:b/>
                <w:color w:val="auto"/>
                <w:sz w:val="24"/>
                <w:u w:val="none"/>
              </w:rPr>
              <w:t>中无法体现</w:t>
            </w:r>
            <w:r>
              <w:rPr>
                <w:rFonts w:hint="eastAsia" w:cs="宋体"/>
                <w:b/>
                <w:bCs/>
                <w:color w:val="auto"/>
                <w:sz w:val="24"/>
                <w:szCs w:val="24"/>
                <w:u w:val="none"/>
                <w:lang w:val="en-US" w:eastAsia="zh-CN"/>
              </w:rPr>
              <w:t>签订</w:t>
            </w:r>
            <w:r>
              <w:rPr>
                <w:rFonts w:hint="eastAsia" w:ascii="宋体" w:hAnsi="宋体" w:eastAsia="宋体" w:cs="宋体"/>
                <w:b/>
                <w:color w:val="auto"/>
                <w:sz w:val="24"/>
                <w:u w:val="none"/>
              </w:rPr>
              <w:t>时间</w:t>
            </w:r>
            <w:r>
              <w:rPr>
                <w:rFonts w:hint="eastAsia" w:ascii="宋体" w:hAnsi="宋体" w:eastAsia="宋体" w:cs="宋体"/>
                <w:b/>
                <w:color w:val="auto"/>
                <w:sz w:val="24"/>
                <w:u w:val="none"/>
                <w:lang w:eastAsia="zh-CN"/>
              </w:rPr>
              <w:t>、项目经理姓名、施工内容</w:t>
            </w:r>
            <w:r>
              <w:rPr>
                <w:rFonts w:hint="eastAsia" w:ascii="宋体" w:hAnsi="宋体" w:eastAsia="宋体" w:cs="宋体"/>
                <w:b/>
                <w:color w:val="auto"/>
                <w:sz w:val="24"/>
                <w:u w:val="none"/>
              </w:rPr>
              <w:t>等关键评审因素的，须同时提供业主（合同甲方）证明材料扫描件，未提供或提供不全的不得分</w:t>
            </w:r>
            <w:r>
              <w:rPr>
                <w:rFonts w:hint="eastAsia" w:ascii="宋体" w:hAnsi="宋体" w:eastAsia="宋体" w:cs="宋体"/>
                <w:b/>
                <w:color w:val="auto"/>
                <w:sz w:val="24"/>
                <w:u w:val="none"/>
                <w:lang w:eastAsia="zh-CN"/>
              </w:rPr>
              <w:t>。</w:t>
            </w:r>
          </w:p>
          <w:p w14:paraId="131A996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u w:val="none"/>
                <w:lang w:val="en-US" w:eastAsia="zh-CN"/>
              </w:rPr>
            </w:pPr>
            <w:r>
              <w:rPr>
                <w:rFonts w:hint="eastAsia" w:cs="宋体"/>
                <w:b/>
                <w:color w:val="auto"/>
                <w:sz w:val="24"/>
                <w:u w:val="none"/>
                <w:lang w:val="en-US" w:eastAsia="zh-CN"/>
              </w:rPr>
              <w:t>（2）</w:t>
            </w:r>
            <w:r>
              <w:rPr>
                <w:rFonts w:hint="eastAsia" w:ascii="宋体" w:hAnsi="宋体" w:eastAsia="宋体" w:cs="宋体"/>
                <w:b/>
                <w:color w:val="auto"/>
                <w:sz w:val="24"/>
                <w:u w:val="none"/>
                <w:lang w:val="en-US" w:eastAsia="zh-CN"/>
              </w:rPr>
              <w:t>项目拟委任项目经理在此业绩中担任过项目经理岗位的业绩。拟派项目经理业绩与供应商业绩可重复。</w:t>
            </w:r>
          </w:p>
          <w:p w14:paraId="7F0F12A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u w:val="none"/>
                <w:lang w:val="en-US" w:eastAsia="zh-CN"/>
              </w:rPr>
            </w:pPr>
            <w:r>
              <w:rPr>
                <w:rFonts w:hint="eastAsia" w:cs="宋体"/>
                <w:b/>
                <w:color w:val="auto"/>
                <w:sz w:val="24"/>
                <w:u w:val="none"/>
                <w:lang w:val="en-US" w:eastAsia="zh-CN"/>
              </w:rPr>
              <w:t>（3）类似工程指包含CT机房等放射诊疗场所辐射防护施工。</w:t>
            </w:r>
          </w:p>
        </w:tc>
        <w:tc>
          <w:tcPr>
            <w:tcW w:w="656" w:type="pct"/>
            <w:tcBorders>
              <w:top w:val="single" w:color="auto" w:sz="4" w:space="0"/>
              <w:left w:val="single" w:color="auto" w:sz="4" w:space="0"/>
              <w:bottom w:val="single" w:color="auto" w:sz="4" w:space="0"/>
              <w:right w:val="single" w:color="auto" w:sz="4" w:space="0"/>
            </w:tcBorders>
            <w:noWrap w:val="0"/>
            <w:vAlign w:val="center"/>
          </w:tcPr>
          <w:p w14:paraId="1595294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highlight w:val="none"/>
                <w:u w:val="none"/>
                <w:lang w:val="en-US" w:eastAsia="zh-CN"/>
              </w:rPr>
              <w:t>0-</w:t>
            </w:r>
            <w:r>
              <w:rPr>
                <w:rFonts w:hint="eastAsia"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en-US" w:eastAsia="zh-CN"/>
              </w:rPr>
              <w:t>分</w:t>
            </w:r>
          </w:p>
        </w:tc>
      </w:tr>
      <w:tr w14:paraId="1F82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pct"/>
            <w:vMerge w:val="continue"/>
            <w:tcBorders>
              <w:left w:val="single" w:color="auto" w:sz="4" w:space="0"/>
              <w:right w:val="single" w:color="auto" w:sz="4" w:space="0"/>
            </w:tcBorders>
            <w:noWrap w:val="0"/>
            <w:vAlign w:val="center"/>
          </w:tcPr>
          <w:p w14:paraId="406BC714">
            <w:pPr>
              <w:keepNext w:val="0"/>
              <w:keepLines w:val="0"/>
              <w:pageBreakBefore w:val="0"/>
              <w:kinsoku/>
              <w:wordWrap/>
              <w:overflowPunct/>
              <w:topLinePunct w:val="0"/>
              <w:autoSpaceDE/>
              <w:autoSpaceDN/>
              <w:bidi w:val="0"/>
              <w:adjustRightInd/>
              <w:snapToGrid/>
              <w:spacing w:line="480" w:lineRule="exact"/>
              <w:ind w:firstLine="435"/>
              <w:jc w:val="center"/>
              <w:textAlignment w:val="auto"/>
              <w:rPr>
                <w:rFonts w:hint="eastAsia" w:ascii="宋体" w:hAnsi="宋体" w:eastAsia="宋体" w:cs="宋体"/>
                <w:b/>
                <w:bCs/>
                <w:color w:val="auto"/>
                <w:sz w:val="24"/>
                <w:u w:val="none"/>
              </w:rPr>
            </w:pPr>
          </w:p>
        </w:tc>
        <w:tc>
          <w:tcPr>
            <w:tcW w:w="672" w:type="pct"/>
            <w:tcBorders>
              <w:top w:val="single" w:color="auto" w:sz="4" w:space="0"/>
              <w:left w:val="single" w:color="auto" w:sz="4" w:space="0"/>
              <w:right w:val="single" w:color="auto" w:sz="4" w:space="0"/>
            </w:tcBorders>
            <w:noWrap w:val="0"/>
            <w:vAlign w:val="center"/>
          </w:tcPr>
          <w:p w14:paraId="07F0315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供应商业绩</w:t>
            </w:r>
          </w:p>
        </w:tc>
        <w:tc>
          <w:tcPr>
            <w:tcW w:w="2884" w:type="pct"/>
            <w:tcBorders>
              <w:top w:val="single" w:color="auto" w:sz="4" w:space="0"/>
              <w:left w:val="single" w:color="auto" w:sz="4" w:space="0"/>
              <w:right w:val="single" w:color="auto" w:sz="4" w:space="0"/>
            </w:tcBorders>
            <w:noWrap w:val="0"/>
            <w:vAlign w:val="center"/>
          </w:tcPr>
          <w:p w14:paraId="5DEF0B9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自</w:t>
            </w:r>
            <w:r>
              <w:rPr>
                <w:rFonts w:hint="eastAsia" w:ascii="宋体" w:hAnsi="宋体" w:eastAsia="宋体" w:cs="宋体"/>
                <w:color w:val="auto"/>
                <w:sz w:val="24"/>
                <w:szCs w:val="24"/>
                <w:u w:val="none"/>
                <w:lang w:val="en-US" w:eastAsia="zh-CN"/>
              </w:rPr>
              <w:t>2022</w:t>
            </w:r>
            <w:r>
              <w:rPr>
                <w:rFonts w:hint="eastAsia" w:ascii="宋体" w:hAnsi="宋体" w:eastAsia="宋体" w:cs="宋体"/>
                <w:color w:val="auto"/>
                <w:sz w:val="24"/>
                <w:u w:val="none"/>
              </w:rPr>
              <w:t>年</w:t>
            </w:r>
            <w:r>
              <w:rPr>
                <w:rFonts w:hint="eastAsia" w:ascii="宋体" w:hAnsi="宋体" w:eastAsia="宋体" w:cs="宋体"/>
                <w:color w:val="auto"/>
                <w:sz w:val="24"/>
                <w:u w:val="none"/>
                <w:lang w:val="en-US" w:eastAsia="zh-CN"/>
              </w:rPr>
              <w:t>1</w:t>
            </w:r>
            <w:r>
              <w:rPr>
                <w:rFonts w:hint="eastAsia" w:ascii="宋体" w:hAnsi="宋体" w:eastAsia="宋体" w:cs="宋体"/>
                <w:color w:val="auto"/>
                <w:sz w:val="24"/>
                <w:u w:val="none"/>
              </w:rPr>
              <w:t>月</w:t>
            </w:r>
            <w:r>
              <w:rPr>
                <w:rFonts w:hint="eastAsia" w:ascii="宋体" w:hAnsi="宋体" w:eastAsia="宋体" w:cs="宋体"/>
                <w:color w:val="auto"/>
                <w:sz w:val="24"/>
                <w:u w:val="none"/>
                <w:lang w:val="en-US" w:eastAsia="zh-CN"/>
              </w:rPr>
              <w:t>1</w:t>
            </w:r>
            <w:r>
              <w:rPr>
                <w:rFonts w:hint="eastAsia" w:ascii="宋体" w:hAnsi="宋体" w:eastAsia="宋体" w:cs="宋体"/>
                <w:color w:val="auto"/>
                <w:sz w:val="24"/>
                <w:u w:val="none"/>
              </w:rPr>
              <w:t>日以来</w:t>
            </w:r>
            <w:r>
              <w:rPr>
                <w:rFonts w:hint="eastAsia" w:ascii="宋体" w:hAnsi="宋体" w:eastAsia="宋体" w:cs="宋体"/>
                <w:b/>
                <w:bCs/>
                <w:color w:val="auto"/>
                <w:sz w:val="24"/>
                <w:szCs w:val="24"/>
                <w:u w:val="none"/>
                <w:lang w:val="en-US" w:eastAsia="zh-CN"/>
              </w:rPr>
              <w:t>（以</w:t>
            </w:r>
            <w:r>
              <w:rPr>
                <w:rFonts w:hint="eastAsia" w:cs="宋体"/>
                <w:b/>
                <w:bCs/>
                <w:color w:val="auto"/>
                <w:sz w:val="24"/>
                <w:szCs w:val="24"/>
                <w:u w:val="none"/>
                <w:lang w:val="en-US" w:eastAsia="zh-CN"/>
              </w:rPr>
              <w:t>合同签订</w:t>
            </w:r>
            <w:r>
              <w:rPr>
                <w:rFonts w:hint="eastAsia" w:ascii="宋体" w:hAnsi="宋体" w:eastAsia="宋体" w:cs="宋体"/>
                <w:b/>
                <w:bCs/>
                <w:color w:val="auto"/>
                <w:sz w:val="24"/>
                <w:szCs w:val="24"/>
                <w:u w:val="none"/>
                <w:lang w:val="en-US" w:eastAsia="zh-CN"/>
              </w:rPr>
              <w:t>时间为准），</w:t>
            </w:r>
            <w:r>
              <w:rPr>
                <w:rFonts w:hint="eastAsia" w:ascii="宋体" w:hAnsi="宋体" w:eastAsia="宋体" w:cs="宋体"/>
                <w:color w:val="auto"/>
                <w:sz w:val="24"/>
                <w:u w:val="none"/>
                <w:lang w:eastAsia="zh-CN"/>
              </w:rPr>
              <w:t>供应商</w:t>
            </w:r>
            <w:r>
              <w:rPr>
                <w:rFonts w:hint="eastAsia" w:ascii="宋体" w:hAnsi="宋体" w:eastAsia="宋体" w:cs="宋体"/>
                <w:b w:val="0"/>
                <w:bCs w:val="0"/>
                <w:color w:val="auto"/>
                <w:sz w:val="24"/>
                <w:highlight w:val="none"/>
                <w:u w:val="none"/>
                <w:lang w:eastAsia="zh-CN"/>
              </w:rPr>
              <w:t>具有</w:t>
            </w:r>
            <w:r>
              <w:rPr>
                <w:rFonts w:hint="eastAsia" w:cs="宋体"/>
                <w:b/>
                <w:bCs/>
                <w:sz w:val="24"/>
                <w:szCs w:val="24"/>
                <w:highlight w:val="none"/>
                <w:u w:val="single"/>
                <w:lang w:val="en-US" w:eastAsia="zh-CN"/>
              </w:rPr>
              <w:t>类似工程施工</w:t>
            </w:r>
            <w:r>
              <w:rPr>
                <w:rFonts w:hint="eastAsia" w:ascii="宋体" w:hAnsi="宋体" w:eastAsia="宋体" w:cs="宋体"/>
                <w:b w:val="0"/>
                <w:bCs w:val="0"/>
                <w:color w:val="auto"/>
                <w:sz w:val="24"/>
                <w:highlight w:val="none"/>
                <w:u w:val="none"/>
              </w:rPr>
              <w:t>业绩</w:t>
            </w:r>
            <w:r>
              <w:rPr>
                <w:rFonts w:hint="eastAsia" w:ascii="宋体" w:hAnsi="宋体" w:eastAsia="宋体" w:cs="宋体"/>
                <w:color w:val="auto"/>
                <w:sz w:val="24"/>
                <w:u w:val="none"/>
              </w:rPr>
              <w:t>的，每个业绩得</w:t>
            </w:r>
            <w:r>
              <w:rPr>
                <w:rFonts w:hint="eastAsia" w:cs="宋体"/>
                <w:color w:val="auto"/>
                <w:sz w:val="24"/>
                <w:u w:val="none"/>
                <w:lang w:val="en-US" w:eastAsia="zh-CN"/>
              </w:rPr>
              <w:t>5</w:t>
            </w:r>
            <w:r>
              <w:rPr>
                <w:rFonts w:hint="eastAsia" w:ascii="宋体" w:hAnsi="宋体" w:eastAsia="宋体" w:cs="宋体"/>
                <w:color w:val="auto"/>
                <w:sz w:val="24"/>
                <w:u w:val="none"/>
              </w:rPr>
              <w:t>分，最高得</w:t>
            </w:r>
            <w:r>
              <w:rPr>
                <w:rFonts w:hint="eastAsia" w:cs="宋体"/>
                <w:color w:val="auto"/>
                <w:sz w:val="24"/>
                <w:szCs w:val="24"/>
                <w:u w:val="none"/>
                <w:lang w:val="en-US" w:eastAsia="zh-CN"/>
              </w:rPr>
              <w:t>15</w:t>
            </w:r>
            <w:r>
              <w:rPr>
                <w:rFonts w:hint="eastAsia" w:ascii="宋体" w:hAnsi="宋体" w:eastAsia="宋体" w:cs="宋体"/>
                <w:color w:val="auto"/>
                <w:sz w:val="24"/>
                <w:u w:val="none"/>
              </w:rPr>
              <w:t>分。</w:t>
            </w:r>
          </w:p>
          <w:p w14:paraId="2A41CAE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pPr>
            <w:r>
              <w:rPr>
                <w:rFonts w:hint="eastAsia" w:ascii="宋体" w:hAnsi="宋体" w:eastAsia="宋体" w:cs="宋体"/>
                <w:b/>
                <w:bCs/>
                <w:color w:val="auto"/>
                <w:sz w:val="24"/>
                <w:u w:val="none"/>
              </w:rPr>
              <w:t>注：</w:t>
            </w:r>
            <w:r>
              <w:rPr>
                <w:rFonts w:hint="eastAsia" w:ascii="宋体" w:hAnsi="宋体" w:eastAsia="宋体" w:cs="宋体"/>
                <w:b/>
                <w:bCs/>
                <w:color w:val="000000"/>
                <w:kern w:val="0"/>
                <w:sz w:val="24"/>
                <w:szCs w:val="24"/>
                <w:lang w:val="en-US" w:eastAsia="zh-CN" w:bidi="ar"/>
              </w:rPr>
              <w:t>响应文件须同时提供以下证明材料：</w:t>
            </w:r>
          </w:p>
          <w:p w14:paraId="079B6D2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u w:val="none"/>
                <w:lang w:eastAsia="zh-CN"/>
              </w:rPr>
            </w:pPr>
            <w:r>
              <w:rPr>
                <w:rFonts w:hint="eastAsia" w:cs="宋体"/>
                <w:b/>
                <w:color w:val="auto"/>
                <w:sz w:val="24"/>
                <w:u w:val="none"/>
                <w:lang w:eastAsia="zh-CN"/>
              </w:rPr>
              <w:t>（</w:t>
            </w:r>
            <w:r>
              <w:rPr>
                <w:rFonts w:hint="eastAsia" w:cs="宋体"/>
                <w:b/>
                <w:color w:val="auto"/>
                <w:sz w:val="24"/>
                <w:u w:val="none"/>
                <w:lang w:val="en-US" w:eastAsia="zh-CN"/>
              </w:rPr>
              <w:t>1</w:t>
            </w:r>
            <w:r>
              <w:rPr>
                <w:rFonts w:hint="eastAsia" w:cs="宋体"/>
                <w:b/>
                <w:color w:val="auto"/>
                <w:sz w:val="24"/>
                <w:u w:val="none"/>
                <w:lang w:eastAsia="zh-CN"/>
              </w:rPr>
              <w:t>）</w:t>
            </w:r>
            <w:r>
              <w:rPr>
                <w:rFonts w:hint="eastAsia" w:ascii="宋体" w:hAnsi="宋体" w:eastAsia="宋体" w:cs="宋体"/>
                <w:b/>
                <w:color w:val="auto"/>
                <w:sz w:val="24"/>
                <w:u w:val="none"/>
              </w:rPr>
              <w:t>合同</w:t>
            </w:r>
            <w:r>
              <w:rPr>
                <w:rFonts w:hint="eastAsia" w:cs="宋体"/>
                <w:b/>
                <w:color w:val="auto"/>
                <w:sz w:val="24"/>
                <w:u w:val="none"/>
                <w:lang w:eastAsia="zh-CN"/>
              </w:rPr>
              <w:t>；</w:t>
            </w:r>
          </w:p>
          <w:p w14:paraId="2E18DDC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u w:val="none"/>
                <w:lang w:val="en-US" w:eastAsia="zh-CN"/>
              </w:rPr>
            </w:pPr>
            <w:r>
              <w:rPr>
                <w:rFonts w:hint="eastAsia" w:cs="宋体"/>
                <w:b/>
                <w:color w:val="auto"/>
                <w:sz w:val="24"/>
                <w:u w:val="none"/>
                <w:lang w:eastAsia="zh-CN"/>
              </w:rPr>
              <w:t>（</w:t>
            </w:r>
            <w:r>
              <w:rPr>
                <w:rFonts w:hint="eastAsia" w:cs="宋体"/>
                <w:b/>
                <w:color w:val="auto"/>
                <w:sz w:val="24"/>
                <w:u w:val="none"/>
                <w:lang w:val="en-US" w:eastAsia="zh-CN"/>
              </w:rPr>
              <w:t>2</w:t>
            </w:r>
            <w:r>
              <w:rPr>
                <w:rFonts w:hint="eastAsia" w:cs="宋体"/>
                <w:b/>
                <w:color w:val="auto"/>
                <w:sz w:val="24"/>
                <w:u w:val="none"/>
                <w:lang w:eastAsia="zh-CN"/>
              </w:rPr>
              <w:t>）</w:t>
            </w:r>
            <w:r>
              <w:rPr>
                <w:rFonts w:hint="eastAsia" w:ascii="宋体" w:hAnsi="宋体" w:eastAsia="宋体" w:cs="宋体"/>
                <w:b/>
                <w:color w:val="auto"/>
                <w:sz w:val="24"/>
                <w:u w:val="none"/>
                <w:lang w:val="en-US" w:eastAsia="zh-CN"/>
              </w:rPr>
              <w:t>验收证明文件。</w:t>
            </w:r>
          </w:p>
          <w:p w14:paraId="41795FC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auto"/>
                <w:sz w:val="24"/>
                <w:u w:val="none"/>
                <w:lang w:eastAsia="zh-CN"/>
              </w:rPr>
            </w:pPr>
            <w:r>
              <w:rPr>
                <w:rFonts w:hint="eastAsia" w:cs="宋体"/>
                <w:b/>
                <w:color w:val="auto"/>
                <w:sz w:val="24"/>
                <w:u w:val="none"/>
                <w:lang w:val="en-US" w:eastAsia="zh-CN"/>
              </w:rPr>
              <w:t>若上述评审材料</w:t>
            </w:r>
            <w:r>
              <w:rPr>
                <w:rFonts w:hint="eastAsia" w:ascii="宋体" w:hAnsi="宋体" w:eastAsia="宋体" w:cs="宋体"/>
                <w:b/>
                <w:color w:val="auto"/>
                <w:sz w:val="24"/>
                <w:u w:val="none"/>
              </w:rPr>
              <w:t>中无法体现</w:t>
            </w:r>
            <w:r>
              <w:rPr>
                <w:rFonts w:hint="eastAsia" w:cs="宋体"/>
                <w:b/>
                <w:bCs/>
                <w:color w:val="auto"/>
                <w:sz w:val="24"/>
                <w:szCs w:val="24"/>
                <w:u w:val="none"/>
                <w:lang w:val="en-US" w:eastAsia="zh-CN"/>
              </w:rPr>
              <w:t>签订</w:t>
            </w:r>
            <w:r>
              <w:rPr>
                <w:rFonts w:hint="eastAsia" w:ascii="宋体" w:hAnsi="宋体" w:eastAsia="宋体" w:cs="宋体"/>
                <w:b/>
                <w:color w:val="auto"/>
                <w:sz w:val="24"/>
                <w:u w:val="none"/>
              </w:rPr>
              <w:t>时间</w:t>
            </w:r>
            <w:r>
              <w:rPr>
                <w:rFonts w:hint="eastAsia" w:ascii="宋体" w:hAnsi="宋体" w:eastAsia="宋体" w:cs="宋体"/>
                <w:b/>
                <w:color w:val="auto"/>
                <w:sz w:val="24"/>
                <w:u w:val="none"/>
                <w:lang w:eastAsia="zh-CN"/>
              </w:rPr>
              <w:t>、</w:t>
            </w:r>
            <w:r>
              <w:rPr>
                <w:rFonts w:hint="eastAsia" w:cs="宋体"/>
                <w:b/>
                <w:color w:val="auto"/>
                <w:sz w:val="24"/>
                <w:u w:val="none"/>
                <w:lang w:val="en-US" w:eastAsia="zh-CN"/>
              </w:rPr>
              <w:t>供应商名称、</w:t>
            </w:r>
            <w:r>
              <w:rPr>
                <w:rFonts w:hint="eastAsia" w:ascii="宋体" w:hAnsi="宋体" w:eastAsia="宋体" w:cs="宋体"/>
                <w:b/>
                <w:color w:val="auto"/>
                <w:sz w:val="24"/>
                <w:u w:val="none"/>
                <w:lang w:eastAsia="zh-CN"/>
              </w:rPr>
              <w:t>施工内容</w:t>
            </w:r>
            <w:r>
              <w:rPr>
                <w:rFonts w:hint="eastAsia" w:ascii="宋体" w:hAnsi="宋体" w:eastAsia="宋体" w:cs="宋体"/>
                <w:b/>
                <w:color w:val="auto"/>
                <w:sz w:val="24"/>
                <w:u w:val="none"/>
              </w:rPr>
              <w:t>等关键评审因素的，须同时提供业主（合同甲方）证明材料扫描件，未提供或提供不全的不得分</w:t>
            </w:r>
            <w:r>
              <w:rPr>
                <w:rFonts w:hint="eastAsia" w:ascii="宋体" w:hAnsi="宋体" w:eastAsia="宋体" w:cs="宋体"/>
                <w:b/>
                <w:color w:val="auto"/>
                <w:sz w:val="24"/>
                <w:u w:val="none"/>
                <w:lang w:eastAsia="zh-CN"/>
              </w:rPr>
              <w:t>。</w:t>
            </w:r>
          </w:p>
          <w:p w14:paraId="74FDE287">
            <w:pPr>
              <w:keepNext w:val="0"/>
              <w:keepLines w:val="0"/>
              <w:pageBreakBefore w:val="0"/>
              <w:kinsoku/>
              <w:wordWrap/>
              <w:overflowPunct/>
              <w:topLinePunct w:val="0"/>
              <w:autoSpaceDE/>
              <w:autoSpaceDN/>
              <w:bidi w:val="0"/>
              <w:adjustRightInd/>
              <w:snapToGrid/>
              <w:spacing w:line="480" w:lineRule="exact"/>
              <w:jc w:val="left"/>
              <w:textAlignment w:val="auto"/>
              <w:rPr>
                <w:rFonts w:hint="default" w:ascii="宋体" w:hAnsi="宋体" w:eastAsia="宋体" w:cs="宋体"/>
                <w:b/>
                <w:color w:val="auto"/>
                <w:sz w:val="24"/>
                <w:u w:val="none"/>
                <w:lang w:val="en-US" w:eastAsia="zh-CN"/>
              </w:rPr>
            </w:pPr>
            <w:r>
              <w:rPr>
                <w:rFonts w:hint="eastAsia" w:cs="宋体"/>
                <w:b/>
                <w:color w:val="auto"/>
                <w:sz w:val="24"/>
                <w:u w:val="none"/>
                <w:lang w:val="en-US" w:eastAsia="zh-CN"/>
              </w:rPr>
              <w:t>（3）类似工程指包含CT机房等放射诊疗场所辐射防护施工。</w:t>
            </w:r>
          </w:p>
        </w:tc>
        <w:tc>
          <w:tcPr>
            <w:tcW w:w="656" w:type="pct"/>
            <w:tcBorders>
              <w:top w:val="single" w:color="auto" w:sz="4" w:space="0"/>
              <w:left w:val="single" w:color="auto" w:sz="4" w:space="0"/>
              <w:right w:val="single" w:color="auto" w:sz="4" w:space="0"/>
            </w:tcBorders>
            <w:noWrap w:val="0"/>
            <w:vAlign w:val="center"/>
          </w:tcPr>
          <w:p w14:paraId="058D75D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u w:val="none"/>
              </w:rPr>
            </w:pPr>
            <w:r>
              <w:rPr>
                <w:rFonts w:hint="eastAsia" w:ascii="宋体" w:hAnsi="宋体" w:eastAsia="宋体" w:cs="宋体"/>
                <w:color w:val="auto"/>
                <w:sz w:val="24"/>
                <w:szCs w:val="24"/>
                <w:u w:val="none"/>
              </w:rPr>
              <w:t>0-</w:t>
            </w:r>
            <w:r>
              <w:rPr>
                <w:rFonts w:hint="eastAsia" w:cs="宋体"/>
                <w:color w:val="auto"/>
                <w:sz w:val="24"/>
                <w:szCs w:val="24"/>
                <w:u w:val="none"/>
                <w:lang w:val="en-US" w:eastAsia="zh-CN"/>
              </w:rPr>
              <w:t>15</w:t>
            </w:r>
            <w:r>
              <w:rPr>
                <w:rFonts w:hint="eastAsia" w:ascii="宋体" w:hAnsi="宋体" w:eastAsia="宋体" w:cs="宋体"/>
                <w:color w:val="auto"/>
                <w:sz w:val="24"/>
                <w:szCs w:val="24"/>
                <w:u w:val="none"/>
              </w:rPr>
              <w:t>分</w:t>
            </w:r>
          </w:p>
        </w:tc>
      </w:tr>
      <w:tr w14:paraId="53ED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pct"/>
            <w:vMerge w:val="continue"/>
            <w:tcBorders>
              <w:left w:val="single" w:color="auto" w:sz="4" w:space="0"/>
              <w:right w:val="single" w:color="auto" w:sz="4" w:space="0"/>
            </w:tcBorders>
            <w:noWrap w:val="0"/>
            <w:vAlign w:val="center"/>
          </w:tcPr>
          <w:p w14:paraId="27C2566C">
            <w:pPr>
              <w:keepNext w:val="0"/>
              <w:keepLines w:val="0"/>
              <w:pageBreakBefore w:val="0"/>
              <w:kinsoku/>
              <w:wordWrap/>
              <w:overflowPunct/>
              <w:topLinePunct w:val="0"/>
              <w:autoSpaceDE/>
              <w:autoSpaceDN/>
              <w:bidi w:val="0"/>
              <w:adjustRightInd/>
              <w:snapToGrid/>
              <w:spacing w:line="480" w:lineRule="exact"/>
              <w:ind w:firstLine="435"/>
              <w:jc w:val="center"/>
              <w:textAlignment w:val="auto"/>
              <w:rPr>
                <w:rFonts w:hint="eastAsia" w:ascii="宋体" w:hAnsi="宋体" w:eastAsia="宋体" w:cs="宋体"/>
                <w:b/>
                <w:bCs/>
                <w:color w:val="auto"/>
                <w:sz w:val="24"/>
                <w:u w:val="none"/>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5237F6C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FF"/>
                <w:kern w:val="2"/>
                <w:sz w:val="24"/>
                <w:szCs w:val="24"/>
                <w:u w:val="none"/>
                <w:lang w:val="en-US" w:eastAsia="zh-CN" w:bidi="ar"/>
              </w:rPr>
            </w:pPr>
            <w:r>
              <w:rPr>
                <w:rFonts w:hint="eastAsia" w:ascii="宋体" w:hAnsi="宋体" w:eastAsia="宋体" w:cs="宋体"/>
                <w:b w:val="0"/>
                <w:bCs w:val="0"/>
                <w:kern w:val="0"/>
                <w:sz w:val="24"/>
                <w:u w:val="none"/>
                <w:lang w:bidi="ar"/>
              </w:rPr>
              <w:t>管理体系认证</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3411755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u w:val="none"/>
                <w:lang w:bidi="ar"/>
              </w:rPr>
            </w:pPr>
            <w:r>
              <w:rPr>
                <w:rFonts w:hint="eastAsia" w:ascii="宋体" w:hAnsi="宋体" w:eastAsia="宋体" w:cs="宋体"/>
                <w:color w:val="000000"/>
                <w:kern w:val="0"/>
                <w:sz w:val="24"/>
                <w:u w:val="none"/>
                <w:lang w:bidi="ar"/>
              </w:rPr>
              <w:t>供应商具有经中国国家认证认可监督管理委员会认证机构颁发的有效的下列证书：</w:t>
            </w:r>
          </w:p>
          <w:p w14:paraId="41B397B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u w:val="none"/>
                <w:lang w:bidi="ar"/>
              </w:rPr>
            </w:pPr>
            <w:r>
              <w:rPr>
                <w:rFonts w:hint="eastAsia" w:ascii="宋体" w:hAnsi="宋体" w:eastAsia="宋体" w:cs="宋体"/>
                <w:color w:val="000000"/>
                <w:kern w:val="0"/>
                <w:sz w:val="24"/>
                <w:u w:val="none"/>
                <w:lang w:bidi="ar"/>
              </w:rPr>
              <w:t>1.质量管理体系认证；</w:t>
            </w:r>
          </w:p>
          <w:p w14:paraId="322FAF9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u w:val="none"/>
                <w:lang w:bidi="ar"/>
              </w:rPr>
            </w:pPr>
            <w:r>
              <w:rPr>
                <w:rFonts w:hint="eastAsia" w:ascii="宋体" w:hAnsi="宋体" w:eastAsia="宋体" w:cs="宋体"/>
                <w:color w:val="000000"/>
                <w:kern w:val="0"/>
                <w:sz w:val="24"/>
                <w:u w:val="none"/>
                <w:lang w:bidi="ar"/>
              </w:rPr>
              <w:t>2.环境管理体系认证；</w:t>
            </w:r>
          </w:p>
          <w:p w14:paraId="07A5DFD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u w:val="none"/>
                <w:lang w:bidi="ar"/>
              </w:rPr>
            </w:pPr>
            <w:r>
              <w:rPr>
                <w:rFonts w:hint="eastAsia" w:ascii="宋体" w:hAnsi="宋体" w:eastAsia="宋体" w:cs="宋体"/>
                <w:color w:val="000000"/>
                <w:kern w:val="0"/>
                <w:sz w:val="24"/>
                <w:u w:val="none"/>
                <w:lang w:bidi="ar"/>
              </w:rPr>
              <w:t>3.职业健康安全管理体系认证；</w:t>
            </w:r>
          </w:p>
          <w:p w14:paraId="734AFFC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highlight w:val="none"/>
                <w:u w:val="none"/>
                <w:lang w:bidi="ar"/>
              </w:rPr>
            </w:pPr>
            <w:r>
              <w:rPr>
                <w:rFonts w:hint="eastAsia" w:ascii="宋体" w:hAnsi="宋体" w:eastAsia="宋体" w:cs="宋体"/>
                <w:b/>
                <w:kern w:val="0"/>
                <w:sz w:val="24"/>
                <w:highlight w:val="none"/>
                <w:u w:val="none"/>
                <w:lang w:bidi="ar"/>
              </w:rPr>
              <w:t>每提供1个得</w:t>
            </w:r>
            <w:r>
              <w:rPr>
                <w:rFonts w:hint="eastAsia" w:cs="宋体"/>
                <w:b/>
                <w:kern w:val="0"/>
                <w:sz w:val="24"/>
                <w:highlight w:val="none"/>
                <w:u w:val="none"/>
                <w:lang w:val="en-US" w:eastAsia="zh-CN" w:bidi="ar"/>
              </w:rPr>
              <w:t>2</w:t>
            </w:r>
            <w:r>
              <w:rPr>
                <w:rFonts w:hint="eastAsia" w:ascii="宋体" w:hAnsi="宋体" w:eastAsia="宋体" w:cs="宋体"/>
                <w:b/>
                <w:kern w:val="0"/>
                <w:sz w:val="24"/>
                <w:highlight w:val="none"/>
                <w:u w:val="none"/>
                <w:lang w:bidi="ar"/>
              </w:rPr>
              <w:t>分，最高得</w:t>
            </w:r>
            <w:r>
              <w:rPr>
                <w:rFonts w:hint="eastAsia" w:cs="宋体"/>
                <w:b/>
                <w:kern w:val="0"/>
                <w:sz w:val="24"/>
                <w:highlight w:val="none"/>
                <w:u w:val="none"/>
                <w:lang w:val="en-US" w:eastAsia="zh-CN" w:bidi="ar"/>
              </w:rPr>
              <w:t>6</w:t>
            </w:r>
            <w:r>
              <w:rPr>
                <w:rFonts w:hint="eastAsia" w:ascii="宋体" w:hAnsi="宋体" w:eastAsia="宋体" w:cs="宋体"/>
                <w:b/>
                <w:kern w:val="0"/>
                <w:sz w:val="24"/>
                <w:highlight w:val="none"/>
                <w:u w:val="none"/>
                <w:lang w:bidi="ar"/>
              </w:rPr>
              <w:t>分。</w:t>
            </w:r>
          </w:p>
          <w:p w14:paraId="218EEF5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color w:val="0000FF"/>
                <w:kern w:val="2"/>
                <w:sz w:val="24"/>
                <w:szCs w:val="24"/>
                <w:u w:val="none"/>
                <w:lang w:val="en-US" w:eastAsia="zh-CN" w:bidi="ar-SA"/>
              </w:rPr>
            </w:pPr>
            <w:r>
              <w:rPr>
                <w:rFonts w:hint="eastAsia" w:ascii="宋体" w:hAnsi="宋体" w:eastAsia="宋体" w:cs="宋体"/>
                <w:b/>
                <w:bCs/>
                <w:kern w:val="0"/>
                <w:sz w:val="24"/>
                <w:u w:val="none"/>
                <w:lang w:bidi="ar"/>
              </w:rPr>
              <w:t>注：响应文件中同时提供证书扫描件及全国认证认可信息公共服务平台官网证书信息查询截图（证书状态为“有效”）。</w:t>
            </w:r>
          </w:p>
        </w:tc>
        <w:tc>
          <w:tcPr>
            <w:tcW w:w="656" w:type="pct"/>
            <w:tcBorders>
              <w:top w:val="single" w:color="auto" w:sz="4" w:space="0"/>
              <w:left w:val="single" w:color="auto" w:sz="4" w:space="0"/>
              <w:bottom w:val="single" w:color="auto" w:sz="4" w:space="0"/>
              <w:right w:val="single" w:color="auto" w:sz="4" w:space="0"/>
            </w:tcBorders>
            <w:noWrap w:val="0"/>
            <w:vAlign w:val="center"/>
          </w:tcPr>
          <w:p w14:paraId="4B67CF3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highlight w:val="none"/>
                <w:u w:val="none"/>
              </w:rPr>
              <w:t>0-</w:t>
            </w:r>
            <w:r>
              <w:rPr>
                <w:rFonts w:hint="eastAsia"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分</w:t>
            </w:r>
          </w:p>
        </w:tc>
      </w:tr>
      <w:tr w14:paraId="0D1B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pct"/>
            <w:tcBorders>
              <w:left w:val="single" w:color="auto" w:sz="4" w:space="0"/>
              <w:right w:val="single" w:color="auto" w:sz="4" w:space="0"/>
            </w:tcBorders>
            <w:noWrap w:val="0"/>
            <w:vAlign w:val="center"/>
          </w:tcPr>
          <w:p w14:paraId="7FDD90E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4"/>
                <w:u w:val="none"/>
              </w:rPr>
            </w:pPr>
            <w:r>
              <w:rPr>
                <w:rFonts w:hint="eastAsia" w:ascii="宋体" w:hAnsi="宋体" w:eastAsia="宋体" w:cs="宋体"/>
                <w:b/>
                <w:bCs/>
                <w:sz w:val="24"/>
                <w:u w:val="none"/>
              </w:rPr>
              <w:t>价格分</w:t>
            </w:r>
          </w:p>
          <w:p w14:paraId="49C0839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u w:val="none"/>
              </w:rPr>
            </w:pPr>
            <w:r>
              <w:rPr>
                <w:rFonts w:hint="eastAsia" w:ascii="宋体" w:hAnsi="宋体" w:eastAsia="宋体" w:cs="宋体"/>
                <w:b/>
                <w:bCs/>
                <w:sz w:val="24"/>
                <w:u w:val="none"/>
              </w:rPr>
              <w:t>（</w:t>
            </w:r>
            <w:r>
              <w:rPr>
                <w:rFonts w:hint="eastAsia" w:cs="宋体"/>
                <w:b/>
                <w:bCs/>
                <w:sz w:val="24"/>
                <w:u w:val="none"/>
                <w:lang w:val="en-US" w:eastAsia="zh-CN"/>
              </w:rPr>
              <w:t>10</w:t>
            </w:r>
            <w:r>
              <w:rPr>
                <w:rFonts w:hint="eastAsia" w:ascii="宋体" w:hAnsi="宋体" w:eastAsia="宋体" w:cs="宋体"/>
                <w:b/>
                <w:bCs/>
                <w:sz w:val="24"/>
                <w:u w:val="none"/>
              </w:rPr>
              <w:t>分）</w:t>
            </w:r>
          </w:p>
        </w:tc>
        <w:tc>
          <w:tcPr>
            <w:tcW w:w="4213" w:type="pct"/>
            <w:gridSpan w:val="3"/>
            <w:tcBorders>
              <w:top w:val="single" w:color="auto" w:sz="4" w:space="0"/>
              <w:left w:val="single" w:color="auto" w:sz="4" w:space="0"/>
              <w:bottom w:val="single" w:color="auto" w:sz="4" w:space="0"/>
              <w:right w:val="single" w:color="auto" w:sz="4" w:space="0"/>
            </w:tcBorders>
            <w:noWrap w:val="0"/>
            <w:vAlign w:val="center"/>
          </w:tcPr>
          <w:p w14:paraId="4F62015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sz w:val="24"/>
                <w:u w:val="none"/>
              </w:rPr>
            </w:pPr>
            <w:r>
              <w:rPr>
                <w:rFonts w:hint="eastAsia" w:ascii="宋体" w:hAnsi="宋体" w:eastAsia="宋体" w:cs="宋体"/>
                <w:b w:val="0"/>
                <w:bCs w:val="0"/>
                <w:sz w:val="24"/>
                <w:u w:val="none"/>
              </w:rPr>
              <w:t>价格分统一采用低价优先法，即满足磋商文件要求且最后报价最低的供应商的价格为磋商基准价，其价格分为满分</w:t>
            </w:r>
            <w:r>
              <w:rPr>
                <w:rFonts w:hint="eastAsia" w:cs="宋体"/>
                <w:b w:val="0"/>
                <w:bCs w:val="0"/>
                <w:sz w:val="24"/>
                <w:u w:val="none"/>
                <w:lang w:val="en-US" w:eastAsia="zh-CN"/>
              </w:rPr>
              <w:t>10</w:t>
            </w:r>
            <w:r>
              <w:rPr>
                <w:rFonts w:hint="eastAsia" w:ascii="宋体" w:hAnsi="宋体" w:eastAsia="宋体" w:cs="宋体"/>
                <w:b w:val="0"/>
                <w:bCs w:val="0"/>
                <w:sz w:val="24"/>
                <w:u w:val="none"/>
              </w:rPr>
              <w:t>分。其他供应商的价格分统一按照下列公式计算：</w:t>
            </w:r>
          </w:p>
          <w:p w14:paraId="7E9D824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sz w:val="24"/>
                <w:u w:val="none"/>
              </w:rPr>
            </w:pPr>
            <w:r>
              <w:rPr>
                <w:rFonts w:hint="eastAsia" w:ascii="宋体" w:hAnsi="宋体" w:eastAsia="宋体" w:cs="宋体"/>
                <w:b w:val="0"/>
                <w:bCs w:val="0"/>
                <w:sz w:val="24"/>
                <w:u w:val="none"/>
              </w:rPr>
              <w:t>磋商报价得分＝（磋商基准价/最后磋商报价）×</w:t>
            </w:r>
            <w:r>
              <w:rPr>
                <w:rFonts w:hint="eastAsia" w:cs="宋体"/>
                <w:b w:val="0"/>
                <w:bCs w:val="0"/>
                <w:sz w:val="24"/>
                <w:u w:val="none"/>
                <w:lang w:val="en-US" w:eastAsia="zh-CN"/>
              </w:rPr>
              <w:t>10</w:t>
            </w:r>
            <w:r>
              <w:rPr>
                <w:rFonts w:hint="eastAsia" w:ascii="宋体" w:hAnsi="宋体" w:eastAsia="宋体" w:cs="宋体"/>
                <w:b w:val="0"/>
                <w:bCs w:val="0"/>
                <w:sz w:val="24"/>
                <w:u w:val="none"/>
              </w:rPr>
              <w:t>％×100</w:t>
            </w:r>
          </w:p>
        </w:tc>
      </w:tr>
    </w:tbl>
    <w:p w14:paraId="231947D7">
      <w:pPr>
        <w:spacing w:line="360" w:lineRule="auto"/>
        <w:ind w:firstLine="435"/>
        <w:rPr>
          <w:rFonts w:hint="eastAsia"/>
          <w:sz w:val="24"/>
          <w:highlight w:val="none"/>
        </w:rPr>
      </w:pPr>
      <w:r>
        <w:rPr>
          <w:rFonts w:hint="eastAsia"/>
          <w:sz w:val="24"/>
          <w:highlight w:val="none"/>
        </w:rPr>
        <w:t>2</w:t>
      </w:r>
      <w:r>
        <w:rPr>
          <w:sz w:val="24"/>
          <w:highlight w:val="none"/>
        </w:rPr>
        <w:t>.</w:t>
      </w:r>
      <w:r>
        <w:rPr>
          <w:rFonts w:hint="eastAsia"/>
          <w:sz w:val="24"/>
          <w:highlight w:val="none"/>
        </w:rPr>
        <w:t>2</w:t>
      </w:r>
      <w:r>
        <w:rPr>
          <w:sz w:val="24"/>
          <w:highlight w:val="none"/>
        </w:rPr>
        <w:t>.3</w:t>
      </w:r>
      <w:r>
        <w:rPr>
          <w:rFonts w:hint="eastAsia"/>
          <w:sz w:val="24"/>
          <w:highlight w:val="none"/>
        </w:rPr>
        <w:t>分值汇总</w:t>
      </w:r>
    </w:p>
    <w:p w14:paraId="3ECB4AFC">
      <w:pPr>
        <w:spacing w:line="360" w:lineRule="auto"/>
        <w:ind w:firstLine="435"/>
        <w:rPr>
          <w:rFonts w:hint="eastAsia"/>
          <w:sz w:val="24"/>
          <w:highlight w:val="none"/>
        </w:rPr>
      </w:pPr>
      <w:r>
        <w:rPr>
          <w:rFonts w:hint="eastAsia"/>
          <w:sz w:val="24"/>
          <w:highlight w:val="none"/>
        </w:rPr>
        <w:t>（1）磋商小组各成员应当独立对每个有效响应的文件进行评价、打分，然后汇总每个</w:t>
      </w:r>
      <w:r>
        <w:rPr>
          <w:rFonts w:hint="eastAsia"/>
          <w:sz w:val="24"/>
          <w:szCs w:val="18"/>
          <w:highlight w:val="none"/>
        </w:rPr>
        <w:t>参审单位</w:t>
      </w:r>
      <w:r>
        <w:rPr>
          <w:rFonts w:hint="eastAsia"/>
          <w:sz w:val="24"/>
          <w:highlight w:val="none"/>
        </w:rPr>
        <w:t>每项评分因素的得</w:t>
      </w:r>
      <w:r>
        <w:rPr>
          <w:rFonts w:hint="eastAsia"/>
          <w:b w:val="0"/>
          <w:bCs w:val="0"/>
          <w:sz w:val="24"/>
          <w:highlight w:val="none"/>
        </w:rPr>
        <w:t>分，再取各位评委评分之平均值，四</w:t>
      </w:r>
      <w:r>
        <w:rPr>
          <w:rFonts w:hint="eastAsia"/>
          <w:sz w:val="24"/>
          <w:highlight w:val="none"/>
        </w:rPr>
        <w:t>舍五入保留至小数点后两位数，得到该</w:t>
      </w:r>
      <w:r>
        <w:rPr>
          <w:rFonts w:hint="eastAsia"/>
          <w:sz w:val="24"/>
          <w:szCs w:val="18"/>
          <w:highlight w:val="none"/>
        </w:rPr>
        <w:t>参审单位</w:t>
      </w:r>
      <w:r>
        <w:rPr>
          <w:rFonts w:hint="eastAsia"/>
          <w:sz w:val="24"/>
          <w:highlight w:val="none"/>
        </w:rPr>
        <w:t>的技术资信分。</w:t>
      </w:r>
    </w:p>
    <w:p w14:paraId="1B11E05B">
      <w:pPr>
        <w:spacing w:line="360" w:lineRule="auto"/>
        <w:ind w:firstLine="435"/>
        <w:rPr>
          <w:rFonts w:hint="eastAsia"/>
          <w:sz w:val="24"/>
          <w:highlight w:val="none"/>
        </w:rPr>
      </w:pPr>
      <w:r>
        <w:rPr>
          <w:rFonts w:hint="eastAsia"/>
          <w:sz w:val="24"/>
          <w:highlight w:val="none"/>
        </w:rPr>
        <w:t>（2）将每个</w:t>
      </w:r>
      <w:r>
        <w:rPr>
          <w:rFonts w:hint="eastAsia"/>
          <w:sz w:val="24"/>
          <w:szCs w:val="18"/>
          <w:highlight w:val="none"/>
        </w:rPr>
        <w:t>参审单位</w:t>
      </w:r>
      <w:r>
        <w:rPr>
          <w:rFonts w:hint="eastAsia"/>
          <w:sz w:val="24"/>
          <w:highlight w:val="none"/>
        </w:rPr>
        <w:t>的技术资信分加上根据上述标准计算出的价格分，即为该</w:t>
      </w:r>
      <w:r>
        <w:rPr>
          <w:rFonts w:hint="eastAsia"/>
          <w:sz w:val="24"/>
          <w:szCs w:val="18"/>
          <w:highlight w:val="none"/>
        </w:rPr>
        <w:t>参审单位</w:t>
      </w:r>
      <w:r>
        <w:rPr>
          <w:rFonts w:hint="eastAsia"/>
          <w:sz w:val="24"/>
          <w:highlight w:val="none"/>
        </w:rPr>
        <w:t>的综合总得分。</w:t>
      </w:r>
    </w:p>
    <w:p w14:paraId="71FD75C4">
      <w:pPr>
        <w:spacing w:line="360" w:lineRule="auto"/>
        <w:jc w:val="center"/>
        <w:outlineLvl w:val="0"/>
        <w:rPr>
          <w:rFonts w:hint="eastAsia"/>
          <w:b/>
          <w:sz w:val="28"/>
          <w:highlight w:val="none"/>
        </w:rPr>
      </w:pPr>
      <w:r>
        <w:rPr>
          <w:sz w:val="24"/>
          <w:highlight w:val="none"/>
        </w:rPr>
        <w:br w:type="page"/>
      </w:r>
      <w:bookmarkStart w:id="36" w:name="_Toc10624"/>
      <w:r>
        <w:rPr>
          <w:rFonts w:hint="eastAsia"/>
          <w:b/>
          <w:sz w:val="28"/>
          <w:highlight w:val="none"/>
        </w:rPr>
        <w:t>第五章  合同条款及格式</w:t>
      </w:r>
      <w:bookmarkEnd w:id="36"/>
    </w:p>
    <w:p w14:paraId="096C3BE1">
      <w:pPr>
        <w:spacing w:line="360" w:lineRule="auto"/>
        <w:jc w:val="center"/>
        <w:outlineLvl w:val="0"/>
        <w:rPr>
          <w:rFonts w:hint="eastAsia"/>
          <w:b/>
          <w:sz w:val="28"/>
          <w:highlight w:val="none"/>
        </w:rPr>
      </w:pPr>
      <w:bookmarkStart w:id="37" w:name="_Toc19256"/>
      <w:r>
        <w:rPr>
          <w:rFonts w:hint="eastAsia"/>
          <w:b/>
          <w:sz w:val="28"/>
          <w:highlight w:val="none"/>
        </w:rPr>
        <w:t>（双方依法签订）</w:t>
      </w:r>
      <w:bookmarkEnd w:id="37"/>
    </w:p>
    <w:p w14:paraId="5821643F">
      <w:pPr>
        <w:rPr>
          <w:rFonts w:hint="eastAsia"/>
          <w:b/>
          <w:sz w:val="28"/>
          <w:highlight w:val="none"/>
        </w:rPr>
      </w:pPr>
      <w:r>
        <w:rPr>
          <w:rFonts w:hint="eastAsia"/>
          <w:b/>
          <w:sz w:val="28"/>
          <w:highlight w:val="none"/>
        </w:rPr>
        <w:br w:type="page"/>
      </w:r>
    </w:p>
    <w:p w14:paraId="12496544">
      <w:pPr>
        <w:spacing w:line="360" w:lineRule="auto"/>
        <w:jc w:val="center"/>
        <w:outlineLvl w:val="0"/>
        <w:rPr>
          <w:rFonts w:hint="eastAsia"/>
          <w:b/>
          <w:sz w:val="28"/>
          <w:highlight w:val="none"/>
        </w:rPr>
      </w:pPr>
      <w:bookmarkStart w:id="38" w:name="_Toc6518"/>
      <w:r>
        <w:rPr>
          <w:rFonts w:hint="eastAsia"/>
          <w:b/>
          <w:sz w:val="28"/>
          <w:highlight w:val="none"/>
        </w:rPr>
        <w:t>第六章  响应文件格式</w:t>
      </w:r>
      <w:bookmarkEnd w:id="38"/>
    </w:p>
    <w:p w14:paraId="68D39E42">
      <w:pPr>
        <w:spacing w:line="900" w:lineRule="exact"/>
        <w:jc w:val="center"/>
        <w:rPr>
          <w:rFonts w:hint="eastAsia"/>
          <w:b/>
          <w:sz w:val="32"/>
          <w:highlight w:val="none"/>
          <w:lang w:val="en-US" w:eastAsia="zh-CN"/>
        </w:rPr>
      </w:pPr>
      <w:r>
        <w:rPr>
          <w:rFonts w:hint="eastAsia"/>
          <w:b/>
          <w:sz w:val="32"/>
          <w:highlight w:val="none"/>
          <w:lang w:val="en-US" w:eastAsia="zh-CN"/>
        </w:rPr>
        <w:t>肥西县柿树岗乡卫生院CT机房防辐射及装饰改造项目</w:t>
      </w:r>
    </w:p>
    <w:p w14:paraId="6303348C">
      <w:pPr>
        <w:spacing w:line="900" w:lineRule="exact"/>
        <w:jc w:val="center"/>
        <w:rPr>
          <w:rFonts w:hint="eastAsia"/>
          <w:b/>
          <w:sz w:val="32"/>
          <w:highlight w:val="none"/>
          <w:lang w:eastAsia="zh-CN"/>
        </w:rPr>
      </w:pPr>
    </w:p>
    <w:p w14:paraId="39F39518">
      <w:pPr>
        <w:spacing w:line="900" w:lineRule="exact"/>
        <w:jc w:val="center"/>
        <w:outlineLvl w:val="2"/>
        <w:rPr>
          <w:rFonts w:hint="eastAsia"/>
          <w:b/>
          <w:sz w:val="72"/>
          <w:highlight w:val="none"/>
        </w:rPr>
      </w:pPr>
    </w:p>
    <w:p w14:paraId="345AA2CB">
      <w:pPr>
        <w:spacing w:line="900" w:lineRule="exact"/>
        <w:jc w:val="center"/>
        <w:outlineLvl w:val="2"/>
        <w:rPr>
          <w:rFonts w:hint="eastAsia"/>
          <w:b/>
          <w:sz w:val="72"/>
          <w:highlight w:val="none"/>
        </w:rPr>
      </w:pPr>
      <w:r>
        <w:rPr>
          <w:rFonts w:hint="eastAsia"/>
          <w:b/>
          <w:sz w:val="72"/>
          <w:highlight w:val="none"/>
        </w:rPr>
        <w:t>响</w:t>
      </w:r>
    </w:p>
    <w:p w14:paraId="1D12E36A">
      <w:pPr>
        <w:spacing w:line="900" w:lineRule="exact"/>
        <w:jc w:val="center"/>
        <w:rPr>
          <w:rFonts w:hint="eastAsia"/>
          <w:b/>
          <w:sz w:val="72"/>
          <w:highlight w:val="none"/>
        </w:rPr>
      </w:pPr>
    </w:p>
    <w:p w14:paraId="66AA1757">
      <w:pPr>
        <w:spacing w:line="900" w:lineRule="exact"/>
        <w:jc w:val="center"/>
        <w:outlineLvl w:val="2"/>
        <w:rPr>
          <w:rFonts w:hint="eastAsia"/>
          <w:b/>
          <w:sz w:val="72"/>
          <w:highlight w:val="none"/>
        </w:rPr>
      </w:pPr>
      <w:r>
        <w:rPr>
          <w:rFonts w:hint="eastAsia"/>
          <w:b/>
          <w:sz w:val="72"/>
          <w:highlight w:val="none"/>
        </w:rPr>
        <w:t>应</w:t>
      </w:r>
    </w:p>
    <w:p w14:paraId="64999828">
      <w:pPr>
        <w:spacing w:line="900" w:lineRule="exact"/>
        <w:jc w:val="center"/>
        <w:rPr>
          <w:rFonts w:hint="eastAsia"/>
          <w:b/>
          <w:sz w:val="72"/>
          <w:highlight w:val="none"/>
        </w:rPr>
      </w:pPr>
    </w:p>
    <w:p w14:paraId="117ADC33">
      <w:pPr>
        <w:spacing w:line="900" w:lineRule="exact"/>
        <w:jc w:val="center"/>
        <w:outlineLvl w:val="2"/>
        <w:rPr>
          <w:rFonts w:hint="eastAsia"/>
          <w:b/>
          <w:sz w:val="72"/>
          <w:highlight w:val="none"/>
        </w:rPr>
      </w:pPr>
      <w:r>
        <w:rPr>
          <w:rFonts w:hint="eastAsia"/>
          <w:b/>
          <w:sz w:val="72"/>
          <w:highlight w:val="none"/>
        </w:rPr>
        <w:t>文</w:t>
      </w:r>
    </w:p>
    <w:p w14:paraId="22850E0D">
      <w:pPr>
        <w:spacing w:line="900" w:lineRule="exact"/>
        <w:jc w:val="center"/>
        <w:rPr>
          <w:rFonts w:hint="eastAsia"/>
          <w:b/>
          <w:sz w:val="72"/>
          <w:highlight w:val="none"/>
        </w:rPr>
      </w:pPr>
    </w:p>
    <w:p w14:paraId="4D0D086B">
      <w:pPr>
        <w:jc w:val="center"/>
        <w:outlineLvl w:val="2"/>
        <w:rPr>
          <w:rFonts w:hint="eastAsia"/>
          <w:b/>
          <w:sz w:val="72"/>
          <w:highlight w:val="none"/>
        </w:rPr>
      </w:pPr>
      <w:r>
        <w:rPr>
          <w:rFonts w:hint="eastAsia"/>
          <w:b/>
          <w:sz w:val="72"/>
          <w:highlight w:val="none"/>
        </w:rPr>
        <w:t>件</w:t>
      </w:r>
    </w:p>
    <w:p w14:paraId="1958FF89">
      <w:pPr>
        <w:spacing w:after="120" w:afterLines="50"/>
        <w:jc w:val="center"/>
        <w:rPr>
          <w:rFonts w:hint="eastAsia"/>
          <w:b/>
          <w:sz w:val="72"/>
          <w:highlight w:val="none"/>
        </w:rPr>
      </w:pPr>
    </w:p>
    <w:p w14:paraId="20E87761">
      <w:pPr>
        <w:spacing w:after="120" w:afterLines="50" w:line="500" w:lineRule="exact"/>
        <w:jc w:val="center"/>
        <w:rPr>
          <w:rFonts w:hint="eastAsia"/>
          <w:b/>
          <w:sz w:val="28"/>
          <w:szCs w:val="28"/>
          <w:highlight w:val="none"/>
        </w:rPr>
      </w:pPr>
    </w:p>
    <w:p w14:paraId="4F34827E">
      <w:pPr>
        <w:spacing w:after="120" w:afterLines="50" w:line="500" w:lineRule="exact"/>
        <w:jc w:val="center"/>
        <w:rPr>
          <w:rFonts w:hint="eastAsia"/>
          <w:b/>
          <w:sz w:val="72"/>
          <w:highlight w:val="none"/>
        </w:rPr>
      </w:pPr>
    </w:p>
    <w:p w14:paraId="0660B696">
      <w:pPr>
        <w:spacing w:after="120" w:afterLines="50" w:line="500" w:lineRule="exact"/>
        <w:ind w:firstLine="2522" w:firstLineChars="785"/>
        <w:rPr>
          <w:rFonts w:hint="eastAsia"/>
          <w:b/>
          <w:sz w:val="32"/>
          <w:highlight w:val="none"/>
          <w:u w:val="single"/>
        </w:rPr>
      </w:pPr>
      <w:r>
        <w:rPr>
          <w:rFonts w:hint="eastAsia"/>
          <w:b/>
          <w:sz w:val="32"/>
          <w:highlight w:val="none"/>
        </w:rPr>
        <w:t>参审单位：</w:t>
      </w:r>
      <w:r>
        <w:rPr>
          <w:rFonts w:hint="eastAsia"/>
          <w:b/>
          <w:sz w:val="32"/>
          <w:highlight w:val="none"/>
          <w:u w:val="single"/>
        </w:rPr>
        <w:t xml:space="preserve">               </w:t>
      </w:r>
    </w:p>
    <w:p w14:paraId="45BCD5F3">
      <w:pPr>
        <w:spacing w:after="120" w:afterLines="50" w:line="500" w:lineRule="exact"/>
        <w:jc w:val="center"/>
        <w:outlineLvl w:val="1"/>
        <w:rPr>
          <w:rFonts w:hint="eastAsia"/>
          <w:b/>
          <w:sz w:val="32"/>
          <w:highlight w:val="none"/>
        </w:rPr>
      </w:pPr>
      <w:r>
        <w:rPr>
          <w:rFonts w:hint="eastAsia"/>
          <w:b/>
          <w:sz w:val="32"/>
          <w:highlight w:val="none"/>
          <w:u w:val="single"/>
        </w:rPr>
        <w:t xml:space="preserve">    </w:t>
      </w:r>
      <w:bookmarkStart w:id="39" w:name="_Toc12730"/>
      <w:bookmarkStart w:id="40" w:name="_Toc328"/>
      <w:r>
        <w:rPr>
          <w:rFonts w:hint="eastAsia"/>
          <w:b/>
          <w:sz w:val="32"/>
          <w:highlight w:val="none"/>
        </w:rPr>
        <w:t>年</w:t>
      </w:r>
      <w:r>
        <w:rPr>
          <w:rFonts w:hint="eastAsia"/>
          <w:b/>
          <w:sz w:val="32"/>
          <w:highlight w:val="none"/>
          <w:u w:val="single"/>
        </w:rPr>
        <w:t xml:space="preserve">  </w:t>
      </w:r>
      <w:r>
        <w:rPr>
          <w:rFonts w:hint="eastAsia"/>
          <w:b/>
          <w:sz w:val="32"/>
          <w:highlight w:val="none"/>
        </w:rPr>
        <w:t>月</w:t>
      </w:r>
      <w:r>
        <w:rPr>
          <w:rFonts w:hint="eastAsia"/>
          <w:b/>
          <w:sz w:val="32"/>
          <w:highlight w:val="none"/>
          <w:u w:val="single"/>
        </w:rPr>
        <w:t xml:space="preserve">  </w:t>
      </w:r>
      <w:r>
        <w:rPr>
          <w:rFonts w:hint="eastAsia"/>
          <w:b/>
          <w:sz w:val="32"/>
          <w:highlight w:val="none"/>
        </w:rPr>
        <w:t>日</w:t>
      </w:r>
      <w:bookmarkEnd w:id="39"/>
      <w:bookmarkEnd w:id="40"/>
    </w:p>
    <w:p w14:paraId="50CF5A97">
      <w:pPr>
        <w:spacing w:line="360" w:lineRule="auto"/>
        <w:jc w:val="center"/>
        <w:outlineLvl w:val="0"/>
        <w:rPr>
          <w:rFonts w:hint="eastAsia"/>
          <w:b/>
          <w:sz w:val="24"/>
          <w:highlight w:val="none"/>
        </w:rPr>
      </w:pPr>
      <w:r>
        <w:rPr>
          <w:b/>
          <w:sz w:val="28"/>
          <w:highlight w:val="none"/>
        </w:rPr>
        <w:br w:type="page"/>
      </w:r>
      <w:bookmarkStart w:id="41" w:name="_Toc461056631"/>
      <w:bookmarkStart w:id="42" w:name="_Toc461053086"/>
      <w:bookmarkStart w:id="43" w:name="_Toc520983587"/>
      <w:bookmarkStart w:id="44" w:name="_Toc18529"/>
      <w:r>
        <w:rPr>
          <w:rFonts w:hint="eastAsia"/>
          <w:b/>
          <w:sz w:val="24"/>
          <w:highlight w:val="none"/>
        </w:rPr>
        <w:t>一</w:t>
      </w:r>
      <w:bookmarkEnd w:id="41"/>
      <w:bookmarkEnd w:id="42"/>
      <w:r>
        <w:rPr>
          <w:rFonts w:hint="eastAsia"/>
          <w:b/>
          <w:sz w:val="24"/>
          <w:highlight w:val="none"/>
        </w:rPr>
        <w:t>、报价表格式</w:t>
      </w:r>
      <w:bookmarkEnd w:id="43"/>
      <w:bookmarkEnd w:id="44"/>
    </w:p>
    <w:p w14:paraId="60CE276A">
      <w:pPr>
        <w:spacing w:before="120" w:beforeLines="50" w:after="120" w:afterLines="50" w:line="360" w:lineRule="auto"/>
        <w:jc w:val="center"/>
        <w:outlineLvl w:val="2"/>
        <w:rPr>
          <w:rFonts w:hint="eastAsia" w:cs="@仿宋_GB2312"/>
          <w:b/>
          <w:kern w:val="2"/>
          <w:sz w:val="24"/>
          <w:szCs w:val="24"/>
          <w:highlight w:val="none"/>
        </w:rPr>
      </w:pPr>
      <w:r>
        <w:rPr>
          <w:rFonts w:hint="eastAsia" w:cs="@仿宋_GB2312"/>
          <w:b/>
          <w:kern w:val="2"/>
          <w:sz w:val="24"/>
          <w:szCs w:val="24"/>
          <w:highlight w:val="none"/>
        </w:rPr>
        <w:t>1-1 报价表</w:t>
      </w:r>
    </w:p>
    <w:p w14:paraId="121C02EB">
      <w:pPr>
        <w:snapToGrid w:val="0"/>
        <w:spacing w:line="360" w:lineRule="auto"/>
        <w:jc w:val="left"/>
        <w:rPr>
          <w:rFonts w:hint="eastAsia" w:eastAsia="宋体" w:cs="宋体"/>
          <w:b/>
          <w:kern w:val="2"/>
          <w:sz w:val="24"/>
          <w:szCs w:val="24"/>
          <w:highlight w:val="none"/>
          <w:u w:val="none"/>
          <w:lang w:val="en-US" w:eastAsia="zh-CN"/>
        </w:rPr>
      </w:pPr>
      <w:r>
        <w:rPr>
          <w:rFonts w:hint="eastAsia" w:cs="宋体"/>
          <w:b/>
          <w:kern w:val="2"/>
          <w:sz w:val="24"/>
          <w:szCs w:val="24"/>
          <w:highlight w:val="none"/>
          <w:u w:val="none"/>
        </w:rPr>
        <w:t>项目名称：</w:t>
      </w:r>
      <w:r>
        <w:rPr>
          <w:rFonts w:hint="eastAsia" w:cs="宋体"/>
          <w:b/>
          <w:kern w:val="2"/>
          <w:sz w:val="24"/>
          <w:szCs w:val="24"/>
          <w:highlight w:val="none"/>
          <w:u w:val="none"/>
          <w:lang w:val="en-US" w:eastAsia="zh-CN"/>
        </w:rPr>
        <w:t>肥西县柿树岗乡卫生院CT机房防辐射及装饰改造项目</w:t>
      </w:r>
    </w:p>
    <w:p w14:paraId="32325F16">
      <w:pPr>
        <w:snapToGrid w:val="0"/>
        <w:spacing w:after="120" w:afterLines="50" w:line="360" w:lineRule="auto"/>
        <w:jc w:val="left"/>
        <w:rPr>
          <w:rFonts w:hint="eastAsia" w:eastAsia="宋体" w:cs="宋体"/>
          <w:b/>
          <w:bCs/>
          <w:kern w:val="2"/>
          <w:sz w:val="24"/>
          <w:szCs w:val="24"/>
          <w:highlight w:val="none"/>
          <w:u w:val="none"/>
          <w:lang w:eastAsia="zh-CN"/>
        </w:rPr>
      </w:pPr>
      <w:r>
        <w:rPr>
          <w:rFonts w:hint="eastAsia" w:cs="宋体"/>
          <w:b/>
          <w:kern w:val="2"/>
          <w:sz w:val="24"/>
          <w:szCs w:val="24"/>
          <w:highlight w:val="none"/>
          <w:u w:val="none"/>
        </w:rPr>
        <w:t>项目编号：</w:t>
      </w:r>
      <w:r>
        <w:rPr>
          <w:rFonts w:hint="eastAsia" w:cs="宋体"/>
          <w:b/>
          <w:kern w:val="2"/>
          <w:sz w:val="24"/>
          <w:szCs w:val="24"/>
          <w:highlight w:val="none"/>
          <w:u w:val="none"/>
          <w:lang w:eastAsia="zh-CN"/>
        </w:rPr>
        <w:t>2026PHGN241</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B46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A60B12D">
            <w:pPr>
              <w:jc w:val="center"/>
              <w:rPr>
                <w:rFonts w:hint="eastAsia" w:cs="宋体"/>
                <w:b/>
                <w:kern w:val="2"/>
                <w:sz w:val="24"/>
                <w:szCs w:val="24"/>
                <w:highlight w:val="none"/>
              </w:rPr>
            </w:pPr>
            <w:r>
              <w:rPr>
                <w:rFonts w:hint="eastAsia"/>
                <w:b/>
                <w:sz w:val="24"/>
                <w:szCs w:val="18"/>
                <w:highlight w:val="none"/>
              </w:rPr>
              <w:t>参审单位</w:t>
            </w:r>
            <w:r>
              <w:rPr>
                <w:rFonts w:hint="eastAsia" w:cs="宋体"/>
                <w:b/>
                <w:kern w:val="2"/>
                <w:sz w:val="24"/>
                <w:szCs w:val="24"/>
                <w:highlight w:val="none"/>
              </w:rPr>
              <w:t>名称</w:t>
            </w:r>
          </w:p>
        </w:tc>
        <w:tc>
          <w:tcPr>
            <w:tcW w:w="6063" w:type="dxa"/>
            <w:tcBorders>
              <w:left w:val="single" w:color="auto" w:sz="4" w:space="0"/>
            </w:tcBorders>
          </w:tcPr>
          <w:p w14:paraId="2CE228C4">
            <w:pPr>
              <w:rPr>
                <w:rFonts w:hint="eastAsia" w:cs="宋体"/>
                <w:b/>
                <w:kern w:val="2"/>
                <w:sz w:val="24"/>
                <w:szCs w:val="24"/>
                <w:highlight w:val="none"/>
              </w:rPr>
            </w:pPr>
          </w:p>
        </w:tc>
      </w:tr>
      <w:tr w14:paraId="765D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1D686EB">
            <w:pPr>
              <w:jc w:val="center"/>
              <w:rPr>
                <w:rFonts w:hint="eastAsia" w:cs="宋体"/>
                <w:b/>
                <w:kern w:val="2"/>
                <w:sz w:val="24"/>
                <w:szCs w:val="24"/>
                <w:highlight w:val="none"/>
              </w:rPr>
            </w:pPr>
            <w:r>
              <w:rPr>
                <w:rFonts w:hint="eastAsia" w:cs="宋体"/>
                <w:b/>
                <w:bCs/>
                <w:kern w:val="2"/>
                <w:sz w:val="24"/>
                <w:szCs w:val="24"/>
                <w:highlight w:val="none"/>
              </w:rPr>
              <w:t>磋商</w:t>
            </w:r>
            <w:r>
              <w:rPr>
                <w:rFonts w:hint="eastAsia" w:cs="宋体"/>
                <w:b/>
                <w:kern w:val="2"/>
                <w:sz w:val="24"/>
                <w:szCs w:val="24"/>
                <w:highlight w:val="none"/>
              </w:rPr>
              <w:t>范围</w:t>
            </w:r>
          </w:p>
        </w:tc>
        <w:tc>
          <w:tcPr>
            <w:tcW w:w="6063" w:type="dxa"/>
            <w:tcBorders>
              <w:left w:val="single" w:color="auto" w:sz="4" w:space="0"/>
            </w:tcBorders>
            <w:vAlign w:val="center"/>
          </w:tcPr>
          <w:p w14:paraId="0A531534">
            <w:pPr>
              <w:widowControl/>
              <w:rPr>
                <w:rFonts w:hint="eastAsia" w:cs="宋体"/>
                <w:b/>
                <w:kern w:val="2"/>
                <w:sz w:val="24"/>
                <w:szCs w:val="24"/>
                <w:highlight w:val="none"/>
              </w:rPr>
            </w:pPr>
            <w:r>
              <w:rPr>
                <w:rFonts w:hint="eastAsia" w:cs="@仿宋_GB2312"/>
                <w:kern w:val="2"/>
                <w:sz w:val="24"/>
                <w:szCs w:val="28"/>
                <w:highlight w:val="none"/>
              </w:rPr>
              <w:t xml:space="preserve">全部 </w:t>
            </w:r>
          </w:p>
        </w:tc>
      </w:tr>
      <w:tr w14:paraId="7CD6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D57E743">
            <w:pPr>
              <w:spacing w:line="360" w:lineRule="auto"/>
              <w:jc w:val="center"/>
              <w:rPr>
                <w:rFonts w:hint="eastAsia" w:cs="@仿宋_GB2312"/>
                <w:b/>
                <w:kern w:val="2"/>
                <w:sz w:val="24"/>
                <w:highlight w:val="none"/>
              </w:rPr>
            </w:pPr>
            <w:r>
              <w:rPr>
                <w:rFonts w:hint="eastAsia" w:cs="@仿宋_GB2312"/>
                <w:b/>
                <w:kern w:val="2"/>
                <w:sz w:val="24"/>
                <w:highlight w:val="none"/>
              </w:rPr>
              <w:t>报价</w:t>
            </w:r>
          </w:p>
          <w:p w14:paraId="4A7D4147">
            <w:pPr>
              <w:jc w:val="center"/>
              <w:rPr>
                <w:rFonts w:hint="eastAsia" w:cs="宋体"/>
                <w:b/>
                <w:kern w:val="2"/>
                <w:sz w:val="24"/>
                <w:szCs w:val="24"/>
                <w:highlight w:val="none"/>
              </w:rPr>
            </w:pPr>
            <w:r>
              <w:rPr>
                <w:rFonts w:hint="eastAsia" w:cs="宋体"/>
                <w:b/>
                <w:kern w:val="2"/>
                <w:sz w:val="24"/>
                <w:szCs w:val="24"/>
                <w:highlight w:val="none"/>
              </w:rPr>
              <w:t>（详见备注说明）</w:t>
            </w:r>
          </w:p>
        </w:tc>
        <w:tc>
          <w:tcPr>
            <w:tcW w:w="6063" w:type="dxa"/>
            <w:vAlign w:val="center"/>
          </w:tcPr>
          <w:p w14:paraId="6204D141">
            <w:pPr>
              <w:snapToGrid w:val="0"/>
              <w:rPr>
                <w:rFonts w:hint="eastAsia" w:cs="宋体"/>
                <w:kern w:val="2"/>
                <w:sz w:val="24"/>
                <w:szCs w:val="24"/>
                <w:highlight w:val="none"/>
              </w:rPr>
            </w:pPr>
          </w:p>
          <w:p w14:paraId="3D264DF7">
            <w:pPr>
              <w:snapToGrid w:val="0"/>
              <w:rPr>
                <w:rFonts w:hint="eastAsia" w:cs="宋体"/>
                <w:bCs/>
                <w:kern w:val="2"/>
                <w:sz w:val="24"/>
                <w:szCs w:val="24"/>
                <w:highlight w:val="none"/>
                <w:u w:val="single"/>
              </w:rPr>
            </w:pPr>
            <w:r>
              <w:rPr>
                <w:rFonts w:hint="eastAsia" w:cs="宋体"/>
                <w:bCs/>
                <w:kern w:val="2"/>
                <w:sz w:val="24"/>
                <w:szCs w:val="24"/>
                <w:highlight w:val="none"/>
              </w:rPr>
              <w:t>人民币大写：</w:t>
            </w:r>
            <w:r>
              <w:rPr>
                <w:rFonts w:hint="eastAsia" w:cs="宋体"/>
                <w:bCs/>
                <w:kern w:val="2"/>
                <w:sz w:val="24"/>
                <w:szCs w:val="24"/>
                <w:highlight w:val="none"/>
                <w:u w:val="single"/>
              </w:rPr>
              <w:t xml:space="preserve">                        </w:t>
            </w:r>
          </w:p>
          <w:p w14:paraId="0DEF79F7">
            <w:pPr>
              <w:snapToGrid w:val="0"/>
              <w:rPr>
                <w:rFonts w:hint="eastAsia" w:cs="宋体"/>
                <w:bCs/>
                <w:kern w:val="2"/>
                <w:sz w:val="24"/>
                <w:szCs w:val="24"/>
                <w:highlight w:val="none"/>
                <w:u w:val="single"/>
              </w:rPr>
            </w:pPr>
            <w:r>
              <w:rPr>
                <w:rFonts w:hint="eastAsia" w:cs="宋体"/>
                <w:bCs/>
                <w:kern w:val="2"/>
                <w:sz w:val="24"/>
                <w:szCs w:val="24"/>
                <w:highlight w:val="none"/>
                <w:lang w:val="en-US" w:eastAsia="zh-CN"/>
              </w:rPr>
              <w:t>人民币</w:t>
            </w:r>
            <w:r>
              <w:rPr>
                <w:rFonts w:hint="eastAsia" w:cs="宋体"/>
                <w:bCs/>
                <w:kern w:val="2"/>
                <w:sz w:val="24"/>
                <w:szCs w:val="24"/>
                <w:highlight w:val="none"/>
              </w:rPr>
              <w:t>小写：</w:t>
            </w:r>
            <w:r>
              <w:rPr>
                <w:rFonts w:hint="eastAsia" w:cs="宋体"/>
                <w:bCs/>
                <w:kern w:val="2"/>
                <w:sz w:val="24"/>
                <w:szCs w:val="24"/>
                <w:highlight w:val="none"/>
                <w:u w:val="single"/>
              </w:rPr>
              <w:t xml:space="preserve">                        </w:t>
            </w:r>
          </w:p>
          <w:p w14:paraId="06D28E8B">
            <w:pPr>
              <w:snapToGrid w:val="0"/>
              <w:rPr>
                <w:rFonts w:hint="eastAsia" w:cs="宋体"/>
                <w:b/>
                <w:kern w:val="2"/>
                <w:sz w:val="24"/>
                <w:szCs w:val="24"/>
                <w:highlight w:val="none"/>
              </w:rPr>
            </w:pPr>
          </w:p>
        </w:tc>
      </w:tr>
      <w:tr w14:paraId="7D2D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011C4F5F">
            <w:pPr>
              <w:snapToGrid w:val="0"/>
              <w:jc w:val="center"/>
              <w:rPr>
                <w:rFonts w:hint="eastAsia" w:cs="宋体"/>
                <w:b/>
                <w:kern w:val="2"/>
                <w:sz w:val="24"/>
                <w:szCs w:val="24"/>
                <w:highlight w:val="none"/>
              </w:rPr>
            </w:pPr>
            <w:r>
              <w:rPr>
                <w:rFonts w:hint="eastAsia" w:cs="宋体"/>
                <w:b/>
                <w:bCs/>
                <w:kern w:val="2"/>
                <w:sz w:val="24"/>
                <w:szCs w:val="24"/>
                <w:highlight w:val="none"/>
              </w:rPr>
              <w:t>质量标准</w:t>
            </w:r>
          </w:p>
        </w:tc>
        <w:tc>
          <w:tcPr>
            <w:tcW w:w="6063" w:type="dxa"/>
            <w:vAlign w:val="center"/>
          </w:tcPr>
          <w:p w14:paraId="18088CBD">
            <w:pPr>
              <w:snapToGrid w:val="0"/>
              <w:rPr>
                <w:rFonts w:hint="eastAsia" w:cs="宋体"/>
                <w:b/>
                <w:kern w:val="2"/>
                <w:sz w:val="24"/>
                <w:szCs w:val="24"/>
                <w:highlight w:val="none"/>
              </w:rPr>
            </w:pPr>
          </w:p>
        </w:tc>
      </w:tr>
      <w:tr w14:paraId="6046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6EB53F6A">
            <w:pPr>
              <w:jc w:val="center"/>
              <w:rPr>
                <w:rFonts w:hint="eastAsia" w:cs="宋体"/>
                <w:b/>
                <w:kern w:val="2"/>
                <w:sz w:val="24"/>
                <w:szCs w:val="24"/>
                <w:highlight w:val="none"/>
              </w:rPr>
            </w:pPr>
            <w:r>
              <w:rPr>
                <w:rFonts w:hint="eastAsia" w:cs="宋体"/>
                <w:b/>
                <w:kern w:val="2"/>
                <w:sz w:val="24"/>
                <w:szCs w:val="24"/>
                <w:highlight w:val="none"/>
              </w:rPr>
              <w:t>备注说明</w:t>
            </w:r>
          </w:p>
        </w:tc>
        <w:tc>
          <w:tcPr>
            <w:tcW w:w="6063" w:type="dxa"/>
            <w:vAlign w:val="center"/>
          </w:tcPr>
          <w:p w14:paraId="2E730BC2">
            <w:pPr>
              <w:rPr>
                <w:rFonts w:hint="eastAsia" w:cs="宋体"/>
                <w:b/>
                <w:kern w:val="2"/>
                <w:sz w:val="24"/>
                <w:szCs w:val="24"/>
                <w:highlight w:val="none"/>
              </w:rPr>
            </w:pPr>
            <w:r>
              <w:rPr>
                <w:rFonts w:hint="eastAsia" w:cs="宋体"/>
                <w:b/>
                <w:kern w:val="2"/>
                <w:sz w:val="24"/>
                <w:szCs w:val="24"/>
                <w:highlight w:val="none"/>
              </w:rPr>
              <w:t>本项目无二次报价</w:t>
            </w:r>
          </w:p>
        </w:tc>
      </w:tr>
    </w:tbl>
    <w:p w14:paraId="58CAABD8">
      <w:pPr>
        <w:spacing w:line="440" w:lineRule="exact"/>
        <w:ind w:firstLine="4800" w:firstLineChars="2000"/>
        <w:rPr>
          <w:rFonts w:hint="eastAsia" w:cs="@仿宋_GB2312"/>
          <w:kern w:val="2"/>
          <w:sz w:val="24"/>
          <w:szCs w:val="24"/>
          <w:highlight w:val="none"/>
          <w:u w:val="single"/>
        </w:rPr>
      </w:pPr>
      <w:r>
        <w:rPr>
          <w:rFonts w:hint="eastAsia"/>
          <w:sz w:val="24"/>
          <w:szCs w:val="18"/>
          <w:highlight w:val="none"/>
        </w:rPr>
        <w:t>参审单位</w:t>
      </w:r>
      <w:r>
        <w:rPr>
          <w:rFonts w:hint="eastAsia" w:cs="@仿宋_GB2312"/>
          <w:kern w:val="2"/>
          <w:sz w:val="24"/>
          <w:szCs w:val="24"/>
          <w:highlight w:val="none"/>
        </w:rPr>
        <w:t>电子签章：</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512FB135">
      <w:pPr>
        <w:spacing w:line="440" w:lineRule="exact"/>
        <w:ind w:firstLine="4800" w:firstLineChars="2000"/>
        <w:rPr>
          <w:rFonts w:hint="eastAsia" w:cs="@仿宋_GB2312"/>
          <w:kern w:val="2"/>
          <w:sz w:val="24"/>
          <w:szCs w:val="24"/>
          <w:highlight w:val="none"/>
          <w:u w:val="singl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26AEFF62">
      <w:pPr>
        <w:adjustRightInd w:val="0"/>
        <w:snapToGrid w:val="0"/>
        <w:spacing w:line="360" w:lineRule="auto"/>
        <w:rPr>
          <w:rFonts w:hint="eastAsia" w:cs="宋体"/>
          <w:b/>
          <w:bCs/>
          <w:kern w:val="2"/>
          <w:sz w:val="24"/>
          <w:szCs w:val="24"/>
          <w:highlight w:val="none"/>
        </w:rPr>
      </w:pPr>
      <w:r>
        <w:rPr>
          <w:rFonts w:hint="eastAsia" w:cs="宋体"/>
          <w:b/>
          <w:bCs/>
          <w:kern w:val="2"/>
          <w:sz w:val="24"/>
          <w:szCs w:val="24"/>
          <w:highlight w:val="none"/>
        </w:rPr>
        <w:t>注：</w:t>
      </w:r>
    </w:p>
    <w:p w14:paraId="46C84623">
      <w:pPr>
        <w:adjustRightInd w:val="0"/>
        <w:snapToGrid w:val="0"/>
        <w:spacing w:line="360" w:lineRule="auto"/>
        <w:ind w:firstLine="482" w:firstLineChars="200"/>
        <w:rPr>
          <w:rFonts w:hint="eastAsia" w:cs="宋体"/>
          <w:kern w:val="2"/>
          <w:sz w:val="24"/>
          <w:szCs w:val="24"/>
          <w:highlight w:val="none"/>
        </w:rPr>
      </w:pPr>
      <w:r>
        <w:rPr>
          <w:rFonts w:hint="eastAsia" w:cs="宋体"/>
          <w:b/>
          <w:bCs/>
          <w:kern w:val="2"/>
          <w:sz w:val="24"/>
          <w:szCs w:val="24"/>
          <w:highlight w:val="none"/>
        </w:rPr>
        <w:t>1.本表内容根据磋商文件要求包括了磋商文件要求提供的全部内容的所有费用。</w:t>
      </w:r>
    </w:p>
    <w:p w14:paraId="3525CFD8">
      <w:pPr>
        <w:adjustRightInd w:val="0"/>
        <w:snapToGrid w:val="0"/>
        <w:spacing w:line="360" w:lineRule="auto"/>
        <w:ind w:firstLine="482" w:firstLineChars="200"/>
        <w:rPr>
          <w:rFonts w:hint="eastAsia" w:cs="宋体"/>
          <w:b/>
          <w:bCs/>
          <w:kern w:val="2"/>
          <w:sz w:val="24"/>
          <w:szCs w:val="24"/>
          <w:highlight w:val="none"/>
        </w:rPr>
      </w:pPr>
      <w:r>
        <w:rPr>
          <w:rFonts w:hint="eastAsia" w:cs="宋体"/>
          <w:b/>
          <w:bCs/>
          <w:kern w:val="2"/>
          <w:sz w:val="24"/>
          <w:szCs w:val="24"/>
          <w:highlight w:val="none"/>
        </w:rPr>
        <w:t>2.特殊事项在备注中注明。</w:t>
      </w:r>
    </w:p>
    <w:p w14:paraId="1C926389">
      <w:pPr>
        <w:adjustRightInd w:val="0"/>
        <w:snapToGrid w:val="0"/>
        <w:spacing w:line="360" w:lineRule="auto"/>
        <w:ind w:firstLine="482" w:firstLineChars="200"/>
        <w:rPr>
          <w:rFonts w:hint="eastAsia" w:cs="宋体"/>
          <w:b/>
          <w:bCs/>
          <w:kern w:val="2"/>
          <w:sz w:val="24"/>
          <w:szCs w:val="24"/>
          <w:highlight w:val="none"/>
        </w:rPr>
      </w:pPr>
      <w:r>
        <w:rPr>
          <w:rFonts w:hint="eastAsia" w:cs="@仿宋_GB2312"/>
          <w:b/>
          <w:bCs/>
          <w:kern w:val="2"/>
          <w:sz w:val="24"/>
          <w:szCs w:val="24"/>
          <w:highlight w:val="none"/>
        </w:rPr>
        <w:t>3.</w:t>
      </w:r>
      <w:r>
        <w:rPr>
          <w:rFonts w:hint="eastAsia"/>
          <w:b/>
          <w:sz w:val="24"/>
          <w:szCs w:val="18"/>
          <w:highlight w:val="none"/>
        </w:rPr>
        <w:t>参审单位</w:t>
      </w:r>
      <w:r>
        <w:rPr>
          <w:rFonts w:hint="eastAsia"/>
          <w:b/>
          <w:bCs/>
          <w:sz w:val="24"/>
          <w:szCs w:val="24"/>
          <w:highlight w:val="none"/>
        </w:rPr>
        <w:t>填写的唱标信息不作为评审依据。</w:t>
      </w:r>
    </w:p>
    <w:p w14:paraId="0768100F">
      <w:pPr>
        <w:autoSpaceDE w:val="0"/>
        <w:autoSpaceDN w:val="0"/>
        <w:adjustRightInd w:val="0"/>
        <w:spacing w:before="20" w:after="20" w:line="360" w:lineRule="auto"/>
        <w:jc w:val="center"/>
        <w:rPr>
          <w:rFonts w:hint="eastAsia" w:cs="宋体"/>
          <w:b/>
          <w:sz w:val="24"/>
          <w:szCs w:val="24"/>
          <w:highlight w:val="none"/>
        </w:rPr>
      </w:pPr>
      <w:r>
        <w:rPr>
          <w:rFonts w:cs="宋体"/>
          <w:b/>
          <w:bCs/>
          <w:kern w:val="2"/>
          <w:sz w:val="24"/>
          <w:szCs w:val="24"/>
          <w:highlight w:val="none"/>
        </w:rPr>
        <w:br w:type="page"/>
      </w:r>
    </w:p>
    <w:p w14:paraId="314D4B53">
      <w:pPr>
        <w:spacing w:line="360" w:lineRule="auto"/>
        <w:jc w:val="center"/>
        <w:outlineLvl w:val="0"/>
        <w:rPr>
          <w:rFonts w:hint="eastAsia" w:cs="宋体"/>
          <w:b/>
          <w:sz w:val="24"/>
          <w:szCs w:val="24"/>
          <w:highlight w:val="none"/>
        </w:rPr>
      </w:pPr>
      <w:bookmarkStart w:id="45" w:name="_Toc27845"/>
      <w:r>
        <w:rPr>
          <w:rFonts w:cs="宋体"/>
          <w:b/>
          <w:sz w:val="24"/>
          <w:szCs w:val="24"/>
          <w:highlight w:val="none"/>
        </w:rPr>
        <w:t xml:space="preserve">1-2 </w:t>
      </w:r>
      <w:r>
        <w:rPr>
          <w:rFonts w:hint="eastAsia" w:cs="宋体"/>
          <w:b/>
          <w:sz w:val="24"/>
          <w:szCs w:val="24"/>
          <w:highlight w:val="none"/>
        </w:rPr>
        <w:t>工程量清单报价书</w:t>
      </w:r>
      <w:bookmarkEnd w:id="45"/>
    </w:p>
    <w:p w14:paraId="78BA00BD">
      <w:pPr>
        <w:autoSpaceDE w:val="0"/>
        <w:autoSpaceDN w:val="0"/>
        <w:adjustRightInd w:val="0"/>
        <w:spacing w:before="20" w:after="20" w:line="360" w:lineRule="auto"/>
        <w:jc w:val="center"/>
        <w:rPr>
          <w:rFonts w:hint="eastAsia" w:cs="宋体"/>
          <w:b/>
          <w:sz w:val="24"/>
          <w:szCs w:val="24"/>
          <w:highlight w:val="none"/>
        </w:rPr>
      </w:pPr>
      <w:r>
        <w:rPr>
          <w:rFonts w:hint="eastAsia" w:cs="宋体"/>
          <w:b/>
          <w:sz w:val="24"/>
          <w:szCs w:val="24"/>
          <w:highlight w:val="none"/>
        </w:rPr>
        <w:t>（根据附件格式提供）</w:t>
      </w:r>
    </w:p>
    <w:p w14:paraId="18EA6260">
      <w:pPr>
        <w:autoSpaceDE w:val="0"/>
        <w:autoSpaceDN w:val="0"/>
        <w:adjustRightInd w:val="0"/>
        <w:spacing w:before="20" w:after="20" w:line="360" w:lineRule="auto"/>
        <w:jc w:val="center"/>
        <w:rPr>
          <w:rFonts w:hint="eastAsia" w:cs="宋体"/>
          <w:b/>
          <w:sz w:val="24"/>
          <w:szCs w:val="24"/>
          <w:highlight w:val="none"/>
        </w:rPr>
      </w:pPr>
    </w:p>
    <w:p w14:paraId="43A92176">
      <w:pPr>
        <w:autoSpaceDE w:val="0"/>
        <w:autoSpaceDN w:val="0"/>
        <w:adjustRightInd w:val="0"/>
        <w:spacing w:before="20" w:after="20" w:line="360" w:lineRule="auto"/>
        <w:jc w:val="center"/>
        <w:rPr>
          <w:rFonts w:hint="eastAsia" w:cs="宋体"/>
          <w:b/>
          <w:sz w:val="24"/>
          <w:szCs w:val="24"/>
          <w:highlight w:val="none"/>
        </w:rPr>
      </w:pPr>
    </w:p>
    <w:p w14:paraId="1DE890A6">
      <w:pPr>
        <w:autoSpaceDE w:val="0"/>
        <w:autoSpaceDN w:val="0"/>
        <w:adjustRightInd w:val="0"/>
        <w:spacing w:before="20" w:after="20" w:line="360" w:lineRule="auto"/>
        <w:jc w:val="center"/>
        <w:rPr>
          <w:rFonts w:hint="eastAsia" w:cs="宋体"/>
          <w:bCs/>
          <w:sz w:val="24"/>
          <w:szCs w:val="24"/>
          <w:highlight w:val="none"/>
        </w:rPr>
      </w:pPr>
      <w:r>
        <w:rPr>
          <w:rFonts w:hint="eastAsia" w:cs="宋体"/>
          <w:b/>
          <w:sz w:val="24"/>
          <w:szCs w:val="24"/>
          <w:highlight w:val="none"/>
        </w:rPr>
        <w:t xml:space="preserve">                                      </w:t>
      </w:r>
    </w:p>
    <w:p w14:paraId="51A34A40">
      <w:pPr>
        <w:autoSpaceDE w:val="0"/>
        <w:autoSpaceDN w:val="0"/>
        <w:adjustRightInd w:val="0"/>
        <w:spacing w:line="360" w:lineRule="auto"/>
        <w:ind w:firstLine="480" w:firstLineChars="200"/>
        <w:jc w:val="left"/>
        <w:rPr>
          <w:rFonts w:hint="eastAsia" w:cs="宋体"/>
          <w:bCs/>
          <w:sz w:val="24"/>
          <w:szCs w:val="24"/>
          <w:highlight w:val="none"/>
        </w:rPr>
      </w:pPr>
    </w:p>
    <w:p w14:paraId="4BC33A49">
      <w:pPr>
        <w:autoSpaceDE w:val="0"/>
        <w:autoSpaceDN w:val="0"/>
        <w:adjustRightInd w:val="0"/>
        <w:spacing w:before="20" w:after="20" w:line="360" w:lineRule="auto"/>
        <w:jc w:val="center"/>
        <w:rPr>
          <w:rFonts w:hint="eastAsia" w:cs="宋体"/>
          <w:b/>
          <w:sz w:val="24"/>
          <w:szCs w:val="24"/>
          <w:highlight w:val="none"/>
        </w:rPr>
        <w:sectPr>
          <w:headerReference r:id="rId4" w:type="default"/>
          <w:footerReference r:id="rId5" w:type="default"/>
          <w:pgSz w:w="11905" w:h="16838"/>
          <w:pgMar w:top="1474" w:right="1814" w:bottom="1474" w:left="1814" w:header="850" w:footer="992" w:gutter="0"/>
          <w:pgNumType w:fmt="decimal"/>
          <w:cols w:space="0" w:num="1"/>
        </w:sectPr>
      </w:pPr>
    </w:p>
    <w:p w14:paraId="76D29C58">
      <w:pPr>
        <w:widowControl/>
        <w:jc w:val="center"/>
        <w:rPr>
          <w:rFonts w:hint="eastAsia" w:cs="@仿宋_GB2312"/>
          <w:b/>
          <w:bCs/>
          <w:kern w:val="2"/>
          <w:sz w:val="24"/>
          <w:szCs w:val="24"/>
          <w:highlight w:val="none"/>
        </w:rPr>
      </w:pPr>
      <w:bookmarkStart w:id="46" w:name="_Toc520983591"/>
      <w:r>
        <w:rPr>
          <w:rFonts w:hint="eastAsia"/>
          <w:b/>
          <w:sz w:val="24"/>
          <w:highlight w:val="none"/>
        </w:rPr>
        <w:t>二、</w:t>
      </w:r>
      <w:r>
        <w:rPr>
          <w:rFonts w:hint="eastAsia"/>
          <w:b/>
          <w:sz w:val="24"/>
          <w:szCs w:val="18"/>
          <w:highlight w:val="none"/>
        </w:rPr>
        <w:t>参审单位</w:t>
      </w:r>
      <w:r>
        <w:rPr>
          <w:rFonts w:hint="eastAsia"/>
          <w:b/>
          <w:sz w:val="24"/>
          <w:highlight w:val="none"/>
        </w:rPr>
        <w:t>综合情况简介</w:t>
      </w:r>
    </w:p>
    <w:p w14:paraId="67A3DFA1">
      <w:pPr>
        <w:spacing w:before="120" w:beforeLines="50" w:after="120" w:afterLines="50" w:line="360" w:lineRule="auto"/>
        <w:ind w:firstLine="235" w:firstLineChars="98"/>
        <w:jc w:val="center"/>
        <w:rPr>
          <w:rFonts w:hint="eastAsia"/>
          <w:sz w:val="24"/>
          <w:szCs w:val="28"/>
          <w:highlight w:val="none"/>
        </w:rPr>
      </w:pPr>
      <w:r>
        <w:rPr>
          <w:rFonts w:hint="eastAsia"/>
          <w:sz w:val="24"/>
          <w:szCs w:val="28"/>
          <w:highlight w:val="none"/>
        </w:rPr>
        <w:t>（</w:t>
      </w:r>
      <w:r>
        <w:rPr>
          <w:rFonts w:hint="eastAsia"/>
          <w:sz w:val="24"/>
          <w:szCs w:val="18"/>
          <w:highlight w:val="none"/>
        </w:rPr>
        <w:t>参审单位</w:t>
      </w:r>
      <w:r>
        <w:rPr>
          <w:rFonts w:hint="eastAsia"/>
          <w:sz w:val="24"/>
          <w:szCs w:val="28"/>
          <w:highlight w:val="none"/>
        </w:rPr>
        <w:t>可自行制作格式）</w:t>
      </w:r>
    </w:p>
    <w:p w14:paraId="77FDEA78">
      <w:pPr>
        <w:widowControl/>
        <w:jc w:val="center"/>
        <w:rPr>
          <w:rFonts w:hint="eastAsia"/>
          <w:b/>
          <w:sz w:val="24"/>
          <w:highlight w:val="none"/>
        </w:rPr>
      </w:pPr>
      <w:r>
        <w:rPr>
          <w:b/>
          <w:sz w:val="24"/>
          <w:highlight w:val="none"/>
        </w:rPr>
        <w:br w:type="page"/>
      </w:r>
      <w:r>
        <w:rPr>
          <w:rFonts w:hint="eastAsia"/>
          <w:b/>
          <w:sz w:val="24"/>
          <w:highlight w:val="none"/>
        </w:rPr>
        <w:t>三、磋商响应函</w:t>
      </w:r>
      <w:bookmarkEnd w:id="46"/>
    </w:p>
    <w:p w14:paraId="1166182C">
      <w:pPr>
        <w:spacing w:line="360" w:lineRule="auto"/>
        <w:rPr>
          <w:rFonts w:hint="eastAsia" w:eastAsia="宋体" w:cs="宋体"/>
          <w:b/>
          <w:kern w:val="2"/>
          <w:sz w:val="24"/>
          <w:szCs w:val="24"/>
          <w:highlight w:val="none"/>
          <w:u w:val="none"/>
          <w:lang w:eastAsia="zh-CN"/>
        </w:rPr>
      </w:pPr>
      <w:r>
        <w:rPr>
          <w:rFonts w:hint="eastAsia" w:cs="宋体"/>
          <w:b/>
          <w:kern w:val="2"/>
          <w:sz w:val="24"/>
          <w:szCs w:val="24"/>
          <w:highlight w:val="none"/>
          <w:u w:val="none"/>
        </w:rPr>
        <w:t>致：</w:t>
      </w:r>
      <w:r>
        <w:rPr>
          <w:rFonts w:hint="eastAsia" w:cs="宋体"/>
          <w:b/>
          <w:kern w:val="2"/>
          <w:sz w:val="24"/>
          <w:szCs w:val="24"/>
          <w:highlight w:val="none"/>
          <w:u w:val="none"/>
          <w:lang w:eastAsia="zh-CN"/>
        </w:rPr>
        <w:t>肥西县柿树岗乡卫生院</w:t>
      </w:r>
    </w:p>
    <w:p w14:paraId="1CBABF24">
      <w:pPr>
        <w:spacing w:line="360" w:lineRule="auto"/>
        <w:ind w:firstLine="482" w:firstLineChars="200"/>
        <w:rPr>
          <w:rFonts w:hint="eastAsia" w:cs="宋体"/>
          <w:b/>
          <w:kern w:val="2"/>
          <w:sz w:val="24"/>
          <w:szCs w:val="24"/>
          <w:highlight w:val="none"/>
          <w:u w:val="none"/>
        </w:rPr>
      </w:pPr>
      <w:r>
        <w:rPr>
          <w:rFonts w:hint="eastAsia" w:cs="宋体"/>
          <w:b/>
          <w:sz w:val="24"/>
          <w:szCs w:val="24"/>
          <w:highlight w:val="none"/>
          <w:u w:val="none"/>
        </w:rPr>
        <w:t>肥西县公共资源交易有限责任公司</w:t>
      </w:r>
    </w:p>
    <w:p w14:paraId="601164B2">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根据贵方的磋商公告和磋商公告，我方兹宣布同意如下：</w:t>
      </w:r>
    </w:p>
    <w:p w14:paraId="2032135C">
      <w:pPr>
        <w:spacing w:line="360" w:lineRule="auto"/>
        <w:ind w:firstLine="480" w:firstLineChars="200"/>
        <w:rPr>
          <w:rFonts w:hint="eastAsia" w:cs="宋体"/>
          <w:kern w:val="2"/>
          <w:sz w:val="24"/>
          <w:szCs w:val="24"/>
          <w:highlight w:val="none"/>
          <w:u w:val="single"/>
        </w:rPr>
      </w:pPr>
      <w:r>
        <w:rPr>
          <w:rFonts w:hint="eastAsia" w:cs="宋体"/>
          <w:kern w:val="2"/>
          <w:sz w:val="24"/>
          <w:szCs w:val="24"/>
          <w:highlight w:val="none"/>
        </w:rPr>
        <w:t>1．经踏勘项目现场和研究上述磋商文件的磋商须知、合同条款、图纸和工程建设技术标准及其他有关文件后，我方接受上述文件要求，并对工程量清单及最高限价（控制价）无异议。我方</w:t>
      </w:r>
      <w:r>
        <w:rPr>
          <w:rFonts w:hint="eastAsia" w:cs="宋体"/>
          <w:bCs/>
          <w:kern w:val="2"/>
          <w:sz w:val="24"/>
          <w:szCs w:val="24"/>
          <w:highlight w:val="none"/>
        </w:rPr>
        <w:t>承诺按本磋商文件、施工图纸、合同条款和工程建设技术标准的条件、</w:t>
      </w:r>
      <w:r>
        <w:rPr>
          <w:rFonts w:hint="eastAsia" w:cs="宋体"/>
          <w:kern w:val="2"/>
          <w:sz w:val="24"/>
          <w:szCs w:val="24"/>
          <w:highlight w:val="none"/>
        </w:rPr>
        <w:t>承担</w:t>
      </w:r>
      <w:r>
        <w:rPr>
          <w:rFonts w:hint="eastAsia" w:cs="宋体"/>
          <w:bCs/>
          <w:kern w:val="2"/>
          <w:sz w:val="24"/>
          <w:szCs w:val="24"/>
          <w:highlight w:val="none"/>
        </w:rPr>
        <w:t>上述工程的施工、竣工，并承担任何质量缺陷保修责任。</w:t>
      </w:r>
      <w:r>
        <w:rPr>
          <w:rFonts w:hint="eastAsia" w:cs="宋体"/>
          <w:sz w:val="24"/>
          <w:highlight w:val="none"/>
        </w:rPr>
        <w:t>如我方成交，我方承诺愿意按磋商文件规定缴纳履约保证金和代理费。【成交时间，以肥西县公共资源交易有限责任公司发出网上成交通知书之时为准，如不交纳代理费，我公司愿意承担违约责任。】</w:t>
      </w:r>
    </w:p>
    <w:p w14:paraId="6C107190">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04B9FA2A">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3．一旦我方成交，我方保证按磋商文件约定的工期和磋商文件或业主开工令的要求如期开工、竣工并移交整个工程。</w:t>
      </w:r>
    </w:p>
    <w:p w14:paraId="154AA1CE">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4．一旦我方成交，我方保证工程质量达到合格标准。</w:t>
      </w:r>
    </w:p>
    <w:p w14:paraId="593EB66A">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5．一旦我方成交，我方保证响应文件中承诺的项目管理班子及施工机械设备到位，并按响应文件中的施工组织设计组织施工。</w:t>
      </w:r>
    </w:p>
    <w:p w14:paraId="49741902">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6．一旦我方成交，我方保证用于本工程的主要材料、设备，符合磋商文件规定和响应文件承诺，并在使用之前经建设、监理、设计单位确认后使用。</w:t>
      </w:r>
    </w:p>
    <w:p w14:paraId="3A99A855">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7．一旦我方成交，我方保证在规定的时间内由我方法定代表人亲自签订合同以及及时进场施工，并认真履行合同和其它各项承诺。</w:t>
      </w:r>
    </w:p>
    <w:p w14:paraId="4D9AC1D6">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8．一旦我方成交，我方保证在规定的时间内按磋商文件规定的方式、金额向</w:t>
      </w:r>
      <w:r>
        <w:rPr>
          <w:rFonts w:hint="eastAsia"/>
          <w:sz w:val="24"/>
          <w:szCs w:val="18"/>
          <w:highlight w:val="none"/>
        </w:rPr>
        <w:t>业主单位</w:t>
      </w:r>
      <w:r>
        <w:rPr>
          <w:rFonts w:hint="eastAsia" w:cs="宋体"/>
          <w:kern w:val="2"/>
          <w:sz w:val="24"/>
          <w:szCs w:val="24"/>
          <w:highlight w:val="none"/>
        </w:rPr>
        <w:t>提交履约担保。</w:t>
      </w:r>
    </w:p>
    <w:p w14:paraId="2EC69F7B">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9．我方同意所提交的响应文件在磋商文件规定的磋商有效期内有效，在此期间内如果成交，我方将受此约束。</w:t>
      </w:r>
    </w:p>
    <w:p w14:paraId="0166F92D">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10．除非另外达成协议并生效，你方的成交通知书和本响应文件以及磋商文件、磋商文件澄清、修改、补充将成为约束双方的合同文件的组成部分。</w:t>
      </w:r>
    </w:p>
    <w:p w14:paraId="718FABBF">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1</w:t>
      </w:r>
      <w:r>
        <w:rPr>
          <w:rFonts w:cs="宋体"/>
          <w:kern w:val="2"/>
          <w:sz w:val="24"/>
          <w:szCs w:val="24"/>
          <w:highlight w:val="none"/>
        </w:rPr>
        <w:t>1</w:t>
      </w:r>
      <w:r>
        <w:rPr>
          <w:rFonts w:hint="eastAsia" w:cs="宋体"/>
          <w:kern w:val="2"/>
          <w:sz w:val="24"/>
          <w:szCs w:val="24"/>
          <w:highlight w:val="none"/>
        </w:rPr>
        <w:t>．我方承诺：</w:t>
      </w:r>
    </w:p>
    <w:p w14:paraId="123771A7">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w:t>
      </w:r>
      <w:r>
        <w:rPr>
          <w:rFonts w:cs="宋体"/>
          <w:kern w:val="2"/>
          <w:sz w:val="24"/>
          <w:szCs w:val="24"/>
          <w:highlight w:val="none"/>
        </w:rPr>
        <w:t>1</w:t>
      </w:r>
      <w:r>
        <w:rPr>
          <w:rFonts w:hint="eastAsia" w:cs="宋体"/>
          <w:kern w:val="2"/>
          <w:sz w:val="24"/>
          <w:szCs w:val="24"/>
          <w:highlight w:val="none"/>
        </w:rPr>
        <w:t>）我方已对</w:t>
      </w:r>
      <w:r>
        <w:rPr>
          <w:rFonts w:hint="eastAsia"/>
          <w:sz w:val="24"/>
          <w:szCs w:val="18"/>
          <w:highlight w:val="none"/>
        </w:rPr>
        <w:t>业主单位</w:t>
      </w:r>
      <w:r>
        <w:rPr>
          <w:rFonts w:hint="eastAsia" w:cs="宋体"/>
          <w:kern w:val="2"/>
          <w:sz w:val="24"/>
          <w:szCs w:val="24"/>
          <w:highlight w:val="none"/>
        </w:rPr>
        <w:t>提供的工程量清单和最高限价（控制价）进行认真复核，确认无误，成交后不再另行调整。</w:t>
      </w:r>
    </w:p>
    <w:p w14:paraId="71E19C9D">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w:t>
      </w:r>
      <w:r>
        <w:rPr>
          <w:rFonts w:cs="宋体"/>
          <w:kern w:val="2"/>
          <w:sz w:val="24"/>
          <w:szCs w:val="24"/>
          <w:highlight w:val="none"/>
        </w:rPr>
        <w:t>2</w:t>
      </w:r>
      <w:r>
        <w:rPr>
          <w:rFonts w:hint="eastAsia" w:cs="宋体"/>
          <w:kern w:val="2"/>
          <w:sz w:val="24"/>
          <w:szCs w:val="24"/>
          <w:highlight w:val="none"/>
        </w:rPr>
        <w:t>）本次磋商所提供企业业绩及项目经理业绩均真实有效。我单位承诺我单位所委任项目经理未在其他项目上担任项目经理岗位，或虽在其他项目上担任项目经理岗位，但在本项目成交后合同签订前能够从其他项目变更至本项目，全面履约。若因我单位项目经理在其他项目上担任项目经理岗位，无法进场履约的，</w:t>
      </w:r>
      <w:r>
        <w:rPr>
          <w:rFonts w:hint="eastAsia"/>
          <w:sz w:val="24"/>
          <w:szCs w:val="18"/>
          <w:highlight w:val="none"/>
        </w:rPr>
        <w:t>业主单位</w:t>
      </w:r>
      <w:r>
        <w:rPr>
          <w:rFonts w:hint="eastAsia" w:cs="宋体"/>
          <w:kern w:val="2"/>
          <w:sz w:val="24"/>
          <w:szCs w:val="24"/>
          <w:highlight w:val="none"/>
        </w:rPr>
        <w:t>可取消我单位成交资格。</w:t>
      </w:r>
      <w:r>
        <w:rPr>
          <w:rFonts w:hint="eastAsia"/>
          <w:sz w:val="24"/>
          <w:szCs w:val="18"/>
          <w:highlight w:val="none"/>
        </w:rPr>
        <w:t>业主单位</w:t>
      </w:r>
      <w:r>
        <w:rPr>
          <w:rFonts w:hint="eastAsia" w:cs="宋体"/>
          <w:kern w:val="2"/>
          <w:sz w:val="24"/>
          <w:szCs w:val="24"/>
          <w:highlight w:val="none"/>
        </w:rPr>
        <w:t>因此原因取消我单位成交资格的，视为我单位无正当理由放弃成交资格，磋商保证金不予退还，同时贵单位可向我单位进一步追偿工期延误造成的一切损失。</w:t>
      </w:r>
    </w:p>
    <w:p w14:paraId="01A4491B">
      <w:pPr>
        <w:spacing w:line="360" w:lineRule="auto"/>
        <w:ind w:firstLine="480" w:firstLineChars="200"/>
        <w:rPr>
          <w:rFonts w:hint="eastAsia" w:cs="宋体"/>
          <w:kern w:val="2"/>
          <w:sz w:val="24"/>
          <w:szCs w:val="24"/>
          <w:highlight w:val="none"/>
        </w:rPr>
      </w:pPr>
      <w:r>
        <w:rPr>
          <w:rFonts w:hint="eastAsia" w:cs="@仿宋_GB2312"/>
          <w:kern w:val="2"/>
          <w:sz w:val="24"/>
          <w:szCs w:val="24"/>
          <w:highlight w:val="none"/>
        </w:rPr>
        <w:t>（</w:t>
      </w:r>
      <w:r>
        <w:rPr>
          <w:rFonts w:cs="@仿宋_GB2312"/>
          <w:kern w:val="2"/>
          <w:sz w:val="24"/>
          <w:szCs w:val="24"/>
          <w:highlight w:val="none"/>
        </w:rPr>
        <w:t>3</w:t>
      </w:r>
      <w:r>
        <w:rPr>
          <w:rFonts w:hint="eastAsia" w:cs="@仿宋_GB2312"/>
          <w:kern w:val="2"/>
          <w:sz w:val="24"/>
          <w:szCs w:val="24"/>
          <w:highlight w:val="none"/>
        </w:rPr>
        <w:t>）我方报价中已考虑实行增值税计税模式带来的影响</w:t>
      </w:r>
      <w:r>
        <w:rPr>
          <w:rFonts w:hint="eastAsia" w:cs="@仿宋_GB2312"/>
          <w:i/>
          <w:kern w:val="2"/>
          <w:sz w:val="24"/>
          <w:szCs w:val="24"/>
          <w:highlight w:val="none"/>
        </w:rPr>
        <w:t>，</w:t>
      </w:r>
      <w:r>
        <w:rPr>
          <w:rFonts w:hint="eastAsia" w:cs="@仿宋_GB2312"/>
          <w:kern w:val="2"/>
          <w:sz w:val="24"/>
          <w:szCs w:val="24"/>
          <w:highlight w:val="none"/>
        </w:rPr>
        <w:t>报价中已包含磋商文件公布的施工扬尘污染防治措施费用，一旦我方成交，将严格遵守国家、省、市增值税相关规定的要求。我方将按照磋商文件的要求对农民工工资、扬尘污染防治进行办理专户设立、工资支付等事宜。</w:t>
      </w:r>
    </w:p>
    <w:p w14:paraId="1652D2D6">
      <w:pPr>
        <w:spacing w:line="360" w:lineRule="auto"/>
        <w:ind w:firstLine="480" w:firstLineChars="200"/>
        <w:rPr>
          <w:rFonts w:hint="eastAsia" w:cs="宋体"/>
          <w:kern w:val="2"/>
          <w:sz w:val="24"/>
          <w:szCs w:val="24"/>
          <w:highlight w:val="none"/>
          <w:u w:val="single"/>
        </w:rPr>
      </w:pPr>
      <w:r>
        <w:rPr>
          <w:rFonts w:cs="宋体"/>
          <w:kern w:val="2"/>
          <w:sz w:val="24"/>
          <w:szCs w:val="24"/>
          <w:highlight w:val="none"/>
        </w:rPr>
        <w:t>12</w:t>
      </w:r>
      <w:r>
        <w:rPr>
          <w:rFonts w:hint="eastAsia" w:cs="宋体"/>
          <w:kern w:val="2"/>
          <w:sz w:val="24"/>
          <w:szCs w:val="24"/>
          <w:highlight w:val="none"/>
        </w:rPr>
        <w:t>.其他补充说明：</w:t>
      </w:r>
      <w:r>
        <w:rPr>
          <w:rFonts w:hint="eastAsia" w:cs="宋体"/>
          <w:kern w:val="2"/>
          <w:sz w:val="24"/>
          <w:szCs w:val="24"/>
          <w:highlight w:val="none"/>
          <w:u w:val="single"/>
        </w:rPr>
        <w:t xml:space="preserve">             补充说明事项（如有）       </w:t>
      </w:r>
    </w:p>
    <w:p w14:paraId="229564FB">
      <w:pPr>
        <w:spacing w:line="360" w:lineRule="auto"/>
        <w:ind w:right="480" w:firstLine="3120" w:firstLineChars="1300"/>
        <w:rPr>
          <w:rFonts w:hint="eastAsia" w:cs="宋体"/>
          <w:kern w:val="2"/>
          <w:sz w:val="24"/>
          <w:szCs w:val="24"/>
          <w:highlight w:val="none"/>
        </w:rPr>
      </w:pPr>
      <w:r>
        <w:rPr>
          <w:rFonts w:hint="eastAsia"/>
          <w:sz w:val="24"/>
          <w:szCs w:val="18"/>
          <w:highlight w:val="none"/>
        </w:rPr>
        <w:t>参审单位</w:t>
      </w:r>
      <w:r>
        <w:rPr>
          <w:rFonts w:hint="eastAsia" w:cs="宋体"/>
          <w:kern w:val="2"/>
          <w:sz w:val="24"/>
          <w:szCs w:val="24"/>
          <w:highlight w:val="none"/>
        </w:rPr>
        <w:t>电子签章：</w:t>
      </w:r>
      <w:r>
        <w:rPr>
          <w:rFonts w:hint="eastAsia" w:cs="宋体"/>
          <w:kern w:val="2"/>
          <w:sz w:val="24"/>
          <w:szCs w:val="24"/>
          <w:highlight w:val="none"/>
          <w:u w:val="single"/>
        </w:rPr>
        <w:t xml:space="preserve">                   </w:t>
      </w:r>
    </w:p>
    <w:p w14:paraId="78AA24ED">
      <w:pPr>
        <w:spacing w:line="360" w:lineRule="auto"/>
        <w:ind w:right="480" w:firstLine="3120" w:firstLineChars="1300"/>
        <w:rPr>
          <w:rFonts w:hint="eastAsia" w:cs="宋体"/>
          <w:kern w:val="2"/>
          <w:sz w:val="24"/>
          <w:szCs w:val="24"/>
          <w:highlight w:val="none"/>
          <w:u w:val="single"/>
        </w:rPr>
      </w:pPr>
      <w:r>
        <w:rPr>
          <w:rFonts w:hint="eastAsia" w:cs="宋体"/>
          <w:kern w:val="2"/>
          <w:sz w:val="24"/>
          <w:szCs w:val="24"/>
          <w:highlight w:val="none"/>
        </w:rPr>
        <w:t>日          期：</w:t>
      </w:r>
      <w:r>
        <w:rPr>
          <w:rFonts w:hint="eastAsia" w:cs="宋体"/>
          <w:kern w:val="2"/>
          <w:sz w:val="24"/>
          <w:szCs w:val="24"/>
          <w:highlight w:val="none"/>
          <w:u w:val="single"/>
        </w:rPr>
        <w:t xml:space="preserve">                   </w:t>
      </w:r>
    </w:p>
    <w:p w14:paraId="05946435">
      <w:pPr>
        <w:widowControl/>
        <w:jc w:val="center"/>
        <w:rPr>
          <w:rFonts w:hint="eastAsia"/>
          <w:sz w:val="24"/>
          <w:szCs w:val="24"/>
          <w:highlight w:val="none"/>
        </w:rPr>
      </w:pPr>
      <w:r>
        <w:rPr>
          <w:sz w:val="24"/>
          <w:highlight w:val="none"/>
        </w:rPr>
        <w:br w:type="page"/>
      </w:r>
      <w:bookmarkStart w:id="47" w:name="_Toc520983592"/>
      <w:r>
        <w:rPr>
          <w:rFonts w:hint="eastAsia"/>
          <w:b/>
          <w:bCs/>
          <w:sz w:val="24"/>
          <w:highlight w:val="none"/>
        </w:rPr>
        <w:t>四、无不良信用记录声明函</w:t>
      </w:r>
      <w:bookmarkEnd w:id="47"/>
    </w:p>
    <w:p w14:paraId="19F86354">
      <w:pPr>
        <w:spacing w:line="360" w:lineRule="auto"/>
        <w:jc w:val="center"/>
        <w:rPr>
          <w:rFonts w:hint="eastAsia"/>
          <w:i/>
          <w:sz w:val="24"/>
          <w:highlight w:val="none"/>
        </w:rPr>
      </w:pPr>
      <w:r>
        <w:rPr>
          <w:i/>
          <w:sz w:val="24"/>
          <w:highlight w:val="none"/>
        </w:rPr>
        <w:t>(</w:t>
      </w:r>
      <w:r>
        <w:rPr>
          <w:rFonts w:hint="eastAsia"/>
          <w:i/>
          <w:sz w:val="24"/>
          <w:highlight w:val="none"/>
        </w:rPr>
        <w:t>联合体参加磋商的，联合体双方均须提供）</w:t>
      </w:r>
    </w:p>
    <w:p w14:paraId="65F17516">
      <w:pPr>
        <w:spacing w:line="360" w:lineRule="auto"/>
        <w:ind w:firstLine="480" w:firstLineChars="200"/>
        <w:rPr>
          <w:rFonts w:hint="eastAsia" w:cs="宋体"/>
          <w:sz w:val="24"/>
          <w:szCs w:val="24"/>
          <w:highlight w:val="none"/>
        </w:rPr>
      </w:pPr>
      <w:r>
        <w:rPr>
          <w:rFonts w:hint="eastAsia" w:cs="宋体"/>
          <w:sz w:val="24"/>
          <w:szCs w:val="24"/>
          <w:highlight w:val="none"/>
        </w:rPr>
        <w:t>1.本单位郑重声明，我单位无以下不良信用记录情形：</w:t>
      </w:r>
    </w:p>
    <w:p w14:paraId="601E3A11">
      <w:pPr>
        <w:spacing w:line="360" w:lineRule="auto"/>
        <w:ind w:firstLine="480" w:firstLineChars="200"/>
        <w:rPr>
          <w:rFonts w:hint="eastAsia" w:cs="宋体"/>
          <w:sz w:val="24"/>
          <w:szCs w:val="24"/>
          <w:highlight w:val="none"/>
        </w:rPr>
      </w:pPr>
      <w:r>
        <w:rPr>
          <w:rFonts w:hint="eastAsia" w:cs="宋体"/>
          <w:sz w:val="24"/>
          <w:szCs w:val="24"/>
          <w:highlight w:val="none"/>
        </w:rPr>
        <w:t>（1）在国家企业信用信息公示系统（http://www.gsxt.gov.cn/）中被列入严重违法失信企业名单；</w:t>
      </w:r>
    </w:p>
    <w:p w14:paraId="3DC47188">
      <w:pPr>
        <w:spacing w:line="360" w:lineRule="auto"/>
        <w:ind w:firstLine="480" w:firstLineChars="200"/>
        <w:rPr>
          <w:rFonts w:hint="eastAsia" w:cs="宋体"/>
          <w:sz w:val="24"/>
          <w:szCs w:val="24"/>
          <w:highlight w:val="none"/>
        </w:rPr>
      </w:pPr>
      <w:r>
        <w:rPr>
          <w:rFonts w:hint="eastAsia" w:cs="宋体"/>
          <w:sz w:val="24"/>
          <w:szCs w:val="24"/>
          <w:highlight w:val="none"/>
        </w:rPr>
        <w:t>（2）在“信用中国”网站（http://www.creditchina.gov.cn/）中被列入失信被执行人名单；</w:t>
      </w:r>
    </w:p>
    <w:p w14:paraId="2EC31889">
      <w:pPr>
        <w:spacing w:line="360" w:lineRule="auto"/>
        <w:ind w:firstLine="480" w:firstLineChars="200"/>
        <w:rPr>
          <w:rFonts w:hint="eastAsia" w:cs="宋体"/>
          <w:sz w:val="24"/>
          <w:szCs w:val="24"/>
          <w:highlight w:val="none"/>
        </w:rPr>
      </w:pPr>
      <w:r>
        <w:rPr>
          <w:rFonts w:hint="eastAsia" w:cs="宋体"/>
          <w:sz w:val="24"/>
          <w:szCs w:val="24"/>
          <w:highlight w:val="none"/>
        </w:rPr>
        <w:t>（3）在“信用中国”网站（http://www.creditchina.gov.cn/）中被列入重大税收违法案件当事人名单；</w:t>
      </w:r>
    </w:p>
    <w:p w14:paraId="348E2420">
      <w:pPr>
        <w:spacing w:line="360" w:lineRule="auto"/>
        <w:ind w:firstLine="480" w:firstLineChars="200"/>
        <w:rPr>
          <w:rFonts w:hint="eastAsia" w:cs="宋体"/>
          <w:sz w:val="24"/>
          <w:szCs w:val="24"/>
          <w:highlight w:val="none"/>
        </w:rPr>
      </w:pPr>
      <w:r>
        <w:rPr>
          <w:rFonts w:hint="eastAsia" w:cs="宋体"/>
          <w:sz w:val="24"/>
          <w:szCs w:val="24"/>
          <w:highlight w:val="none"/>
        </w:rPr>
        <w:t>本单位对上述声明的真实性负责。如有虚假，将依法承担相应责任。</w:t>
      </w:r>
    </w:p>
    <w:p w14:paraId="14680C68">
      <w:pPr>
        <w:spacing w:line="360" w:lineRule="auto"/>
        <w:ind w:firstLine="3840" w:firstLineChars="1600"/>
        <w:rPr>
          <w:rFonts w:hint="eastAsia" w:cs="宋体"/>
          <w:sz w:val="24"/>
          <w:szCs w:val="24"/>
          <w:highlight w:val="none"/>
        </w:rPr>
      </w:pPr>
    </w:p>
    <w:p w14:paraId="33505A6E">
      <w:pPr>
        <w:spacing w:line="360" w:lineRule="auto"/>
        <w:ind w:firstLine="3840" w:firstLineChars="1600"/>
        <w:rPr>
          <w:rFonts w:hint="eastAsia" w:cs="宋体"/>
          <w:sz w:val="24"/>
          <w:szCs w:val="24"/>
          <w:highlight w:val="none"/>
        </w:rPr>
      </w:pPr>
    </w:p>
    <w:p w14:paraId="5C7BC7CF">
      <w:pPr>
        <w:spacing w:line="360" w:lineRule="auto"/>
        <w:ind w:firstLine="3840" w:firstLineChars="1600"/>
        <w:rPr>
          <w:rFonts w:hint="eastAsia" w:cs="宋体"/>
          <w:sz w:val="24"/>
          <w:szCs w:val="24"/>
          <w:highlight w:val="none"/>
        </w:rPr>
      </w:pPr>
    </w:p>
    <w:p w14:paraId="0E5F8D67">
      <w:pPr>
        <w:spacing w:line="360" w:lineRule="auto"/>
        <w:ind w:firstLine="3840" w:firstLineChars="1600"/>
        <w:rPr>
          <w:rFonts w:hint="eastAsia" w:cs="宋体"/>
          <w:sz w:val="24"/>
          <w:szCs w:val="24"/>
          <w:highlight w:val="none"/>
        </w:rPr>
      </w:pPr>
      <w:r>
        <w:rPr>
          <w:rFonts w:hint="eastAsia"/>
          <w:sz w:val="24"/>
          <w:szCs w:val="18"/>
          <w:highlight w:val="none"/>
        </w:rPr>
        <w:t>参审单位</w:t>
      </w:r>
      <w:r>
        <w:rPr>
          <w:rFonts w:hint="eastAsia" w:cs="宋体"/>
          <w:sz w:val="24"/>
          <w:szCs w:val="24"/>
          <w:highlight w:val="none"/>
        </w:rPr>
        <w:t>电子签章：</w:t>
      </w:r>
      <w:r>
        <w:rPr>
          <w:rFonts w:cs="宋体"/>
          <w:sz w:val="24"/>
          <w:szCs w:val="24"/>
          <w:highlight w:val="none"/>
          <w:u w:val="single"/>
        </w:rPr>
        <w:t xml:space="preserve">        </w:t>
      </w:r>
      <w:r>
        <w:rPr>
          <w:rFonts w:hint="eastAsia" w:cs="宋体"/>
          <w:sz w:val="24"/>
          <w:szCs w:val="24"/>
          <w:highlight w:val="none"/>
          <w:u w:val="single"/>
        </w:rPr>
        <w:t xml:space="preserve">      </w:t>
      </w:r>
      <w:r>
        <w:rPr>
          <w:rFonts w:cs="宋体"/>
          <w:sz w:val="24"/>
          <w:szCs w:val="24"/>
          <w:highlight w:val="none"/>
          <w:u w:val="single"/>
        </w:rPr>
        <w:t xml:space="preserve">       </w:t>
      </w:r>
    </w:p>
    <w:p w14:paraId="20FC8AC0">
      <w:pPr>
        <w:spacing w:line="360" w:lineRule="auto"/>
        <w:ind w:firstLine="3840" w:firstLineChars="1600"/>
        <w:rPr>
          <w:rFonts w:hint="eastAsia" w:cs="宋体"/>
          <w:sz w:val="24"/>
          <w:szCs w:val="24"/>
          <w:highlight w:val="none"/>
        </w:rPr>
      </w:pPr>
      <w:r>
        <w:rPr>
          <w:rFonts w:hint="eastAsia" w:cs="宋体"/>
          <w:sz w:val="24"/>
          <w:szCs w:val="24"/>
          <w:highlight w:val="none"/>
        </w:rPr>
        <w:t>日</w:t>
      </w:r>
      <w:r>
        <w:rPr>
          <w:rFonts w:cs="宋体"/>
          <w:sz w:val="24"/>
          <w:szCs w:val="24"/>
          <w:highlight w:val="none"/>
        </w:rPr>
        <w:t xml:space="preserve">   </w:t>
      </w:r>
      <w:r>
        <w:rPr>
          <w:rFonts w:hint="eastAsia" w:cs="宋体"/>
          <w:sz w:val="24"/>
          <w:szCs w:val="24"/>
          <w:highlight w:val="none"/>
        </w:rPr>
        <w:t xml:space="preserve">    </w:t>
      </w:r>
      <w:r>
        <w:rPr>
          <w:rFonts w:cs="宋体"/>
          <w:sz w:val="24"/>
          <w:szCs w:val="24"/>
          <w:highlight w:val="none"/>
        </w:rPr>
        <w:t xml:space="preserve">   </w:t>
      </w:r>
      <w:r>
        <w:rPr>
          <w:rFonts w:hint="eastAsia" w:cs="宋体"/>
          <w:sz w:val="24"/>
          <w:szCs w:val="24"/>
          <w:highlight w:val="none"/>
        </w:rPr>
        <w:t>期：</w:t>
      </w:r>
      <w:r>
        <w:rPr>
          <w:rFonts w:cs="宋体"/>
          <w:sz w:val="24"/>
          <w:szCs w:val="24"/>
          <w:highlight w:val="none"/>
          <w:u w:val="single"/>
        </w:rPr>
        <w:t xml:space="preserve">           </w:t>
      </w:r>
      <w:r>
        <w:rPr>
          <w:rFonts w:hint="eastAsia" w:cs="宋体"/>
          <w:sz w:val="24"/>
          <w:szCs w:val="24"/>
          <w:highlight w:val="none"/>
          <w:u w:val="single"/>
        </w:rPr>
        <w:t xml:space="preserve"> </w:t>
      </w:r>
      <w:r>
        <w:rPr>
          <w:rFonts w:cs="宋体"/>
          <w:sz w:val="24"/>
          <w:szCs w:val="24"/>
          <w:highlight w:val="none"/>
          <w:u w:val="single"/>
        </w:rPr>
        <w:t xml:space="preserve">    </w:t>
      </w:r>
      <w:r>
        <w:rPr>
          <w:rFonts w:hint="eastAsia" w:cs="宋体"/>
          <w:sz w:val="24"/>
          <w:szCs w:val="24"/>
          <w:highlight w:val="none"/>
          <w:u w:val="single"/>
        </w:rPr>
        <w:t xml:space="preserve">  </w:t>
      </w:r>
      <w:r>
        <w:rPr>
          <w:rFonts w:cs="宋体"/>
          <w:sz w:val="24"/>
          <w:szCs w:val="24"/>
          <w:highlight w:val="none"/>
          <w:u w:val="single"/>
        </w:rPr>
        <w:t xml:space="preserve">   </w:t>
      </w:r>
    </w:p>
    <w:p w14:paraId="1DA0E6C3">
      <w:pPr>
        <w:spacing w:line="440" w:lineRule="exact"/>
        <w:ind w:firstLine="4800" w:firstLineChars="2000"/>
        <w:rPr>
          <w:rFonts w:hint="eastAsia"/>
          <w:sz w:val="24"/>
          <w:szCs w:val="24"/>
          <w:highlight w:val="none"/>
          <w:u w:val="single"/>
        </w:rPr>
      </w:pPr>
    </w:p>
    <w:p w14:paraId="373ED755">
      <w:pPr>
        <w:spacing w:line="440" w:lineRule="exact"/>
        <w:ind w:firstLine="4800" w:firstLineChars="2000"/>
        <w:rPr>
          <w:rFonts w:hint="eastAsia"/>
          <w:sz w:val="24"/>
          <w:szCs w:val="24"/>
          <w:highlight w:val="none"/>
          <w:u w:val="single"/>
        </w:rPr>
      </w:pPr>
    </w:p>
    <w:p w14:paraId="0E45B3D1">
      <w:pPr>
        <w:widowControl/>
        <w:jc w:val="center"/>
        <w:rPr>
          <w:rFonts w:hint="eastAsia"/>
          <w:b/>
          <w:sz w:val="24"/>
          <w:highlight w:val="none"/>
        </w:rPr>
      </w:pPr>
      <w:r>
        <w:rPr>
          <w:sz w:val="24"/>
          <w:highlight w:val="none"/>
        </w:rPr>
        <w:br w:type="page"/>
      </w:r>
      <w:bookmarkStart w:id="48" w:name="_Toc516969106"/>
      <w:bookmarkStart w:id="49" w:name="_Toc204594911"/>
      <w:bookmarkStart w:id="50" w:name="_Toc121626298"/>
      <w:bookmarkStart w:id="51" w:name="_Toc520983594"/>
      <w:r>
        <w:rPr>
          <w:rFonts w:hint="eastAsia"/>
          <w:b/>
          <w:bCs/>
          <w:sz w:val="24"/>
          <w:highlight w:val="none"/>
        </w:rPr>
        <w:t>五、授权书</w:t>
      </w:r>
      <w:bookmarkEnd w:id="48"/>
      <w:bookmarkEnd w:id="49"/>
      <w:bookmarkEnd w:id="50"/>
      <w:bookmarkEnd w:id="51"/>
    </w:p>
    <w:p w14:paraId="6CA74B39">
      <w:pPr>
        <w:spacing w:line="360" w:lineRule="auto"/>
        <w:jc w:val="center"/>
        <w:rPr>
          <w:rFonts w:hint="eastAsia"/>
          <w:b/>
          <w:sz w:val="24"/>
          <w:highlight w:val="none"/>
        </w:rPr>
      </w:pPr>
    </w:p>
    <w:p w14:paraId="69A66735">
      <w:pPr>
        <w:pStyle w:val="6"/>
        <w:snapToGrid w:val="0"/>
        <w:spacing w:line="36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int="eastAsia" w:hAnsi="宋体"/>
          <w:sz w:val="24"/>
          <w:szCs w:val="28"/>
          <w:highlight w:val="none"/>
        </w:rPr>
        <w:t>（</w:t>
      </w:r>
      <w:r>
        <w:rPr>
          <w:rFonts w:hint="eastAsia"/>
          <w:sz w:val="24"/>
          <w:szCs w:val="18"/>
          <w:highlight w:val="none"/>
        </w:rPr>
        <w:t>参审单位</w:t>
      </w:r>
      <w:r>
        <w:rPr>
          <w:rFonts w:hint="eastAsia" w:hAnsi="宋体"/>
          <w:sz w:val="24"/>
          <w:szCs w:val="28"/>
          <w:highlight w:val="none"/>
        </w:rPr>
        <w:t>名称）授权</w:t>
      </w:r>
      <w:r>
        <w:rPr>
          <w:rFonts w:hint="eastAsia" w:hAnsi="宋体"/>
          <w:sz w:val="24"/>
          <w:szCs w:val="28"/>
          <w:highlight w:val="none"/>
          <w:u w:val="single"/>
        </w:rPr>
        <w:t xml:space="preserve">       </w:t>
      </w:r>
      <w:r>
        <w:rPr>
          <w:rFonts w:hint="eastAsia" w:hAnsi="宋体"/>
          <w:sz w:val="24"/>
          <w:szCs w:val="28"/>
          <w:highlight w:val="none"/>
        </w:rPr>
        <w:t>（</w:t>
      </w:r>
      <w:r>
        <w:rPr>
          <w:rFonts w:hint="eastAsia"/>
          <w:sz w:val="24"/>
          <w:szCs w:val="18"/>
          <w:highlight w:val="none"/>
        </w:rPr>
        <w:t>参审单位</w:t>
      </w:r>
      <w:r>
        <w:rPr>
          <w:rFonts w:hint="eastAsia" w:hAnsi="宋体"/>
          <w:sz w:val="24"/>
          <w:szCs w:val="28"/>
          <w:highlight w:val="none"/>
        </w:rPr>
        <w:t>授权代表姓名）代表我方参加本项目磋商</w:t>
      </w:r>
      <w:r>
        <w:rPr>
          <w:rFonts w:hint="eastAsia" w:hAnsi="宋体"/>
          <w:bCs/>
          <w:sz w:val="24"/>
          <w:szCs w:val="28"/>
          <w:highlight w:val="none"/>
        </w:rPr>
        <w:t>活动</w:t>
      </w:r>
      <w:r>
        <w:rPr>
          <w:rFonts w:hint="eastAsia" w:hAnsi="宋体"/>
          <w:sz w:val="24"/>
          <w:szCs w:val="28"/>
          <w:highlight w:val="none"/>
        </w:rPr>
        <w:t>，全权代表我方处理磋商过程的一切事宜，包括但不限于：提交响应文件、参与磋商、签约等。</w:t>
      </w:r>
      <w:r>
        <w:rPr>
          <w:rFonts w:hint="eastAsia"/>
          <w:sz w:val="24"/>
          <w:szCs w:val="18"/>
          <w:highlight w:val="none"/>
        </w:rPr>
        <w:t>参审单位</w:t>
      </w:r>
      <w:r>
        <w:rPr>
          <w:rFonts w:hint="eastAsia" w:hAnsi="宋体"/>
          <w:sz w:val="24"/>
          <w:szCs w:val="28"/>
          <w:highlight w:val="none"/>
        </w:rPr>
        <w:t>授权代表在磋商活动过程中所签署的一切文件和处理与之有关的一切事务，本公司均予以认可并对此承担责任。</w:t>
      </w:r>
      <w:r>
        <w:rPr>
          <w:rFonts w:hint="eastAsia"/>
          <w:sz w:val="24"/>
          <w:szCs w:val="18"/>
          <w:highlight w:val="none"/>
        </w:rPr>
        <w:t>参审单位</w:t>
      </w:r>
      <w:r>
        <w:rPr>
          <w:rFonts w:hint="eastAsia" w:hAnsi="宋体"/>
          <w:sz w:val="24"/>
          <w:szCs w:val="28"/>
          <w:highlight w:val="none"/>
        </w:rPr>
        <w:t>授权代表无转委托权。特此授权。</w:t>
      </w:r>
    </w:p>
    <w:p w14:paraId="3027C672">
      <w:pPr>
        <w:pStyle w:val="6"/>
        <w:snapToGrid w:val="0"/>
        <w:spacing w:line="36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305B6C77">
      <w:pPr>
        <w:pStyle w:val="6"/>
        <w:snapToGrid w:val="0"/>
        <w:spacing w:line="360" w:lineRule="auto"/>
        <w:ind w:firstLine="480" w:firstLineChars="200"/>
        <w:jc w:val="left"/>
        <w:rPr>
          <w:rFonts w:hint="eastAsia" w:hAnsi="宋体"/>
          <w:sz w:val="24"/>
          <w:highlight w:val="none"/>
        </w:rPr>
      </w:pPr>
      <w:r>
        <w:rPr>
          <w:rFonts w:hint="eastAsia" w:hAnsi="宋体"/>
          <w:sz w:val="24"/>
          <w:szCs w:val="28"/>
          <w:highlight w:val="none"/>
        </w:rPr>
        <w:t>授权代表</w:t>
      </w:r>
      <w:r>
        <w:rPr>
          <w:rFonts w:hint="eastAsia" w:hAnsi="宋体"/>
          <w:sz w:val="24"/>
          <w:highlight w:val="none"/>
        </w:rPr>
        <w:t>身份证明扫描件或影印件：</w:t>
      </w:r>
    </w:p>
    <w:p w14:paraId="3FCC7253">
      <w:pPr>
        <w:pStyle w:val="6"/>
        <w:snapToGrid w:val="0"/>
        <w:spacing w:line="360" w:lineRule="auto"/>
        <w:ind w:firstLine="480" w:firstLineChars="200"/>
        <w:jc w:val="left"/>
        <w:rPr>
          <w:rFonts w:hint="eastAsia" w:hAnsi="宋体"/>
          <w:sz w:val="24"/>
          <w:highlight w:val="none"/>
        </w:rPr>
      </w:pPr>
    </w:p>
    <w:p w14:paraId="43624E2D">
      <w:pPr>
        <w:pStyle w:val="6"/>
        <w:snapToGrid w:val="0"/>
        <w:spacing w:line="360" w:lineRule="auto"/>
        <w:ind w:firstLine="480" w:firstLineChars="200"/>
        <w:jc w:val="left"/>
        <w:rPr>
          <w:rFonts w:hint="eastAsia" w:hAnsi="宋体"/>
          <w:sz w:val="24"/>
          <w:highlight w:val="none"/>
        </w:rPr>
      </w:pPr>
    </w:p>
    <w:p w14:paraId="60DCD442">
      <w:pPr>
        <w:pStyle w:val="6"/>
        <w:snapToGrid w:val="0"/>
        <w:spacing w:line="360" w:lineRule="auto"/>
        <w:ind w:firstLine="480" w:firstLineChars="200"/>
        <w:jc w:val="left"/>
        <w:rPr>
          <w:rFonts w:hint="eastAsia" w:hAnsi="宋体"/>
          <w:sz w:val="24"/>
          <w:highlight w:val="none"/>
        </w:rPr>
      </w:pPr>
    </w:p>
    <w:p w14:paraId="0EC09AE7">
      <w:pPr>
        <w:pStyle w:val="6"/>
        <w:snapToGrid w:val="0"/>
        <w:spacing w:line="360" w:lineRule="auto"/>
        <w:ind w:firstLine="480" w:firstLineChars="200"/>
        <w:jc w:val="left"/>
        <w:rPr>
          <w:rFonts w:hint="eastAsia" w:hAnsi="宋体"/>
          <w:sz w:val="24"/>
          <w:highlight w:val="none"/>
        </w:rPr>
      </w:pPr>
    </w:p>
    <w:p w14:paraId="1F50FB03">
      <w:pPr>
        <w:pStyle w:val="6"/>
        <w:snapToGrid w:val="0"/>
        <w:spacing w:line="360" w:lineRule="auto"/>
        <w:ind w:firstLine="480" w:firstLineChars="200"/>
        <w:jc w:val="left"/>
        <w:rPr>
          <w:rFonts w:hint="eastAsia" w:hAnsi="宋体"/>
          <w:sz w:val="24"/>
          <w:szCs w:val="28"/>
          <w:highlight w:val="none"/>
          <w:u w:val="single"/>
        </w:rPr>
      </w:pPr>
      <w:r>
        <w:rPr>
          <w:rFonts w:hint="eastAsia" w:hAnsi="宋体"/>
          <w:sz w:val="24"/>
          <w:szCs w:val="28"/>
          <w:highlight w:val="none"/>
        </w:rPr>
        <w:t>授权代表联系方式：</w:t>
      </w:r>
      <w:r>
        <w:rPr>
          <w:rFonts w:hint="eastAsia" w:hAnsi="宋体"/>
          <w:sz w:val="24"/>
          <w:szCs w:val="28"/>
          <w:highlight w:val="none"/>
          <w:u w:val="single"/>
        </w:rPr>
        <w:t xml:space="preserve">          （请填写手机号码）</w:t>
      </w:r>
    </w:p>
    <w:p w14:paraId="3EC3E75F">
      <w:pPr>
        <w:pStyle w:val="6"/>
        <w:snapToGrid w:val="0"/>
        <w:spacing w:line="360" w:lineRule="auto"/>
        <w:ind w:firstLine="480" w:firstLineChars="200"/>
        <w:jc w:val="left"/>
        <w:rPr>
          <w:rFonts w:hint="eastAsia" w:hAnsi="宋体"/>
          <w:sz w:val="24"/>
          <w:szCs w:val="28"/>
          <w:highlight w:val="none"/>
        </w:rPr>
      </w:pPr>
    </w:p>
    <w:p w14:paraId="3F7CB8C4">
      <w:pPr>
        <w:spacing w:line="360" w:lineRule="auto"/>
        <w:ind w:firstLine="360" w:firstLineChars="150"/>
        <w:rPr>
          <w:rFonts w:hint="eastAsia"/>
          <w:sz w:val="24"/>
          <w:szCs w:val="28"/>
          <w:highlight w:val="none"/>
        </w:rPr>
      </w:pPr>
      <w:r>
        <w:rPr>
          <w:rFonts w:hint="eastAsia"/>
          <w:sz w:val="24"/>
          <w:szCs w:val="28"/>
          <w:highlight w:val="none"/>
        </w:rPr>
        <w:t>特此声明。</w:t>
      </w:r>
    </w:p>
    <w:p w14:paraId="5D57065F">
      <w:pPr>
        <w:spacing w:line="360" w:lineRule="auto"/>
        <w:rPr>
          <w:rFonts w:hint="eastAsia"/>
          <w:sz w:val="24"/>
          <w:szCs w:val="28"/>
          <w:highlight w:val="none"/>
        </w:rPr>
      </w:pPr>
    </w:p>
    <w:p w14:paraId="6F64CA1C">
      <w:pPr>
        <w:spacing w:line="360" w:lineRule="auto"/>
        <w:rPr>
          <w:rFonts w:hint="eastAsia"/>
          <w:bCs/>
          <w:sz w:val="24"/>
          <w:szCs w:val="28"/>
          <w:highlight w:val="none"/>
        </w:rPr>
      </w:pPr>
      <w:r>
        <w:rPr>
          <w:rFonts w:hint="eastAsia"/>
          <w:sz w:val="24"/>
          <w:szCs w:val="18"/>
          <w:highlight w:val="none"/>
        </w:rPr>
        <w:t>参审单位</w:t>
      </w:r>
      <w:r>
        <w:rPr>
          <w:rFonts w:hint="eastAsia"/>
          <w:bCs/>
          <w:sz w:val="24"/>
          <w:szCs w:val="28"/>
          <w:highlight w:val="none"/>
        </w:rPr>
        <w:t>电子签章：</w:t>
      </w:r>
      <w:r>
        <w:rPr>
          <w:rFonts w:hint="eastAsia"/>
          <w:bCs/>
          <w:sz w:val="24"/>
          <w:szCs w:val="28"/>
          <w:highlight w:val="none"/>
          <w:u w:val="single"/>
        </w:rPr>
        <w:t xml:space="preserve">                    </w:t>
      </w:r>
    </w:p>
    <w:p w14:paraId="2DE83524">
      <w:pPr>
        <w:spacing w:line="360" w:lineRule="auto"/>
        <w:rPr>
          <w:rFonts w:hint="eastAsia"/>
          <w:sz w:val="24"/>
          <w:szCs w:val="28"/>
          <w:highlight w:val="none"/>
        </w:rPr>
      </w:pPr>
      <w:r>
        <w:rPr>
          <w:rFonts w:hint="eastAsia"/>
          <w:sz w:val="24"/>
          <w:szCs w:val="28"/>
          <w:highlight w:val="none"/>
        </w:rPr>
        <w:t>日          期：</w:t>
      </w:r>
      <w:r>
        <w:rPr>
          <w:rFonts w:hint="eastAsia"/>
          <w:sz w:val="24"/>
          <w:szCs w:val="28"/>
          <w:highlight w:val="none"/>
          <w:u w:val="single"/>
        </w:rPr>
        <w:t xml:space="preserve">                    </w:t>
      </w:r>
    </w:p>
    <w:p w14:paraId="2CB884AD">
      <w:pPr>
        <w:spacing w:line="360" w:lineRule="auto"/>
        <w:rPr>
          <w:rFonts w:hint="eastAsia"/>
          <w:sz w:val="24"/>
          <w:szCs w:val="28"/>
          <w:highlight w:val="none"/>
        </w:rPr>
      </w:pPr>
    </w:p>
    <w:p w14:paraId="7F06A837">
      <w:pPr>
        <w:spacing w:line="360" w:lineRule="auto"/>
        <w:rPr>
          <w:rFonts w:hint="eastAsia"/>
          <w:sz w:val="24"/>
          <w:szCs w:val="28"/>
          <w:highlight w:val="none"/>
        </w:rPr>
      </w:pPr>
    </w:p>
    <w:p w14:paraId="66EED55D">
      <w:pPr>
        <w:pStyle w:val="6"/>
        <w:snapToGrid w:val="0"/>
        <w:spacing w:line="360" w:lineRule="auto"/>
        <w:jc w:val="left"/>
        <w:rPr>
          <w:rFonts w:hint="eastAsia" w:hAnsi="宋体"/>
          <w:sz w:val="24"/>
          <w:szCs w:val="28"/>
          <w:highlight w:val="none"/>
        </w:rPr>
      </w:pPr>
      <w:r>
        <w:rPr>
          <w:rFonts w:hint="eastAsia" w:hAnsi="宋体"/>
          <w:sz w:val="24"/>
          <w:szCs w:val="28"/>
          <w:highlight w:val="none"/>
        </w:rPr>
        <w:t>注：</w:t>
      </w:r>
    </w:p>
    <w:p w14:paraId="7B7BB00E">
      <w:pPr>
        <w:pStyle w:val="6"/>
        <w:snapToGrid w:val="0"/>
        <w:spacing w:line="360" w:lineRule="auto"/>
        <w:jc w:val="left"/>
        <w:rPr>
          <w:rFonts w:hint="eastAsia" w:hAnsi="宋体"/>
          <w:sz w:val="24"/>
          <w:szCs w:val="28"/>
          <w:highlight w:val="none"/>
        </w:rPr>
      </w:pPr>
      <w:r>
        <w:rPr>
          <w:rFonts w:hint="eastAsia" w:hAnsi="宋体"/>
          <w:sz w:val="24"/>
          <w:szCs w:val="28"/>
          <w:highlight w:val="none"/>
        </w:rPr>
        <w:t>1.本项目只允许有唯一的</w:t>
      </w:r>
      <w:r>
        <w:rPr>
          <w:rFonts w:hint="eastAsia"/>
          <w:sz w:val="24"/>
          <w:szCs w:val="18"/>
          <w:highlight w:val="none"/>
        </w:rPr>
        <w:t>参审单位</w:t>
      </w:r>
      <w:r>
        <w:rPr>
          <w:rFonts w:hint="eastAsia" w:hAnsi="宋体"/>
          <w:sz w:val="24"/>
          <w:szCs w:val="28"/>
          <w:highlight w:val="none"/>
        </w:rPr>
        <w:t>授权代表，提供身份证明扫描件；</w:t>
      </w:r>
    </w:p>
    <w:p w14:paraId="10CE2949">
      <w:pPr>
        <w:spacing w:line="360" w:lineRule="auto"/>
        <w:jc w:val="left"/>
        <w:rPr>
          <w:rFonts w:hint="eastAsia"/>
          <w:sz w:val="24"/>
          <w:highlight w:val="none"/>
        </w:rPr>
      </w:pPr>
      <w:r>
        <w:rPr>
          <w:rFonts w:hint="eastAsia"/>
          <w:sz w:val="24"/>
          <w:highlight w:val="none"/>
        </w:rPr>
        <w:t>2.法定代表人参加磋商的无需提供授权书，仅提供身份证明扫描件。</w:t>
      </w:r>
    </w:p>
    <w:p w14:paraId="47BEC16F">
      <w:pPr>
        <w:widowControl/>
        <w:jc w:val="center"/>
        <w:rPr>
          <w:rFonts w:hint="eastAsia" w:cs="@仿宋_GB2312"/>
          <w:b/>
          <w:bCs/>
          <w:kern w:val="2"/>
          <w:sz w:val="24"/>
          <w:szCs w:val="24"/>
          <w:highlight w:val="none"/>
        </w:rPr>
      </w:pPr>
      <w:r>
        <w:rPr>
          <w:sz w:val="24"/>
          <w:highlight w:val="none"/>
        </w:rPr>
        <w:br w:type="page"/>
      </w:r>
      <w:r>
        <w:rPr>
          <w:rFonts w:hint="eastAsia"/>
          <w:b/>
          <w:bCs/>
          <w:sz w:val="24"/>
          <w:highlight w:val="none"/>
        </w:rPr>
        <w:t>六</w:t>
      </w:r>
      <w:r>
        <w:rPr>
          <w:rFonts w:hint="eastAsia" w:cs="@仿宋_GB2312"/>
          <w:b/>
          <w:bCs/>
          <w:kern w:val="2"/>
          <w:sz w:val="24"/>
          <w:szCs w:val="24"/>
          <w:highlight w:val="none"/>
        </w:rPr>
        <w:t>、</w:t>
      </w:r>
      <w:r>
        <w:rPr>
          <w:rFonts w:hint="eastAsia" w:cs="@仿宋_GB2312"/>
          <w:b/>
          <w:bCs/>
          <w:kern w:val="2"/>
          <w:sz w:val="24"/>
          <w:szCs w:val="24"/>
          <w:highlight w:val="none"/>
          <w:lang w:val="en-US" w:eastAsia="zh-CN"/>
        </w:rPr>
        <w:t>磋商保证金及</w:t>
      </w:r>
      <w:r>
        <w:rPr>
          <w:rFonts w:hint="eastAsia" w:cs="@仿宋_GB2312"/>
          <w:b/>
          <w:bCs/>
          <w:kern w:val="2"/>
          <w:sz w:val="24"/>
          <w:szCs w:val="24"/>
          <w:highlight w:val="none"/>
        </w:rPr>
        <w:t>电子交易服务费</w:t>
      </w:r>
    </w:p>
    <w:p w14:paraId="7497F761">
      <w:pPr>
        <w:pStyle w:val="6"/>
        <w:snapToGrid w:val="0"/>
        <w:spacing w:line="360" w:lineRule="auto"/>
        <w:jc w:val="center"/>
        <w:rPr>
          <w:rFonts w:hint="eastAsia" w:hAnsi="宋体"/>
          <w:sz w:val="24"/>
          <w:szCs w:val="28"/>
          <w:highlight w:val="none"/>
        </w:rPr>
      </w:pPr>
    </w:p>
    <w:p w14:paraId="26A6A35E">
      <w:pPr>
        <w:pStyle w:val="6"/>
        <w:snapToGrid w:val="0"/>
        <w:spacing w:line="360" w:lineRule="auto"/>
        <w:jc w:val="center"/>
        <w:rPr>
          <w:rFonts w:hint="eastAsia" w:hAnsi="宋体"/>
          <w:sz w:val="24"/>
          <w:szCs w:val="28"/>
          <w:highlight w:val="none"/>
        </w:rPr>
      </w:pPr>
      <w:r>
        <w:rPr>
          <w:rFonts w:hint="eastAsia" w:hAnsi="宋体"/>
          <w:sz w:val="24"/>
          <w:szCs w:val="28"/>
          <w:highlight w:val="none"/>
        </w:rPr>
        <w:t>参审单位应在此提供银行回单的扫描件。</w:t>
      </w:r>
    </w:p>
    <w:p w14:paraId="7CAB5686">
      <w:pPr>
        <w:widowControl/>
        <w:jc w:val="center"/>
        <w:rPr>
          <w:rFonts w:hint="eastAsia" w:cs="@仿宋_GB2312"/>
          <w:b/>
          <w:bCs/>
          <w:kern w:val="2"/>
          <w:sz w:val="24"/>
          <w:szCs w:val="24"/>
          <w:highlight w:val="none"/>
        </w:rPr>
      </w:pPr>
    </w:p>
    <w:p w14:paraId="1FCFF0E0">
      <w:pPr>
        <w:widowControl/>
        <w:jc w:val="center"/>
        <w:rPr>
          <w:rFonts w:hint="eastAsia" w:cs="@仿宋_GB2312"/>
          <w:b/>
          <w:bCs/>
          <w:kern w:val="2"/>
          <w:sz w:val="24"/>
          <w:szCs w:val="24"/>
          <w:highlight w:val="none"/>
        </w:rPr>
      </w:pPr>
    </w:p>
    <w:p w14:paraId="10A61938">
      <w:pPr>
        <w:widowControl/>
        <w:jc w:val="center"/>
        <w:rPr>
          <w:rFonts w:hint="eastAsia" w:cs="@仿宋_GB2312"/>
          <w:b/>
          <w:bCs/>
          <w:kern w:val="2"/>
          <w:sz w:val="24"/>
          <w:szCs w:val="24"/>
          <w:highlight w:val="none"/>
        </w:rPr>
      </w:pPr>
    </w:p>
    <w:p w14:paraId="69216381">
      <w:pPr>
        <w:widowControl/>
        <w:jc w:val="center"/>
        <w:rPr>
          <w:rFonts w:hint="eastAsia" w:cs="@仿宋_GB2312"/>
          <w:b/>
          <w:bCs/>
          <w:kern w:val="2"/>
          <w:sz w:val="24"/>
          <w:szCs w:val="24"/>
          <w:highlight w:val="none"/>
        </w:rPr>
      </w:pPr>
    </w:p>
    <w:p w14:paraId="7A22A6D7">
      <w:pPr>
        <w:widowControl/>
        <w:jc w:val="center"/>
        <w:rPr>
          <w:rFonts w:hint="eastAsia" w:cs="@仿宋_GB2312"/>
          <w:b/>
          <w:bCs/>
          <w:kern w:val="2"/>
          <w:sz w:val="24"/>
          <w:szCs w:val="24"/>
          <w:highlight w:val="none"/>
        </w:rPr>
      </w:pPr>
    </w:p>
    <w:p w14:paraId="654AAB70">
      <w:pPr>
        <w:widowControl/>
        <w:jc w:val="center"/>
        <w:rPr>
          <w:rFonts w:hint="eastAsia" w:cs="@仿宋_GB2312"/>
          <w:b/>
          <w:bCs/>
          <w:kern w:val="2"/>
          <w:sz w:val="24"/>
          <w:szCs w:val="24"/>
          <w:highlight w:val="none"/>
        </w:rPr>
      </w:pPr>
    </w:p>
    <w:p w14:paraId="00E3AB09">
      <w:pPr>
        <w:widowControl/>
        <w:jc w:val="center"/>
        <w:rPr>
          <w:rFonts w:hint="eastAsia" w:cs="@仿宋_GB2312"/>
          <w:b/>
          <w:bCs/>
          <w:kern w:val="2"/>
          <w:sz w:val="24"/>
          <w:szCs w:val="24"/>
          <w:highlight w:val="none"/>
        </w:rPr>
      </w:pPr>
    </w:p>
    <w:p w14:paraId="4ABC5AED">
      <w:pPr>
        <w:widowControl/>
        <w:jc w:val="center"/>
        <w:rPr>
          <w:rFonts w:hint="eastAsia" w:cs="@仿宋_GB2312"/>
          <w:b/>
          <w:bCs/>
          <w:kern w:val="2"/>
          <w:sz w:val="24"/>
          <w:szCs w:val="24"/>
          <w:highlight w:val="none"/>
        </w:rPr>
      </w:pPr>
    </w:p>
    <w:p w14:paraId="781CAAB6">
      <w:pPr>
        <w:widowControl/>
        <w:jc w:val="center"/>
        <w:rPr>
          <w:rFonts w:hint="eastAsia" w:cs="@仿宋_GB2312"/>
          <w:b/>
          <w:bCs/>
          <w:kern w:val="2"/>
          <w:sz w:val="24"/>
          <w:szCs w:val="24"/>
          <w:highlight w:val="none"/>
        </w:rPr>
      </w:pPr>
    </w:p>
    <w:p w14:paraId="6375A052">
      <w:pPr>
        <w:widowControl/>
        <w:jc w:val="center"/>
        <w:rPr>
          <w:rFonts w:hint="eastAsia" w:cs="@仿宋_GB2312"/>
          <w:b/>
          <w:bCs/>
          <w:kern w:val="2"/>
          <w:sz w:val="24"/>
          <w:szCs w:val="24"/>
          <w:highlight w:val="none"/>
        </w:rPr>
      </w:pPr>
    </w:p>
    <w:p w14:paraId="746AAC05">
      <w:pPr>
        <w:widowControl/>
        <w:jc w:val="center"/>
        <w:rPr>
          <w:rFonts w:hint="eastAsia" w:cs="@仿宋_GB2312"/>
          <w:b/>
          <w:bCs/>
          <w:kern w:val="2"/>
          <w:sz w:val="24"/>
          <w:szCs w:val="24"/>
          <w:highlight w:val="none"/>
        </w:rPr>
      </w:pPr>
    </w:p>
    <w:p w14:paraId="694676CB">
      <w:pPr>
        <w:widowControl/>
        <w:jc w:val="center"/>
        <w:rPr>
          <w:rFonts w:hint="eastAsia" w:cs="@仿宋_GB2312"/>
          <w:b/>
          <w:bCs/>
          <w:kern w:val="2"/>
          <w:sz w:val="24"/>
          <w:szCs w:val="24"/>
          <w:highlight w:val="none"/>
        </w:rPr>
      </w:pPr>
    </w:p>
    <w:p w14:paraId="09D071B2">
      <w:pPr>
        <w:widowControl/>
        <w:jc w:val="center"/>
        <w:rPr>
          <w:rFonts w:hint="eastAsia" w:cs="@仿宋_GB2312"/>
          <w:b/>
          <w:bCs/>
          <w:kern w:val="2"/>
          <w:sz w:val="24"/>
          <w:szCs w:val="24"/>
          <w:highlight w:val="none"/>
        </w:rPr>
      </w:pPr>
    </w:p>
    <w:p w14:paraId="24886030">
      <w:pPr>
        <w:pStyle w:val="4"/>
        <w:spacing w:line="480" w:lineRule="auto"/>
        <w:ind w:left="0" w:leftChars="0"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如需开具电子交易服务费发票请在本页附上开票信息，开票信息按照下列格式填写，发票开具后可在单位税务数字账户中查收，如未填写或填写不完整后期自行带转账回单至肥西县公共资源交易有限公司2楼开具。</w:t>
      </w:r>
    </w:p>
    <w:p w14:paraId="11CED435">
      <w:pPr>
        <w:pStyle w:val="5"/>
        <w:spacing w:line="360" w:lineRule="auto"/>
        <w:rPr>
          <w:rFonts w:hint="eastAsia" w:ascii="宋体" w:hAnsi="宋体" w:cs="宋体"/>
          <w:b/>
          <w:kern w:val="2"/>
          <w:sz w:val="24"/>
          <w:szCs w:val="24"/>
          <w:highlight w:val="none"/>
        </w:rPr>
      </w:pPr>
      <w:r>
        <w:rPr>
          <w:rFonts w:hint="eastAsia" w:ascii="宋体" w:hAnsi="宋体" w:cs="宋体"/>
          <w:b/>
          <w:kern w:val="2"/>
          <w:sz w:val="24"/>
          <w:szCs w:val="24"/>
          <w:highlight w:val="none"/>
        </w:rPr>
        <w:t>开票信息：</w:t>
      </w:r>
    </w:p>
    <w:p w14:paraId="4BE2F9D4">
      <w:pPr>
        <w:pStyle w:val="4"/>
        <w:spacing w:line="360" w:lineRule="auto"/>
        <w:ind w:left="0" w:leftChars="0"/>
        <w:rPr>
          <w:rFonts w:hint="eastAsia" w:ascii="宋体" w:hAnsi="宋体" w:cs="宋体"/>
          <w:b/>
          <w:sz w:val="24"/>
          <w:szCs w:val="24"/>
          <w:highlight w:val="none"/>
        </w:rPr>
      </w:pPr>
      <w:r>
        <w:rPr>
          <w:rFonts w:hint="eastAsia" w:ascii="宋体" w:hAnsi="宋体" w:cs="宋体"/>
          <w:b/>
          <w:sz w:val="24"/>
          <w:szCs w:val="24"/>
          <w:highlight w:val="none"/>
        </w:rPr>
        <w:t>发票类型：</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（专票或普票）</w:t>
      </w:r>
    </w:p>
    <w:p w14:paraId="4C7E35BB">
      <w:pPr>
        <w:pStyle w:val="5"/>
        <w:spacing w:line="360" w:lineRule="auto"/>
        <w:rPr>
          <w:rFonts w:hint="eastAsia" w:ascii="宋体" w:hAnsi="宋体" w:cs="宋体"/>
          <w:b/>
          <w:kern w:val="2"/>
          <w:sz w:val="24"/>
          <w:szCs w:val="24"/>
          <w:highlight w:val="none"/>
        </w:rPr>
      </w:pPr>
      <w:r>
        <w:rPr>
          <w:rFonts w:hint="eastAsia" w:ascii="宋体" w:hAnsi="宋体" w:cs="宋体"/>
          <w:b/>
          <w:kern w:val="2"/>
          <w:sz w:val="24"/>
          <w:szCs w:val="24"/>
          <w:highlight w:val="none"/>
        </w:rPr>
        <w:t>公司名称：</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1123F6AC">
      <w:pPr>
        <w:widowControl/>
        <w:spacing w:line="360" w:lineRule="auto"/>
        <w:jc w:val="left"/>
        <w:rPr>
          <w:rFonts w:hint="eastAsia" w:cs="宋体"/>
          <w:b/>
          <w:kern w:val="2"/>
          <w:sz w:val="24"/>
          <w:szCs w:val="24"/>
          <w:highlight w:val="none"/>
          <w:u w:val="single"/>
        </w:rPr>
      </w:pPr>
      <w:r>
        <w:rPr>
          <w:rFonts w:hint="eastAsia" w:cs="宋体"/>
          <w:b/>
          <w:kern w:val="2"/>
          <w:sz w:val="24"/>
          <w:szCs w:val="24"/>
          <w:highlight w:val="none"/>
        </w:rPr>
        <w:t>纳税识别号：</w:t>
      </w:r>
      <w:r>
        <w:rPr>
          <w:rFonts w:hint="eastAsia" w:cs="宋体"/>
          <w:b/>
          <w:kern w:val="2"/>
          <w:sz w:val="24"/>
          <w:szCs w:val="24"/>
          <w:highlight w:val="none"/>
          <w:u w:val="single"/>
        </w:rPr>
        <w:t xml:space="preserve">                          </w:t>
      </w:r>
    </w:p>
    <w:p w14:paraId="06E1D24F">
      <w:pPr>
        <w:widowControl/>
        <w:spacing w:line="360" w:lineRule="auto"/>
        <w:jc w:val="left"/>
        <w:rPr>
          <w:rFonts w:hint="eastAsia" w:cs="宋体"/>
          <w:b/>
          <w:kern w:val="2"/>
          <w:sz w:val="24"/>
          <w:szCs w:val="24"/>
          <w:highlight w:val="none"/>
          <w:u w:val="single"/>
        </w:rPr>
      </w:pPr>
      <w:r>
        <w:rPr>
          <w:rFonts w:hint="eastAsia" w:cs="宋体"/>
          <w:b/>
          <w:kern w:val="2"/>
          <w:sz w:val="24"/>
          <w:szCs w:val="24"/>
          <w:highlight w:val="none"/>
        </w:rPr>
        <w:t>开户行名称：</w:t>
      </w:r>
      <w:r>
        <w:rPr>
          <w:rFonts w:hint="eastAsia" w:cs="宋体"/>
          <w:b/>
          <w:kern w:val="2"/>
          <w:sz w:val="24"/>
          <w:szCs w:val="24"/>
          <w:highlight w:val="none"/>
          <w:u w:val="single"/>
        </w:rPr>
        <w:t xml:space="preserve">                          </w:t>
      </w:r>
    </w:p>
    <w:p w14:paraId="46C865B9">
      <w:pPr>
        <w:widowControl/>
        <w:jc w:val="left"/>
        <w:rPr>
          <w:rFonts w:hint="eastAsia" w:cs="宋体"/>
          <w:b/>
          <w:bCs/>
          <w:kern w:val="2"/>
          <w:sz w:val="24"/>
          <w:szCs w:val="24"/>
          <w:highlight w:val="none"/>
        </w:rPr>
      </w:pPr>
      <w:r>
        <w:rPr>
          <w:rFonts w:hint="eastAsia" w:cs="宋体"/>
          <w:b/>
          <w:kern w:val="2"/>
          <w:sz w:val="24"/>
          <w:szCs w:val="24"/>
          <w:highlight w:val="none"/>
        </w:rPr>
        <w:t>开户行账号：</w:t>
      </w:r>
      <w:r>
        <w:rPr>
          <w:rFonts w:hint="eastAsia" w:cs="宋体"/>
          <w:b/>
          <w:kern w:val="2"/>
          <w:sz w:val="24"/>
          <w:szCs w:val="24"/>
          <w:highlight w:val="none"/>
          <w:u w:val="single"/>
        </w:rPr>
        <w:t xml:space="preserve">                          </w:t>
      </w:r>
    </w:p>
    <w:p w14:paraId="2CFAED52">
      <w:pPr>
        <w:widowControl/>
        <w:jc w:val="center"/>
        <w:rPr>
          <w:rFonts w:hint="eastAsia" w:cs="宋体"/>
          <w:b/>
          <w:bCs/>
          <w:kern w:val="2"/>
          <w:sz w:val="24"/>
          <w:szCs w:val="24"/>
          <w:highlight w:val="none"/>
        </w:rPr>
      </w:pPr>
    </w:p>
    <w:p w14:paraId="62F72D8A">
      <w:pPr>
        <w:widowControl/>
        <w:jc w:val="center"/>
        <w:rPr>
          <w:rFonts w:hint="eastAsia" w:cs="@仿宋_GB2312"/>
          <w:b/>
          <w:bCs/>
          <w:kern w:val="2"/>
          <w:sz w:val="24"/>
          <w:szCs w:val="24"/>
          <w:highlight w:val="none"/>
        </w:rPr>
      </w:pPr>
    </w:p>
    <w:p w14:paraId="0F33EDF3">
      <w:pPr>
        <w:pStyle w:val="3"/>
        <w:rPr>
          <w:rFonts w:hint="eastAsia"/>
          <w:highlight w:val="none"/>
        </w:rPr>
      </w:pPr>
    </w:p>
    <w:p w14:paraId="43C4FD95">
      <w:pPr>
        <w:widowControl/>
        <w:jc w:val="center"/>
        <w:rPr>
          <w:rFonts w:hint="eastAsia" w:cs="@仿宋_GB2312"/>
          <w:b/>
          <w:bCs/>
          <w:kern w:val="2"/>
          <w:sz w:val="24"/>
          <w:szCs w:val="24"/>
          <w:highlight w:val="none"/>
        </w:rPr>
      </w:pPr>
    </w:p>
    <w:p w14:paraId="3AB72FFA">
      <w:pPr>
        <w:widowControl/>
        <w:jc w:val="center"/>
        <w:rPr>
          <w:rFonts w:hint="eastAsia" w:cs="@仿宋_GB2312"/>
          <w:b/>
          <w:bCs/>
          <w:kern w:val="2"/>
          <w:sz w:val="24"/>
          <w:szCs w:val="24"/>
          <w:highlight w:val="none"/>
        </w:rPr>
      </w:pPr>
    </w:p>
    <w:p w14:paraId="7C6297D0">
      <w:pPr>
        <w:widowControl/>
        <w:jc w:val="center"/>
        <w:rPr>
          <w:rFonts w:hint="eastAsia" w:cs="@仿宋_GB2312"/>
          <w:b/>
          <w:bCs/>
          <w:kern w:val="2"/>
          <w:sz w:val="24"/>
          <w:szCs w:val="24"/>
          <w:highlight w:val="none"/>
        </w:rPr>
      </w:pPr>
    </w:p>
    <w:p w14:paraId="4F726DA3">
      <w:pPr>
        <w:widowControl/>
        <w:jc w:val="center"/>
        <w:rPr>
          <w:rFonts w:hint="eastAsia" w:cs="@仿宋_GB2312"/>
          <w:b/>
          <w:bCs/>
          <w:kern w:val="2"/>
          <w:sz w:val="24"/>
          <w:szCs w:val="24"/>
          <w:highlight w:val="none"/>
        </w:rPr>
      </w:pPr>
    </w:p>
    <w:p w14:paraId="0537E29A">
      <w:pPr>
        <w:widowControl/>
        <w:jc w:val="center"/>
        <w:rPr>
          <w:rFonts w:hint="eastAsia" w:cs="@仿宋_GB2312"/>
          <w:b/>
          <w:bCs/>
          <w:kern w:val="2"/>
          <w:sz w:val="24"/>
          <w:szCs w:val="24"/>
          <w:highlight w:val="none"/>
        </w:rPr>
      </w:pPr>
    </w:p>
    <w:p w14:paraId="49E5BB48">
      <w:pPr>
        <w:widowControl/>
        <w:jc w:val="center"/>
        <w:rPr>
          <w:rFonts w:hint="eastAsia" w:cs="@仿宋_GB2312"/>
          <w:b/>
          <w:bCs/>
          <w:kern w:val="2"/>
          <w:sz w:val="24"/>
          <w:szCs w:val="24"/>
          <w:highlight w:val="none"/>
        </w:rPr>
      </w:pPr>
    </w:p>
    <w:p w14:paraId="672AC12F">
      <w:pPr>
        <w:widowControl/>
        <w:jc w:val="center"/>
        <w:rPr>
          <w:rFonts w:hint="eastAsia" w:cs="@仿宋_GB2312"/>
          <w:b/>
          <w:bCs/>
          <w:kern w:val="2"/>
          <w:sz w:val="24"/>
          <w:szCs w:val="24"/>
          <w:highlight w:val="none"/>
        </w:rPr>
      </w:pPr>
    </w:p>
    <w:p w14:paraId="233750A5">
      <w:pPr>
        <w:widowControl/>
        <w:jc w:val="center"/>
        <w:rPr>
          <w:rFonts w:hint="eastAsia" w:cs="@仿宋_GB2312"/>
          <w:b/>
          <w:bCs/>
          <w:kern w:val="2"/>
          <w:sz w:val="24"/>
          <w:szCs w:val="24"/>
          <w:highlight w:val="none"/>
        </w:rPr>
      </w:pPr>
    </w:p>
    <w:p w14:paraId="7A06F4B5">
      <w:pPr>
        <w:widowControl/>
        <w:jc w:val="center"/>
        <w:rPr>
          <w:rFonts w:hint="eastAsia" w:cs="@仿宋_GB2312"/>
          <w:b/>
          <w:bCs/>
          <w:kern w:val="2"/>
          <w:sz w:val="24"/>
          <w:szCs w:val="24"/>
          <w:highlight w:val="none"/>
        </w:rPr>
      </w:pPr>
    </w:p>
    <w:p w14:paraId="12B7D306">
      <w:pPr>
        <w:widowControl/>
        <w:jc w:val="center"/>
        <w:rPr>
          <w:rFonts w:hint="eastAsia" w:cs="@仿宋_GB2312"/>
          <w:b/>
          <w:bCs/>
          <w:kern w:val="2"/>
          <w:sz w:val="24"/>
          <w:szCs w:val="24"/>
          <w:highlight w:val="none"/>
        </w:rPr>
      </w:pPr>
      <w:r>
        <w:rPr>
          <w:rFonts w:hint="eastAsia" w:cs="@仿宋_GB2312"/>
          <w:b/>
          <w:bCs/>
          <w:kern w:val="2"/>
          <w:sz w:val="24"/>
          <w:szCs w:val="24"/>
          <w:highlight w:val="none"/>
        </w:rPr>
        <w:t>七、法定代表人身份证明书</w:t>
      </w:r>
    </w:p>
    <w:p w14:paraId="40E53C6C">
      <w:pPr>
        <w:autoSpaceDE w:val="0"/>
        <w:autoSpaceDN w:val="0"/>
        <w:adjustRightInd w:val="0"/>
        <w:spacing w:line="360" w:lineRule="auto"/>
        <w:jc w:val="center"/>
        <w:rPr>
          <w:rFonts w:hint="eastAsia" w:ascii="@仿宋_GB2312" w:eastAsia="@仿宋_GB2312" w:cs="宋体"/>
          <w:b/>
          <w:kern w:val="2"/>
          <w:sz w:val="21"/>
          <w:szCs w:val="24"/>
          <w:highlight w:val="none"/>
          <w:lang w:val="zh-CN"/>
        </w:rPr>
      </w:pPr>
    </w:p>
    <w:p w14:paraId="178C222E">
      <w:pPr>
        <w:snapToGrid w:val="0"/>
        <w:spacing w:line="360" w:lineRule="auto"/>
        <w:ind w:firstLine="480" w:firstLineChars="200"/>
        <w:jc w:val="left"/>
        <w:rPr>
          <w:rFonts w:hint="eastAsia"/>
          <w:kern w:val="2"/>
          <w:sz w:val="24"/>
          <w:szCs w:val="28"/>
          <w:highlight w:val="none"/>
        </w:rPr>
      </w:pPr>
      <w:r>
        <w:rPr>
          <w:rFonts w:hint="eastAsia"/>
          <w:kern w:val="2"/>
          <w:sz w:val="24"/>
          <w:szCs w:val="28"/>
          <w:highlight w:val="none"/>
        </w:rPr>
        <w:t>单位名称：</w:t>
      </w:r>
      <w:r>
        <w:rPr>
          <w:rFonts w:hint="eastAsia"/>
          <w:kern w:val="2"/>
          <w:sz w:val="24"/>
          <w:szCs w:val="28"/>
          <w:highlight w:val="none"/>
          <w:u w:val="single"/>
        </w:rPr>
        <w:t xml:space="preserve">                            </w:t>
      </w:r>
      <w:r>
        <w:rPr>
          <w:kern w:val="2"/>
          <w:sz w:val="24"/>
          <w:szCs w:val="28"/>
          <w:highlight w:val="none"/>
          <w:u w:val="single"/>
        </w:rPr>
        <w:t xml:space="preserve">    </w:t>
      </w:r>
      <w:r>
        <w:rPr>
          <w:rFonts w:hint="eastAsia"/>
          <w:kern w:val="2"/>
          <w:sz w:val="24"/>
          <w:szCs w:val="28"/>
          <w:highlight w:val="none"/>
          <w:u w:val="single"/>
        </w:rPr>
        <w:t xml:space="preserve">          </w:t>
      </w:r>
    </w:p>
    <w:p w14:paraId="3413BBB6">
      <w:pPr>
        <w:snapToGrid w:val="0"/>
        <w:spacing w:line="360" w:lineRule="auto"/>
        <w:ind w:firstLine="480" w:firstLineChars="200"/>
        <w:jc w:val="left"/>
        <w:rPr>
          <w:rFonts w:hint="eastAsia"/>
          <w:kern w:val="2"/>
          <w:sz w:val="24"/>
          <w:szCs w:val="28"/>
          <w:highlight w:val="none"/>
        </w:rPr>
      </w:pPr>
      <w:r>
        <w:rPr>
          <w:rFonts w:hint="eastAsia"/>
          <w:kern w:val="2"/>
          <w:sz w:val="24"/>
          <w:szCs w:val="28"/>
          <w:highlight w:val="none"/>
        </w:rPr>
        <w:t>单位性质：</w:t>
      </w:r>
      <w:r>
        <w:rPr>
          <w:rFonts w:hint="eastAsia"/>
          <w:kern w:val="2"/>
          <w:sz w:val="24"/>
          <w:szCs w:val="28"/>
          <w:highlight w:val="none"/>
          <w:u w:val="single"/>
        </w:rPr>
        <w:t xml:space="preserve">                             </w:t>
      </w:r>
      <w:r>
        <w:rPr>
          <w:kern w:val="2"/>
          <w:sz w:val="24"/>
          <w:szCs w:val="28"/>
          <w:highlight w:val="none"/>
          <w:u w:val="single"/>
        </w:rPr>
        <w:t xml:space="preserve">    </w:t>
      </w:r>
      <w:r>
        <w:rPr>
          <w:rFonts w:hint="eastAsia"/>
          <w:kern w:val="2"/>
          <w:sz w:val="24"/>
          <w:szCs w:val="28"/>
          <w:highlight w:val="none"/>
          <w:u w:val="single"/>
        </w:rPr>
        <w:t xml:space="preserve">         </w:t>
      </w:r>
    </w:p>
    <w:p w14:paraId="104A0378">
      <w:pPr>
        <w:snapToGrid w:val="0"/>
        <w:spacing w:line="360" w:lineRule="auto"/>
        <w:ind w:firstLine="480" w:firstLineChars="200"/>
        <w:jc w:val="left"/>
        <w:rPr>
          <w:rFonts w:hint="eastAsia"/>
          <w:kern w:val="2"/>
          <w:sz w:val="24"/>
          <w:szCs w:val="28"/>
          <w:highlight w:val="none"/>
        </w:rPr>
      </w:pPr>
      <w:r>
        <w:rPr>
          <w:rFonts w:hint="eastAsia"/>
          <w:kern w:val="2"/>
          <w:sz w:val="24"/>
          <w:szCs w:val="28"/>
          <w:highlight w:val="none"/>
        </w:rPr>
        <w:t>地    址：</w:t>
      </w:r>
      <w:r>
        <w:rPr>
          <w:rFonts w:hint="eastAsia"/>
          <w:kern w:val="2"/>
          <w:sz w:val="24"/>
          <w:szCs w:val="28"/>
          <w:highlight w:val="none"/>
          <w:u w:val="single"/>
        </w:rPr>
        <w:t xml:space="preserve">                             </w:t>
      </w:r>
      <w:r>
        <w:rPr>
          <w:kern w:val="2"/>
          <w:sz w:val="24"/>
          <w:szCs w:val="28"/>
          <w:highlight w:val="none"/>
          <w:u w:val="single"/>
        </w:rPr>
        <w:t xml:space="preserve">    </w:t>
      </w:r>
      <w:r>
        <w:rPr>
          <w:rFonts w:hint="eastAsia"/>
          <w:kern w:val="2"/>
          <w:sz w:val="24"/>
          <w:szCs w:val="28"/>
          <w:highlight w:val="none"/>
          <w:u w:val="single"/>
        </w:rPr>
        <w:t xml:space="preserve">         </w:t>
      </w:r>
    </w:p>
    <w:p w14:paraId="147D77AA">
      <w:pPr>
        <w:snapToGrid w:val="0"/>
        <w:spacing w:line="360" w:lineRule="auto"/>
        <w:ind w:firstLine="480" w:firstLineChars="200"/>
        <w:jc w:val="left"/>
        <w:rPr>
          <w:rFonts w:hint="eastAsia"/>
          <w:kern w:val="2"/>
          <w:sz w:val="24"/>
          <w:szCs w:val="28"/>
          <w:highlight w:val="none"/>
        </w:rPr>
      </w:pPr>
      <w:r>
        <w:rPr>
          <w:rFonts w:hint="eastAsia"/>
          <w:kern w:val="2"/>
          <w:sz w:val="24"/>
          <w:szCs w:val="28"/>
          <w:highlight w:val="none"/>
        </w:rPr>
        <w:t>成立时间：</w:t>
      </w:r>
      <w:r>
        <w:rPr>
          <w:rFonts w:hint="eastAsia"/>
          <w:kern w:val="2"/>
          <w:sz w:val="24"/>
          <w:szCs w:val="28"/>
          <w:highlight w:val="none"/>
          <w:u w:val="single"/>
        </w:rPr>
        <w:t xml:space="preserve">              </w:t>
      </w:r>
      <w:r>
        <w:rPr>
          <w:rFonts w:hint="eastAsia"/>
          <w:kern w:val="2"/>
          <w:sz w:val="24"/>
          <w:szCs w:val="28"/>
          <w:highlight w:val="none"/>
        </w:rPr>
        <w:t>年</w:t>
      </w:r>
      <w:r>
        <w:rPr>
          <w:rFonts w:hint="eastAsia"/>
          <w:kern w:val="2"/>
          <w:sz w:val="24"/>
          <w:szCs w:val="28"/>
          <w:highlight w:val="none"/>
          <w:u w:val="single"/>
        </w:rPr>
        <w:t xml:space="preserve">         </w:t>
      </w:r>
      <w:r>
        <w:rPr>
          <w:rFonts w:hint="eastAsia"/>
          <w:kern w:val="2"/>
          <w:sz w:val="24"/>
          <w:szCs w:val="28"/>
          <w:highlight w:val="none"/>
        </w:rPr>
        <w:t>月</w:t>
      </w:r>
      <w:r>
        <w:rPr>
          <w:rFonts w:hint="eastAsia"/>
          <w:kern w:val="2"/>
          <w:sz w:val="24"/>
          <w:szCs w:val="28"/>
          <w:highlight w:val="none"/>
          <w:u w:val="single"/>
        </w:rPr>
        <w:t xml:space="preserve">        </w:t>
      </w:r>
      <w:r>
        <w:rPr>
          <w:rFonts w:hint="eastAsia"/>
          <w:kern w:val="2"/>
          <w:sz w:val="24"/>
          <w:szCs w:val="28"/>
          <w:highlight w:val="none"/>
        </w:rPr>
        <w:t>日</w:t>
      </w:r>
    </w:p>
    <w:p w14:paraId="22F1B859">
      <w:pPr>
        <w:snapToGrid w:val="0"/>
        <w:spacing w:line="360" w:lineRule="auto"/>
        <w:ind w:firstLine="480" w:firstLineChars="200"/>
        <w:jc w:val="left"/>
        <w:rPr>
          <w:rFonts w:hint="eastAsia"/>
          <w:kern w:val="2"/>
          <w:sz w:val="24"/>
          <w:szCs w:val="28"/>
          <w:highlight w:val="none"/>
        </w:rPr>
      </w:pPr>
      <w:r>
        <w:rPr>
          <w:rFonts w:hint="eastAsia"/>
          <w:kern w:val="2"/>
          <w:sz w:val="24"/>
          <w:szCs w:val="28"/>
          <w:highlight w:val="none"/>
        </w:rPr>
        <w:t>经营期限：</w:t>
      </w:r>
      <w:r>
        <w:rPr>
          <w:rFonts w:hint="eastAsia"/>
          <w:kern w:val="2"/>
          <w:sz w:val="24"/>
          <w:szCs w:val="28"/>
          <w:highlight w:val="none"/>
          <w:u w:val="single"/>
        </w:rPr>
        <w:t xml:space="preserve">                               </w:t>
      </w:r>
      <w:r>
        <w:rPr>
          <w:kern w:val="2"/>
          <w:sz w:val="24"/>
          <w:szCs w:val="28"/>
          <w:highlight w:val="none"/>
          <w:u w:val="single"/>
        </w:rPr>
        <w:t xml:space="preserve">    </w:t>
      </w:r>
      <w:r>
        <w:rPr>
          <w:rFonts w:hint="eastAsia"/>
          <w:kern w:val="2"/>
          <w:sz w:val="24"/>
          <w:szCs w:val="28"/>
          <w:highlight w:val="none"/>
          <w:u w:val="single"/>
        </w:rPr>
        <w:t xml:space="preserve"> </w:t>
      </w:r>
      <w:r>
        <w:rPr>
          <w:kern w:val="2"/>
          <w:sz w:val="24"/>
          <w:szCs w:val="28"/>
          <w:highlight w:val="none"/>
          <w:u w:val="single"/>
        </w:rPr>
        <w:t xml:space="preserve"> </w:t>
      </w:r>
      <w:r>
        <w:rPr>
          <w:rFonts w:hint="eastAsia"/>
          <w:kern w:val="2"/>
          <w:sz w:val="24"/>
          <w:szCs w:val="28"/>
          <w:highlight w:val="none"/>
          <w:u w:val="single"/>
        </w:rPr>
        <w:t xml:space="preserve">     </w:t>
      </w:r>
    </w:p>
    <w:p w14:paraId="0257368A">
      <w:pPr>
        <w:snapToGrid w:val="0"/>
        <w:spacing w:line="360" w:lineRule="auto"/>
        <w:ind w:firstLine="480" w:firstLineChars="200"/>
        <w:jc w:val="left"/>
        <w:rPr>
          <w:rFonts w:hint="eastAsia"/>
          <w:kern w:val="2"/>
          <w:sz w:val="24"/>
          <w:szCs w:val="28"/>
          <w:highlight w:val="none"/>
        </w:rPr>
      </w:pPr>
      <w:r>
        <w:rPr>
          <w:rFonts w:hint="eastAsia"/>
          <w:kern w:val="2"/>
          <w:sz w:val="24"/>
          <w:szCs w:val="28"/>
          <w:highlight w:val="none"/>
        </w:rPr>
        <w:t>姓    名：</w:t>
      </w:r>
      <w:r>
        <w:rPr>
          <w:rFonts w:hint="eastAsia"/>
          <w:kern w:val="2"/>
          <w:sz w:val="24"/>
          <w:szCs w:val="28"/>
          <w:highlight w:val="none"/>
          <w:u w:val="single"/>
        </w:rPr>
        <w:t xml:space="preserve">                  </w:t>
      </w:r>
      <w:r>
        <w:rPr>
          <w:rFonts w:hint="eastAsia"/>
          <w:kern w:val="2"/>
          <w:sz w:val="24"/>
          <w:szCs w:val="28"/>
          <w:highlight w:val="none"/>
        </w:rPr>
        <w:t xml:space="preserve"> 性 </w:t>
      </w:r>
      <w:r>
        <w:rPr>
          <w:kern w:val="2"/>
          <w:sz w:val="24"/>
          <w:szCs w:val="28"/>
          <w:highlight w:val="none"/>
        </w:rPr>
        <w:t xml:space="preserve">  </w:t>
      </w:r>
      <w:r>
        <w:rPr>
          <w:rFonts w:hint="eastAsia"/>
          <w:kern w:val="2"/>
          <w:sz w:val="24"/>
          <w:szCs w:val="28"/>
          <w:highlight w:val="none"/>
        </w:rPr>
        <w:t xml:space="preserve"> 别：</w:t>
      </w:r>
      <w:r>
        <w:rPr>
          <w:rFonts w:hint="eastAsia"/>
          <w:kern w:val="2"/>
          <w:sz w:val="24"/>
          <w:szCs w:val="28"/>
          <w:highlight w:val="none"/>
          <w:u w:val="single"/>
        </w:rPr>
        <w:t xml:space="preserve">             </w:t>
      </w:r>
    </w:p>
    <w:p w14:paraId="62C22901">
      <w:pPr>
        <w:snapToGrid w:val="0"/>
        <w:spacing w:line="360" w:lineRule="auto"/>
        <w:ind w:firstLine="480" w:firstLineChars="200"/>
        <w:jc w:val="left"/>
        <w:rPr>
          <w:rFonts w:hint="eastAsia"/>
          <w:kern w:val="2"/>
          <w:sz w:val="24"/>
          <w:szCs w:val="28"/>
          <w:highlight w:val="none"/>
          <w:u w:val="single"/>
        </w:rPr>
      </w:pPr>
      <w:r>
        <w:rPr>
          <w:rFonts w:hint="eastAsia"/>
          <w:kern w:val="2"/>
          <w:sz w:val="24"/>
          <w:szCs w:val="28"/>
          <w:highlight w:val="none"/>
        </w:rPr>
        <w:t>年    龄：</w:t>
      </w:r>
      <w:r>
        <w:rPr>
          <w:rFonts w:hint="eastAsia"/>
          <w:kern w:val="2"/>
          <w:sz w:val="24"/>
          <w:szCs w:val="28"/>
          <w:highlight w:val="none"/>
          <w:u w:val="single"/>
        </w:rPr>
        <w:t xml:space="preserve">                  </w:t>
      </w:r>
      <w:r>
        <w:rPr>
          <w:rFonts w:hint="eastAsia"/>
          <w:kern w:val="2"/>
          <w:sz w:val="24"/>
          <w:szCs w:val="28"/>
          <w:highlight w:val="none"/>
        </w:rPr>
        <w:t xml:space="preserve"> 职    务：</w:t>
      </w:r>
      <w:r>
        <w:rPr>
          <w:rFonts w:hint="eastAsia"/>
          <w:kern w:val="2"/>
          <w:sz w:val="24"/>
          <w:szCs w:val="28"/>
          <w:highlight w:val="none"/>
          <w:u w:val="single"/>
        </w:rPr>
        <w:t xml:space="preserve">             </w:t>
      </w:r>
    </w:p>
    <w:p w14:paraId="070C7ED5">
      <w:pPr>
        <w:snapToGrid w:val="0"/>
        <w:spacing w:line="360" w:lineRule="auto"/>
        <w:ind w:firstLine="480" w:firstLineChars="200"/>
        <w:jc w:val="left"/>
        <w:rPr>
          <w:rFonts w:hint="eastAsia"/>
          <w:kern w:val="2"/>
          <w:sz w:val="24"/>
          <w:szCs w:val="28"/>
          <w:highlight w:val="none"/>
        </w:rPr>
      </w:pPr>
      <w:r>
        <w:rPr>
          <w:rFonts w:hint="eastAsia"/>
          <w:kern w:val="2"/>
          <w:sz w:val="24"/>
          <w:szCs w:val="28"/>
          <w:highlight w:val="none"/>
        </w:rPr>
        <w:t>联系</w:t>
      </w:r>
      <w:r>
        <w:rPr>
          <w:kern w:val="2"/>
          <w:sz w:val="24"/>
          <w:szCs w:val="28"/>
          <w:highlight w:val="none"/>
        </w:rPr>
        <w:t>电话</w:t>
      </w:r>
      <w:r>
        <w:rPr>
          <w:rFonts w:hint="eastAsia"/>
          <w:kern w:val="2"/>
          <w:sz w:val="24"/>
          <w:szCs w:val="28"/>
          <w:highlight w:val="none"/>
        </w:rPr>
        <w:t>：</w:t>
      </w:r>
      <w:r>
        <w:rPr>
          <w:rFonts w:hint="eastAsia"/>
          <w:kern w:val="2"/>
          <w:sz w:val="24"/>
          <w:szCs w:val="28"/>
          <w:highlight w:val="none"/>
          <w:u w:val="single"/>
        </w:rPr>
        <w:t xml:space="preserve">                  </w:t>
      </w:r>
      <w:r>
        <w:rPr>
          <w:rFonts w:hint="eastAsia"/>
          <w:kern w:val="2"/>
          <w:sz w:val="24"/>
          <w:szCs w:val="28"/>
          <w:highlight w:val="none"/>
        </w:rPr>
        <w:t xml:space="preserve"> 手机号码：</w:t>
      </w:r>
      <w:r>
        <w:rPr>
          <w:rFonts w:hint="eastAsia"/>
          <w:kern w:val="2"/>
          <w:sz w:val="24"/>
          <w:szCs w:val="28"/>
          <w:highlight w:val="none"/>
          <w:u w:val="single"/>
        </w:rPr>
        <w:t xml:space="preserve">             </w:t>
      </w:r>
    </w:p>
    <w:p w14:paraId="0FFD6A77">
      <w:pPr>
        <w:snapToGrid w:val="0"/>
        <w:spacing w:line="360" w:lineRule="auto"/>
        <w:ind w:firstLine="480" w:firstLineChars="200"/>
        <w:jc w:val="left"/>
        <w:rPr>
          <w:rFonts w:hint="eastAsia"/>
          <w:kern w:val="2"/>
          <w:sz w:val="24"/>
          <w:szCs w:val="28"/>
          <w:highlight w:val="none"/>
        </w:rPr>
      </w:pPr>
      <w:r>
        <w:rPr>
          <w:rFonts w:hint="eastAsia"/>
          <w:kern w:val="2"/>
          <w:sz w:val="24"/>
          <w:szCs w:val="28"/>
          <w:highlight w:val="none"/>
          <w:u w:val="single"/>
        </w:rPr>
        <w:t xml:space="preserve">        </w:t>
      </w:r>
      <w:r>
        <w:rPr>
          <w:rFonts w:hint="eastAsia"/>
          <w:kern w:val="2"/>
          <w:sz w:val="24"/>
          <w:szCs w:val="28"/>
          <w:highlight w:val="none"/>
        </w:rPr>
        <w:t xml:space="preserve">系  </w:t>
      </w:r>
      <w:r>
        <w:rPr>
          <w:rFonts w:hint="eastAsia"/>
          <w:kern w:val="2"/>
          <w:sz w:val="24"/>
          <w:szCs w:val="28"/>
          <w:highlight w:val="none"/>
          <w:u w:val="single"/>
        </w:rPr>
        <w:t xml:space="preserve">   （</w:t>
      </w:r>
      <w:r>
        <w:rPr>
          <w:rFonts w:hint="eastAsia"/>
          <w:sz w:val="24"/>
          <w:szCs w:val="24"/>
          <w:highlight w:val="none"/>
          <w:u w:val="single"/>
        </w:rPr>
        <w:t>参审单位</w:t>
      </w:r>
      <w:r>
        <w:rPr>
          <w:rFonts w:hint="eastAsia"/>
          <w:kern w:val="2"/>
          <w:sz w:val="24"/>
          <w:szCs w:val="28"/>
          <w:highlight w:val="none"/>
          <w:u w:val="single"/>
        </w:rPr>
        <w:t xml:space="preserve">单位名称）       </w:t>
      </w:r>
      <w:r>
        <w:rPr>
          <w:rFonts w:hint="eastAsia"/>
          <w:kern w:val="2"/>
          <w:sz w:val="24"/>
          <w:szCs w:val="28"/>
          <w:highlight w:val="none"/>
        </w:rPr>
        <w:t>的法定代表人。</w:t>
      </w:r>
    </w:p>
    <w:p w14:paraId="193B370E">
      <w:pPr>
        <w:spacing w:before="48" w:beforeLines="20" w:after="48" w:afterLines="20" w:line="540" w:lineRule="exact"/>
        <w:ind w:firstLine="610"/>
        <w:rPr>
          <w:rFonts w:hint="eastAsia" w:ascii="@仿宋_GB2312" w:eastAsia="@仿宋_GB2312" w:cs="宋体"/>
          <w:kern w:val="2"/>
          <w:sz w:val="24"/>
          <w:szCs w:val="24"/>
          <w:highlight w:val="none"/>
        </w:rPr>
      </w:pPr>
    </w:p>
    <w:p w14:paraId="71455428">
      <w:pPr>
        <w:spacing w:before="48" w:beforeLines="20" w:after="48" w:afterLines="20" w:line="540" w:lineRule="exact"/>
        <w:ind w:left="400" w:leftChars="200" w:firstLine="240" w:firstLineChars="100"/>
        <w:rPr>
          <w:rFonts w:hint="eastAsia" w:cs="宋体"/>
          <w:kern w:val="2"/>
          <w:sz w:val="24"/>
          <w:szCs w:val="24"/>
          <w:highlight w:val="none"/>
        </w:rPr>
      </w:pPr>
      <w:r>
        <w:rPr>
          <w:rFonts w:hint="eastAsia" w:cs="宋体"/>
          <w:kern w:val="2"/>
          <w:sz w:val="24"/>
          <w:szCs w:val="24"/>
          <w:highlight w:val="none"/>
        </w:rPr>
        <w:t>特此证明。</w:t>
      </w:r>
    </w:p>
    <w:p w14:paraId="0A52077B">
      <w:pPr>
        <w:tabs>
          <w:tab w:val="left" w:pos="720"/>
          <w:tab w:val="left" w:pos="900"/>
        </w:tabs>
        <w:spacing w:before="48" w:beforeLines="20" w:after="48" w:afterLines="20" w:line="540" w:lineRule="exact"/>
        <w:ind w:firstLine="480" w:firstLineChars="200"/>
        <w:rPr>
          <w:rFonts w:hint="eastAsia" w:cs="宋体"/>
          <w:kern w:val="2"/>
          <w:sz w:val="24"/>
          <w:szCs w:val="24"/>
          <w:highlight w:val="none"/>
        </w:rPr>
      </w:pPr>
      <w:r>
        <w:rPr>
          <w:rFonts w:hint="eastAsia" w:cs="宋体"/>
          <w:kern w:val="2"/>
          <w:sz w:val="24"/>
          <w:szCs w:val="24"/>
          <w:highlight w:val="none"/>
        </w:rPr>
        <w:t>附：法定代表人身份证扫描件</w:t>
      </w:r>
    </w:p>
    <w:p w14:paraId="427C90D0">
      <w:pPr>
        <w:tabs>
          <w:tab w:val="left" w:pos="720"/>
          <w:tab w:val="left" w:pos="900"/>
        </w:tabs>
        <w:spacing w:before="48" w:beforeLines="20" w:after="48" w:afterLines="20" w:line="540" w:lineRule="exact"/>
        <w:ind w:firstLine="480" w:firstLineChars="200"/>
        <w:rPr>
          <w:rFonts w:hint="eastAsia" w:ascii="@仿宋_GB2312" w:eastAsia="@仿宋_GB2312" w:cs="宋体"/>
          <w:kern w:val="2"/>
          <w:sz w:val="24"/>
          <w:szCs w:val="24"/>
          <w:highlight w:val="none"/>
        </w:rPr>
      </w:pPr>
    </w:p>
    <w:p w14:paraId="1568DAE5">
      <w:pPr>
        <w:tabs>
          <w:tab w:val="left" w:pos="720"/>
          <w:tab w:val="left" w:pos="900"/>
        </w:tabs>
        <w:spacing w:before="48" w:beforeLines="20" w:after="48" w:afterLines="20" w:line="540" w:lineRule="exact"/>
        <w:ind w:firstLine="4560" w:firstLineChars="1900"/>
        <w:rPr>
          <w:rFonts w:hint="eastAsia" w:ascii="@仿宋_GB2312" w:eastAsia="@仿宋_GB2312" w:cs="宋体"/>
          <w:kern w:val="2"/>
          <w:sz w:val="24"/>
          <w:szCs w:val="24"/>
          <w:highlight w:val="none"/>
        </w:rPr>
      </w:pPr>
    </w:p>
    <w:p w14:paraId="2A702A37">
      <w:pPr>
        <w:spacing w:line="360" w:lineRule="auto"/>
        <w:ind w:firstLine="3840" w:firstLineChars="1600"/>
        <w:rPr>
          <w:rFonts w:hint="eastAsia" w:cs="宋体"/>
          <w:kern w:val="2"/>
          <w:sz w:val="24"/>
          <w:szCs w:val="24"/>
          <w:highlight w:val="none"/>
        </w:rPr>
      </w:pPr>
      <w:r>
        <w:rPr>
          <w:rFonts w:hint="eastAsia"/>
          <w:sz w:val="24"/>
          <w:szCs w:val="18"/>
          <w:highlight w:val="none"/>
        </w:rPr>
        <w:t>参审单位</w:t>
      </w:r>
      <w:r>
        <w:rPr>
          <w:rFonts w:hint="eastAsia" w:cs="宋体"/>
          <w:kern w:val="2"/>
          <w:sz w:val="24"/>
          <w:szCs w:val="24"/>
          <w:highlight w:val="none"/>
        </w:rPr>
        <w:t>电子签章：</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7FBEF11C">
      <w:pPr>
        <w:spacing w:line="360" w:lineRule="auto"/>
        <w:ind w:firstLine="3840" w:firstLineChars="1600"/>
        <w:rPr>
          <w:rFonts w:hint="eastAsia"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w:t>
      </w:r>
      <w:r>
        <w:rPr>
          <w:rFonts w:cs="宋体"/>
          <w:kern w:val="2"/>
          <w:sz w:val="24"/>
          <w:szCs w:val="24"/>
          <w:highlight w:val="none"/>
        </w:rPr>
        <w:t xml:space="preserve">   </w:t>
      </w:r>
      <w:r>
        <w:rPr>
          <w:rFonts w:hint="eastAsia" w:cs="宋体"/>
          <w:kern w:val="2"/>
          <w:sz w:val="24"/>
          <w:szCs w:val="24"/>
          <w:highlight w:val="none"/>
        </w:rPr>
        <w:t>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053535C7">
      <w:pPr>
        <w:widowControl/>
        <w:spacing w:line="360" w:lineRule="auto"/>
        <w:jc w:val="center"/>
        <w:rPr>
          <w:rFonts w:hint="eastAsia" w:cs="@仿宋_GB2312"/>
          <w:b/>
          <w:bCs/>
          <w:kern w:val="2"/>
          <w:sz w:val="24"/>
          <w:szCs w:val="24"/>
          <w:highlight w:val="none"/>
        </w:rPr>
      </w:pPr>
      <w:r>
        <w:rPr>
          <w:rFonts w:cs="@仿宋_GB2312"/>
          <w:kern w:val="2"/>
          <w:sz w:val="24"/>
          <w:szCs w:val="24"/>
          <w:highlight w:val="none"/>
        </w:rPr>
        <w:br w:type="page"/>
      </w:r>
      <w:r>
        <w:rPr>
          <w:rFonts w:hint="eastAsia" w:cs="@仿宋_GB2312"/>
          <w:b/>
          <w:bCs/>
          <w:kern w:val="2"/>
          <w:sz w:val="24"/>
          <w:szCs w:val="24"/>
          <w:highlight w:val="none"/>
        </w:rPr>
        <w:t>八、承诺函</w:t>
      </w:r>
    </w:p>
    <w:p w14:paraId="23CAEB58">
      <w:pPr>
        <w:spacing w:line="360" w:lineRule="auto"/>
        <w:rPr>
          <w:rFonts w:hint="eastAsia" w:cs="宋体"/>
          <w:b/>
          <w:kern w:val="2"/>
          <w:sz w:val="24"/>
          <w:szCs w:val="24"/>
          <w:highlight w:val="none"/>
        </w:rPr>
      </w:pPr>
      <w:r>
        <w:rPr>
          <w:rFonts w:hint="eastAsia" w:cs="宋体"/>
          <w:b/>
          <w:kern w:val="2"/>
          <w:sz w:val="24"/>
          <w:szCs w:val="24"/>
          <w:highlight w:val="none"/>
        </w:rPr>
        <w:t>致：</w:t>
      </w:r>
      <w:r>
        <w:rPr>
          <w:rFonts w:hint="eastAsia" w:cs="宋体"/>
          <w:b/>
          <w:kern w:val="2"/>
          <w:sz w:val="24"/>
          <w:szCs w:val="24"/>
          <w:highlight w:val="none"/>
          <w:u w:val="single"/>
          <w:lang w:eastAsia="zh-CN"/>
        </w:rPr>
        <w:t>肥西县柿树岗乡卫生院</w:t>
      </w:r>
      <w:r>
        <w:rPr>
          <w:rFonts w:hint="eastAsia" w:cs="宋体"/>
          <w:b/>
          <w:kern w:val="2"/>
          <w:sz w:val="24"/>
          <w:szCs w:val="24"/>
          <w:highlight w:val="none"/>
          <w:u w:val="single"/>
        </w:rPr>
        <w:t>、肥西县公共资源交易有限责任公司</w:t>
      </w:r>
    </w:p>
    <w:p w14:paraId="5181EF47">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我单位参与本项目磋商活动，现郑重承诺如下：</w:t>
      </w:r>
    </w:p>
    <w:p w14:paraId="57AE6157">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一、我单位对正常运行及经营的合法性、真实性及有效性负完全责任，并随时无条件配合</w:t>
      </w:r>
      <w:r>
        <w:rPr>
          <w:rFonts w:hint="eastAsia"/>
          <w:sz w:val="24"/>
          <w:szCs w:val="18"/>
          <w:highlight w:val="none"/>
        </w:rPr>
        <w:t>业主单位</w:t>
      </w:r>
      <w:r>
        <w:rPr>
          <w:rFonts w:hint="eastAsia" w:cs="宋体"/>
          <w:kern w:val="2"/>
          <w:sz w:val="24"/>
          <w:szCs w:val="24"/>
          <w:highlight w:val="none"/>
        </w:rPr>
        <w:t>对我单位营业执照有效性进一步核查。</w:t>
      </w:r>
    </w:p>
    <w:p w14:paraId="51A21246">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二、若我单位成交，将严格按照国家及省市行业主管部门规定在项目所在地办理施工许可（如需），并在项目所在地交纳相关税费。</w:t>
      </w:r>
    </w:p>
    <w:p w14:paraId="3DB18B80">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三、我单位近三年内，未发生重大质量事故和重大安全事故；</w:t>
      </w:r>
    </w:p>
    <w:p w14:paraId="674D6EB7">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四、我单位在本项目磋商有效期内，在本项目所在区域未存在因质量事故、安全事故等被限期承包工程或市场不良行为等被限制磋商资格行为，且处于处罚期内的情况；</w:t>
      </w:r>
    </w:p>
    <w:p w14:paraId="2443A709">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五、我单位近一年内，未发生因拖欠农民工工资被行业管理部门处罚情况；</w:t>
      </w:r>
    </w:p>
    <w:p w14:paraId="5045E1A8">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六、我单位近一年内，在项目所在地未出现被相关行业主管部门限制磋商资格情况。</w:t>
      </w:r>
    </w:p>
    <w:p w14:paraId="06EB3B31">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七、我单位近一年内，未受到在市场行为、施工质量、安全等方面被市级及以上行业管理部门处罚的情况。</w:t>
      </w:r>
    </w:p>
    <w:p w14:paraId="0CE1A7DB">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八、本项目授权委托人为我单位人员，不存在挂靠行为，否则承担相应法律责任，并随时无条件配合监管部门调查取证。</w:t>
      </w:r>
    </w:p>
    <w:p w14:paraId="172B70D0">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九、我单位一旦成交，将在磋商文件规定时间内缴纳相关费用、领取成交通知书，并与</w:t>
      </w:r>
      <w:r>
        <w:rPr>
          <w:rFonts w:hint="eastAsia"/>
          <w:sz w:val="24"/>
          <w:szCs w:val="18"/>
          <w:highlight w:val="none"/>
        </w:rPr>
        <w:t>业主单位</w:t>
      </w:r>
      <w:r>
        <w:rPr>
          <w:rFonts w:hint="eastAsia" w:cs="宋体"/>
          <w:kern w:val="2"/>
          <w:sz w:val="24"/>
          <w:szCs w:val="24"/>
          <w:highlight w:val="none"/>
        </w:rPr>
        <w:t>联系并签订合同，组织进场施工事宜，否则贵单位有权取消我单位成交资格。</w:t>
      </w:r>
    </w:p>
    <w:p w14:paraId="21B8EA2C">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十、我单位在响应文件提交截止时间前已在安徽省按照主管部门相关要求办理信息登记手续，如未按此要求办理信息登记，</w:t>
      </w:r>
      <w:r>
        <w:rPr>
          <w:rFonts w:hint="eastAsia"/>
          <w:sz w:val="24"/>
          <w:szCs w:val="18"/>
          <w:highlight w:val="none"/>
        </w:rPr>
        <w:t>业主单位</w:t>
      </w:r>
      <w:r>
        <w:rPr>
          <w:rFonts w:hint="eastAsia" w:cs="宋体"/>
          <w:kern w:val="2"/>
          <w:sz w:val="24"/>
          <w:szCs w:val="24"/>
          <w:highlight w:val="none"/>
        </w:rPr>
        <w:t>可按照我单位弄虚作假取消我单位成交资格，</w:t>
      </w:r>
      <w:r>
        <w:rPr>
          <w:rFonts w:hint="eastAsia"/>
          <w:sz w:val="24"/>
          <w:szCs w:val="18"/>
          <w:highlight w:val="none"/>
        </w:rPr>
        <w:t>业主单位</w:t>
      </w:r>
      <w:r>
        <w:rPr>
          <w:rFonts w:hint="eastAsia" w:cs="宋体"/>
          <w:kern w:val="2"/>
          <w:sz w:val="24"/>
          <w:szCs w:val="24"/>
          <w:highlight w:val="none"/>
        </w:rPr>
        <w:t>因此原因取消我单位成交资格的，视为我单位无正当理由放弃成交资格，磋商保证金不予退还，同时贵单位可向我单位进一步追偿工期延误造成的一切损失。</w:t>
      </w:r>
      <w:r>
        <w:rPr>
          <w:rFonts w:hint="eastAsia" w:cs="宋体"/>
          <w:i/>
          <w:kern w:val="2"/>
          <w:sz w:val="24"/>
          <w:szCs w:val="24"/>
          <w:highlight w:val="none"/>
        </w:rPr>
        <w:t>（本条仅针对安徽省外建筑业企业，安徽省内建筑业企业此条不需要承诺）</w:t>
      </w:r>
    </w:p>
    <w:p w14:paraId="1FEF5ADC">
      <w:pPr>
        <w:spacing w:line="360" w:lineRule="auto"/>
        <w:ind w:firstLine="4320" w:firstLineChars="1800"/>
        <w:rPr>
          <w:rFonts w:hint="eastAsia" w:cs="宋体"/>
          <w:kern w:val="2"/>
          <w:sz w:val="24"/>
          <w:szCs w:val="24"/>
          <w:highlight w:val="none"/>
        </w:rPr>
      </w:pPr>
      <w:r>
        <w:rPr>
          <w:rFonts w:hint="eastAsia"/>
          <w:sz w:val="24"/>
          <w:szCs w:val="18"/>
          <w:highlight w:val="none"/>
        </w:rPr>
        <w:t>参审单位</w:t>
      </w:r>
      <w:r>
        <w:rPr>
          <w:rFonts w:cs="宋体"/>
          <w:kern w:val="2"/>
          <w:sz w:val="24"/>
          <w:szCs w:val="24"/>
          <w:highlight w:val="none"/>
        </w:rPr>
        <w:t>电子签章</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hint="eastAsia" w:cs="宋体"/>
          <w:kern w:val="2"/>
          <w:sz w:val="24"/>
          <w:szCs w:val="24"/>
          <w:highlight w:val="none"/>
        </w:rPr>
        <w:t xml:space="preserve"> </w:t>
      </w:r>
    </w:p>
    <w:p w14:paraId="52044EEE">
      <w:pPr>
        <w:spacing w:line="360" w:lineRule="auto"/>
        <w:jc w:val="center"/>
        <w:rPr>
          <w:rFonts w:hint="eastAsia" w:cs="@仿宋_GB2312"/>
          <w:b/>
          <w:bCs/>
          <w:kern w:val="2"/>
          <w:sz w:val="24"/>
          <w:szCs w:val="24"/>
          <w:highlight w:val="none"/>
        </w:rPr>
      </w:pPr>
      <w:r>
        <w:rPr>
          <w:rFonts w:hint="eastAsia" w:cs="宋体"/>
          <w:kern w:val="2"/>
          <w:sz w:val="24"/>
          <w:szCs w:val="24"/>
          <w:highlight w:val="none"/>
          <w:lang w:val="en-US" w:eastAsia="zh-CN"/>
        </w:rPr>
        <w:t xml:space="preserve">                                    </w:t>
      </w:r>
      <w:r>
        <w:rPr>
          <w:rFonts w:hint="eastAsia" w:cs="宋体"/>
          <w:kern w:val="2"/>
          <w:sz w:val="24"/>
          <w:szCs w:val="24"/>
          <w:highlight w:val="none"/>
        </w:rPr>
        <w:t>法定代表人：</w:t>
      </w:r>
      <w:r>
        <w:rPr>
          <w:rFonts w:hint="eastAsia" w:cs="宋体"/>
          <w:kern w:val="2"/>
          <w:sz w:val="24"/>
          <w:szCs w:val="24"/>
          <w:highlight w:val="none"/>
          <w:u w:val="single"/>
        </w:rPr>
        <w:t xml:space="preserve">        </w:t>
      </w:r>
      <w:r>
        <w:rPr>
          <w:rFonts w:hint="eastAsia" w:cs="宋体"/>
          <w:kern w:val="2"/>
          <w:sz w:val="24"/>
          <w:szCs w:val="24"/>
          <w:highlight w:val="none"/>
          <w:u w:val="single"/>
          <w:lang w:val="en-US" w:eastAsia="zh-CN"/>
        </w:rPr>
        <w:t xml:space="preserve"> </w:t>
      </w:r>
      <w:r>
        <w:rPr>
          <w:rFonts w:hint="eastAsia" w:cs="宋体"/>
          <w:kern w:val="2"/>
          <w:sz w:val="24"/>
          <w:szCs w:val="24"/>
          <w:highlight w:val="none"/>
          <w:u w:val="single"/>
        </w:rPr>
        <w:t xml:space="preserve">  签字或盖章</w:t>
      </w:r>
      <w:r>
        <w:rPr>
          <w:rFonts w:hint="eastAsia" w:ascii="@仿宋_GB2312" w:cs="@仿宋_GB2312"/>
          <w:kern w:val="2"/>
          <w:sz w:val="24"/>
          <w:szCs w:val="28"/>
          <w:highlight w:val="none"/>
        </w:rPr>
        <w:br w:type="page"/>
      </w:r>
      <w:r>
        <w:rPr>
          <w:rFonts w:hint="eastAsia" w:ascii="@仿宋_GB2312" w:cs="@仿宋_GB2312"/>
          <w:b/>
          <w:bCs/>
          <w:kern w:val="2"/>
          <w:sz w:val="24"/>
          <w:szCs w:val="28"/>
          <w:highlight w:val="none"/>
        </w:rPr>
        <w:t>九</w:t>
      </w:r>
      <w:r>
        <w:rPr>
          <w:rFonts w:hint="eastAsia" w:cs="@仿宋_GB2312"/>
          <w:b/>
          <w:bCs/>
          <w:kern w:val="2"/>
          <w:sz w:val="24"/>
          <w:szCs w:val="24"/>
          <w:highlight w:val="none"/>
        </w:rPr>
        <w:t>、磋商业绩承诺函</w:t>
      </w:r>
    </w:p>
    <w:p w14:paraId="5EB84D84">
      <w:pPr>
        <w:rPr>
          <w:rFonts w:hint="eastAsia" w:eastAsia="@仿宋_GB2312" w:cs="@仿宋_GB2312"/>
          <w:kern w:val="2"/>
          <w:sz w:val="21"/>
          <w:highlight w:val="none"/>
        </w:rPr>
      </w:pPr>
    </w:p>
    <w:p w14:paraId="7C4E3E69">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我公司同意成交结果公告中公示以下业绩并承诺：响应文件中所提供的业绩均真实有效，若被发现存在任何虚假、隐瞒情况，我公司承担由此产生的一切后果。</w:t>
      </w:r>
    </w:p>
    <w:p w14:paraId="2C8FAF71">
      <w:pPr>
        <w:spacing w:line="360" w:lineRule="auto"/>
        <w:ind w:firstLine="480" w:firstLineChars="200"/>
        <w:rPr>
          <w:rFonts w:hint="eastAsia" w:cs="宋体"/>
          <w:kern w:val="2"/>
          <w:sz w:val="24"/>
          <w:szCs w:val="24"/>
          <w:highlight w:val="none"/>
        </w:rPr>
      </w:pPr>
    </w:p>
    <w:p w14:paraId="5B6C5826">
      <w:pPr>
        <w:spacing w:line="360" w:lineRule="auto"/>
        <w:ind w:firstLine="3840" w:firstLineChars="1600"/>
        <w:rPr>
          <w:rFonts w:hint="eastAsia" w:cs="宋体"/>
          <w:kern w:val="2"/>
          <w:sz w:val="24"/>
          <w:szCs w:val="24"/>
          <w:highlight w:val="none"/>
        </w:rPr>
      </w:pPr>
      <w:r>
        <w:rPr>
          <w:rFonts w:hint="eastAsia"/>
          <w:sz w:val="24"/>
          <w:szCs w:val="18"/>
          <w:highlight w:val="none"/>
        </w:rPr>
        <w:t>参审单位</w:t>
      </w:r>
      <w:r>
        <w:rPr>
          <w:rFonts w:hint="eastAsia" w:cs="宋体"/>
          <w:kern w:val="2"/>
          <w:sz w:val="24"/>
          <w:szCs w:val="24"/>
          <w:highlight w:val="none"/>
        </w:rPr>
        <w:t>电子签章：</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10D5D60A">
      <w:pPr>
        <w:spacing w:line="360" w:lineRule="auto"/>
        <w:ind w:firstLine="3840" w:firstLineChars="1600"/>
        <w:rPr>
          <w:rFonts w:hint="eastAsia"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w:t>
      </w:r>
      <w:r>
        <w:rPr>
          <w:rFonts w:cs="宋体"/>
          <w:kern w:val="2"/>
          <w:sz w:val="24"/>
          <w:szCs w:val="24"/>
          <w:highlight w:val="none"/>
        </w:rPr>
        <w:t xml:space="preserve">   </w:t>
      </w:r>
      <w:r>
        <w:rPr>
          <w:rFonts w:hint="eastAsia" w:cs="宋体"/>
          <w:kern w:val="2"/>
          <w:sz w:val="24"/>
          <w:szCs w:val="24"/>
          <w:highlight w:val="none"/>
        </w:rPr>
        <w:t>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1AE7BDAA">
      <w:pPr>
        <w:spacing w:line="360" w:lineRule="auto"/>
        <w:rPr>
          <w:rFonts w:hint="eastAsia" w:eastAsia="@仿宋_GB2312" w:cs="@仿宋_GB2312"/>
          <w:kern w:val="2"/>
          <w:sz w:val="21"/>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56EC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45474481">
            <w:pPr>
              <w:spacing w:line="360" w:lineRule="auto"/>
              <w:jc w:val="center"/>
              <w:rPr>
                <w:rFonts w:hint="eastAsia" w:cs="宋体"/>
                <w:b/>
                <w:kern w:val="2"/>
                <w:sz w:val="24"/>
                <w:szCs w:val="24"/>
                <w:highlight w:val="none"/>
              </w:rPr>
            </w:pPr>
            <w:r>
              <w:rPr>
                <w:rFonts w:hint="eastAsia" w:cs="宋体"/>
                <w:b/>
                <w:kern w:val="2"/>
                <w:sz w:val="24"/>
                <w:szCs w:val="24"/>
                <w:highlight w:val="none"/>
              </w:rPr>
              <w:t>序号</w:t>
            </w:r>
          </w:p>
        </w:tc>
        <w:tc>
          <w:tcPr>
            <w:tcW w:w="4174" w:type="dxa"/>
            <w:vAlign w:val="center"/>
          </w:tcPr>
          <w:p w14:paraId="2498A15A">
            <w:pPr>
              <w:spacing w:line="360" w:lineRule="auto"/>
              <w:jc w:val="center"/>
              <w:rPr>
                <w:rFonts w:hint="eastAsia" w:cs="宋体"/>
                <w:b/>
                <w:kern w:val="2"/>
                <w:sz w:val="24"/>
                <w:szCs w:val="24"/>
                <w:highlight w:val="none"/>
              </w:rPr>
            </w:pPr>
            <w:r>
              <w:rPr>
                <w:rFonts w:hint="eastAsia" w:cs="宋体"/>
                <w:b/>
                <w:kern w:val="2"/>
                <w:sz w:val="24"/>
                <w:szCs w:val="24"/>
                <w:highlight w:val="none"/>
              </w:rPr>
              <w:t>项目名称</w:t>
            </w:r>
          </w:p>
        </w:tc>
        <w:tc>
          <w:tcPr>
            <w:tcW w:w="2320" w:type="dxa"/>
            <w:vAlign w:val="center"/>
          </w:tcPr>
          <w:p w14:paraId="4975701C">
            <w:pPr>
              <w:widowControl/>
              <w:spacing w:line="360" w:lineRule="auto"/>
              <w:jc w:val="center"/>
              <w:rPr>
                <w:rFonts w:hint="eastAsia" w:cs="宋体"/>
                <w:b/>
                <w:kern w:val="2"/>
                <w:sz w:val="24"/>
                <w:szCs w:val="24"/>
                <w:highlight w:val="none"/>
              </w:rPr>
            </w:pPr>
            <w:r>
              <w:rPr>
                <w:rFonts w:hint="eastAsia" w:cs="宋体"/>
                <w:b/>
                <w:kern w:val="2"/>
                <w:sz w:val="24"/>
                <w:szCs w:val="24"/>
                <w:highlight w:val="none"/>
              </w:rPr>
              <w:t>工程内容</w:t>
            </w:r>
          </w:p>
        </w:tc>
        <w:tc>
          <w:tcPr>
            <w:tcW w:w="1069" w:type="dxa"/>
            <w:vAlign w:val="center"/>
          </w:tcPr>
          <w:p w14:paraId="323F29EB">
            <w:pPr>
              <w:spacing w:line="360" w:lineRule="auto"/>
              <w:jc w:val="center"/>
              <w:rPr>
                <w:rFonts w:hint="eastAsia" w:cs="宋体"/>
                <w:b/>
                <w:kern w:val="2"/>
                <w:sz w:val="24"/>
                <w:szCs w:val="24"/>
                <w:highlight w:val="none"/>
              </w:rPr>
            </w:pPr>
            <w:r>
              <w:rPr>
                <w:rFonts w:hint="eastAsia" w:cs="宋体"/>
                <w:b/>
                <w:kern w:val="2"/>
                <w:sz w:val="24"/>
                <w:szCs w:val="24"/>
                <w:highlight w:val="none"/>
              </w:rPr>
              <w:t>备注</w:t>
            </w:r>
          </w:p>
        </w:tc>
      </w:tr>
      <w:tr w14:paraId="0711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0259912">
            <w:pPr>
              <w:spacing w:line="360" w:lineRule="auto"/>
              <w:jc w:val="center"/>
              <w:rPr>
                <w:rFonts w:hint="eastAsia" w:cs="宋体"/>
                <w:bCs/>
                <w:kern w:val="2"/>
                <w:sz w:val="24"/>
                <w:szCs w:val="24"/>
                <w:highlight w:val="none"/>
              </w:rPr>
            </w:pPr>
            <w:r>
              <w:rPr>
                <w:rFonts w:hint="eastAsia" w:cs="宋体"/>
                <w:bCs/>
                <w:kern w:val="2"/>
                <w:sz w:val="24"/>
                <w:szCs w:val="24"/>
                <w:highlight w:val="none"/>
              </w:rPr>
              <w:t>1</w:t>
            </w:r>
          </w:p>
        </w:tc>
        <w:tc>
          <w:tcPr>
            <w:tcW w:w="4174" w:type="dxa"/>
            <w:vAlign w:val="center"/>
          </w:tcPr>
          <w:p w14:paraId="00F24C29">
            <w:pPr>
              <w:spacing w:line="360" w:lineRule="auto"/>
              <w:rPr>
                <w:rFonts w:hint="eastAsia" w:cs="宋体"/>
                <w:b/>
                <w:kern w:val="2"/>
                <w:sz w:val="24"/>
                <w:szCs w:val="24"/>
                <w:highlight w:val="none"/>
              </w:rPr>
            </w:pPr>
          </w:p>
        </w:tc>
        <w:tc>
          <w:tcPr>
            <w:tcW w:w="2320" w:type="dxa"/>
            <w:vAlign w:val="center"/>
          </w:tcPr>
          <w:p w14:paraId="0E4F60B4">
            <w:pPr>
              <w:spacing w:line="360" w:lineRule="auto"/>
              <w:rPr>
                <w:rFonts w:hint="eastAsia" w:cs="宋体"/>
                <w:b/>
                <w:kern w:val="2"/>
                <w:sz w:val="24"/>
                <w:szCs w:val="24"/>
                <w:highlight w:val="none"/>
              </w:rPr>
            </w:pPr>
          </w:p>
        </w:tc>
        <w:tc>
          <w:tcPr>
            <w:tcW w:w="1069" w:type="dxa"/>
            <w:vAlign w:val="center"/>
          </w:tcPr>
          <w:p w14:paraId="59BA1B96">
            <w:pPr>
              <w:spacing w:line="360" w:lineRule="auto"/>
              <w:rPr>
                <w:rFonts w:hint="eastAsia" w:cs="宋体"/>
                <w:b/>
                <w:kern w:val="2"/>
                <w:sz w:val="24"/>
                <w:szCs w:val="24"/>
                <w:highlight w:val="none"/>
              </w:rPr>
            </w:pPr>
          </w:p>
        </w:tc>
      </w:tr>
      <w:tr w14:paraId="6C97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F8E65DE">
            <w:pPr>
              <w:spacing w:line="360" w:lineRule="auto"/>
              <w:jc w:val="center"/>
              <w:rPr>
                <w:rFonts w:hint="eastAsia" w:cs="宋体"/>
                <w:bCs/>
                <w:kern w:val="2"/>
                <w:sz w:val="24"/>
                <w:szCs w:val="24"/>
                <w:highlight w:val="none"/>
              </w:rPr>
            </w:pPr>
            <w:r>
              <w:rPr>
                <w:rFonts w:hint="eastAsia" w:cs="宋体"/>
                <w:bCs/>
                <w:kern w:val="2"/>
                <w:sz w:val="24"/>
                <w:szCs w:val="24"/>
                <w:highlight w:val="none"/>
              </w:rPr>
              <w:t>2</w:t>
            </w:r>
          </w:p>
        </w:tc>
        <w:tc>
          <w:tcPr>
            <w:tcW w:w="4174" w:type="dxa"/>
            <w:vAlign w:val="center"/>
          </w:tcPr>
          <w:p w14:paraId="5136E4B5">
            <w:pPr>
              <w:spacing w:line="360" w:lineRule="auto"/>
              <w:rPr>
                <w:rFonts w:hint="eastAsia" w:cs="宋体"/>
                <w:b/>
                <w:kern w:val="2"/>
                <w:sz w:val="24"/>
                <w:szCs w:val="24"/>
                <w:highlight w:val="none"/>
              </w:rPr>
            </w:pPr>
          </w:p>
        </w:tc>
        <w:tc>
          <w:tcPr>
            <w:tcW w:w="2320" w:type="dxa"/>
            <w:vAlign w:val="center"/>
          </w:tcPr>
          <w:p w14:paraId="21BE2DF1">
            <w:pPr>
              <w:spacing w:line="360" w:lineRule="auto"/>
              <w:rPr>
                <w:rFonts w:hint="eastAsia" w:cs="宋体"/>
                <w:b/>
                <w:kern w:val="2"/>
                <w:sz w:val="24"/>
                <w:szCs w:val="24"/>
                <w:highlight w:val="none"/>
              </w:rPr>
            </w:pPr>
          </w:p>
        </w:tc>
        <w:tc>
          <w:tcPr>
            <w:tcW w:w="1069" w:type="dxa"/>
            <w:vAlign w:val="center"/>
          </w:tcPr>
          <w:p w14:paraId="1B38175F">
            <w:pPr>
              <w:spacing w:line="360" w:lineRule="auto"/>
              <w:rPr>
                <w:rFonts w:hint="eastAsia" w:cs="宋体"/>
                <w:b/>
                <w:kern w:val="2"/>
                <w:sz w:val="24"/>
                <w:szCs w:val="24"/>
                <w:highlight w:val="none"/>
              </w:rPr>
            </w:pPr>
          </w:p>
        </w:tc>
      </w:tr>
      <w:tr w14:paraId="2F17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C99C3CB">
            <w:pPr>
              <w:spacing w:line="360" w:lineRule="auto"/>
              <w:jc w:val="center"/>
              <w:rPr>
                <w:rFonts w:hint="eastAsia" w:cs="宋体"/>
                <w:bCs/>
                <w:kern w:val="2"/>
                <w:sz w:val="24"/>
                <w:szCs w:val="24"/>
                <w:highlight w:val="none"/>
              </w:rPr>
            </w:pPr>
            <w:r>
              <w:rPr>
                <w:rFonts w:hint="eastAsia" w:cs="宋体"/>
                <w:bCs/>
                <w:kern w:val="2"/>
                <w:sz w:val="24"/>
                <w:szCs w:val="24"/>
                <w:highlight w:val="none"/>
              </w:rPr>
              <w:t>3</w:t>
            </w:r>
          </w:p>
        </w:tc>
        <w:tc>
          <w:tcPr>
            <w:tcW w:w="4174" w:type="dxa"/>
            <w:vAlign w:val="center"/>
          </w:tcPr>
          <w:p w14:paraId="08A6F486">
            <w:pPr>
              <w:spacing w:line="360" w:lineRule="auto"/>
              <w:rPr>
                <w:rFonts w:hint="eastAsia" w:cs="宋体"/>
                <w:b/>
                <w:kern w:val="2"/>
                <w:sz w:val="24"/>
                <w:szCs w:val="24"/>
                <w:highlight w:val="none"/>
              </w:rPr>
            </w:pPr>
          </w:p>
        </w:tc>
        <w:tc>
          <w:tcPr>
            <w:tcW w:w="2320" w:type="dxa"/>
            <w:vAlign w:val="center"/>
          </w:tcPr>
          <w:p w14:paraId="3BF0055D">
            <w:pPr>
              <w:spacing w:line="360" w:lineRule="auto"/>
              <w:rPr>
                <w:rFonts w:hint="eastAsia" w:cs="宋体"/>
                <w:b/>
                <w:kern w:val="2"/>
                <w:sz w:val="24"/>
                <w:szCs w:val="24"/>
                <w:highlight w:val="none"/>
              </w:rPr>
            </w:pPr>
          </w:p>
        </w:tc>
        <w:tc>
          <w:tcPr>
            <w:tcW w:w="1069" w:type="dxa"/>
            <w:vAlign w:val="center"/>
          </w:tcPr>
          <w:p w14:paraId="69E119E4">
            <w:pPr>
              <w:spacing w:line="360" w:lineRule="auto"/>
              <w:rPr>
                <w:rFonts w:hint="eastAsia" w:cs="宋体"/>
                <w:b/>
                <w:kern w:val="2"/>
                <w:sz w:val="24"/>
                <w:szCs w:val="24"/>
                <w:highlight w:val="none"/>
              </w:rPr>
            </w:pPr>
          </w:p>
        </w:tc>
      </w:tr>
      <w:tr w14:paraId="4124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C0E7F43">
            <w:pPr>
              <w:spacing w:line="360" w:lineRule="auto"/>
              <w:jc w:val="center"/>
              <w:rPr>
                <w:rFonts w:hint="eastAsia" w:cs="宋体"/>
                <w:bCs/>
                <w:kern w:val="2"/>
                <w:sz w:val="24"/>
                <w:szCs w:val="24"/>
                <w:highlight w:val="none"/>
              </w:rPr>
            </w:pPr>
            <w:r>
              <w:rPr>
                <w:rFonts w:hint="eastAsia" w:cs="宋体"/>
                <w:bCs/>
                <w:kern w:val="2"/>
                <w:sz w:val="24"/>
                <w:szCs w:val="24"/>
                <w:highlight w:val="none"/>
              </w:rPr>
              <w:t>4</w:t>
            </w:r>
          </w:p>
        </w:tc>
        <w:tc>
          <w:tcPr>
            <w:tcW w:w="4174" w:type="dxa"/>
            <w:vAlign w:val="center"/>
          </w:tcPr>
          <w:p w14:paraId="21854DA8">
            <w:pPr>
              <w:spacing w:line="360" w:lineRule="auto"/>
              <w:rPr>
                <w:rFonts w:hint="eastAsia" w:cs="宋体"/>
                <w:b/>
                <w:kern w:val="2"/>
                <w:sz w:val="24"/>
                <w:szCs w:val="24"/>
                <w:highlight w:val="none"/>
              </w:rPr>
            </w:pPr>
          </w:p>
        </w:tc>
        <w:tc>
          <w:tcPr>
            <w:tcW w:w="2320" w:type="dxa"/>
            <w:vAlign w:val="center"/>
          </w:tcPr>
          <w:p w14:paraId="688F4899">
            <w:pPr>
              <w:spacing w:line="360" w:lineRule="auto"/>
              <w:rPr>
                <w:rFonts w:hint="eastAsia" w:cs="宋体"/>
                <w:b/>
                <w:kern w:val="2"/>
                <w:sz w:val="24"/>
                <w:szCs w:val="24"/>
                <w:highlight w:val="none"/>
              </w:rPr>
            </w:pPr>
          </w:p>
        </w:tc>
        <w:tc>
          <w:tcPr>
            <w:tcW w:w="1069" w:type="dxa"/>
            <w:vAlign w:val="center"/>
          </w:tcPr>
          <w:p w14:paraId="451B5F24">
            <w:pPr>
              <w:spacing w:line="360" w:lineRule="auto"/>
              <w:rPr>
                <w:rFonts w:hint="eastAsia" w:cs="宋体"/>
                <w:b/>
                <w:kern w:val="2"/>
                <w:sz w:val="24"/>
                <w:szCs w:val="24"/>
                <w:highlight w:val="none"/>
              </w:rPr>
            </w:pPr>
          </w:p>
        </w:tc>
      </w:tr>
      <w:tr w14:paraId="542A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44C2CFF">
            <w:pPr>
              <w:spacing w:line="360" w:lineRule="auto"/>
              <w:jc w:val="center"/>
              <w:rPr>
                <w:rFonts w:hint="eastAsia" w:cs="宋体"/>
                <w:bCs/>
                <w:kern w:val="2"/>
                <w:sz w:val="24"/>
                <w:szCs w:val="24"/>
                <w:highlight w:val="none"/>
              </w:rPr>
            </w:pPr>
            <w:r>
              <w:rPr>
                <w:rFonts w:hint="eastAsia" w:cs="宋体"/>
                <w:bCs/>
                <w:kern w:val="2"/>
                <w:sz w:val="24"/>
                <w:szCs w:val="24"/>
                <w:highlight w:val="none"/>
              </w:rPr>
              <w:t>5</w:t>
            </w:r>
          </w:p>
        </w:tc>
        <w:tc>
          <w:tcPr>
            <w:tcW w:w="4174" w:type="dxa"/>
            <w:vAlign w:val="center"/>
          </w:tcPr>
          <w:p w14:paraId="35AA4630">
            <w:pPr>
              <w:spacing w:line="360" w:lineRule="auto"/>
              <w:rPr>
                <w:rFonts w:hint="eastAsia" w:cs="宋体"/>
                <w:b/>
                <w:kern w:val="2"/>
                <w:sz w:val="24"/>
                <w:szCs w:val="24"/>
                <w:highlight w:val="none"/>
              </w:rPr>
            </w:pPr>
          </w:p>
        </w:tc>
        <w:tc>
          <w:tcPr>
            <w:tcW w:w="2320" w:type="dxa"/>
            <w:vAlign w:val="center"/>
          </w:tcPr>
          <w:p w14:paraId="0A46A4B2">
            <w:pPr>
              <w:spacing w:line="360" w:lineRule="auto"/>
              <w:rPr>
                <w:rFonts w:hint="eastAsia" w:cs="宋体"/>
                <w:b/>
                <w:kern w:val="2"/>
                <w:sz w:val="24"/>
                <w:szCs w:val="24"/>
                <w:highlight w:val="none"/>
              </w:rPr>
            </w:pPr>
          </w:p>
        </w:tc>
        <w:tc>
          <w:tcPr>
            <w:tcW w:w="1069" w:type="dxa"/>
            <w:vAlign w:val="center"/>
          </w:tcPr>
          <w:p w14:paraId="54176DBD">
            <w:pPr>
              <w:spacing w:line="360" w:lineRule="auto"/>
              <w:rPr>
                <w:rFonts w:hint="eastAsia" w:cs="宋体"/>
                <w:b/>
                <w:kern w:val="2"/>
                <w:sz w:val="24"/>
                <w:szCs w:val="24"/>
                <w:highlight w:val="none"/>
              </w:rPr>
            </w:pPr>
          </w:p>
        </w:tc>
      </w:tr>
      <w:tr w14:paraId="35AF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1206EFA">
            <w:pPr>
              <w:spacing w:line="360" w:lineRule="auto"/>
              <w:jc w:val="center"/>
              <w:rPr>
                <w:rFonts w:hint="eastAsia" w:cs="宋体"/>
                <w:b/>
                <w:kern w:val="2"/>
                <w:sz w:val="24"/>
                <w:szCs w:val="24"/>
                <w:highlight w:val="none"/>
              </w:rPr>
            </w:pPr>
            <w:r>
              <w:rPr>
                <w:rFonts w:hint="eastAsia" w:cs="宋体"/>
                <w:b/>
                <w:kern w:val="2"/>
                <w:sz w:val="24"/>
                <w:szCs w:val="24"/>
                <w:highlight w:val="none"/>
              </w:rPr>
              <w:t>……</w:t>
            </w:r>
          </w:p>
        </w:tc>
        <w:tc>
          <w:tcPr>
            <w:tcW w:w="4174" w:type="dxa"/>
            <w:vAlign w:val="center"/>
          </w:tcPr>
          <w:p w14:paraId="739E09B8">
            <w:pPr>
              <w:spacing w:line="360" w:lineRule="auto"/>
              <w:rPr>
                <w:rFonts w:hint="eastAsia" w:cs="宋体"/>
                <w:b/>
                <w:kern w:val="2"/>
                <w:sz w:val="24"/>
                <w:szCs w:val="24"/>
                <w:highlight w:val="none"/>
              </w:rPr>
            </w:pPr>
          </w:p>
        </w:tc>
        <w:tc>
          <w:tcPr>
            <w:tcW w:w="2320" w:type="dxa"/>
            <w:vAlign w:val="center"/>
          </w:tcPr>
          <w:p w14:paraId="00DA07BE">
            <w:pPr>
              <w:spacing w:line="360" w:lineRule="auto"/>
              <w:rPr>
                <w:rFonts w:hint="eastAsia" w:cs="宋体"/>
                <w:b/>
                <w:kern w:val="2"/>
                <w:sz w:val="24"/>
                <w:szCs w:val="24"/>
                <w:highlight w:val="none"/>
              </w:rPr>
            </w:pPr>
          </w:p>
        </w:tc>
        <w:tc>
          <w:tcPr>
            <w:tcW w:w="1069" w:type="dxa"/>
            <w:vAlign w:val="center"/>
          </w:tcPr>
          <w:p w14:paraId="3C8A6508">
            <w:pPr>
              <w:spacing w:line="360" w:lineRule="auto"/>
              <w:rPr>
                <w:rFonts w:hint="eastAsia" w:cs="宋体"/>
                <w:b/>
                <w:kern w:val="2"/>
                <w:sz w:val="24"/>
                <w:szCs w:val="24"/>
                <w:highlight w:val="none"/>
              </w:rPr>
            </w:pPr>
          </w:p>
        </w:tc>
      </w:tr>
    </w:tbl>
    <w:p w14:paraId="78886CC3">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备注：</w:t>
      </w:r>
    </w:p>
    <w:p w14:paraId="1D77C54C">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1.表中所列业绩应为</w:t>
      </w:r>
      <w:r>
        <w:rPr>
          <w:rFonts w:hint="eastAsia"/>
          <w:sz w:val="24"/>
          <w:szCs w:val="18"/>
          <w:highlight w:val="none"/>
        </w:rPr>
        <w:t>参审单位</w:t>
      </w:r>
      <w:r>
        <w:rPr>
          <w:rFonts w:hint="eastAsia" w:cs="宋体"/>
          <w:kern w:val="2"/>
          <w:sz w:val="24"/>
          <w:szCs w:val="24"/>
          <w:highlight w:val="none"/>
        </w:rPr>
        <w:t xml:space="preserve">满足本磋商文件要求的业绩； </w:t>
      </w:r>
    </w:p>
    <w:p w14:paraId="16107E2A">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2.成交人提供的以上业绩情况，如磋商文件《</w:t>
      </w:r>
      <w:r>
        <w:rPr>
          <w:rFonts w:hint="eastAsia"/>
          <w:sz w:val="24"/>
          <w:szCs w:val="18"/>
          <w:highlight w:val="none"/>
        </w:rPr>
        <w:t>参审单位</w:t>
      </w:r>
      <w:r>
        <w:rPr>
          <w:rFonts w:hint="eastAsia" w:cs="宋体"/>
          <w:kern w:val="2"/>
          <w:sz w:val="24"/>
          <w:szCs w:val="24"/>
          <w:highlight w:val="none"/>
        </w:rPr>
        <w:t>须知前附表》有约定的，将按约定随成交结果公告同时公告。</w:t>
      </w:r>
    </w:p>
    <w:p w14:paraId="5DE1B45F">
      <w:pPr>
        <w:widowControl/>
        <w:jc w:val="center"/>
        <w:rPr>
          <w:sz w:val="24"/>
          <w:highlight w:val="none"/>
        </w:rPr>
      </w:pPr>
      <w:r>
        <w:rPr>
          <w:sz w:val="24"/>
          <w:highlight w:val="none"/>
        </w:rPr>
        <w:br w:type="page"/>
      </w:r>
      <w:bookmarkStart w:id="52" w:name="_Hlk44283088"/>
    </w:p>
    <w:p w14:paraId="0AD7A3EB">
      <w:pPr>
        <w:widowControl/>
        <w:jc w:val="center"/>
        <w:rPr>
          <w:rFonts w:hint="eastAsia"/>
          <w:b/>
          <w:sz w:val="24"/>
          <w:highlight w:val="none"/>
        </w:rPr>
      </w:pPr>
      <w:r>
        <w:rPr>
          <w:rFonts w:hint="eastAsia"/>
          <w:b/>
          <w:sz w:val="24"/>
          <w:highlight w:val="none"/>
        </w:rPr>
        <w:t>十、</w:t>
      </w:r>
      <w:bookmarkEnd w:id="52"/>
      <w:r>
        <w:rPr>
          <w:rFonts w:hint="eastAsia"/>
          <w:b/>
          <w:sz w:val="24"/>
          <w:highlight w:val="none"/>
        </w:rPr>
        <w:t>其他相关证明材料</w:t>
      </w:r>
    </w:p>
    <w:p w14:paraId="6563A6E0">
      <w:pPr>
        <w:pStyle w:val="12"/>
        <w:ind w:left="400"/>
        <w:rPr>
          <w:highlight w:val="none"/>
        </w:rPr>
      </w:pPr>
    </w:p>
    <w:p w14:paraId="0CA6559C">
      <w:pPr>
        <w:spacing w:line="360" w:lineRule="auto"/>
        <w:ind w:firstLine="435"/>
        <w:rPr>
          <w:rFonts w:hint="eastAsia"/>
          <w:sz w:val="24"/>
          <w:highlight w:val="none"/>
        </w:rPr>
      </w:pPr>
      <w:r>
        <w:rPr>
          <w:rFonts w:hint="eastAsia"/>
          <w:sz w:val="24"/>
          <w:highlight w:val="none"/>
        </w:rPr>
        <w:t>一、</w:t>
      </w:r>
      <w:r>
        <w:rPr>
          <w:rFonts w:hint="eastAsia"/>
          <w:sz w:val="24"/>
          <w:szCs w:val="18"/>
          <w:highlight w:val="none"/>
        </w:rPr>
        <w:t>参审单位</w:t>
      </w:r>
      <w:r>
        <w:rPr>
          <w:rFonts w:hint="eastAsia"/>
          <w:sz w:val="24"/>
          <w:highlight w:val="none"/>
        </w:rPr>
        <w:t>编制施工组织设计，包括磋商文件规定的施工组织设计基本内容。</w:t>
      </w:r>
    </w:p>
    <w:p w14:paraId="3808F541">
      <w:pPr>
        <w:spacing w:line="360" w:lineRule="auto"/>
        <w:ind w:firstLine="435"/>
        <w:rPr>
          <w:rFonts w:hint="eastAsia"/>
          <w:sz w:val="24"/>
          <w:highlight w:val="none"/>
        </w:rPr>
      </w:pPr>
      <w:r>
        <w:rPr>
          <w:rFonts w:hint="eastAsia"/>
          <w:sz w:val="24"/>
          <w:highlight w:val="none"/>
        </w:rPr>
        <w:t>二、</w:t>
      </w:r>
      <w:r>
        <w:rPr>
          <w:rFonts w:hint="eastAsia"/>
          <w:sz w:val="24"/>
          <w:szCs w:val="18"/>
          <w:highlight w:val="none"/>
        </w:rPr>
        <w:t>参审单位</w:t>
      </w:r>
      <w:r>
        <w:rPr>
          <w:rFonts w:hint="eastAsia"/>
          <w:sz w:val="24"/>
          <w:highlight w:val="none"/>
        </w:rPr>
        <w:t>认为与磋商有关的其他资料。</w:t>
      </w:r>
    </w:p>
    <w:p w14:paraId="35389833">
      <w:pPr>
        <w:spacing w:line="360" w:lineRule="auto"/>
        <w:ind w:firstLine="435"/>
        <w:rPr>
          <w:rFonts w:hint="eastAsia" w:cs="宋体"/>
          <w:b/>
          <w:bCs/>
          <w:sz w:val="44"/>
          <w:szCs w:val="44"/>
          <w:highlight w:val="none"/>
        </w:rPr>
      </w:pPr>
      <w:r>
        <w:rPr>
          <w:sz w:val="24"/>
          <w:highlight w:val="none"/>
        </w:rPr>
        <w:br w:type="page"/>
      </w:r>
      <w:r>
        <w:rPr>
          <w:rFonts w:hint="eastAsia" w:cs="宋体"/>
          <w:b/>
          <w:bCs/>
          <w:sz w:val="44"/>
          <w:szCs w:val="44"/>
          <w:highlight w:val="none"/>
        </w:rPr>
        <w:t>附件：全流程电子招标采购具体要求</w:t>
      </w:r>
      <w:r>
        <w:rPr>
          <w:rStyle w:val="18"/>
          <w:rFonts w:hint="eastAsia" w:cs="宋体"/>
          <w:b/>
          <w:bCs/>
          <w:sz w:val="44"/>
          <w:szCs w:val="44"/>
          <w:highlight w:val="none"/>
        </w:rPr>
        <w:footnoteReference w:id="0"/>
      </w:r>
    </w:p>
    <w:p w14:paraId="261A2444">
      <w:pPr>
        <w:spacing w:line="400" w:lineRule="exact"/>
        <w:ind w:firstLine="400" w:firstLineChars="200"/>
        <w:rPr>
          <w:rFonts w:hint="eastAsia" w:cs="宋体"/>
          <w:szCs w:val="24"/>
          <w:highlight w:val="none"/>
        </w:rPr>
      </w:pPr>
      <w:r>
        <w:rPr>
          <w:rFonts w:hint="eastAsia" w:cs="宋体"/>
          <w:szCs w:val="24"/>
          <w:highlight w:val="none"/>
        </w:rPr>
        <w:t>说明：当采用非招标方式进行全流程电子采购活动时，按照本规定执行，其中本要求“投标单位”按“</w:t>
      </w:r>
      <w:r>
        <w:rPr>
          <w:rFonts w:hint="eastAsia"/>
          <w:szCs w:val="18"/>
          <w:highlight w:val="none"/>
        </w:rPr>
        <w:t>参审单位</w:t>
      </w:r>
      <w:r>
        <w:rPr>
          <w:rFonts w:hint="eastAsia" w:cs="宋体"/>
          <w:szCs w:val="24"/>
          <w:highlight w:val="none"/>
        </w:rPr>
        <w:t>”理解，“投标文件”按“响应文件”理解，“招标文件”按“磋商文件”理解，“投标文件递交截止时间”按“响应文件递交截止时间”理解，“开标”按“开启响应文件”理解，“评审委员会”按“评审小组”理解，“投标无效”按“响应文件无效”理解。</w:t>
      </w:r>
    </w:p>
    <w:p w14:paraId="49316BDF">
      <w:pPr>
        <w:spacing w:line="400" w:lineRule="exact"/>
        <w:ind w:firstLine="400" w:firstLineChars="200"/>
        <w:rPr>
          <w:rFonts w:hint="eastAsia" w:cs="宋体"/>
          <w:szCs w:val="24"/>
          <w:highlight w:val="none"/>
        </w:rPr>
      </w:pPr>
    </w:p>
    <w:p w14:paraId="25E73EFA">
      <w:pPr>
        <w:spacing w:line="400" w:lineRule="exact"/>
        <w:ind w:firstLine="400" w:firstLineChars="200"/>
        <w:rPr>
          <w:rFonts w:hint="eastAsia" w:cs="宋体"/>
          <w:szCs w:val="24"/>
          <w:highlight w:val="none"/>
        </w:rPr>
      </w:pPr>
      <w:r>
        <w:rPr>
          <w:rFonts w:hint="eastAsia" w:cs="宋体"/>
          <w:szCs w:val="24"/>
          <w:highlight w:val="none"/>
        </w:rPr>
        <w:t>一、</w:t>
      </w:r>
      <w:r>
        <w:rPr>
          <w:rFonts w:hint="eastAsia" w:cs="宋体"/>
          <w:highlight w:val="none"/>
        </w:rPr>
        <w:t>CA</w:t>
      </w:r>
      <w:r>
        <w:rPr>
          <w:rFonts w:hint="eastAsia" w:cs="宋体"/>
          <w:szCs w:val="24"/>
          <w:highlight w:val="none"/>
        </w:rPr>
        <w:t>证书办理和注意事项</w:t>
      </w:r>
    </w:p>
    <w:p w14:paraId="4A4A937E">
      <w:pPr>
        <w:spacing w:line="400" w:lineRule="exact"/>
        <w:ind w:firstLine="400" w:firstLineChars="200"/>
        <w:rPr>
          <w:rFonts w:hint="eastAsia" w:cs="宋体"/>
          <w:highlight w:val="none"/>
        </w:rPr>
      </w:pPr>
      <w:r>
        <w:rPr>
          <w:rFonts w:hint="eastAsia" w:cs="宋体"/>
          <w:szCs w:val="24"/>
          <w:highlight w:val="none"/>
        </w:rPr>
        <w:t>1.本项目采用全流程电子招标采购方式，</w:t>
      </w:r>
      <w:r>
        <w:rPr>
          <w:rFonts w:hint="eastAsia" w:cs="宋体"/>
          <w:highlight w:val="none"/>
        </w:rPr>
        <w:t>潜在</w:t>
      </w:r>
      <w:r>
        <w:rPr>
          <w:rFonts w:hint="eastAsia"/>
          <w:szCs w:val="18"/>
          <w:highlight w:val="none"/>
        </w:rPr>
        <w:t>参审单位</w:t>
      </w:r>
      <w:r>
        <w:rPr>
          <w:rFonts w:hint="eastAsia" w:cs="宋体"/>
          <w:highlight w:val="none"/>
        </w:rPr>
        <w:t>应及时办理CA证书，用于对投标文件进行电子签章及加、解密。</w:t>
      </w:r>
    </w:p>
    <w:p w14:paraId="2F3A45AC">
      <w:pPr>
        <w:spacing w:line="400" w:lineRule="exact"/>
        <w:ind w:firstLine="400" w:firstLineChars="200"/>
        <w:rPr>
          <w:rFonts w:hint="eastAsia" w:cs="宋体"/>
          <w:bCs/>
          <w:highlight w:val="none"/>
        </w:rPr>
      </w:pPr>
      <w:r>
        <w:rPr>
          <w:rFonts w:hint="eastAsia" w:cs="宋体"/>
          <w:szCs w:val="24"/>
          <w:highlight w:val="none"/>
        </w:rPr>
        <w:t>2.CA</w:t>
      </w:r>
      <w:r>
        <w:rPr>
          <w:rFonts w:hint="eastAsia" w:cs="宋体"/>
          <w:highlight w:val="none"/>
        </w:rPr>
        <w:t>证书</w:t>
      </w:r>
      <w:r>
        <w:rPr>
          <w:rFonts w:hint="eastAsia" w:cs="宋体"/>
          <w:szCs w:val="24"/>
          <w:highlight w:val="none"/>
        </w:rPr>
        <w:t>办理详见</w:t>
      </w:r>
      <w:r>
        <w:rPr>
          <w:rFonts w:hint="eastAsia" w:cs="宋体"/>
          <w:bCs/>
          <w:highlight w:val="none"/>
        </w:rPr>
        <w:t>《优质采平台CA数字证书办理说明》：</w:t>
      </w:r>
    </w:p>
    <w:p w14:paraId="04FAF22E">
      <w:pPr>
        <w:spacing w:line="400" w:lineRule="exact"/>
        <w:rPr>
          <w:rFonts w:hint="eastAsia" w:cs="宋体"/>
          <w:b/>
          <w:bCs/>
          <w:highlight w:val="none"/>
        </w:rPr>
      </w:pPr>
      <w:r>
        <w:rPr>
          <w:highlight w:val="none"/>
        </w:rPr>
        <w:fldChar w:fldCharType="begin"/>
      </w:r>
      <w:r>
        <w:rPr>
          <w:highlight w:val="none"/>
        </w:rPr>
        <w:instrText xml:space="preserve"> HYPERLINK "http://www.youzhicai.com/ActivityTopic/AdviceDetail/8f80a7ec-911f-4c4d-a123-f8849880f045" </w:instrText>
      </w:r>
      <w:r>
        <w:rPr>
          <w:highlight w:val="none"/>
        </w:rPr>
        <w:fldChar w:fldCharType="separate"/>
      </w:r>
      <w:r>
        <w:rPr>
          <w:rStyle w:val="17"/>
          <w:rFonts w:hint="eastAsia" w:cs="宋体"/>
          <w:bCs/>
          <w:color w:val="auto"/>
          <w:highlight w:val="none"/>
        </w:rPr>
        <w:t>http://www.youzhicai.com/ActivityTopic/AdviceDetail/8f80a7ec-911f-4c4d-a123-f</w:t>
      </w:r>
      <w:bookmarkStart w:id="53" w:name="_Hlt105085547"/>
      <w:bookmarkStart w:id="54" w:name="_Hlt105085548"/>
      <w:r>
        <w:rPr>
          <w:rStyle w:val="17"/>
          <w:rFonts w:hint="eastAsia" w:cs="宋体"/>
          <w:bCs/>
          <w:color w:val="auto"/>
          <w:highlight w:val="none"/>
        </w:rPr>
        <w:t>8</w:t>
      </w:r>
      <w:bookmarkEnd w:id="53"/>
      <w:bookmarkEnd w:id="54"/>
      <w:r>
        <w:rPr>
          <w:rStyle w:val="17"/>
          <w:rFonts w:hint="eastAsia" w:cs="宋体"/>
          <w:bCs/>
          <w:color w:val="auto"/>
          <w:highlight w:val="none"/>
        </w:rPr>
        <w:t>849880f045</w:t>
      </w:r>
      <w:r>
        <w:rPr>
          <w:rStyle w:val="17"/>
          <w:rFonts w:hint="eastAsia" w:cs="宋体"/>
          <w:bCs/>
          <w:color w:val="auto"/>
          <w:highlight w:val="none"/>
        </w:rPr>
        <w:fldChar w:fldCharType="end"/>
      </w:r>
      <w:r>
        <w:rPr>
          <w:rFonts w:hint="eastAsia" w:cs="宋体"/>
          <w:bCs/>
          <w:highlight w:val="none"/>
        </w:rPr>
        <w:t>。</w:t>
      </w:r>
    </w:p>
    <w:p w14:paraId="2FC359FB">
      <w:pPr>
        <w:spacing w:line="400" w:lineRule="exact"/>
        <w:ind w:firstLine="400" w:firstLineChars="200"/>
        <w:rPr>
          <w:rFonts w:hint="eastAsia" w:cs="宋体"/>
          <w:highlight w:val="none"/>
        </w:rPr>
      </w:pPr>
      <w:r>
        <w:rPr>
          <w:rFonts w:hint="eastAsia" w:cs="宋体"/>
          <w:szCs w:val="24"/>
          <w:highlight w:val="none"/>
        </w:rPr>
        <w:t>3.CA</w:t>
      </w:r>
      <w:r>
        <w:rPr>
          <w:rFonts w:hint="eastAsia" w:cs="宋体"/>
          <w:highlight w:val="none"/>
        </w:rPr>
        <w:t>证书</w:t>
      </w:r>
      <w:r>
        <w:rPr>
          <w:rFonts w:hint="eastAsia" w:cs="宋体"/>
          <w:szCs w:val="24"/>
          <w:highlight w:val="none"/>
        </w:rPr>
        <w:t>到期或即将到期，须在递交投标文件前办理续期。</w:t>
      </w:r>
    </w:p>
    <w:p w14:paraId="4A02BED4">
      <w:pPr>
        <w:spacing w:line="400" w:lineRule="exact"/>
        <w:ind w:firstLine="420"/>
        <w:rPr>
          <w:rFonts w:hint="eastAsia" w:cs="宋体"/>
          <w:highlight w:val="none"/>
        </w:rPr>
      </w:pPr>
      <w:r>
        <w:rPr>
          <w:rFonts w:hint="eastAsia" w:cs="宋体"/>
          <w:szCs w:val="24"/>
          <w:highlight w:val="none"/>
        </w:rPr>
        <w:t>4.CA锁</w:t>
      </w:r>
      <w:r>
        <w:rPr>
          <w:rFonts w:hint="eastAsia" w:cs="宋体"/>
          <w:highlight w:val="none"/>
        </w:rPr>
        <w:t>遗失、损坏等无法使用，须在递交投标文件前补办CA锁。</w:t>
      </w:r>
    </w:p>
    <w:p w14:paraId="0D253A89">
      <w:pPr>
        <w:spacing w:line="400" w:lineRule="exact"/>
        <w:ind w:firstLine="420"/>
        <w:rPr>
          <w:rFonts w:hint="eastAsia" w:cs="宋体"/>
          <w:highlight w:val="none"/>
        </w:rPr>
      </w:pPr>
      <w:r>
        <w:rPr>
          <w:rFonts w:hint="eastAsia" w:cs="宋体"/>
          <w:szCs w:val="24"/>
          <w:highlight w:val="none"/>
        </w:rPr>
        <w:t>5.企业</w:t>
      </w:r>
      <w:r>
        <w:rPr>
          <w:rFonts w:hint="eastAsia" w:cs="宋体"/>
          <w:highlight w:val="none"/>
        </w:rPr>
        <w:t>信息（包括但不限于企业名称和法定代表人信息）发生变更的，须在递交投标文件前变更CA证书。</w:t>
      </w:r>
    </w:p>
    <w:p w14:paraId="71213E72">
      <w:pPr>
        <w:spacing w:line="400" w:lineRule="exact"/>
        <w:rPr>
          <w:rFonts w:hint="eastAsia" w:cs="宋体"/>
          <w:szCs w:val="24"/>
          <w:highlight w:val="none"/>
        </w:rPr>
      </w:pPr>
      <w:r>
        <w:rPr>
          <w:rFonts w:hint="eastAsia" w:cs="宋体"/>
          <w:szCs w:val="24"/>
          <w:highlight w:val="none"/>
        </w:rPr>
        <w:tab/>
      </w:r>
      <w:r>
        <w:rPr>
          <w:rFonts w:hint="eastAsia" w:cs="宋体"/>
          <w:szCs w:val="24"/>
          <w:highlight w:val="none"/>
        </w:rPr>
        <w:t>6.</w:t>
      </w:r>
      <w:r>
        <w:rPr>
          <w:rFonts w:hint="eastAsia"/>
          <w:szCs w:val="18"/>
          <w:highlight w:val="none"/>
        </w:rPr>
        <w:t xml:space="preserve"> 参审单位</w:t>
      </w:r>
      <w:r>
        <w:rPr>
          <w:rFonts w:hint="eastAsia" w:cs="宋体"/>
          <w:szCs w:val="24"/>
          <w:highlight w:val="none"/>
        </w:rPr>
        <w:t>由于</w:t>
      </w:r>
      <w:r>
        <w:rPr>
          <w:rFonts w:hint="eastAsia" w:cs="宋体"/>
          <w:highlight w:val="none"/>
        </w:rPr>
        <w:t>CA证书</w:t>
      </w:r>
      <w:r>
        <w:rPr>
          <w:rFonts w:hint="eastAsia" w:cs="宋体"/>
          <w:szCs w:val="24"/>
          <w:highlight w:val="none"/>
        </w:rPr>
        <w:t>遗失、损坏、更换、续期、企业信息变更等情况导致投标文件无法解密的，由</w:t>
      </w:r>
      <w:r>
        <w:rPr>
          <w:rFonts w:hint="eastAsia"/>
          <w:szCs w:val="18"/>
          <w:highlight w:val="none"/>
        </w:rPr>
        <w:t>参审单位</w:t>
      </w:r>
      <w:r>
        <w:rPr>
          <w:rFonts w:hint="eastAsia" w:cs="宋体"/>
          <w:szCs w:val="24"/>
          <w:highlight w:val="none"/>
        </w:rPr>
        <w:t>自行承担责任；</w:t>
      </w:r>
    </w:p>
    <w:p w14:paraId="56D88257">
      <w:pPr>
        <w:spacing w:line="400" w:lineRule="exact"/>
        <w:ind w:firstLine="400" w:firstLineChars="200"/>
        <w:rPr>
          <w:rFonts w:hint="eastAsia" w:cs="宋体"/>
          <w:szCs w:val="24"/>
          <w:highlight w:val="none"/>
        </w:rPr>
      </w:pPr>
      <w:r>
        <w:rPr>
          <w:rFonts w:hint="eastAsia" w:cs="宋体"/>
          <w:szCs w:val="24"/>
          <w:highlight w:val="none"/>
        </w:rPr>
        <w:t>7.加密和解密投标文件</w:t>
      </w:r>
      <w:r>
        <w:rPr>
          <w:rFonts w:hint="eastAsia" w:cs="宋体"/>
          <w:highlight w:val="none"/>
        </w:rPr>
        <w:t>必须使用同一个CA证书</w:t>
      </w:r>
      <w:r>
        <w:rPr>
          <w:rFonts w:hint="eastAsia" w:cs="宋体"/>
          <w:szCs w:val="24"/>
          <w:highlight w:val="none"/>
        </w:rPr>
        <w:t>。</w:t>
      </w:r>
    </w:p>
    <w:p w14:paraId="0D939076">
      <w:pPr>
        <w:spacing w:line="400" w:lineRule="exact"/>
        <w:ind w:firstLine="400" w:firstLineChars="200"/>
        <w:rPr>
          <w:rFonts w:hint="eastAsia" w:cs="宋体"/>
          <w:szCs w:val="24"/>
          <w:highlight w:val="none"/>
        </w:rPr>
      </w:pPr>
      <w:r>
        <w:rPr>
          <w:rFonts w:hint="eastAsia" w:cs="宋体"/>
          <w:szCs w:val="24"/>
          <w:highlight w:val="none"/>
        </w:rPr>
        <w:t>二、制作、签章、加密、上传电子投标文件</w:t>
      </w:r>
    </w:p>
    <w:p w14:paraId="261B3C6B">
      <w:pPr>
        <w:spacing w:line="400" w:lineRule="exact"/>
        <w:ind w:firstLine="400" w:firstLineChars="200"/>
        <w:rPr>
          <w:rStyle w:val="17"/>
          <w:rFonts w:hint="eastAsia" w:cs="宋体"/>
          <w:color w:val="auto"/>
          <w:highlight w:val="none"/>
        </w:rPr>
      </w:pPr>
      <w:r>
        <w:rPr>
          <w:rFonts w:hint="eastAsia" w:cs="宋体"/>
          <w:szCs w:val="24"/>
          <w:highlight w:val="none"/>
        </w:rPr>
        <w:t>8.本项目采用全流程电子化招标采购方式，潜在</w:t>
      </w:r>
      <w:r>
        <w:rPr>
          <w:rFonts w:hint="eastAsia"/>
          <w:szCs w:val="18"/>
          <w:highlight w:val="none"/>
        </w:rPr>
        <w:t>参审单位</w:t>
      </w:r>
      <w:r>
        <w:rPr>
          <w:rFonts w:hint="eastAsia" w:cs="宋体"/>
          <w:highlight w:val="none"/>
        </w:rPr>
        <w:t>需使用</w:t>
      </w:r>
      <w:r>
        <w:rPr>
          <w:rFonts w:hint="eastAsia" w:cs="宋体"/>
          <w:szCs w:val="24"/>
          <w:highlight w:val="none"/>
        </w:rPr>
        <w:t>“优质采投标工具客户端”（以下简称“投标工具”）制作</w:t>
      </w:r>
      <w:r>
        <w:rPr>
          <w:rFonts w:hint="eastAsia" w:cs="宋体"/>
          <w:highlight w:val="none"/>
        </w:rPr>
        <w:t>电子投标文件，</w:t>
      </w:r>
      <w:r>
        <w:rPr>
          <w:rFonts w:hint="eastAsia" w:cs="宋体"/>
          <w:szCs w:val="24"/>
          <w:highlight w:val="none"/>
        </w:rPr>
        <w:t>投标工具及操作说明下载地址：</w:t>
      </w:r>
      <w:r>
        <w:rPr>
          <w:highlight w:val="none"/>
        </w:rPr>
        <w:fldChar w:fldCharType="begin"/>
      </w:r>
      <w:r>
        <w:rPr>
          <w:highlight w:val="none"/>
        </w:rPr>
        <w:instrText xml:space="preserve"> HYPERLINK "https://toolcdn.youzhicai.com/tools/BidderTools.zip" </w:instrText>
      </w:r>
      <w:r>
        <w:rPr>
          <w:highlight w:val="none"/>
        </w:rPr>
        <w:fldChar w:fldCharType="separate"/>
      </w:r>
      <w:r>
        <w:rPr>
          <w:rStyle w:val="17"/>
          <w:rFonts w:hint="eastAsia" w:cs="宋体"/>
          <w:color w:val="auto"/>
          <w:highlight w:val="none"/>
        </w:rPr>
        <w:t>https://toolcdn.youzhicai.com/tools/BidderTools.zip</w:t>
      </w:r>
      <w:r>
        <w:rPr>
          <w:rStyle w:val="17"/>
          <w:rFonts w:hint="eastAsia" w:cs="宋体"/>
          <w:color w:val="auto"/>
          <w:highlight w:val="none"/>
        </w:rPr>
        <w:fldChar w:fldCharType="end"/>
      </w:r>
      <w:r>
        <w:rPr>
          <w:rStyle w:val="17"/>
          <w:rFonts w:hint="eastAsia" w:cs="宋体"/>
          <w:color w:val="auto"/>
          <w:highlight w:val="none"/>
        </w:rPr>
        <w:t>。</w:t>
      </w:r>
    </w:p>
    <w:p w14:paraId="77E6B3B2">
      <w:pPr>
        <w:spacing w:line="400" w:lineRule="exact"/>
        <w:ind w:firstLine="400" w:firstLineChars="200"/>
        <w:rPr>
          <w:rStyle w:val="17"/>
          <w:rFonts w:hint="eastAsia" w:cs="宋体"/>
          <w:color w:val="auto"/>
          <w:highlight w:val="none"/>
          <w:u w:val="none"/>
        </w:rPr>
      </w:pPr>
      <w:r>
        <w:rPr>
          <w:rStyle w:val="17"/>
          <w:rFonts w:hint="eastAsia" w:cs="宋体"/>
          <w:color w:val="auto"/>
          <w:highlight w:val="none"/>
          <w:u w:val="none"/>
        </w:rPr>
        <w:tab/>
      </w:r>
      <w:r>
        <w:rPr>
          <w:rStyle w:val="17"/>
          <w:rFonts w:hint="eastAsia" w:cs="宋体"/>
          <w:color w:val="auto"/>
          <w:highlight w:val="none"/>
          <w:u w:val="none"/>
        </w:rPr>
        <w:t>8.1.投标工具建议在window7或windows10操作系统下使用；</w:t>
      </w:r>
    </w:p>
    <w:p w14:paraId="22FC5B58">
      <w:pPr>
        <w:spacing w:line="400" w:lineRule="exact"/>
        <w:ind w:firstLine="400" w:firstLineChars="200"/>
        <w:rPr>
          <w:rFonts w:hint="eastAsia" w:cs="宋体"/>
          <w:bCs/>
          <w:sz w:val="18"/>
          <w:highlight w:val="none"/>
        </w:rPr>
      </w:pPr>
      <w:r>
        <w:rPr>
          <w:rStyle w:val="17"/>
          <w:rFonts w:hint="eastAsia" w:cs="宋体"/>
          <w:color w:val="auto"/>
          <w:highlight w:val="none"/>
          <w:u w:val="none"/>
        </w:rPr>
        <w:tab/>
      </w:r>
      <w:r>
        <w:rPr>
          <w:rStyle w:val="17"/>
          <w:rFonts w:hint="eastAsia" w:cs="宋体"/>
          <w:color w:val="auto"/>
          <w:highlight w:val="none"/>
          <w:u w:val="none"/>
        </w:rPr>
        <w:t>8.2.电子投标文件编制建议使用</w:t>
      </w:r>
      <w:r>
        <w:rPr>
          <w:rFonts w:hint="eastAsia" w:cs="宋体"/>
          <w:highlight w:val="none"/>
        </w:rPr>
        <w:t>office2010版本。</w:t>
      </w:r>
    </w:p>
    <w:p w14:paraId="07A49926">
      <w:pPr>
        <w:wordWrap w:val="0"/>
        <w:spacing w:line="400" w:lineRule="exact"/>
        <w:rPr>
          <w:rFonts w:hint="eastAsia" w:cs="宋体"/>
          <w:bCs/>
          <w:highlight w:val="none"/>
          <w:u w:val="single"/>
        </w:rPr>
      </w:pPr>
      <w:r>
        <w:rPr>
          <w:rFonts w:hint="eastAsia" w:cs="宋体"/>
          <w:szCs w:val="24"/>
          <w:highlight w:val="none"/>
        </w:rPr>
        <w:tab/>
      </w:r>
      <w:r>
        <w:rPr>
          <w:rFonts w:hint="eastAsia" w:cs="宋体"/>
          <w:szCs w:val="24"/>
          <w:highlight w:val="none"/>
        </w:rPr>
        <w:t>9.</w:t>
      </w:r>
      <w:r>
        <w:rPr>
          <w:rFonts w:hint="eastAsia" w:cs="宋体"/>
          <w:highlight w:val="none"/>
        </w:rPr>
        <w:t>潜在</w:t>
      </w:r>
      <w:r>
        <w:rPr>
          <w:rFonts w:hint="eastAsia"/>
          <w:szCs w:val="18"/>
          <w:highlight w:val="none"/>
        </w:rPr>
        <w:t>参审单位</w:t>
      </w:r>
      <w:r>
        <w:rPr>
          <w:rFonts w:hint="eastAsia" w:cs="宋体"/>
          <w:highlight w:val="none"/>
        </w:rPr>
        <w:t>制作电子投标文件后，需在</w:t>
      </w:r>
      <w:r>
        <w:rPr>
          <w:rFonts w:hint="eastAsia" w:cs="宋体"/>
          <w:szCs w:val="24"/>
          <w:highlight w:val="none"/>
        </w:rPr>
        <w:t>投标工具</w:t>
      </w:r>
      <w:r>
        <w:rPr>
          <w:rFonts w:hint="eastAsia" w:cs="宋体"/>
          <w:highlight w:val="none"/>
        </w:rPr>
        <w:t>对电子投标文件进行电子签章（项目有特殊说明的除外），并使用CA</w:t>
      </w:r>
      <w:r>
        <w:rPr>
          <w:rFonts w:hint="eastAsia" w:cs="宋体"/>
          <w:szCs w:val="24"/>
          <w:highlight w:val="none"/>
        </w:rPr>
        <w:t>证书进行</w:t>
      </w:r>
      <w:r>
        <w:rPr>
          <w:rFonts w:hint="eastAsia" w:cs="宋体"/>
          <w:highlight w:val="none"/>
        </w:rPr>
        <w:t>加密。在</w:t>
      </w:r>
      <w:r>
        <w:rPr>
          <w:rFonts w:hint="eastAsia" w:cs="宋体"/>
          <w:szCs w:val="24"/>
          <w:highlight w:val="none"/>
        </w:rPr>
        <w:t>投标工具使用CA证书</w:t>
      </w:r>
      <w:r>
        <w:rPr>
          <w:rFonts w:hint="eastAsia" w:cs="宋体"/>
          <w:highlight w:val="none"/>
        </w:rPr>
        <w:t>时需安装“优质采数字证书助手”</w:t>
      </w:r>
      <w:r>
        <w:rPr>
          <w:rFonts w:hint="eastAsia" w:cs="宋体"/>
          <w:szCs w:val="24"/>
          <w:highlight w:val="none"/>
        </w:rPr>
        <w:t xml:space="preserve"> （即数字证书驱动）</w:t>
      </w:r>
      <w:r>
        <w:rPr>
          <w:rFonts w:hint="eastAsia" w:cs="宋体"/>
          <w:highlight w:val="none"/>
        </w:rPr>
        <w:t>，下载地址：</w:t>
      </w:r>
      <w:r>
        <w:rPr>
          <w:highlight w:val="none"/>
        </w:rPr>
        <w:fldChar w:fldCharType="begin"/>
      </w:r>
      <w:r>
        <w:rPr>
          <w:highlight w:val="none"/>
        </w:rPr>
        <w:instrText xml:space="preserve"> HYPERLINK "https://toolcdn.youzhicai.com/ca.zip" </w:instrText>
      </w:r>
      <w:r>
        <w:rPr>
          <w:highlight w:val="none"/>
        </w:rPr>
        <w:fldChar w:fldCharType="separate"/>
      </w:r>
      <w:r>
        <w:rPr>
          <w:rStyle w:val="17"/>
          <w:rFonts w:hint="eastAsia" w:cs="宋体"/>
          <w:color w:val="auto"/>
          <w:highlight w:val="none"/>
        </w:rPr>
        <w:t>https://toolcdn.youzhicai.com/ca.zip</w:t>
      </w:r>
      <w:r>
        <w:rPr>
          <w:rStyle w:val="17"/>
          <w:rFonts w:hint="eastAsia" w:cs="宋体"/>
          <w:color w:val="auto"/>
          <w:highlight w:val="none"/>
        </w:rPr>
        <w:fldChar w:fldCharType="end"/>
      </w:r>
      <w:r>
        <w:rPr>
          <w:rStyle w:val="17"/>
          <w:rFonts w:hint="eastAsia" w:cs="宋体"/>
          <w:color w:val="auto"/>
          <w:highlight w:val="none"/>
        </w:rPr>
        <w:t>。</w:t>
      </w:r>
    </w:p>
    <w:p w14:paraId="3C4E4691">
      <w:pPr>
        <w:wordWrap w:val="0"/>
        <w:spacing w:line="400" w:lineRule="exact"/>
        <w:rPr>
          <w:rFonts w:hint="eastAsia" w:cs="宋体"/>
          <w:szCs w:val="24"/>
          <w:highlight w:val="none"/>
        </w:rPr>
      </w:pPr>
      <w:r>
        <w:rPr>
          <w:rFonts w:hint="eastAsia" w:cs="宋体"/>
          <w:highlight w:val="none"/>
        </w:rPr>
        <w:tab/>
      </w:r>
      <w:r>
        <w:rPr>
          <w:rFonts w:hint="eastAsia" w:cs="宋体"/>
          <w:szCs w:val="24"/>
          <w:highlight w:val="none"/>
        </w:rPr>
        <w:t>10.潜在</w:t>
      </w:r>
      <w:r>
        <w:rPr>
          <w:rFonts w:hint="eastAsia"/>
          <w:szCs w:val="18"/>
          <w:highlight w:val="none"/>
        </w:rPr>
        <w:t>参审单位</w:t>
      </w:r>
      <w:r>
        <w:rPr>
          <w:rFonts w:hint="eastAsia" w:cs="宋体"/>
          <w:szCs w:val="24"/>
          <w:highlight w:val="none"/>
        </w:rPr>
        <w:t>完成制作、签章、加密投标文件后，需在</w:t>
      </w:r>
      <w:r>
        <w:rPr>
          <w:rFonts w:hint="eastAsia" w:cs="宋体"/>
          <w:highlight w:val="none"/>
        </w:rPr>
        <w:t>招标文件规定的投标截止时间前在</w:t>
      </w:r>
      <w:r>
        <w:rPr>
          <w:rFonts w:hint="eastAsia" w:cs="宋体"/>
          <w:szCs w:val="24"/>
          <w:highlight w:val="none"/>
        </w:rPr>
        <w:t>投标工具</w:t>
      </w:r>
      <w:r>
        <w:rPr>
          <w:rFonts w:hint="eastAsia" w:cs="宋体"/>
          <w:highlight w:val="none"/>
        </w:rPr>
        <w:t>完成上传。</w:t>
      </w:r>
      <w:r>
        <w:rPr>
          <w:rFonts w:hint="eastAsia" w:cs="宋体"/>
          <w:szCs w:val="24"/>
          <w:highlight w:val="none"/>
        </w:rPr>
        <w:t>投标截止时间以优质采云采购平台（</w:t>
      </w:r>
      <w:r>
        <w:rPr>
          <w:rFonts w:cs="宋体"/>
          <w:szCs w:val="24"/>
          <w:highlight w:val="none"/>
        </w:rPr>
        <w:t>http://www.youzhicai.com/</w:t>
      </w:r>
      <w:r>
        <w:rPr>
          <w:rFonts w:hint="eastAsia" w:cs="宋体"/>
          <w:szCs w:val="24"/>
          <w:highlight w:val="none"/>
        </w:rPr>
        <w:t>）系统的时间为准，如未在投标截止时间前完成电子投标文件上传，系统将自动关闭上传通道。潜在</w:t>
      </w:r>
      <w:r>
        <w:rPr>
          <w:rFonts w:hint="eastAsia"/>
          <w:szCs w:val="18"/>
          <w:highlight w:val="none"/>
        </w:rPr>
        <w:t>参审单位</w:t>
      </w:r>
      <w:r>
        <w:rPr>
          <w:rFonts w:hint="eastAsia" w:cs="宋体"/>
          <w:szCs w:val="24"/>
          <w:highlight w:val="none"/>
        </w:rPr>
        <w:t>未完成电子投标文件上传的，视为没有递交投标文件。</w:t>
      </w:r>
    </w:p>
    <w:p w14:paraId="45B36C41">
      <w:pPr>
        <w:wordWrap w:val="0"/>
        <w:spacing w:line="400" w:lineRule="exact"/>
        <w:ind w:firstLine="420"/>
        <w:rPr>
          <w:rFonts w:hint="eastAsia" w:cs="宋体"/>
          <w:szCs w:val="24"/>
          <w:highlight w:val="none"/>
        </w:rPr>
      </w:pPr>
      <w:r>
        <w:rPr>
          <w:rFonts w:hint="eastAsia" w:cs="宋体"/>
          <w:szCs w:val="24"/>
          <w:highlight w:val="none"/>
        </w:rPr>
        <w:t>11.潜在</w:t>
      </w:r>
      <w:r>
        <w:rPr>
          <w:rFonts w:hint="eastAsia"/>
          <w:szCs w:val="18"/>
          <w:highlight w:val="none"/>
        </w:rPr>
        <w:t>参审单位</w:t>
      </w:r>
      <w:r>
        <w:rPr>
          <w:rFonts w:hint="eastAsia" w:cs="宋体"/>
          <w:szCs w:val="24"/>
          <w:highlight w:val="none"/>
        </w:rPr>
        <w:t>在投标文件递交截止时间前，可以对其所递交的电子投标文件进行撤回，修改后重新上传。</w:t>
      </w:r>
    </w:p>
    <w:p w14:paraId="21C60BD9">
      <w:pPr>
        <w:spacing w:line="400" w:lineRule="exact"/>
        <w:ind w:firstLine="400" w:firstLineChars="200"/>
        <w:rPr>
          <w:rFonts w:hint="eastAsia" w:cs="宋体"/>
          <w:szCs w:val="24"/>
          <w:highlight w:val="none"/>
        </w:rPr>
      </w:pPr>
      <w:r>
        <w:rPr>
          <w:rFonts w:hint="eastAsia" w:cs="宋体"/>
          <w:szCs w:val="24"/>
          <w:highlight w:val="none"/>
        </w:rPr>
        <w:t>12.潜在</w:t>
      </w:r>
      <w:r>
        <w:rPr>
          <w:rFonts w:hint="eastAsia"/>
          <w:szCs w:val="18"/>
          <w:highlight w:val="none"/>
        </w:rPr>
        <w:t>参审单位</w:t>
      </w:r>
      <w:r>
        <w:rPr>
          <w:rFonts w:hint="eastAsia" w:cs="宋体"/>
          <w:szCs w:val="24"/>
          <w:highlight w:val="none"/>
        </w:rPr>
        <w:t>在制作、签章、加密、上传电子投标文件过程中，若存在技术操作问题，请及时联系优质采云采购平台客服人员，客服电话：400-0099-555，0551-62220164。</w:t>
      </w:r>
    </w:p>
    <w:p w14:paraId="66DE12EA">
      <w:pPr>
        <w:spacing w:line="400" w:lineRule="exact"/>
        <w:ind w:firstLine="400" w:firstLineChars="200"/>
        <w:rPr>
          <w:rFonts w:hint="eastAsia" w:cs="宋体"/>
          <w:szCs w:val="24"/>
          <w:highlight w:val="none"/>
        </w:rPr>
      </w:pPr>
      <w:r>
        <w:rPr>
          <w:rFonts w:hint="eastAsia" w:cs="宋体"/>
          <w:szCs w:val="24"/>
          <w:highlight w:val="none"/>
        </w:rPr>
        <w:t>三、开标和解密</w:t>
      </w:r>
    </w:p>
    <w:p w14:paraId="7C6DC06B">
      <w:pPr>
        <w:spacing w:line="400" w:lineRule="exact"/>
        <w:ind w:firstLine="400" w:firstLineChars="200"/>
        <w:rPr>
          <w:rFonts w:hint="eastAsia" w:cs="宋体"/>
          <w:szCs w:val="24"/>
          <w:highlight w:val="none"/>
        </w:rPr>
      </w:pPr>
      <w:r>
        <w:rPr>
          <w:rFonts w:hint="eastAsia" w:cs="宋体"/>
          <w:szCs w:val="24"/>
          <w:highlight w:val="none"/>
        </w:rPr>
        <w:t>13.</w:t>
      </w:r>
      <w:r>
        <w:rPr>
          <w:rFonts w:hint="eastAsia"/>
          <w:szCs w:val="18"/>
          <w:highlight w:val="none"/>
        </w:rPr>
        <w:t>业主单位</w:t>
      </w:r>
      <w:r>
        <w:rPr>
          <w:rFonts w:hint="eastAsia" w:cs="宋体"/>
          <w:szCs w:val="24"/>
          <w:highlight w:val="none"/>
        </w:rPr>
        <w:t>或代理机构工作人员（以下简称工作人员）根据有关规定登录系统组织开标。投标文件递交截止时间后由</w:t>
      </w:r>
      <w:r>
        <w:rPr>
          <w:rFonts w:hint="eastAsia"/>
          <w:szCs w:val="18"/>
          <w:highlight w:val="none"/>
        </w:rPr>
        <w:t>参审单位</w:t>
      </w:r>
      <w:r>
        <w:rPr>
          <w:rFonts w:hint="eastAsia" w:cs="宋体"/>
          <w:szCs w:val="24"/>
          <w:highlight w:val="none"/>
        </w:rPr>
        <w:t>使用</w:t>
      </w:r>
      <w:r>
        <w:rPr>
          <w:rFonts w:hint="eastAsia" w:cs="宋体"/>
          <w:highlight w:val="none"/>
        </w:rPr>
        <w:t>CA证书</w:t>
      </w:r>
      <w:r>
        <w:rPr>
          <w:rFonts w:hint="eastAsia" w:cs="宋体"/>
          <w:szCs w:val="24"/>
          <w:highlight w:val="none"/>
        </w:rPr>
        <w:t>解密投标文件，工作人员导入已解密投标文件并公布开标结果。</w:t>
      </w:r>
    </w:p>
    <w:p w14:paraId="0A26789F">
      <w:pPr>
        <w:spacing w:line="400" w:lineRule="exact"/>
        <w:ind w:firstLine="400" w:firstLineChars="200"/>
        <w:rPr>
          <w:rFonts w:hint="eastAsia" w:cs="宋体"/>
          <w:szCs w:val="24"/>
          <w:highlight w:val="none"/>
        </w:rPr>
      </w:pPr>
      <w:r>
        <w:rPr>
          <w:rFonts w:hint="eastAsia" w:cs="宋体"/>
          <w:szCs w:val="24"/>
          <w:highlight w:val="none"/>
        </w:rPr>
        <w:t>14.投标文件可远程解密，</w:t>
      </w:r>
      <w:r>
        <w:rPr>
          <w:rFonts w:hint="eastAsia"/>
          <w:szCs w:val="18"/>
          <w:highlight w:val="none"/>
        </w:rPr>
        <w:t>参审单位</w:t>
      </w:r>
      <w:r>
        <w:rPr>
          <w:rFonts w:hint="eastAsia" w:cs="宋体"/>
          <w:szCs w:val="24"/>
          <w:highlight w:val="none"/>
        </w:rPr>
        <w:t>无需到达开标现场。招标文件“</w:t>
      </w:r>
      <w:r>
        <w:rPr>
          <w:rFonts w:hint="eastAsia"/>
          <w:szCs w:val="18"/>
          <w:highlight w:val="none"/>
        </w:rPr>
        <w:t>参审单位</w:t>
      </w:r>
      <w:r>
        <w:rPr>
          <w:rFonts w:hint="eastAsia" w:cs="宋体"/>
          <w:szCs w:val="24"/>
          <w:highlight w:val="none"/>
        </w:rPr>
        <w:t>须知”中另有规定的，从其规定。</w:t>
      </w:r>
    </w:p>
    <w:p w14:paraId="382E35E3">
      <w:pPr>
        <w:spacing w:line="400" w:lineRule="exact"/>
        <w:ind w:firstLine="400" w:firstLineChars="200"/>
        <w:rPr>
          <w:rFonts w:hint="eastAsia" w:cs="宋体"/>
          <w:szCs w:val="24"/>
          <w:highlight w:val="none"/>
        </w:rPr>
      </w:pPr>
      <w:r>
        <w:rPr>
          <w:rFonts w:hint="eastAsia" w:cs="宋体"/>
          <w:szCs w:val="24"/>
          <w:highlight w:val="none"/>
        </w:rPr>
        <w:t>15.潜在</w:t>
      </w:r>
      <w:r>
        <w:rPr>
          <w:rFonts w:hint="eastAsia"/>
          <w:szCs w:val="18"/>
          <w:highlight w:val="none"/>
        </w:rPr>
        <w:t>参审单位</w:t>
      </w:r>
      <w:r>
        <w:rPr>
          <w:rFonts w:hint="eastAsia" w:cs="宋体"/>
          <w:szCs w:val="24"/>
          <w:highlight w:val="none"/>
        </w:rPr>
        <w:t>须按照招标文件的要求在投标文件递交截止时间前登录投标工具并保持在线，关注开标互动大厅消息直到项目评审结束。</w:t>
      </w:r>
    </w:p>
    <w:p w14:paraId="31308A20">
      <w:pPr>
        <w:spacing w:line="400" w:lineRule="exact"/>
        <w:ind w:firstLine="400" w:firstLineChars="200"/>
        <w:rPr>
          <w:rFonts w:hint="eastAsia" w:cs="宋体"/>
          <w:szCs w:val="24"/>
          <w:highlight w:val="none"/>
        </w:rPr>
      </w:pPr>
      <w:r>
        <w:rPr>
          <w:rFonts w:hint="eastAsia" w:cs="宋体"/>
          <w:szCs w:val="24"/>
          <w:highlight w:val="none"/>
        </w:rPr>
        <w:t>16.投标文件解密时限为投标文件递交截止时间后30分钟（招标文件“</w:t>
      </w:r>
      <w:r>
        <w:rPr>
          <w:rFonts w:hint="eastAsia"/>
          <w:szCs w:val="18"/>
          <w:highlight w:val="none"/>
        </w:rPr>
        <w:t>参审单位</w:t>
      </w:r>
      <w:r>
        <w:rPr>
          <w:rFonts w:hint="eastAsia" w:cs="宋体"/>
          <w:szCs w:val="24"/>
          <w:highlight w:val="none"/>
        </w:rPr>
        <w:t>须知”中另有规定的，从其规定）。潜在</w:t>
      </w:r>
      <w:r>
        <w:rPr>
          <w:rFonts w:hint="eastAsia"/>
          <w:szCs w:val="18"/>
          <w:highlight w:val="none"/>
        </w:rPr>
        <w:t>参审单位</w:t>
      </w:r>
      <w:r>
        <w:rPr>
          <w:rFonts w:hint="eastAsia" w:cs="宋体"/>
          <w:szCs w:val="24"/>
          <w:highlight w:val="none"/>
        </w:rPr>
        <w:t>须在投标文件解密时限内完成投标文件解密，未能成功解密的视为放弃投标。招标文件“</w:t>
      </w:r>
      <w:r>
        <w:rPr>
          <w:rFonts w:hint="eastAsia"/>
          <w:szCs w:val="18"/>
          <w:highlight w:val="none"/>
        </w:rPr>
        <w:t>参审单位</w:t>
      </w:r>
      <w:r>
        <w:rPr>
          <w:rFonts w:hint="eastAsia" w:cs="宋体"/>
          <w:szCs w:val="24"/>
          <w:highlight w:val="none"/>
        </w:rPr>
        <w:t>须知”中对投标文件解密设有线下补救方案的，执行该补救方案。</w:t>
      </w:r>
    </w:p>
    <w:p w14:paraId="51B1EE48">
      <w:pPr>
        <w:spacing w:line="400" w:lineRule="exact"/>
        <w:ind w:firstLine="400" w:firstLineChars="200"/>
        <w:rPr>
          <w:rFonts w:hint="eastAsia" w:cs="宋体"/>
          <w:szCs w:val="24"/>
          <w:highlight w:val="none"/>
        </w:rPr>
      </w:pPr>
      <w:r>
        <w:rPr>
          <w:rFonts w:hint="eastAsia" w:cs="宋体"/>
          <w:szCs w:val="24"/>
          <w:highlight w:val="none"/>
        </w:rPr>
        <w:t>四、评审和询标</w:t>
      </w:r>
    </w:p>
    <w:p w14:paraId="3F2F1510">
      <w:pPr>
        <w:spacing w:line="400" w:lineRule="exact"/>
        <w:ind w:firstLine="400" w:firstLineChars="200"/>
        <w:rPr>
          <w:rFonts w:hint="eastAsia" w:cs="宋体"/>
          <w:szCs w:val="24"/>
          <w:highlight w:val="none"/>
        </w:rPr>
      </w:pPr>
      <w:r>
        <w:rPr>
          <w:rFonts w:hint="eastAsia" w:cs="宋体"/>
          <w:szCs w:val="24"/>
          <w:highlight w:val="none"/>
        </w:rPr>
        <w:t>17.评审委员会通过优质采电子评审工具将需要澄清、说明或补正的内容以询标函的形式发送给</w:t>
      </w:r>
      <w:r>
        <w:rPr>
          <w:rFonts w:hint="eastAsia"/>
          <w:szCs w:val="18"/>
          <w:highlight w:val="none"/>
        </w:rPr>
        <w:t>参审单位</w:t>
      </w:r>
      <w:r>
        <w:rPr>
          <w:rFonts w:hint="eastAsia" w:cs="宋体"/>
          <w:szCs w:val="24"/>
          <w:highlight w:val="none"/>
        </w:rPr>
        <w:t>，</w:t>
      </w:r>
      <w:r>
        <w:rPr>
          <w:rFonts w:hint="eastAsia"/>
          <w:szCs w:val="18"/>
          <w:highlight w:val="none"/>
        </w:rPr>
        <w:t>参审单位</w:t>
      </w:r>
      <w:r>
        <w:rPr>
          <w:rFonts w:hint="eastAsia" w:cs="宋体"/>
          <w:szCs w:val="24"/>
          <w:highlight w:val="none"/>
        </w:rPr>
        <w:t>应登录投标工具并保持在线状态，以便及时接收评审委员会可能发出的询标函，并在询标函载明的时间内回复，若</w:t>
      </w:r>
      <w:r>
        <w:rPr>
          <w:rFonts w:hint="eastAsia"/>
          <w:szCs w:val="18"/>
          <w:highlight w:val="none"/>
        </w:rPr>
        <w:t>参审单位</w:t>
      </w:r>
      <w:r>
        <w:rPr>
          <w:rFonts w:hint="eastAsia" w:cs="宋体"/>
          <w:szCs w:val="24"/>
          <w:highlight w:val="none"/>
        </w:rPr>
        <w:t>未及时回复，视为放弃澄清。</w:t>
      </w:r>
    </w:p>
    <w:p w14:paraId="245D10CE">
      <w:pPr>
        <w:spacing w:line="400" w:lineRule="exact"/>
        <w:ind w:firstLine="400" w:firstLineChars="200"/>
        <w:rPr>
          <w:rFonts w:hint="eastAsia" w:cs="宋体"/>
          <w:highlight w:val="none"/>
        </w:rPr>
      </w:pPr>
      <w:r>
        <w:rPr>
          <w:rFonts w:hint="eastAsia" w:cs="宋体"/>
          <w:highlight w:val="none"/>
        </w:rPr>
        <w:t>五、异常情形</w:t>
      </w:r>
    </w:p>
    <w:p w14:paraId="4D772C5B">
      <w:pPr>
        <w:spacing w:line="400" w:lineRule="exact"/>
        <w:ind w:firstLine="400" w:firstLineChars="200"/>
        <w:rPr>
          <w:rFonts w:hint="eastAsia" w:cs="宋体"/>
          <w:szCs w:val="24"/>
          <w:highlight w:val="none"/>
        </w:rPr>
      </w:pPr>
      <w:r>
        <w:rPr>
          <w:rFonts w:hint="eastAsia" w:cs="宋体"/>
          <w:szCs w:val="24"/>
          <w:highlight w:val="none"/>
        </w:rPr>
        <w:t>18.出现下列情形导致电子交易系统无法正常运行，影响招投标过程的公平、公正和信息安全，经第三方机构认定后，各方当事人免责：</w:t>
      </w:r>
    </w:p>
    <w:p w14:paraId="4786902F">
      <w:pPr>
        <w:spacing w:line="400" w:lineRule="exact"/>
        <w:ind w:firstLine="400" w:firstLineChars="200"/>
        <w:rPr>
          <w:rFonts w:hint="eastAsia" w:cs="宋体"/>
          <w:szCs w:val="24"/>
          <w:highlight w:val="none"/>
        </w:rPr>
      </w:pPr>
      <w:r>
        <w:rPr>
          <w:rFonts w:hint="eastAsia" w:cs="宋体"/>
          <w:szCs w:val="24"/>
          <w:highlight w:val="none"/>
        </w:rPr>
        <w:t>(1)网络、服务器、数据库发生故障造成无法访问或使用的；</w:t>
      </w:r>
    </w:p>
    <w:p w14:paraId="1BF80468">
      <w:pPr>
        <w:spacing w:line="400" w:lineRule="exact"/>
        <w:ind w:firstLine="400" w:firstLineChars="200"/>
        <w:rPr>
          <w:rFonts w:hint="eastAsia" w:cs="宋体"/>
          <w:szCs w:val="24"/>
          <w:highlight w:val="none"/>
        </w:rPr>
      </w:pPr>
      <w:r>
        <w:rPr>
          <w:rFonts w:hint="eastAsia" w:cs="宋体"/>
          <w:szCs w:val="24"/>
          <w:highlight w:val="none"/>
        </w:rPr>
        <w:t>(2)电力系统发生故障导致电子服务系统或电子交易系统无法运行；</w:t>
      </w:r>
    </w:p>
    <w:p w14:paraId="3E64C75E">
      <w:pPr>
        <w:spacing w:line="400" w:lineRule="exact"/>
        <w:ind w:firstLine="400" w:firstLineChars="200"/>
        <w:rPr>
          <w:rFonts w:hint="eastAsia" w:cs="宋体"/>
          <w:szCs w:val="24"/>
          <w:highlight w:val="none"/>
        </w:rPr>
      </w:pPr>
      <w:r>
        <w:rPr>
          <w:rFonts w:hint="eastAsia" w:cs="宋体"/>
          <w:szCs w:val="24"/>
          <w:highlight w:val="none"/>
        </w:rPr>
        <w:t>(3)出现网络攻击、病毒入侵以及电子服务系统或电子交易系统安全漏洞导致无法正常提供服务的；</w:t>
      </w:r>
    </w:p>
    <w:p w14:paraId="2F257B65">
      <w:pPr>
        <w:spacing w:line="400" w:lineRule="exact"/>
        <w:ind w:firstLine="400" w:firstLineChars="200"/>
        <w:rPr>
          <w:rFonts w:hint="eastAsia" w:cs="宋体"/>
          <w:szCs w:val="24"/>
          <w:highlight w:val="none"/>
        </w:rPr>
      </w:pPr>
      <w:r>
        <w:rPr>
          <w:rFonts w:hint="eastAsia" w:cs="宋体"/>
          <w:szCs w:val="24"/>
          <w:highlight w:val="none"/>
        </w:rPr>
        <w:t>(4)其他无法保证招投标过程公平、公正和信息安全的情形。</w:t>
      </w:r>
    </w:p>
    <w:p w14:paraId="0C9FEF39">
      <w:pPr>
        <w:spacing w:line="400" w:lineRule="exact"/>
        <w:ind w:firstLine="400" w:firstLineChars="200"/>
        <w:rPr>
          <w:rFonts w:hint="eastAsia" w:cs="宋体"/>
          <w:highlight w:val="none"/>
        </w:rPr>
      </w:pPr>
      <w:r>
        <w:rPr>
          <w:rFonts w:hint="eastAsia" w:cs="宋体"/>
          <w:highlight w:val="none"/>
        </w:rPr>
        <w:t>六、异常情形处理</w:t>
      </w:r>
    </w:p>
    <w:p w14:paraId="1A19BEF5">
      <w:pPr>
        <w:spacing w:line="400" w:lineRule="exact"/>
        <w:ind w:firstLine="400" w:firstLineChars="200"/>
        <w:rPr>
          <w:rFonts w:hint="eastAsia" w:cs="宋体"/>
          <w:highlight w:val="none"/>
        </w:rPr>
      </w:pPr>
      <w:r>
        <w:rPr>
          <w:rFonts w:hint="eastAsia" w:cs="宋体"/>
          <w:highlight w:val="none"/>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2C0F86E8">
      <w:pPr>
        <w:spacing w:line="400" w:lineRule="exact"/>
        <w:ind w:firstLine="400" w:firstLineChars="200"/>
        <w:rPr>
          <w:rFonts w:hint="eastAsia" w:cs="宋体"/>
          <w:highlight w:val="none"/>
        </w:rPr>
      </w:pPr>
      <w:r>
        <w:rPr>
          <w:rFonts w:hint="eastAsia" w:cs="宋体"/>
          <w:highlight w:val="none"/>
        </w:rPr>
        <w:t>（1）项目中止，中止期限由</w:t>
      </w:r>
      <w:r>
        <w:rPr>
          <w:rFonts w:hint="eastAsia"/>
          <w:szCs w:val="18"/>
          <w:highlight w:val="none"/>
        </w:rPr>
        <w:t>业主单位</w:t>
      </w:r>
      <w:r>
        <w:rPr>
          <w:rFonts w:hint="eastAsia" w:cs="宋体"/>
          <w:highlight w:val="none"/>
        </w:rPr>
        <w:t>或代理机构根据项目具体情况确定。中止期限届满后中止情形尚未消除的，</w:t>
      </w:r>
      <w:r>
        <w:rPr>
          <w:rFonts w:hint="eastAsia"/>
          <w:szCs w:val="18"/>
          <w:highlight w:val="none"/>
        </w:rPr>
        <w:t>业主单位</w:t>
      </w:r>
      <w:r>
        <w:rPr>
          <w:rFonts w:hint="eastAsia" w:cs="宋体"/>
          <w:highlight w:val="none"/>
        </w:rPr>
        <w:t>或代理机构可以根据实际情况决定延长中止期限。决定延长中止期限的，应向</w:t>
      </w:r>
      <w:r>
        <w:rPr>
          <w:rFonts w:hint="eastAsia"/>
          <w:szCs w:val="18"/>
          <w:highlight w:val="none"/>
        </w:rPr>
        <w:t>参审单位</w:t>
      </w:r>
      <w:r>
        <w:rPr>
          <w:rFonts w:hint="eastAsia" w:cs="宋体"/>
          <w:highlight w:val="none"/>
        </w:rPr>
        <w:t>发出延长中止期限通知，并发布公布。</w:t>
      </w:r>
    </w:p>
    <w:p w14:paraId="6E63E2D6">
      <w:pPr>
        <w:spacing w:line="400" w:lineRule="exact"/>
        <w:ind w:firstLine="400" w:firstLineChars="200"/>
        <w:rPr>
          <w:rFonts w:hint="eastAsia" w:cs="宋体"/>
          <w:highlight w:val="none"/>
        </w:rPr>
      </w:pPr>
      <w:r>
        <w:rPr>
          <w:rFonts w:hint="eastAsia" w:cs="宋体"/>
          <w:highlight w:val="none"/>
        </w:rPr>
        <w:t>（2）项目恢复，导致项目中止的情形消除后，</w:t>
      </w:r>
      <w:r>
        <w:rPr>
          <w:rFonts w:hint="eastAsia"/>
          <w:szCs w:val="18"/>
          <w:highlight w:val="none"/>
        </w:rPr>
        <w:t>业主单位</w:t>
      </w:r>
      <w:r>
        <w:rPr>
          <w:rFonts w:hint="eastAsia" w:cs="宋体"/>
          <w:highlight w:val="none"/>
        </w:rPr>
        <w:t>或代理机构应当尽快恢复招投标程序，向</w:t>
      </w:r>
      <w:r>
        <w:rPr>
          <w:rFonts w:hint="eastAsia"/>
          <w:szCs w:val="18"/>
          <w:highlight w:val="none"/>
        </w:rPr>
        <w:t>参审单位</w:t>
      </w:r>
      <w:r>
        <w:rPr>
          <w:rFonts w:hint="eastAsia" w:cs="宋体"/>
          <w:highlight w:val="none"/>
        </w:rPr>
        <w:t>发出恢复交易通知，并发布公布；已发出延长中止期限通知的，按通知执行。</w:t>
      </w:r>
    </w:p>
    <w:p w14:paraId="67D21531">
      <w:pPr>
        <w:rPr>
          <w:rFonts w:hint="eastAsia"/>
          <w:highlight w:val="none"/>
        </w:rPr>
      </w:pPr>
    </w:p>
    <w:p w14:paraId="05EA02AD"/>
    <w:p w14:paraId="453F7E30"/>
    <w:p w14:paraId="46A69762"/>
    <w:p w14:paraId="30AF82C2"/>
    <w:p w14:paraId="789028F8"/>
    <w:p w14:paraId="6768DC69"/>
    <w:p w14:paraId="529F8409"/>
    <w:p w14:paraId="246516BA"/>
    <w:p w14:paraId="523903B1"/>
    <w:p w14:paraId="4779C5D3"/>
    <w:sectPr>
      <w:headerReference r:id="rId6" w:type="default"/>
      <w:footerReference r:id="rId7" w:type="default"/>
      <w:pgSz w:w="11905" w:h="16838"/>
      <w:pgMar w:top="1474" w:right="1814" w:bottom="1474" w:left="1814"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A2079">
    <w:pPr>
      <w:pStyle w:val="7"/>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posOffset>2332355</wp:posOffset>
              </wp:positionH>
              <wp:positionV relativeFrom="paragraph">
                <wp:posOffset>-57150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44475">
                          <w:pPr>
                            <w:pStyle w:val="7"/>
                            <w:rPr>
                              <w:rFonts w:ascii="宋体" w:hAnsi="宋体" w:eastAsia="宋体"/>
                              <w:sz w:val="15"/>
                              <w:szCs w:val="15"/>
                            </w:rPr>
                          </w:pPr>
                          <w:r>
                            <w:rPr>
                              <w:sz w:val="15"/>
                              <w:szCs w:val="15"/>
                            </w:rPr>
                            <w:fldChar w:fldCharType="begin"/>
                          </w:r>
                          <w:r>
                            <w:rPr>
                              <w:sz w:val="15"/>
                              <w:szCs w:val="15"/>
                            </w:rPr>
                            <w:instrText xml:space="preserve"> PAGE  \* MERGEFORMAT </w:instrText>
                          </w:r>
                          <w:r>
                            <w:rPr>
                              <w:sz w:val="15"/>
                              <w:szCs w:val="15"/>
                            </w:rPr>
                            <w:fldChar w:fldCharType="separate"/>
                          </w:r>
                          <w:r>
                            <w:rPr>
                              <w:sz w:val="15"/>
                              <w:szCs w:val="15"/>
                            </w:rPr>
                            <w:t>1</w:t>
                          </w:r>
                          <w:r>
                            <w:rPr>
                              <w:sz w:val="15"/>
                              <w:szCs w:val="1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3.65pt;margin-top:-4.5pt;height:144pt;width:144pt;mso-position-horizontal-relative:margin;mso-wrap-style:none;z-index:251659264;mso-width-relative:page;mso-height-relative:page;" filled="f" stroked="f" coordsize="21600,21600" o:gfxdata="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8knv3NcAAAAKAQAADwAAAAAAAAABACAAAAAiAAAAZHJzL2Rvd25yZXYueG1s&#10;UEsBAhQAFAAAAAgAh07iQLqMOCsyAgAAYQQAAA4AAAAAAAAAAQAgAAAAJgEAAGRycy9lMm9Eb2Mu&#10;eG1sUEsFBgAAAAAGAAYAWQEAAMoFAAAAAA==&#10;">
              <v:fill on="f" focussize="0,0"/>
              <v:stroke on="f" weight="0.5pt"/>
              <v:imagedata o:title=""/>
              <o:lock v:ext="edit" aspectratio="f"/>
              <v:textbox inset="0mm,0mm,0mm,0mm" style="mso-fit-shape-to-text:t;">
                <w:txbxContent>
                  <w:p w14:paraId="12B44475">
                    <w:pPr>
                      <w:pStyle w:val="7"/>
                      <w:rPr>
                        <w:rFonts w:ascii="宋体" w:hAnsi="宋体" w:eastAsia="宋体"/>
                        <w:sz w:val="15"/>
                        <w:szCs w:val="15"/>
                      </w:rPr>
                    </w:pPr>
                    <w:r>
                      <w:rPr>
                        <w:sz w:val="15"/>
                        <w:szCs w:val="15"/>
                      </w:rPr>
                      <w:fldChar w:fldCharType="begin"/>
                    </w:r>
                    <w:r>
                      <w:rPr>
                        <w:sz w:val="15"/>
                        <w:szCs w:val="15"/>
                      </w:rPr>
                      <w:instrText xml:space="preserve"> PAGE  \* MERGEFORMAT </w:instrText>
                    </w:r>
                    <w:r>
                      <w:rPr>
                        <w:sz w:val="15"/>
                        <w:szCs w:val="15"/>
                      </w:rPr>
                      <w:fldChar w:fldCharType="separate"/>
                    </w:r>
                    <w:r>
                      <w:rPr>
                        <w:sz w:val="15"/>
                        <w:szCs w:val="15"/>
                      </w:rPr>
                      <w:t>1</w:t>
                    </w:r>
                    <w:r>
                      <w:rPr>
                        <w:sz w:val="15"/>
                        <w:szCs w:val="1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6CA87">
    <w:pPr>
      <w:pStyle w:val="7"/>
      <w:jc w:val="center"/>
      <w:rPr>
        <w:rFonts w:hint="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8ACD1">
                          <w:pPr>
                            <w:pStyle w:val="7"/>
                            <w:rPr>
                              <w:rFonts w:ascii="宋体" w:hAnsi="宋体" w:eastAsia="宋体"/>
                              <w:sz w:val="15"/>
                              <w:szCs w:val="15"/>
                            </w:rPr>
                          </w:pPr>
                          <w:r>
                            <w:rPr>
                              <w:sz w:val="15"/>
                              <w:szCs w:val="15"/>
                            </w:rPr>
                            <w:fldChar w:fldCharType="begin"/>
                          </w:r>
                          <w:r>
                            <w:rPr>
                              <w:sz w:val="15"/>
                              <w:szCs w:val="15"/>
                            </w:rPr>
                            <w:instrText xml:space="preserve"> PAGE  \* MERGEFORMAT </w:instrText>
                          </w:r>
                          <w:r>
                            <w:rPr>
                              <w:sz w:val="15"/>
                              <w:szCs w:val="15"/>
                            </w:rPr>
                            <w:fldChar w:fldCharType="separate"/>
                          </w:r>
                          <w:r>
                            <w:rPr>
                              <w:sz w:val="15"/>
                              <w:szCs w:val="15"/>
                            </w:rPr>
                            <w:t>40</w:t>
                          </w:r>
                          <w:r>
                            <w:rPr>
                              <w:sz w:val="15"/>
                              <w:szCs w:val="1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68ACD1">
                    <w:pPr>
                      <w:pStyle w:val="7"/>
                      <w:rPr>
                        <w:rFonts w:ascii="宋体" w:hAnsi="宋体" w:eastAsia="宋体"/>
                        <w:sz w:val="15"/>
                        <w:szCs w:val="15"/>
                      </w:rPr>
                    </w:pPr>
                    <w:r>
                      <w:rPr>
                        <w:sz w:val="15"/>
                        <w:szCs w:val="15"/>
                      </w:rPr>
                      <w:fldChar w:fldCharType="begin"/>
                    </w:r>
                    <w:r>
                      <w:rPr>
                        <w:sz w:val="15"/>
                        <w:szCs w:val="15"/>
                      </w:rPr>
                      <w:instrText xml:space="preserve"> PAGE  \* MERGEFORMAT </w:instrText>
                    </w:r>
                    <w:r>
                      <w:rPr>
                        <w:sz w:val="15"/>
                        <w:szCs w:val="15"/>
                      </w:rPr>
                      <w:fldChar w:fldCharType="separate"/>
                    </w:r>
                    <w:r>
                      <w:rPr>
                        <w:sz w:val="15"/>
                        <w:szCs w:val="15"/>
                      </w:rPr>
                      <w:t>40</w:t>
                    </w:r>
                    <w:r>
                      <w:rPr>
                        <w:sz w:val="15"/>
                        <w:szCs w:val="1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B889D7C">
      <w:pPr>
        <w:pStyle w:val="10"/>
      </w:pPr>
      <w:r>
        <w:rPr>
          <w:rStyle w:val="18"/>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E7DC">
    <w:pPr>
      <w:pStyle w:val="8"/>
      <w:jc w:val="left"/>
      <w:rPr>
        <w:rFonts w:hint="eastAsia"/>
      </w:rPr>
    </w:pPr>
    <w:r>
      <w:rPr>
        <w:rFonts w:hint="eastAsia"/>
      </w:rPr>
      <w:t>磋商文件——工程类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02447">
    <w:pPr>
      <w:pStyle w:val="8"/>
      <w:jc w:val="left"/>
      <w:rPr>
        <w:rFonts w:hint="eastAsia"/>
      </w:rPr>
    </w:pPr>
    <w:r>
      <w:rPr>
        <w:rFonts w:hint="eastAsia"/>
      </w:rPr>
      <w:t>磋商文件——工程类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61886"/>
    <w:multiLevelType w:val="multilevel"/>
    <w:tmpl w:val="2F6618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139C2"/>
    <w:rsid w:val="1D5A6237"/>
    <w:rsid w:val="2E3139C2"/>
    <w:rsid w:val="5C617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7"/>
    <w:basedOn w:val="1"/>
    <w:next w:val="1"/>
    <w:unhideWhenUsed/>
    <w:qFormat/>
    <w:uiPriority w:val="39"/>
    <w:pPr>
      <w:ind w:left="2520" w:leftChars="1200"/>
    </w:pPr>
  </w:style>
  <w:style w:type="paragraph" w:styleId="3">
    <w:name w:val="Body Text"/>
    <w:basedOn w:val="1"/>
    <w:next w:val="1"/>
    <w:qFormat/>
    <w:uiPriority w:val="99"/>
    <w:pPr>
      <w:spacing w:after="120"/>
    </w:pPr>
    <w:rPr>
      <w:rFonts w:ascii="@微软简标宋" w:hAnsi="@微软简标宋" w:eastAsia="@微软简标宋" w:cs="@微软简标宋"/>
      <w:szCs w:val="24"/>
      <w:lang w:val="zh-CN"/>
    </w:rPr>
  </w:style>
  <w:style w:type="paragraph" w:styleId="4">
    <w:name w:val="Body Text Indent"/>
    <w:basedOn w:val="1"/>
    <w:next w:val="5"/>
    <w:unhideWhenUsed/>
    <w:qFormat/>
    <w:uiPriority w:val="99"/>
    <w:pPr>
      <w:spacing w:after="120"/>
      <w:ind w:left="420" w:leftChars="200"/>
    </w:pPr>
    <w:rPr>
      <w:rFonts w:ascii="Calibri" w:hAnsi="Calibri"/>
      <w:kern w:val="2"/>
      <w:sz w:val="21"/>
      <w:szCs w:val="22"/>
    </w:rPr>
  </w:style>
  <w:style w:type="paragraph" w:styleId="5">
    <w:name w:val="envelope return"/>
    <w:basedOn w:val="1"/>
    <w:next w:val="2"/>
    <w:qFormat/>
    <w:uiPriority w:val="99"/>
    <w:rPr>
      <w:rFonts w:ascii="Arial" w:hAnsi="Arial" w:cs="Arial"/>
      <w:kern w:val="1"/>
    </w:rPr>
  </w:style>
  <w:style w:type="paragraph" w:styleId="6">
    <w:name w:val="Plain Text"/>
    <w:basedOn w:val="1"/>
    <w:qFormat/>
    <w:uiPriority w:val="0"/>
    <w:rPr>
      <w:rFonts w:hAnsi="Courier New"/>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footnote text"/>
    <w:basedOn w:val="1"/>
    <w:unhideWhenUsed/>
    <w:qFormat/>
    <w:uiPriority w:val="0"/>
    <w:pPr>
      <w:snapToGrid w:val="0"/>
      <w:jc w:val="left"/>
    </w:pPr>
    <w:rPr>
      <w:rFonts w:ascii="Times New Roman" w:hAnsi="Times New Roman"/>
      <w:kern w:val="2"/>
      <w:sz w:val="18"/>
      <w:szCs w:val="18"/>
      <w:lang w:val="zh-CN"/>
    </w:rPr>
  </w:style>
  <w:style w:type="paragraph" w:styleId="11">
    <w:name w:val="toc 2"/>
    <w:basedOn w:val="1"/>
    <w:next w:val="1"/>
    <w:unhideWhenUsed/>
    <w:qFormat/>
    <w:uiPriority w:val="39"/>
    <w:pPr>
      <w:widowControl/>
      <w:spacing w:after="100" w:line="276" w:lineRule="auto"/>
      <w:ind w:left="220"/>
      <w:jc w:val="left"/>
    </w:pPr>
    <w:rPr>
      <w:rFonts w:ascii="Calibri" w:hAnsi="Calibri"/>
      <w:sz w:val="22"/>
      <w:szCs w:val="22"/>
    </w:rPr>
  </w:style>
  <w:style w:type="paragraph" w:styleId="12">
    <w:name w:val="Body Text First Indent 2"/>
    <w:basedOn w:val="4"/>
    <w:next w:val="1"/>
    <w:unhideWhenUsed/>
    <w:qFormat/>
    <w:uiPriority w:val="0"/>
    <w:pPr>
      <w:ind w:firstLine="420" w:firstLineChars="2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Hyperlink"/>
    <w:basedOn w:val="15"/>
    <w:unhideWhenUsed/>
    <w:qFormat/>
    <w:uiPriority w:val="99"/>
    <w:rPr>
      <w:color w:val="0563C1"/>
      <w:u w:val="single"/>
    </w:rPr>
  </w:style>
  <w:style w:type="character" w:styleId="18">
    <w:name w:val="footnote reference"/>
    <w:unhideWhenUsed/>
    <w:qFormat/>
    <w:uiPriority w:val="0"/>
    <w:rPr>
      <w:vertAlign w:val="superscript"/>
    </w:rPr>
  </w:style>
  <w:style w:type="paragraph" w:customStyle="1" w:styleId="19">
    <w:name w:val="xl31"/>
    <w:basedOn w:val="1"/>
    <w:qFormat/>
    <w:uiPriority w:val="0"/>
    <w:pPr>
      <w:widowControl/>
      <w:spacing w:before="100" w:beforeAutospacing="1" w:after="100" w:afterAutospacing="1"/>
      <w:jc w:val="center"/>
    </w:pPr>
    <w:rPr>
      <w:b/>
      <w:bCs/>
      <w:sz w:val="28"/>
      <w:szCs w:val="28"/>
    </w:rPr>
  </w:style>
  <w:style w:type="paragraph" w:customStyle="1" w:styleId="20">
    <w:name w:val="D&amp;L"/>
    <w:basedOn w:val="8"/>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21">
    <w:name w:val="Char Char Char Char Char Char Char1 Char"/>
    <w:basedOn w:val="1"/>
    <w:qFormat/>
    <w:uiPriority w:val="0"/>
    <w:rPr>
      <w:rFonts w:ascii="Arial" w:hAnsi="Arial" w:cs="Arial"/>
      <w:sz w:val="24"/>
    </w:rPr>
  </w:style>
  <w:style w:type="paragraph" w:customStyle="1" w:styleId="22">
    <w:name w:val="普通 (Web)"/>
    <w:basedOn w:val="1"/>
    <w:qFormat/>
    <w:uiPriority w:val="0"/>
    <w:pPr>
      <w:widowControl/>
      <w:spacing w:before="100" w:beforeAutospacing="1" w:after="100" w:afterAutospacing="1"/>
      <w:jc w:val="left"/>
    </w:pPr>
    <w:rPr>
      <w:sz w:val="24"/>
      <w:szCs w:val="24"/>
    </w:rPr>
  </w:style>
  <w:style w:type="paragraph" w:customStyle="1" w:styleId="23">
    <w:name w:val="Table Paragraph"/>
    <w:basedOn w:val="1"/>
    <w:next w:val="1"/>
    <w:qFormat/>
    <w:uiPriority w:val="1"/>
    <w:rPr>
      <w:rFonts w:cs="宋体"/>
      <w:lang w:val="zh-CN" w:bidi="zh-CN"/>
    </w:rPr>
  </w:style>
  <w:style w:type="paragraph" w:customStyle="1" w:styleId="2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admin/Documents/Tencent%252525252525252525252525252525252525252525252525252525252525252525252525252525252525252525252520Files/825752765/nt_qq/nt_data/Pic/2024-05/Ori/b58bb376faa55d4586c4a7a129a21548.jpg" TargetMode="Externa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6184</Words>
  <Characters>6902</Characters>
  <Lines>0</Lines>
  <Paragraphs>0</Paragraphs>
  <TotalTime>13</TotalTime>
  <ScaleCrop>false</ScaleCrop>
  <LinksUpToDate>false</LinksUpToDate>
  <CharactersWithSpaces>7034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2026-05-19T01:15:00Z</dcterms:created>
  <dc:creator>唐晶晶</dc:creator>
  <cp:lastModifiedBy>唐晶晶</cp:lastModifiedBy>
  <dcterms:modified xsi:type="dcterms:W3CDTF">2026-05-19T03:19:36Z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8B96FAAEB7D540B684FE545666978656_11</vt:lpwstr>
  </property>
  <property fmtid="{D5CDD505-2E9C-101B-9397-08002B2CF9AE}" pid="4" name="KSOTemplateDocerSaveRecord">
    <vt:lpwstr>eyJoZGlkIjoiNGNlMGMwZDBhYWZhOTllNjljOGQ4MzE3OWEwNDRhMWMiLCJ1c2VySWQiOiIxNTY2MDI5NTY5In0=</vt:lpwstr>
  </property>
</Properties>
</file>