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AFE65">
      <w:pPr>
        <w:pStyle w:val="7"/>
        <w:spacing w:before="480" w:beforeLines="200" w:after="0" w:afterLines="0" w:line="360" w:lineRule="auto"/>
        <w:jc w:val="center"/>
        <w:rPr>
          <w:rFonts w:hint="eastAsia" w:hAnsi="宋体" w:cs="宋体"/>
          <w:b/>
          <w:color w:val="auto"/>
          <w:kern w:val="2"/>
          <w:sz w:val="44"/>
          <w:szCs w:val="44"/>
          <w:highlight w:val="none"/>
          <w:u w:val="single"/>
        </w:rPr>
      </w:pPr>
      <w:r>
        <w:rPr>
          <w:rFonts w:hint="eastAsia" w:hAnsi="宋体" w:cs="宋体"/>
          <w:b/>
          <w:color w:val="auto"/>
          <w:kern w:val="2"/>
          <w:sz w:val="44"/>
          <w:szCs w:val="44"/>
          <w:highlight w:val="none"/>
          <w:u w:val="single"/>
          <w:lang w:eastAsia="zh-CN"/>
        </w:rPr>
        <w:t>2025年度严店镇10个美丽宜居自然村（较大自然村整治提升）建设项目</w:t>
      </w:r>
      <w:r>
        <w:rPr>
          <w:rFonts w:hint="eastAsia" w:hAnsi="宋体" w:cs="宋体"/>
          <w:b/>
          <w:color w:val="auto"/>
          <w:kern w:val="2"/>
          <w:sz w:val="44"/>
          <w:szCs w:val="44"/>
          <w:highlight w:val="none"/>
        </w:rPr>
        <w:t xml:space="preserve"> </w:t>
      </w:r>
    </w:p>
    <w:p w14:paraId="656270A9">
      <w:pPr>
        <w:spacing w:before="480" w:beforeLines="200" w:afterLines="0" w:line="360" w:lineRule="auto"/>
        <w:jc w:val="center"/>
        <w:rPr>
          <w:rFonts w:hint="eastAsia" w:hAnsi="宋体" w:cs="宋体"/>
          <w:b/>
          <w:color w:val="auto"/>
          <w:kern w:val="2"/>
          <w:sz w:val="36"/>
          <w:szCs w:val="36"/>
          <w:highlight w:val="none"/>
          <w:u w:val="single"/>
        </w:rPr>
      </w:pPr>
      <w:r>
        <w:rPr>
          <w:rFonts w:hint="eastAsia" w:hAnsi="宋体" w:cs="宋体"/>
          <w:b/>
          <w:color w:val="auto"/>
          <w:kern w:val="2"/>
          <w:sz w:val="36"/>
          <w:szCs w:val="36"/>
          <w:highlight w:val="none"/>
        </w:rPr>
        <w:t>（招标项目编号：</w:t>
      </w:r>
      <w:r>
        <w:rPr>
          <w:rFonts w:hint="eastAsia" w:hAnsi="宋体" w:cs="宋体"/>
          <w:b/>
          <w:color w:val="auto"/>
          <w:kern w:val="2"/>
          <w:sz w:val="36"/>
          <w:szCs w:val="36"/>
          <w:highlight w:val="none"/>
          <w:u w:val="single"/>
          <w:lang w:eastAsia="zh-CN"/>
        </w:rPr>
        <w:t xml:space="preserve">********** </w:t>
      </w:r>
      <w:r>
        <w:rPr>
          <w:rFonts w:hint="eastAsia" w:hAnsi="宋体" w:cs="宋体"/>
          <w:b/>
          <w:color w:val="auto"/>
          <w:kern w:val="2"/>
          <w:sz w:val="36"/>
          <w:szCs w:val="36"/>
          <w:highlight w:val="none"/>
          <w:u w:val="single"/>
        </w:rPr>
        <w:t xml:space="preserve">  </w:t>
      </w:r>
      <w:r>
        <w:rPr>
          <w:rFonts w:hint="eastAsia" w:hAnsi="宋体" w:cs="宋体"/>
          <w:b/>
          <w:color w:val="auto"/>
          <w:kern w:val="2"/>
          <w:sz w:val="36"/>
          <w:szCs w:val="36"/>
          <w:highlight w:val="none"/>
        </w:rPr>
        <w:t>）</w:t>
      </w:r>
    </w:p>
    <w:p w14:paraId="6E725B75">
      <w:pPr>
        <w:spacing w:before="480" w:beforeLines="200" w:afterLines="0" w:line="360" w:lineRule="auto"/>
        <w:jc w:val="center"/>
        <w:rPr>
          <w:rFonts w:hint="eastAsia" w:ascii="Times New Roman" w:eastAsia="Times New Roman"/>
          <w:color w:val="auto"/>
          <w:kern w:val="2"/>
          <w:sz w:val="72"/>
          <w:szCs w:val="72"/>
          <w:highlight w:val="none"/>
        </w:rPr>
      </w:pPr>
      <w:r>
        <w:rPr>
          <w:rFonts w:hint="eastAsia" w:ascii="Times New Roman" w:eastAsia="黑体"/>
          <w:color w:val="auto"/>
          <w:kern w:val="2"/>
          <w:sz w:val="72"/>
          <w:szCs w:val="72"/>
          <w:highlight w:val="none"/>
        </w:rPr>
        <w:t>招 标 文 件</w:t>
      </w:r>
    </w:p>
    <w:p w14:paraId="4ED040BF">
      <w:pPr>
        <w:keepNext w:val="0"/>
        <w:keepLines w:val="0"/>
        <w:pageBreakBefore w:val="0"/>
        <w:widowControl w:val="0"/>
        <w:kinsoku/>
        <w:wordWrap/>
        <w:overflowPunct/>
        <w:topLinePunct w:val="0"/>
        <w:autoSpaceDE/>
        <w:autoSpaceDN/>
        <w:bidi w:val="0"/>
        <w:adjustRightInd/>
        <w:snapToGrid/>
        <w:spacing w:before="5617" w:beforeLines="1800" w:afterLines="0" w:line="360" w:lineRule="auto"/>
        <w:ind w:firstLine="437"/>
        <w:jc w:val="center"/>
        <w:textAlignment w:val="auto"/>
        <w:rPr>
          <w:rFonts w:hint="eastAsia" w:ascii="Times New Roman" w:eastAsia="Times New Roman"/>
          <w:color w:val="auto"/>
          <w:kern w:val="2"/>
          <w:sz w:val="32"/>
          <w:szCs w:val="32"/>
          <w:highlight w:val="none"/>
        </w:rPr>
      </w:pPr>
      <w:r>
        <w:rPr>
          <w:rFonts w:hint="eastAsia" w:ascii="Times New Roman" w:eastAsia="黑体"/>
          <w:color w:val="auto"/>
          <w:kern w:val="2"/>
          <w:sz w:val="32"/>
          <w:szCs w:val="32"/>
          <w:highlight w:val="none"/>
        </w:rPr>
        <w:t>招   标   人：</w:t>
      </w:r>
      <w:r>
        <w:rPr>
          <w:rFonts w:hint="eastAsia" w:ascii="Times New Roman" w:eastAsia="黑体"/>
          <w:color w:val="auto"/>
          <w:kern w:val="2"/>
          <w:sz w:val="32"/>
          <w:szCs w:val="32"/>
          <w:highlight w:val="none"/>
          <w:u w:val="single"/>
        </w:rPr>
        <w:t xml:space="preserve">  </w:t>
      </w:r>
      <w:r>
        <w:rPr>
          <w:rFonts w:hint="eastAsia" w:ascii="Times New Roman" w:eastAsia="黑体"/>
          <w:color w:val="auto"/>
          <w:kern w:val="2"/>
          <w:sz w:val="32"/>
          <w:szCs w:val="32"/>
          <w:highlight w:val="none"/>
          <w:u w:val="single"/>
          <w:lang w:eastAsia="zh-CN"/>
        </w:rPr>
        <w:t>肥西县严店镇人民政府</w:t>
      </w:r>
      <w:r>
        <w:rPr>
          <w:rFonts w:hint="eastAsia" w:ascii="Times New Roman" w:eastAsia="黑体"/>
          <w:color w:val="auto"/>
          <w:kern w:val="2"/>
          <w:sz w:val="32"/>
          <w:szCs w:val="32"/>
          <w:highlight w:val="none"/>
          <w:u w:val="single"/>
        </w:rPr>
        <w:t xml:space="preserve">   </w:t>
      </w:r>
      <w:r>
        <w:rPr>
          <w:rFonts w:hint="eastAsia" w:ascii="Times New Roman"/>
          <w:color w:val="auto"/>
          <w:kern w:val="2"/>
          <w:sz w:val="32"/>
          <w:szCs w:val="32"/>
          <w:highlight w:val="none"/>
        </w:rPr>
        <w:t>（盖单位章）</w:t>
      </w:r>
    </w:p>
    <w:p w14:paraId="6E7F3122">
      <w:pPr>
        <w:spacing w:before="240" w:beforeLines="100" w:afterLines="0" w:line="360" w:lineRule="auto"/>
        <w:ind w:firstLine="437"/>
        <w:jc w:val="center"/>
        <w:rPr>
          <w:rFonts w:hint="eastAsia" w:ascii="Times New Roman" w:eastAsia="Times New Roman"/>
          <w:color w:val="auto"/>
          <w:kern w:val="2"/>
          <w:sz w:val="32"/>
          <w:szCs w:val="32"/>
          <w:highlight w:val="none"/>
        </w:rPr>
      </w:pPr>
      <w:r>
        <w:rPr>
          <w:rFonts w:hint="eastAsia" w:ascii="Times New Roman" w:eastAsia="黑体"/>
          <w:color w:val="auto"/>
          <w:kern w:val="2"/>
          <w:sz w:val="32"/>
          <w:szCs w:val="32"/>
          <w:highlight w:val="none"/>
        </w:rPr>
        <w:t>招标代理机构：</w:t>
      </w:r>
      <w:r>
        <w:rPr>
          <w:rFonts w:hint="eastAsia" w:ascii="Times New Roman" w:eastAsia="黑体"/>
          <w:color w:val="auto"/>
          <w:kern w:val="2"/>
          <w:sz w:val="32"/>
          <w:szCs w:val="32"/>
          <w:highlight w:val="none"/>
          <w:u w:val="single"/>
        </w:rPr>
        <w:t>肥西县公共资源交易有限责任公司</w:t>
      </w:r>
      <w:r>
        <w:rPr>
          <w:rFonts w:hint="eastAsia" w:ascii="Times New Roman"/>
          <w:color w:val="auto"/>
          <w:kern w:val="2"/>
          <w:sz w:val="32"/>
          <w:szCs w:val="32"/>
          <w:highlight w:val="none"/>
        </w:rPr>
        <w:t>（盖单位章）</w:t>
      </w:r>
    </w:p>
    <w:p w14:paraId="010C6099">
      <w:pPr>
        <w:spacing w:before="240" w:beforeLines="100" w:afterLines="0" w:line="360" w:lineRule="auto"/>
        <w:ind w:firstLine="437"/>
        <w:jc w:val="center"/>
        <w:rPr>
          <w:rFonts w:hint="eastAsia" w:ascii="Times New Roman" w:eastAsia="Times New Roman"/>
          <w:color w:val="auto"/>
          <w:kern w:val="2"/>
          <w:sz w:val="32"/>
          <w:szCs w:val="32"/>
          <w:highlight w:val="none"/>
        </w:rPr>
      </w:pPr>
      <w:r>
        <w:rPr>
          <w:rFonts w:hint="eastAsia" w:ascii="Times New Roman" w:eastAsia="黑体"/>
          <w:color w:val="auto"/>
          <w:kern w:val="2"/>
          <w:sz w:val="32"/>
          <w:szCs w:val="32"/>
          <w:highlight w:val="none"/>
        </w:rPr>
        <w:t>日    期</w:t>
      </w:r>
      <w:r>
        <w:rPr>
          <w:rFonts w:hint="eastAsia" w:ascii="Times New Roman"/>
          <w:color w:val="auto"/>
          <w:kern w:val="2"/>
          <w:sz w:val="32"/>
          <w:szCs w:val="32"/>
          <w:highlight w:val="none"/>
        </w:rPr>
        <w:t>：</w:t>
      </w:r>
      <w:r>
        <w:rPr>
          <w:rFonts w:hint="eastAsia" w:ascii="Times New Roman" w:eastAsia="黑体"/>
          <w:color w:val="auto"/>
          <w:kern w:val="2"/>
          <w:sz w:val="32"/>
          <w:szCs w:val="32"/>
          <w:highlight w:val="none"/>
          <w:u w:val="single"/>
        </w:rPr>
        <w:t xml:space="preserve">  202</w:t>
      </w:r>
      <w:r>
        <w:rPr>
          <w:rFonts w:hint="eastAsia" w:ascii="Times New Roman" w:eastAsia="黑体"/>
          <w:color w:val="auto"/>
          <w:kern w:val="2"/>
          <w:sz w:val="32"/>
          <w:szCs w:val="32"/>
          <w:highlight w:val="none"/>
          <w:u w:val="single"/>
          <w:lang w:val="en-US" w:eastAsia="zh-CN"/>
        </w:rPr>
        <w:t>5</w:t>
      </w:r>
      <w:r>
        <w:rPr>
          <w:rFonts w:hint="eastAsia" w:ascii="Times New Roman" w:eastAsia="黑体"/>
          <w:color w:val="auto"/>
          <w:kern w:val="2"/>
          <w:sz w:val="32"/>
          <w:szCs w:val="32"/>
          <w:highlight w:val="none"/>
          <w:u w:val="single"/>
        </w:rPr>
        <w:t xml:space="preserve">  </w:t>
      </w:r>
      <w:r>
        <w:rPr>
          <w:rFonts w:hint="eastAsia" w:ascii="Times New Roman"/>
          <w:color w:val="auto"/>
          <w:kern w:val="2"/>
          <w:sz w:val="32"/>
          <w:szCs w:val="32"/>
          <w:highlight w:val="none"/>
        </w:rPr>
        <w:t>年</w:t>
      </w:r>
      <w:r>
        <w:rPr>
          <w:rFonts w:hint="eastAsia" w:ascii="Times New Roman" w:eastAsia="黑体"/>
          <w:color w:val="auto"/>
          <w:kern w:val="2"/>
          <w:sz w:val="32"/>
          <w:szCs w:val="32"/>
          <w:highlight w:val="none"/>
          <w:u w:val="single"/>
        </w:rPr>
        <w:t xml:space="preserve">  </w:t>
      </w:r>
      <w:r>
        <w:rPr>
          <w:rFonts w:hint="eastAsia" w:ascii="Times New Roman" w:eastAsia="黑体"/>
          <w:color w:val="auto"/>
          <w:kern w:val="2"/>
          <w:sz w:val="32"/>
          <w:szCs w:val="32"/>
          <w:highlight w:val="none"/>
          <w:u w:val="single"/>
          <w:lang w:val="en-US" w:eastAsia="zh-CN"/>
        </w:rPr>
        <w:t>*</w:t>
      </w:r>
      <w:r>
        <w:rPr>
          <w:rFonts w:hint="eastAsia" w:ascii="Times New Roman" w:eastAsia="黑体"/>
          <w:color w:val="auto"/>
          <w:kern w:val="2"/>
          <w:sz w:val="32"/>
          <w:szCs w:val="32"/>
          <w:highlight w:val="none"/>
          <w:u w:val="single"/>
        </w:rPr>
        <w:t xml:space="preserve"> </w:t>
      </w:r>
      <w:r>
        <w:rPr>
          <w:rFonts w:hint="eastAsia" w:ascii="Times New Roman"/>
          <w:color w:val="auto"/>
          <w:kern w:val="2"/>
          <w:sz w:val="32"/>
          <w:szCs w:val="32"/>
          <w:highlight w:val="none"/>
        </w:rPr>
        <w:t>月</w:t>
      </w:r>
    </w:p>
    <w:p w14:paraId="318A8C03">
      <w:pPr>
        <w:pStyle w:val="15"/>
        <w:spacing w:before="150" w:beforeLines="0" w:beforeAutospacing="0" w:after="150" w:afterLines="0" w:afterAutospacing="0" w:line="560" w:lineRule="atLeast"/>
        <w:jc w:val="center"/>
        <w:rPr>
          <w:rFonts w:hint="eastAsia" w:ascii="Times New Roman" w:hAnsi="Times New Roman" w:cs="Times New Roman"/>
          <w:b/>
          <w:color w:val="auto"/>
          <w:kern w:val="44"/>
          <w:sz w:val="32"/>
          <w:szCs w:val="32"/>
          <w:highlight w:val="none"/>
        </w:rPr>
      </w:pPr>
      <w:r>
        <w:rPr>
          <w:rFonts w:hint="eastAsia" w:ascii="Times New Roman" w:hAnsi="Times New Roman"/>
          <w:b/>
          <w:color w:val="auto"/>
          <w:sz w:val="52"/>
          <w:szCs w:val="52"/>
          <w:highlight w:val="none"/>
        </w:rPr>
        <w:br w:type="page"/>
      </w:r>
      <w:r>
        <w:rPr>
          <w:rFonts w:hint="eastAsia" w:ascii="Times New Roman" w:hAnsi="Times New Roman" w:cs="Times New Roman"/>
          <w:b/>
          <w:color w:val="auto"/>
          <w:kern w:val="44"/>
          <w:sz w:val="32"/>
          <w:szCs w:val="32"/>
          <w:highlight w:val="none"/>
        </w:rPr>
        <w:t>目  录</w:t>
      </w:r>
    </w:p>
    <w:p w14:paraId="3693354D">
      <w:pPr>
        <w:pStyle w:val="13"/>
        <w:tabs>
          <w:tab w:val="right" w:leader="dot" w:pos="8300"/>
        </w:tabs>
        <w:spacing w:beforeLines="0" w:afterLines="0"/>
        <w:rPr>
          <w:rFonts w:hint="default"/>
          <w:color w:val="auto"/>
          <w:sz w:val="20"/>
          <w:szCs w:val="20"/>
          <w:highlight w:val="none"/>
        </w:rPr>
      </w:pPr>
      <w:r>
        <w:rPr>
          <w:rFonts w:hint="eastAsia" w:ascii="宋体" w:hAnsi="宋体" w:cs="宋体"/>
          <w:caps w:val="0"/>
          <w:color w:val="auto"/>
          <w:sz w:val="20"/>
          <w:szCs w:val="20"/>
          <w:highlight w:val="none"/>
        </w:rPr>
        <w:fldChar w:fldCharType="begin"/>
      </w:r>
      <w:r>
        <w:rPr>
          <w:rFonts w:hint="eastAsia" w:ascii="宋体" w:hAnsi="宋体" w:cs="宋体"/>
          <w:caps w:val="0"/>
          <w:color w:val="auto"/>
          <w:sz w:val="20"/>
          <w:szCs w:val="20"/>
          <w:highlight w:val="none"/>
        </w:rPr>
        <w:instrText xml:space="preserve"> TOC \o "1-2" \h \z \u </w:instrText>
      </w:r>
      <w:r>
        <w:rPr>
          <w:rFonts w:hint="eastAsia" w:ascii="宋体" w:hAnsi="宋体" w:cs="宋体"/>
          <w:caps w:val="0"/>
          <w:color w:val="auto"/>
          <w:sz w:val="20"/>
          <w:szCs w:val="20"/>
          <w:highlight w:val="none"/>
        </w:rPr>
        <w:fldChar w:fldCharType="separate"/>
      </w:r>
      <w:r>
        <w:rPr>
          <w:rFonts w:hint="eastAsia" w:ascii="宋体" w:hAnsi="宋体" w:cs="宋体"/>
          <w:caps w:val="0"/>
          <w:color w:val="auto"/>
          <w:sz w:val="20"/>
          <w:szCs w:val="20"/>
          <w:highlight w:val="none"/>
        </w:rPr>
        <w:fldChar w:fldCharType="begin"/>
      </w:r>
      <w:r>
        <w:rPr>
          <w:rFonts w:hint="eastAsia" w:ascii="宋体" w:hAnsi="宋体" w:cs="宋体"/>
          <w:caps w:val="0"/>
          <w:color w:val="auto"/>
          <w:sz w:val="20"/>
          <w:szCs w:val="20"/>
          <w:highlight w:val="none"/>
        </w:rPr>
        <w:instrText xml:space="preserve"> HYPERLINK \l _Toc1346 </w:instrText>
      </w:r>
      <w:r>
        <w:rPr>
          <w:rFonts w:hint="eastAsia" w:ascii="宋体" w:hAnsi="宋体" w:cs="宋体"/>
          <w:caps w:val="0"/>
          <w:color w:val="auto"/>
          <w:sz w:val="20"/>
          <w:szCs w:val="20"/>
          <w:highlight w:val="none"/>
        </w:rPr>
        <w:fldChar w:fldCharType="separate"/>
      </w:r>
      <w:r>
        <w:rPr>
          <w:rFonts w:hint="eastAsia" w:ascii="Times New Roman"/>
          <w:color w:val="auto"/>
          <w:sz w:val="20"/>
          <w:szCs w:val="20"/>
          <w:highlight w:val="none"/>
        </w:rPr>
        <w:t>第一章  招标公告</w:t>
      </w:r>
      <w:r>
        <w:rPr>
          <w:rFonts w:hint="default"/>
          <w:color w:val="auto"/>
          <w:sz w:val="20"/>
          <w:szCs w:val="20"/>
          <w:highlight w:val="none"/>
        </w:rPr>
        <w:tab/>
      </w:r>
      <w:r>
        <w:rPr>
          <w:rFonts w:hint="default"/>
          <w:color w:val="auto"/>
          <w:sz w:val="20"/>
          <w:szCs w:val="20"/>
          <w:highlight w:val="none"/>
        </w:rPr>
        <w:fldChar w:fldCharType="begin"/>
      </w:r>
      <w:r>
        <w:rPr>
          <w:rFonts w:hint="default"/>
          <w:color w:val="auto"/>
          <w:sz w:val="20"/>
          <w:szCs w:val="20"/>
          <w:highlight w:val="none"/>
        </w:rPr>
        <w:instrText xml:space="preserve"> PAGEREF _Toc1346 \h </w:instrText>
      </w:r>
      <w:r>
        <w:rPr>
          <w:rFonts w:hint="default"/>
          <w:color w:val="auto"/>
          <w:sz w:val="20"/>
          <w:szCs w:val="20"/>
          <w:highlight w:val="none"/>
        </w:rPr>
        <w:fldChar w:fldCharType="separate"/>
      </w:r>
      <w:r>
        <w:rPr>
          <w:rFonts w:hint="default"/>
          <w:color w:val="auto"/>
          <w:sz w:val="20"/>
          <w:szCs w:val="20"/>
          <w:highlight w:val="none"/>
        </w:rPr>
        <w:t>3</w:t>
      </w:r>
      <w:r>
        <w:rPr>
          <w:rFonts w:hint="default"/>
          <w:color w:val="auto"/>
          <w:sz w:val="20"/>
          <w:szCs w:val="20"/>
          <w:highlight w:val="none"/>
        </w:rPr>
        <w:fldChar w:fldCharType="end"/>
      </w:r>
      <w:r>
        <w:rPr>
          <w:rFonts w:hint="default"/>
          <w:color w:val="auto"/>
          <w:sz w:val="20"/>
          <w:szCs w:val="20"/>
          <w:highlight w:val="none"/>
        </w:rPr>
        <w:fldChar w:fldCharType="end"/>
      </w:r>
    </w:p>
    <w:p w14:paraId="3ECDE2A4">
      <w:pPr>
        <w:pStyle w:val="13"/>
        <w:tabs>
          <w:tab w:val="right" w:leader="dot" w:pos="8300"/>
        </w:tabs>
        <w:spacing w:beforeLines="0" w:afterLines="0"/>
        <w:rPr>
          <w:rFonts w:hint="eastAsia" w:eastAsia="宋体"/>
          <w:color w:val="auto"/>
          <w:sz w:val="20"/>
          <w:szCs w:val="20"/>
          <w:highlight w:val="none"/>
          <w:lang w:val="en-US" w:eastAsia="zh-CN"/>
        </w:rPr>
      </w:pPr>
      <w:r>
        <w:rPr>
          <w:rFonts w:hint="eastAsia" w:hAnsi="宋体" w:cs="宋体"/>
          <w:color w:val="auto"/>
          <w:sz w:val="20"/>
          <w:szCs w:val="20"/>
          <w:highlight w:val="none"/>
        </w:rPr>
        <w:fldChar w:fldCharType="begin"/>
      </w:r>
      <w:r>
        <w:rPr>
          <w:rFonts w:hint="eastAsia" w:hAnsi="宋体" w:cs="宋体"/>
          <w:color w:val="auto"/>
          <w:sz w:val="20"/>
          <w:szCs w:val="20"/>
          <w:highlight w:val="none"/>
        </w:rPr>
        <w:instrText xml:space="preserve"> HYPERLINK \l _Toc18258 </w:instrText>
      </w:r>
      <w:r>
        <w:rPr>
          <w:rFonts w:hint="eastAsia" w:hAnsi="宋体" w:cs="宋体"/>
          <w:color w:val="auto"/>
          <w:sz w:val="20"/>
          <w:szCs w:val="20"/>
          <w:highlight w:val="none"/>
        </w:rPr>
        <w:fldChar w:fldCharType="separate"/>
      </w:r>
      <w:r>
        <w:rPr>
          <w:rFonts w:hint="eastAsia" w:ascii="Times New Roman"/>
          <w:color w:val="auto"/>
          <w:sz w:val="20"/>
          <w:szCs w:val="20"/>
          <w:highlight w:val="none"/>
        </w:rPr>
        <w:t>第二章  投标人须知</w:t>
      </w:r>
      <w:r>
        <w:rPr>
          <w:rFonts w:hint="default"/>
          <w:color w:val="auto"/>
          <w:sz w:val="20"/>
          <w:szCs w:val="20"/>
          <w:highlight w:val="none"/>
        </w:rPr>
        <w:tab/>
      </w:r>
      <w:r>
        <w:rPr>
          <w:rFonts w:hint="eastAsia"/>
          <w:color w:val="auto"/>
          <w:sz w:val="20"/>
          <w:szCs w:val="20"/>
          <w:highlight w:val="none"/>
          <w:lang w:val="en-US" w:eastAsia="zh-CN"/>
        </w:rPr>
        <w:t>1</w:t>
      </w:r>
      <w:r>
        <w:rPr>
          <w:rFonts w:hint="default"/>
          <w:color w:val="auto"/>
          <w:sz w:val="20"/>
          <w:szCs w:val="20"/>
          <w:highlight w:val="none"/>
        </w:rPr>
        <w:fldChar w:fldCharType="end"/>
      </w:r>
      <w:r>
        <w:rPr>
          <w:rFonts w:hint="eastAsia"/>
          <w:color w:val="auto"/>
          <w:sz w:val="20"/>
          <w:szCs w:val="20"/>
          <w:highlight w:val="none"/>
          <w:lang w:val="en-US" w:eastAsia="zh-CN"/>
        </w:rPr>
        <w:t>1</w:t>
      </w:r>
    </w:p>
    <w:p w14:paraId="57133C91">
      <w:pPr>
        <w:pStyle w:val="13"/>
        <w:tabs>
          <w:tab w:val="right" w:leader="dot" w:pos="8300"/>
        </w:tabs>
        <w:spacing w:beforeLines="0" w:afterLines="0"/>
        <w:rPr>
          <w:rFonts w:hint="default"/>
          <w:color w:val="auto"/>
          <w:sz w:val="20"/>
          <w:szCs w:val="20"/>
          <w:highlight w:val="none"/>
        </w:rPr>
      </w:pPr>
      <w:r>
        <w:rPr>
          <w:rFonts w:hint="eastAsia" w:hAnsi="宋体" w:cs="宋体"/>
          <w:color w:val="auto"/>
          <w:sz w:val="20"/>
          <w:szCs w:val="20"/>
          <w:highlight w:val="none"/>
        </w:rPr>
        <w:fldChar w:fldCharType="begin"/>
      </w:r>
      <w:r>
        <w:rPr>
          <w:rFonts w:hint="eastAsia" w:hAnsi="宋体" w:cs="宋体"/>
          <w:color w:val="auto"/>
          <w:sz w:val="20"/>
          <w:szCs w:val="20"/>
          <w:highlight w:val="none"/>
        </w:rPr>
        <w:instrText xml:space="preserve"> HYPERLINK \l _Toc28924 </w:instrText>
      </w:r>
      <w:r>
        <w:rPr>
          <w:rFonts w:hint="eastAsia" w:hAnsi="宋体" w:cs="宋体"/>
          <w:color w:val="auto"/>
          <w:sz w:val="20"/>
          <w:szCs w:val="20"/>
          <w:highlight w:val="none"/>
        </w:rPr>
        <w:fldChar w:fldCharType="separate"/>
      </w:r>
      <w:r>
        <w:rPr>
          <w:rFonts w:hint="eastAsia" w:ascii="Times New Roman"/>
          <w:color w:val="auto"/>
          <w:sz w:val="20"/>
          <w:szCs w:val="20"/>
          <w:highlight w:val="none"/>
        </w:rPr>
        <w:t>第三章  评标办法</w:t>
      </w:r>
      <w:r>
        <w:rPr>
          <w:rFonts w:hint="default"/>
          <w:color w:val="auto"/>
          <w:sz w:val="20"/>
          <w:szCs w:val="20"/>
          <w:highlight w:val="none"/>
        </w:rPr>
        <w:tab/>
      </w:r>
      <w:r>
        <w:rPr>
          <w:rFonts w:hint="default"/>
          <w:color w:val="auto"/>
          <w:sz w:val="20"/>
          <w:szCs w:val="20"/>
          <w:highlight w:val="none"/>
        </w:rPr>
        <w:fldChar w:fldCharType="begin"/>
      </w:r>
      <w:r>
        <w:rPr>
          <w:rFonts w:hint="default"/>
          <w:color w:val="auto"/>
          <w:sz w:val="20"/>
          <w:szCs w:val="20"/>
          <w:highlight w:val="none"/>
        </w:rPr>
        <w:instrText xml:space="preserve"> PAGEREF _Toc28924 \h </w:instrText>
      </w:r>
      <w:r>
        <w:rPr>
          <w:rFonts w:hint="default"/>
          <w:color w:val="auto"/>
          <w:sz w:val="20"/>
          <w:szCs w:val="20"/>
          <w:highlight w:val="none"/>
        </w:rPr>
        <w:fldChar w:fldCharType="separate"/>
      </w:r>
      <w:r>
        <w:rPr>
          <w:rFonts w:hint="default"/>
          <w:color w:val="auto"/>
          <w:sz w:val="20"/>
          <w:szCs w:val="20"/>
          <w:highlight w:val="none"/>
        </w:rPr>
        <w:t>60</w:t>
      </w:r>
      <w:r>
        <w:rPr>
          <w:rFonts w:hint="default"/>
          <w:color w:val="auto"/>
          <w:sz w:val="20"/>
          <w:szCs w:val="20"/>
          <w:highlight w:val="none"/>
        </w:rPr>
        <w:fldChar w:fldCharType="end"/>
      </w:r>
      <w:r>
        <w:rPr>
          <w:rFonts w:hint="default"/>
          <w:color w:val="auto"/>
          <w:sz w:val="20"/>
          <w:szCs w:val="20"/>
          <w:highlight w:val="none"/>
        </w:rPr>
        <w:fldChar w:fldCharType="end"/>
      </w:r>
    </w:p>
    <w:p w14:paraId="0C890D8C">
      <w:pPr>
        <w:pStyle w:val="13"/>
        <w:tabs>
          <w:tab w:val="right" w:leader="dot" w:pos="8300"/>
        </w:tabs>
        <w:spacing w:beforeLines="0" w:afterLines="0"/>
        <w:rPr>
          <w:rFonts w:hint="default"/>
          <w:color w:val="auto"/>
          <w:sz w:val="20"/>
          <w:szCs w:val="20"/>
          <w:highlight w:val="none"/>
        </w:rPr>
      </w:pPr>
      <w:r>
        <w:rPr>
          <w:rFonts w:hint="eastAsia" w:hAnsi="宋体" w:cs="宋体"/>
          <w:color w:val="auto"/>
          <w:sz w:val="20"/>
          <w:szCs w:val="20"/>
          <w:highlight w:val="none"/>
        </w:rPr>
        <w:fldChar w:fldCharType="begin"/>
      </w:r>
      <w:r>
        <w:rPr>
          <w:rFonts w:hint="eastAsia" w:hAnsi="宋体" w:cs="宋体"/>
          <w:color w:val="auto"/>
          <w:sz w:val="20"/>
          <w:szCs w:val="20"/>
          <w:highlight w:val="none"/>
        </w:rPr>
        <w:instrText xml:space="preserve"> HYPERLINK \l _Toc29359 </w:instrText>
      </w:r>
      <w:r>
        <w:rPr>
          <w:rFonts w:hint="eastAsia" w:hAnsi="宋体" w:cs="宋体"/>
          <w:color w:val="auto"/>
          <w:sz w:val="20"/>
          <w:szCs w:val="20"/>
          <w:highlight w:val="none"/>
        </w:rPr>
        <w:fldChar w:fldCharType="separate"/>
      </w:r>
      <w:r>
        <w:rPr>
          <w:rFonts w:hint="eastAsia" w:ascii="Times New Roman"/>
          <w:color w:val="auto"/>
          <w:sz w:val="20"/>
          <w:szCs w:val="20"/>
          <w:highlight w:val="none"/>
        </w:rPr>
        <w:t>第四章  合同条款及格式</w:t>
      </w:r>
      <w:r>
        <w:rPr>
          <w:rFonts w:hint="default"/>
          <w:color w:val="auto"/>
          <w:sz w:val="20"/>
          <w:szCs w:val="20"/>
          <w:highlight w:val="none"/>
        </w:rPr>
        <w:tab/>
      </w:r>
      <w:r>
        <w:rPr>
          <w:rFonts w:hint="default"/>
          <w:color w:val="auto"/>
          <w:sz w:val="20"/>
          <w:szCs w:val="20"/>
          <w:highlight w:val="none"/>
        </w:rPr>
        <w:fldChar w:fldCharType="begin"/>
      </w:r>
      <w:r>
        <w:rPr>
          <w:rFonts w:hint="default"/>
          <w:color w:val="auto"/>
          <w:sz w:val="20"/>
          <w:szCs w:val="20"/>
          <w:highlight w:val="none"/>
        </w:rPr>
        <w:instrText xml:space="preserve"> PAGEREF _Toc29359 \h </w:instrText>
      </w:r>
      <w:r>
        <w:rPr>
          <w:rFonts w:hint="default"/>
          <w:color w:val="auto"/>
          <w:sz w:val="20"/>
          <w:szCs w:val="20"/>
          <w:highlight w:val="none"/>
        </w:rPr>
        <w:fldChar w:fldCharType="separate"/>
      </w:r>
      <w:r>
        <w:rPr>
          <w:rFonts w:hint="default"/>
          <w:color w:val="auto"/>
          <w:sz w:val="20"/>
          <w:szCs w:val="20"/>
          <w:highlight w:val="none"/>
        </w:rPr>
        <w:t>97</w:t>
      </w:r>
      <w:r>
        <w:rPr>
          <w:rFonts w:hint="default"/>
          <w:color w:val="auto"/>
          <w:sz w:val="20"/>
          <w:szCs w:val="20"/>
          <w:highlight w:val="none"/>
        </w:rPr>
        <w:fldChar w:fldCharType="end"/>
      </w:r>
      <w:r>
        <w:rPr>
          <w:rFonts w:hint="default"/>
          <w:color w:val="auto"/>
          <w:sz w:val="20"/>
          <w:szCs w:val="20"/>
          <w:highlight w:val="none"/>
        </w:rPr>
        <w:fldChar w:fldCharType="end"/>
      </w:r>
    </w:p>
    <w:p w14:paraId="6EADB2BB">
      <w:pPr>
        <w:pStyle w:val="13"/>
        <w:tabs>
          <w:tab w:val="right" w:leader="dot" w:pos="8300"/>
        </w:tabs>
        <w:spacing w:beforeLines="0" w:afterLines="0"/>
        <w:rPr>
          <w:rFonts w:hint="default" w:hAnsi="宋体" w:eastAsia="宋体" w:cs="宋体"/>
          <w:color w:val="auto"/>
          <w:sz w:val="20"/>
          <w:szCs w:val="20"/>
          <w:highlight w:val="none"/>
          <w:lang w:val="en-US" w:eastAsia="zh-CN"/>
        </w:rPr>
      </w:pPr>
      <w:r>
        <w:rPr>
          <w:rFonts w:hint="eastAsia" w:hAnsi="宋体" w:cs="宋体"/>
          <w:color w:val="auto"/>
          <w:sz w:val="20"/>
          <w:szCs w:val="20"/>
          <w:highlight w:val="none"/>
        </w:rPr>
        <w:fldChar w:fldCharType="begin"/>
      </w:r>
      <w:r>
        <w:rPr>
          <w:rFonts w:hint="eastAsia" w:hAnsi="宋体" w:cs="宋体"/>
          <w:color w:val="auto"/>
          <w:sz w:val="20"/>
          <w:szCs w:val="20"/>
          <w:highlight w:val="none"/>
        </w:rPr>
        <w:instrText xml:space="preserve"> HYPERLINK \l _Toc12794 </w:instrText>
      </w:r>
      <w:r>
        <w:rPr>
          <w:rFonts w:hint="eastAsia" w:hAnsi="宋体" w:cs="宋体"/>
          <w:color w:val="auto"/>
          <w:sz w:val="20"/>
          <w:szCs w:val="20"/>
          <w:highlight w:val="none"/>
        </w:rPr>
        <w:fldChar w:fldCharType="separate"/>
      </w:r>
      <w:r>
        <w:rPr>
          <w:rFonts w:hint="eastAsia" w:ascii="Times New Roman"/>
          <w:color w:val="auto"/>
          <w:sz w:val="20"/>
          <w:szCs w:val="20"/>
          <w:highlight w:val="none"/>
        </w:rPr>
        <w:t>第五章  工程量清单</w:t>
      </w:r>
      <w:r>
        <w:rPr>
          <w:rFonts w:hint="default"/>
          <w:color w:val="auto"/>
          <w:sz w:val="20"/>
          <w:szCs w:val="20"/>
          <w:highlight w:val="none"/>
        </w:rPr>
        <w:tab/>
      </w:r>
      <w:r>
        <w:rPr>
          <w:rFonts w:hint="default"/>
          <w:color w:val="auto"/>
          <w:sz w:val="20"/>
          <w:szCs w:val="20"/>
          <w:highlight w:val="none"/>
        </w:rPr>
        <w:fldChar w:fldCharType="end"/>
      </w:r>
      <w:r>
        <w:rPr>
          <w:rFonts w:hint="eastAsia" w:hAnsi="宋体" w:cs="宋体"/>
          <w:color w:val="auto"/>
          <w:sz w:val="20"/>
          <w:szCs w:val="20"/>
          <w:highlight w:val="none"/>
        </w:rPr>
        <w:t>1</w:t>
      </w:r>
      <w:r>
        <w:rPr>
          <w:rFonts w:hint="eastAsia" w:hAnsi="宋体" w:cs="宋体"/>
          <w:color w:val="auto"/>
          <w:sz w:val="20"/>
          <w:szCs w:val="20"/>
          <w:highlight w:val="none"/>
          <w:lang w:val="en-US" w:eastAsia="zh-CN"/>
        </w:rPr>
        <w:t>60</w:t>
      </w:r>
    </w:p>
    <w:p w14:paraId="00839965">
      <w:pPr>
        <w:pStyle w:val="13"/>
        <w:tabs>
          <w:tab w:val="right" w:leader="dot" w:pos="8300"/>
        </w:tabs>
        <w:spacing w:beforeLines="0" w:afterLines="0"/>
        <w:rPr>
          <w:rFonts w:hint="default"/>
          <w:color w:val="auto"/>
          <w:sz w:val="20"/>
          <w:szCs w:val="20"/>
          <w:highlight w:val="none"/>
        </w:rPr>
      </w:pPr>
      <w:r>
        <w:rPr>
          <w:rFonts w:hint="eastAsia" w:hAnsi="宋体" w:cs="宋体"/>
          <w:color w:val="auto"/>
          <w:sz w:val="20"/>
          <w:szCs w:val="20"/>
          <w:highlight w:val="none"/>
        </w:rPr>
        <w:fldChar w:fldCharType="begin"/>
      </w:r>
      <w:r>
        <w:rPr>
          <w:rFonts w:hint="eastAsia" w:hAnsi="宋体" w:cs="宋体"/>
          <w:color w:val="auto"/>
          <w:sz w:val="20"/>
          <w:szCs w:val="20"/>
          <w:highlight w:val="none"/>
        </w:rPr>
        <w:instrText xml:space="preserve"> HYPERLINK \l _Toc13754 </w:instrText>
      </w:r>
      <w:r>
        <w:rPr>
          <w:rFonts w:hint="eastAsia" w:hAnsi="宋体" w:cs="宋体"/>
          <w:color w:val="auto"/>
          <w:sz w:val="20"/>
          <w:szCs w:val="20"/>
          <w:highlight w:val="none"/>
        </w:rPr>
        <w:fldChar w:fldCharType="separate"/>
      </w:r>
      <w:r>
        <w:rPr>
          <w:rFonts w:hint="eastAsia" w:ascii="Times New Roman"/>
          <w:color w:val="auto"/>
          <w:sz w:val="20"/>
          <w:szCs w:val="20"/>
          <w:highlight w:val="none"/>
        </w:rPr>
        <w:t>第六章  图纸</w:t>
      </w:r>
      <w:r>
        <w:rPr>
          <w:rFonts w:hint="default"/>
          <w:color w:val="auto"/>
          <w:sz w:val="20"/>
          <w:szCs w:val="20"/>
          <w:highlight w:val="none"/>
        </w:rPr>
        <w:tab/>
      </w:r>
      <w:r>
        <w:rPr>
          <w:rFonts w:hint="default"/>
          <w:color w:val="auto"/>
          <w:sz w:val="20"/>
          <w:szCs w:val="20"/>
          <w:highlight w:val="none"/>
        </w:rPr>
        <w:fldChar w:fldCharType="begin"/>
      </w:r>
      <w:r>
        <w:rPr>
          <w:rFonts w:hint="default"/>
          <w:color w:val="auto"/>
          <w:sz w:val="20"/>
          <w:szCs w:val="20"/>
          <w:highlight w:val="none"/>
        </w:rPr>
        <w:instrText xml:space="preserve"> PAGEREF _Toc13754 \h </w:instrText>
      </w:r>
      <w:r>
        <w:rPr>
          <w:rFonts w:hint="default"/>
          <w:color w:val="auto"/>
          <w:sz w:val="20"/>
          <w:szCs w:val="20"/>
          <w:highlight w:val="none"/>
        </w:rPr>
        <w:fldChar w:fldCharType="separate"/>
      </w:r>
      <w:r>
        <w:rPr>
          <w:rFonts w:hint="default"/>
          <w:color w:val="auto"/>
          <w:sz w:val="20"/>
          <w:szCs w:val="20"/>
          <w:highlight w:val="none"/>
        </w:rPr>
        <w:t>166</w:t>
      </w:r>
      <w:r>
        <w:rPr>
          <w:rFonts w:hint="default"/>
          <w:color w:val="auto"/>
          <w:sz w:val="20"/>
          <w:szCs w:val="20"/>
          <w:highlight w:val="none"/>
        </w:rPr>
        <w:fldChar w:fldCharType="end"/>
      </w:r>
      <w:r>
        <w:rPr>
          <w:rFonts w:hint="default"/>
          <w:color w:val="auto"/>
          <w:sz w:val="20"/>
          <w:szCs w:val="20"/>
          <w:highlight w:val="none"/>
        </w:rPr>
        <w:fldChar w:fldCharType="end"/>
      </w:r>
    </w:p>
    <w:p w14:paraId="3B6FA8FB">
      <w:pPr>
        <w:pStyle w:val="13"/>
        <w:tabs>
          <w:tab w:val="right" w:leader="dot" w:pos="8300"/>
        </w:tabs>
        <w:spacing w:beforeLines="0" w:afterLines="0"/>
        <w:rPr>
          <w:rFonts w:hint="default"/>
          <w:color w:val="auto"/>
          <w:sz w:val="20"/>
          <w:szCs w:val="20"/>
          <w:highlight w:val="none"/>
        </w:rPr>
      </w:pPr>
      <w:r>
        <w:rPr>
          <w:rFonts w:hint="eastAsia" w:hAnsi="宋体" w:cs="宋体"/>
          <w:color w:val="auto"/>
          <w:sz w:val="20"/>
          <w:szCs w:val="20"/>
          <w:highlight w:val="none"/>
        </w:rPr>
        <w:fldChar w:fldCharType="begin"/>
      </w:r>
      <w:r>
        <w:rPr>
          <w:rFonts w:hint="eastAsia" w:hAnsi="宋体" w:cs="宋体"/>
          <w:color w:val="auto"/>
          <w:sz w:val="20"/>
          <w:szCs w:val="20"/>
          <w:highlight w:val="none"/>
        </w:rPr>
        <w:instrText xml:space="preserve"> HYPERLINK \l _Toc26003 </w:instrText>
      </w:r>
      <w:r>
        <w:rPr>
          <w:rFonts w:hint="eastAsia" w:hAnsi="宋体" w:cs="宋体"/>
          <w:color w:val="auto"/>
          <w:sz w:val="20"/>
          <w:szCs w:val="20"/>
          <w:highlight w:val="none"/>
        </w:rPr>
        <w:fldChar w:fldCharType="separate"/>
      </w:r>
      <w:r>
        <w:rPr>
          <w:rFonts w:hint="eastAsia" w:ascii="Times New Roman"/>
          <w:color w:val="auto"/>
          <w:sz w:val="20"/>
          <w:szCs w:val="20"/>
          <w:highlight w:val="none"/>
        </w:rPr>
        <w:t>第七章  技术标准和要求</w:t>
      </w:r>
      <w:r>
        <w:rPr>
          <w:rFonts w:hint="default"/>
          <w:color w:val="auto"/>
          <w:sz w:val="20"/>
          <w:szCs w:val="20"/>
          <w:highlight w:val="none"/>
        </w:rPr>
        <w:tab/>
      </w:r>
      <w:r>
        <w:rPr>
          <w:rFonts w:hint="default"/>
          <w:color w:val="auto"/>
          <w:sz w:val="20"/>
          <w:szCs w:val="20"/>
          <w:highlight w:val="none"/>
        </w:rPr>
        <w:fldChar w:fldCharType="begin"/>
      </w:r>
      <w:r>
        <w:rPr>
          <w:rFonts w:hint="default"/>
          <w:color w:val="auto"/>
          <w:sz w:val="20"/>
          <w:szCs w:val="20"/>
          <w:highlight w:val="none"/>
        </w:rPr>
        <w:instrText xml:space="preserve"> PAGEREF _Toc26003 \h </w:instrText>
      </w:r>
      <w:r>
        <w:rPr>
          <w:rFonts w:hint="default"/>
          <w:color w:val="auto"/>
          <w:sz w:val="20"/>
          <w:szCs w:val="20"/>
          <w:highlight w:val="none"/>
        </w:rPr>
        <w:fldChar w:fldCharType="separate"/>
      </w:r>
      <w:r>
        <w:rPr>
          <w:rFonts w:hint="default"/>
          <w:color w:val="auto"/>
          <w:sz w:val="20"/>
          <w:szCs w:val="20"/>
          <w:highlight w:val="none"/>
        </w:rPr>
        <w:t>167</w:t>
      </w:r>
      <w:r>
        <w:rPr>
          <w:rFonts w:hint="default"/>
          <w:color w:val="auto"/>
          <w:sz w:val="20"/>
          <w:szCs w:val="20"/>
          <w:highlight w:val="none"/>
        </w:rPr>
        <w:fldChar w:fldCharType="end"/>
      </w:r>
      <w:r>
        <w:rPr>
          <w:rFonts w:hint="default"/>
          <w:color w:val="auto"/>
          <w:sz w:val="20"/>
          <w:szCs w:val="20"/>
          <w:highlight w:val="none"/>
        </w:rPr>
        <w:fldChar w:fldCharType="end"/>
      </w:r>
    </w:p>
    <w:p w14:paraId="423B1053">
      <w:pPr>
        <w:pStyle w:val="13"/>
        <w:tabs>
          <w:tab w:val="right" w:leader="dot" w:pos="8300"/>
        </w:tabs>
        <w:spacing w:beforeLines="0" w:afterLines="0"/>
        <w:rPr>
          <w:rFonts w:hint="default"/>
          <w:color w:val="auto"/>
          <w:sz w:val="20"/>
          <w:szCs w:val="20"/>
          <w:highlight w:val="none"/>
        </w:rPr>
      </w:pPr>
      <w:r>
        <w:rPr>
          <w:rFonts w:hint="eastAsia" w:hAnsi="宋体" w:cs="宋体"/>
          <w:color w:val="auto"/>
          <w:sz w:val="20"/>
          <w:szCs w:val="20"/>
          <w:highlight w:val="none"/>
        </w:rPr>
        <w:fldChar w:fldCharType="begin"/>
      </w:r>
      <w:r>
        <w:rPr>
          <w:rFonts w:hint="eastAsia" w:hAnsi="宋体" w:cs="宋体"/>
          <w:color w:val="auto"/>
          <w:sz w:val="20"/>
          <w:szCs w:val="20"/>
          <w:highlight w:val="none"/>
        </w:rPr>
        <w:instrText xml:space="preserve"> HYPERLINK \l _Toc32332 </w:instrText>
      </w:r>
      <w:r>
        <w:rPr>
          <w:rFonts w:hint="eastAsia" w:hAnsi="宋体" w:cs="宋体"/>
          <w:color w:val="auto"/>
          <w:sz w:val="20"/>
          <w:szCs w:val="20"/>
          <w:highlight w:val="none"/>
        </w:rPr>
        <w:fldChar w:fldCharType="separate"/>
      </w:r>
      <w:r>
        <w:rPr>
          <w:rFonts w:hint="eastAsia" w:ascii="Times New Roman"/>
          <w:color w:val="auto"/>
          <w:sz w:val="20"/>
          <w:szCs w:val="20"/>
          <w:highlight w:val="none"/>
        </w:rPr>
        <w:t>第八章  投标文件格式</w:t>
      </w:r>
      <w:r>
        <w:rPr>
          <w:rFonts w:hint="default"/>
          <w:color w:val="auto"/>
          <w:sz w:val="20"/>
          <w:szCs w:val="20"/>
          <w:highlight w:val="none"/>
        </w:rPr>
        <w:tab/>
      </w:r>
      <w:r>
        <w:rPr>
          <w:rFonts w:hint="default"/>
          <w:color w:val="auto"/>
          <w:sz w:val="20"/>
          <w:szCs w:val="20"/>
          <w:highlight w:val="none"/>
        </w:rPr>
        <w:fldChar w:fldCharType="begin"/>
      </w:r>
      <w:r>
        <w:rPr>
          <w:rFonts w:hint="default"/>
          <w:color w:val="auto"/>
          <w:sz w:val="20"/>
          <w:szCs w:val="20"/>
          <w:highlight w:val="none"/>
        </w:rPr>
        <w:instrText xml:space="preserve"> PAGEREF _Toc32332 \h </w:instrText>
      </w:r>
      <w:r>
        <w:rPr>
          <w:rFonts w:hint="default"/>
          <w:color w:val="auto"/>
          <w:sz w:val="20"/>
          <w:szCs w:val="20"/>
          <w:highlight w:val="none"/>
        </w:rPr>
        <w:fldChar w:fldCharType="separate"/>
      </w:r>
      <w:r>
        <w:rPr>
          <w:rFonts w:hint="default"/>
          <w:color w:val="auto"/>
          <w:sz w:val="20"/>
          <w:szCs w:val="20"/>
          <w:highlight w:val="none"/>
        </w:rPr>
        <w:t>175</w:t>
      </w:r>
      <w:r>
        <w:rPr>
          <w:rFonts w:hint="default"/>
          <w:color w:val="auto"/>
          <w:sz w:val="20"/>
          <w:szCs w:val="20"/>
          <w:highlight w:val="none"/>
        </w:rPr>
        <w:fldChar w:fldCharType="end"/>
      </w:r>
      <w:r>
        <w:rPr>
          <w:rFonts w:hint="default"/>
          <w:color w:val="auto"/>
          <w:sz w:val="20"/>
          <w:szCs w:val="20"/>
          <w:highlight w:val="none"/>
        </w:rPr>
        <w:fldChar w:fldCharType="end"/>
      </w:r>
    </w:p>
    <w:p w14:paraId="2744D57C">
      <w:pPr>
        <w:pStyle w:val="13"/>
        <w:tabs>
          <w:tab w:val="right" w:leader="dot" w:pos="8300"/>
        </w:tabs>
        <w:spacing w:beforeLines="0" w:afterLines="0"/>
        <w:rPr>
          <w:rFonts w:hint="eastAsia" w:ascii="宋体" w:hAnsi="宋体" w:cs="宋体"/>
          <w:color w:val="auto"/>
          <w:kern w:val="44"/>
          <w:sz w:val="32"/>
          <w:szCs w:val="20"/>
          <w:highlight w:val="none"/>
        </w:rPr>
      </w:pPr>
      <w:r>
        <w:rPr>
          <w:rFonts w:hint="default"/>
          <w:color w:val="auto"/>
          <w:sz w:val="20"/>
          <w:szCs w:val="20"/>
          <w:highlight w:val="none"/>
        </w:rPr>
        <w:fldChar w:fldCharType="end"/>
      </w:r>
      <w:bookmarkStart w:id="0" w:name="_Toc1346"/>
    </w:p>
    <w:p w14:paraId="47EAD647">
      <w:pPr>
        <w:pStyle w:val="2"/>
        <w:spacing w:before="240" w:beforeLines="100" w:after="240" w:afterLines="100" w:line="240" w:lineRule="auto"/>
        <w:jc w:val="center"/>
        <w:rPr>
          <w:rFonts w:hint="eastAsia" w:ascii="Times New Roman"/>
          <w:color w:val="auto"/>
          <w:sz w:val="32"/>
          <w:szCs w:val="44"/>
          <w:highlight w:val="none"/>
        </w:rPr>
      </w:pPr>
      <w:r>
        <w:rPr>
          <w:rFonts w:hint="eastAsia" w:ascii="Times New Roman" w:eastAsia="黑体"/>
          <w:color w:val="auto"/>
          <w:sz w:val="32"/>
          <w:szCs w:val="44"/>
          <w:highlight w:val="none"/>
        </w:rPr>
        <w:br w:type="page"/>
      </w:r>
      <w:r>
        <w:rPr>
          <w:rFonts w:hint="eastAsia" w:ascii="Times New Roman"/>
          <w:color w:val="auto"/>
          <w:sz w:val="32"/>
          <w:szCs w:val="44"/>
          <w:highlight w:val="none"/>
        </w:rPr>
        <w:t>第一章  招标公告</w:t>
      </w:r>
      <w:bookmarkEnd w:id="0"/>
    </w:p>
    <w:p w14:paraId="24F82E38">
      <w:pPr>
        <w:keepNext w:val="0"/>
        <w:keepLines w:val="0"/>
        <w:widowControl/>
        <w:suppressLineNumbers w:val="0"/>
        <w:shd w:val="clear" w:fill="FFFFFF"/>
        <w:spacing w:before="0" w:beforeAutospacing="0" w:after="0" w:afterAutospacing="0" w:line="560" w:lineRule="exact"/>
        <w:ind w:left="0" w:right="0"/>
        <w:jc w:val="center"/>
        <w:outlineLvl w:val="0"/>
        <w:rPr>
          <w:color w:val="auto"/>
          <w:highlight w:val="none"/>
        </w:rPr>
      </w:pPr>
      <w:bookmarkStart w:id="1" w:name="_Toc18258"/>
      <w:bookmarkStart w:id="2" w:name="_Toc144974497"/>
      <w:bookmarkStart w:id="3" w:name="_Toc152045529"/>
      <w:bookmarkStart w:id="4" w:name="_Toc26865"/>
      <w:bookmarkStart w:id="5" w:name="_Toc38879324"/>
      <w:bookmarkStart w:id="6" w:name="_Toc179632546"/>
      <w:bookmarkStart w:id="7" w:name="_Toc152042305"/>
      <w:r>
        <w:rPr>
          <w:rFonts w:hint="eastAsia" w:hAnsi="宋体" w:cs="宋体"/>
          <w:b/>
          <w:bCs/>
          <w:color w:val="auto"/>
          <w:kern w:val="0"/>
          <w:sz w:val="44"/>
          <w:szCs w:val="44"/>
          <w:highlight w:val="none"/>
          <w:shd w:val="clear" w:fill="FFFFFF"/>
          <w:lang w:val="en-US" w:eastAsia="zh-CN" w:bidi="ar"/>
        </w:rPr>
        <w:t>2025年度严店镇10个美丽宜居自然村（较大自然村整治提升）建设项目</w:t>
      </w:r>
      <w:r>
        <w:rPr>
          <w:rFonts w:hint="eastAsia" w:ascii="宋体" w:hAnsi="宋体" w:eastAsia="宋体" w:cs="宋体"/>
          <w:b/>
          <w:bCs/>
          <w:color w:val="auto"/>
          <w:kern w:val="0"/>
          <w:sz w:val="44"/>
          <w:szCs w:val="44"/>
          <w:highlight w:val="none"/>
          <w:shd w:val="clear" w:fill="FFFFFF"/>
          <w:lang w:val="en-US" w:eastAsia="zh-CN" w:bidi="ar"/>
        </w:rPr>
        <w:t>招标公告</w:t>
      </w:r>
      <w:r>
        <w:rPr>
          <w:rFonts w:hint="eastAsia" w:ascii="宋体" w:hAnsi="宋体" w:eastAsia="宋体" w:cs="宋体"/>
          <w:color w:val="auto"/>
          <w:kern w:val="0"/>
          <w:sz w:val="24"/>
          <w:szCs w:val="24"/>
          <w:highlight w:val="none"/>
          <w:shd w:val="clear" w:fill="FFFFFF"/>
          <w:lang w:val="en-US" w:eastAsia="zh-CN" w:bidi="ar"/>
        </w:rPr>
        <w:t xml:space="preserve"> </w:t>
      </w:r>
    </w:p>
    <w:p w14:paraId="2264B219">
      <w:pPr>
        <w:keepNext w:val="0"/>
        <w:keepLines w:val="0"/>
        <w:widowControl/>
        <w:suppressLineNumbers w:val="0"/>
        <w:spacing w:before="0" w:beforeAutospacing="0" w:after="0" w:afterAutospacing="0" w:line="560" w:lineRule="exact"/>
        <w:ind w:left="0" w:right="0" w:firstLine="0" w:firstLineChars="0"/>
        <w:jc w:val="left"/>
        <w:rPr>
          <w:color w:val="auto"/>
          <w:highlight w:val="none"/>
        </w:rPr>
      </w:pPr>
      <w:r>
        <w:rPr>
          <w:rFonts w:hint="eastAsia" w:ascii="黑体" w:hAnsi="宋体" w:eastAsia="黑体" w:cs="黑体"/>
          <w:color w:val="auto"/>
          <w:kern w:val="0"/>
          <w:sz w:val="28"/>
          <w:szCs w:val="28"/>
          <w:highlight w:val="none"/>
          <w:lang w:val="en-US" w:eastAsia="zh-CN" w:bidi="ar"/>
        </w:rPr>
        <w:t> </w:t>
      </w:r>
      <w:r>
        <w:rPr>
          <w:rFonts w:hint="eastAsia" w:ascii="宋体" w:hAnsi="宋体" w:eastAsia="宋体" w:cs="宋体"/>
          <w:color w:val="auto"/>
          <w:kern w:val="0"/>
          <w:sz w:val="24"/>
          <w:szCs w:val="24"/>
          <w:highlight w:val="none"/>
          <w:lang w:val="en-US" w:eastAsia="zh-CN" w:bidi="ar"/>
        </w:rPr>
        <w:t xml:space="preserve"> </w:t>
      </w:r>
    </w:p>
    <w:p w14:paraId="2B4F3CE5">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1. 招标条件</w:t>
      </w:r>
      <w:r>
        <w:rPr>
          <w:rFonts w:hint="eastAsia" w:ascii="宋体" w:hAnsi="宋体" w:eastAsia="宋体" w:cs="宋体"/>
          <w:color w:val="auto"/>
          <w:kern w:val="0"/>
          <w:sz w:val="24"/>
          <w:szCs w:val="24"/>
          <w:highlight w:val="none"/>
          <w:lang w:val="en-US" w:eastAsia="zh-CN" w:bidi="ar"/>
        </w:rPr>
        <w:t xml:space="preserve"> </w:t>
      </w:r>
    </w:p>
    <w:p w14:paraId="0C781B08">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1.1 项目名称：2025年度严店镇10个美丽宜居自然村（较大自然村整治提升）建设项目</w:t>
      </w:r>
      <w:r>
        <w:rPr>
          <w:rFonts w:hint="eastAsia" w:ascii="宋体" w:hAnsi="宋体" w:eastAsia="宋体" w:cs="宋体"/>
          <w:color w:val="auto"/>
          <w:kern w:val="0"/>
          <w:sz w:val="24"/>
          <w:szCs w:val="24"/>
          <w:highlight w:val="none"/>
          <w:lang w:val="en-US" w:eastAsia="zh-CN" w:bidi="ar"/>
        </w:rPr>
        <w:t xml:space="preserve"> </w:t>
      </w:r>
    </w:p>
    <w:p w14:paraId="21308775">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1.2 项目审批、核准或备案机关名称：肥西县发展和改革委员会</w:t>
      </w:r>
      <w:r>
        <w:rPr>
          <w:rFonts w:hint="eastAsia" w:ascii="宋体" w:hAnsi="宋体" w:eastAsia="宋体" w:cs="宋体"/>
          <w:color w:val="auto"/>
          <w:kern w:val="0"/>
          <w:sz w:val="24"/>
          <w:szCs w:val="24"/>
          <w:highlight w:val="none"/>
          <w:lang w:val="en-US" w:eastAsia="zh-CN" w:bidi="ar"/>
        </w:rPr>
        <w:t xml:space="preserve"> </w:t>
      </w:r>
    </w:p>
    <w:p w14:paraId="77757EA9">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 xml:space="preserve">1.3 批文名称及编号：关于2025年度严店镇10个美丽宜居自然村（较大自然村整治提升）建设项目立项的批复，2506-340123-04-05-70087 </w:t>
      </w:r>
    </w:p>
    <w:p w14:paraId="17E4A584">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1.4 招标人：肥西县严店镇人民政府</w:t>
      </w:r>
      <w:r>
        <w:rPr>
          <w:rFonts w:hint="eastAsia" w:ascii="宋体" w:hAnsi="宋体" w:eastAsia="宋体" w:cs="宋体"/>
          <w:color w:val="auto"/>
          <w:kern w:val="0"/>
          <w:sz w:val="24"/>
          <w:szCs w:val="24"/>
          <w:highlight w:val="none"/>
          <w:lang w:val="en-US" w:eastAsia="zh-CN" w:bidi="ar"/>
        </w:rPr>
        <w:t xml:space="preserve"> </w:t>
      </w:r>
    </w:p>
    <w:p w14:paraId="50D1413D">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1.5 项目业主：肥西县严店镇人民政府</w:t>
      </w:r>
      <w:r>
        <w:rPr>
          <w:rFonts w:hint="eastAsia" w:ascii="宋体" w:hAnsi="宋体" w:eastAsia="宋体" w:cs="宋体"/>
          <w:color w:val="auto"/>
          <w:kern w:val="0"/>
          <w:sz w:val="24"/>
          <w:szCs w:val="24"/>
          <w:highlight w:val="none"/>
          <w:lang w:val="en-US" w:eastAsia="zh-CN" w:bidi="ar"/>
        </w:rPr>
        <w:t xml:space="preserve"> </w:t>
      </w:r>
    </w:p>
    <w:p w14:paraId="0A903397">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1.6 资金来源：财政资金</w:t>
      </w:r>
      <w:r>
        <w:rPr>
          <w:rFonts w:hint="eastAsia" w:ascii="宋体" w:hAnsi="宋体" w:eastAsia="宋体" w:cs="宋体"/>
          <w:color w:val="auto"/>
          <w:kern w:val="0"/>
          <w:sz w:val="24"/>
          <w:szCs w:val="24"/>
          <w:highlight w:val="none"/>
          <w:lang w:val="en-US" w:eastAsia="zh-CN" w:bidi="ar"/>
        </w:rPr>
        <w:t xml:space="preserve"> </w:t>
      </w:r>
    </w:p>
    <w:p w14:paraId="617DDA3F">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1.7 项目出资比例：100%</w:t>
      </w:r>
      <w:r>
        <w:rPr>
          <w:rFonts w:hint="eastAsia" w:ascii="宋体" w:hAnsi="宋体" w:eastAsia="宋体" w:cs="宋体"/>
          <w:color w:val="auto"/>
          <w:kern w:val="0"/>
          <w:sz w:val="24"/>
          <w:szCs w:val="24"/>
          <w:highlight w:val="none"/>
          <w:lang w:val="en-US" w:eastAsia="zh-CN" w:bidi="ar"/>
        </w:rPr>
        <w:t xml:space="preserve"> </w:t>
      </w:r>
    </w:p>
    <w:p w14:paraId="6849178B">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1.8 资金落实情况: 已落实</w:t>
      </w:r>
      <w:r>
        <w:rPr>
          <w:rFonts w:hint="eastAsia" w:ascii="宋体" w:hAnsi="宋体" w:eastAsia="宋体" w:cs="宋体"/>
          <w:color w:val="auto"/>
          <w:kern w:val="0"/>
          <w:sz w:val="24"/>
          <w:szCs w:val="24"/>
          <w:highlight w:val="none"/>
          <w:lang w:val="en-US" w:eastAsia="zh-CN" w:bidi="ar"/>
        </w:rPr>
        <w:t xml:space="preserve"> </w:t>
      </w:r>
    </w:p>
    <w:p w14:paraId="56C7A061">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2. 项目概况与招标范围</w:t>
      </w:r>
      <w:r>
        <w:rPr>
          <w:rFonts w:hint="eastAsia" w:ascii="宋体" w:hAnsi="宋体" w:eastAsia="宋体" w:cs="宋体"/>
          <w:color w:val="auto"/>
          <w:kern w:val="0"/>
          <w:sz w:val="24"/>
          <w:szCs w:val="24"/>
          <w:highlight w:val="none"/>
          <w:lang w:val="en-US" w:eastAsia="zh-CN" w:bidi="ar"/>
        </w:rPr>
        <w:t xml:space="preserve"> </w:t>
      </w:r>
    </w:p>
    <w:p w14:paraId="5BA78B9C">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2.1 招标项目名称：2025年度严店镇10个美丽宜居自然村（较大自然村整治提升）建设项目</w:t>
      </w:r>
      <w:r>
        <w:rPr>
          <w:rFonts w:hint="eastAsia" w:ascii="宋体" w:hAnsi="宋体" w:eastAsia="宋体" w:cs="宋体"/>
          <w:color w:val="auto"/>
          <w:kern w:val="0"/>
          <w:sz w:val="24"/>
          <w:szCs w:val="24"/>
          <w:highlight w:val="none"/>
          <w:lang w:val="en-US" w:eastAsia="zh-CN" w:bidi="ar"/>
        </w:rPr>
        <w:t xml:space="preserve"> </w:t>
      </w:r>
    </w:p>
    <w:p w14:paraId="05155E3D">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2.2 招标项目编号：**********</w:t>
      </w:r>
      <w:r>
        <w:rPr>
          <w:rFonts w:hint="eastAsia" w:ascii="宋体" w:hAnsi="宋体" w:eastAsia="宋体" w:cs="宋体"/>
          <w:color w:val="auto"/>
          <w:kern w:val="0"/>
          <w:sz w:val="24"/>
          <w:szCs w:val="24"/>
          <w:highlight w:val="none"/>
          <w:lang w:val="en-US" w:eastAsia="zh-CN" w:bidi="ar"/>
        </w:rPr>
        <w:t xml:space="preserve"> </w:t>
      </w:r>
    </w:p>
    <w:p w14:paraId="20FF8127">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2.3 标段划分：本招标项目共划分1个标段。</w:t>
      </w:r>
      <w:r>
        <w:rPr>
          <w:rFonts w:hint="eastAsia" w:ascii="宋体" w:hAnsi="宋体" w:eastAsia="宋体" w:cs="宋体"/>
          <w:color w:val="auto"/>
          <w:kern w:val="0"/>
          <w:sz w:val="24"/>
          <w:szCs w:val="24"/>
          <w:highlight w:val="none"/>
          <w:lang w:val="en-US" w:eastAsia="zh-CN" w:bidi="ar"/>
        </w:rPr>
        <w:t xml:space="preserve"> </w:t>
      </w:r>
    </w:p>
    <w:p w14:paraId="03B0954D">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2.4 招标项目标段编号：**********</w:t>
      </w:r>
      <w:r>
        <w:rPr>
          <w:rFonts w:hint="eastAsia" w:ascii="宋体" w:hAnsi="宋体" w:eastAsia="宋体" w:cs="宋体"/>
          <w:color w:val="auto"/>
          <w:kern w:val="0"/>
          <w:sz w:val="24"/>
          <w:szCs w:val="24"/>
          <w:highlight w:val="none"/>
          <w:lang w:val="en-US" w:eastAsia="zh-CN" w:bidi="ar"/>
        </w:rPr>
        <w:t xml:space="preserve"> </w:t>
      </w:r>
    </w:p>
    <w:p w14:paraId="54EB4AF4">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2.5 建设地点：安徽省合肥市肥西县</w:t>
      </w:r>
      <w:r>
        <w:rPr>
          <w:rFonts w:hint="eastAsia" w:ascii="宋体" w:hAnsi="宋体" w:eastAsia="宋体" w:cs="宋体"/>
          <w:color w:val="auto"/>
          <w:kern w:val="0"/>
          <w:sz w:val="24"/>
          <w:szCs w:val="24"/>
          <w:highlight w:val="none"/>
          <w:lang w:val="en-US" w:eastAsia="zh-CN" w:bidi="ar"/>
        </w:rPr>
        <w:t xml:space="preserve"> </w:t>
      </w:r>
    </w:p>
    <w:p w14:paraId="5A52760E">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2.6 建设规模：本项目为对严店镇10个美丽宜居较大自然村环境提升，主要对农村生活污水进行统一收集和处理，铺设污水管网、建设生态池、一体化污水处理设备等，对农村生活垃圾进行统一收集和外运，开展旱厕改造，铺设入户路，修建健身小广场，整治微小菜园，安装太阳能路灯，清理沟塘，整治房前屋后卫生，建立管护机制等，达到整洁干净、美丽宜居的农村村庄环境。具体详见招标文件、清单、图纸及答疑等文件。</w:t>
      </w:r>
      <w:r>
        <w:rPr>
          <w:rFonts w:hint="eastAsia" w:ascii="宋体" w:hAnsi="宋体" w:eastAsia="宋体" w:cs="宋体"/>
          <w:color w:val="auto"/>
          <w:kern w:val="0"/>
          <w:sz w:val="24"/>
          <w:szCs w:val="24"/>
          <w:highlight w:val="none"/>
          <w:lang w:val="en-US" w:eastAsia="zh-CN" w:bidi="ar"/>
        </w:rPr>
        <w:t xml:space="preserve"> </w:t>
      </w:r>
    </w:p>
    <w:p w14:paraId="5C194267">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2.7 合同估算价：650.0万元</w:t>
      </w:r>
      <w:r>
        <w:rPr>
          <w:rFonts w:hint="eastAsia" w:ascii="宋体" w:hAnsi="宋体" w:eastAsia="宋体" w:cs="宋体"/>
          <w:color w:val="auto"/>
          <w:kern w:val="0"/>
          <w:sz w:val="24"/>
          <w:szCs w:val="24"/>
          <w:highlight w:val="none"/>
          <w:lang w:val="en-US" w:eastAsia="zh-CN" w:bidi="ar"/>
        </w:rPr>
        <w:t xml:space="preserve"> </w:t>
      </w:r>
    </w:p>
    <w:p w14:paraId="404CF120">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2.8 计划工期: 90日历天</w:t>
      </w:r>
      <w:r>
        <w:rPr>
          <w:rFonts w:hint="eastAsia" w:ascii="宋体" w:hAnsi="宋体" w:eastAsia="宋体" w:cs="宋体"/>
          <w:color w:val="auto"/>
          <w:kern w:val="0"/>
          <w:sz w:val="24"/>
          <w:szCs w:val="24"/>
          <w:highlight w:val="none"/>
          <w:lang w:val="en-US" w:eastAsia="zh-CN" w:bidi="ar"/>
        </w:rPr>
        <w:t xml:space="preserve"> </w:t>
      </w:r>
    </w:p>
    <w:p w14:paraId="08254925">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2.9 招标范围：本项目为对严店镇10个美丽宜居较大自然村环境提升，主要对农村生活污水进行统一收集和处理，铺设污水管网、建设生态池、一体化污水处理设备等，对农村生活垃圾进行统一收集和外运，开展旱厕改造，铺设入户路，修建健身小广场，整治微小菜园，安装太阳能路灯，清理沟塘，整治房前屋后卫生，建立管护机制等，达到整洁干净、美丽宜居的农村村庄环境。具体详见招标文件、清单、图纸及答疑等文件。</w:t>
      </w:r>
      <w:r>
        <w:rPr>
          <w:rFonts w:hint="eastAsia" w:ascii="宋体" w:hAnsi="宋体" w:eastAsia="宋体" w:cs="宋体"/>
          <w:color w:val="auto"/>
          <w:kern w:val="0"/>
          <w:sz w:val="24"/>
          <w:szCs w:val="24"/>
          <w:highlight w:val="none"/>
          <w:lang w:val="en-US" w:eastAsia="zh-CN" w:bidi="ar"/>
        </w:rPr>
        <w:t xml:space="preserve"> </w:t>
      </w:r>
    </w:p>
    <w:p w14:paraId="33D27B36">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2.10 项目类别：工程施工</w:t>
      </w:r>
      <w:r>
        <w:rPr>
          <w:rFonts w:hint="eastAsia" w:ascii="宋体" w:hAnsi="宋体" w:eastAsia="宋体" w:cs="宋体"/>
          <w:color w:val="auto"/>
          <w:kern w:val="0"/>
          <w:sz w:val="24"/>
          <w:szCs w:val="24"/>
          <w:highlight w:val="none"/>
          <w:lang w:val="en-US" w:eastAsia="zh-CN" w:bidi="ar"/>
        </w:rPr>
        <w:t xml:space="preserve"> </w:t>
      </w:r>
    </w:p>
    <w:p w14:paraId="62E1DCA0">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2.11 质量标准：合格</w:t>
      </w:r>
      <w:r>
        <w:rPr>
          <w:rFonts w:hint="eastAsia" w:ascii="宋体" w:hAnsi="宋体" w:eastAsia="宋体" w:cs="宋体"/>
          <w:color w:val="auto"/>
          <w:kern w:val="0"/>
          <w:sz w:val="24"/>
          <w:szCs w:val="24"/>
          <w:highlight w:val="none"/>
          <w:lang w:val="en-US" w:eastAsia="zh-CN" w:bidi="ar"/>
        </w:rPr>
        <w:t xml:space="preserve"> </w:t>
      </w:r>
    </w:p>
    <w:p w14:paraId="1013B2A4">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2.12 其他: /</w:t>
      </w:r>
      <w:r>
        <w:rPr>
          <w:rFonts w:hint="eastAsia" w:ascii="宋体" w:hAnsi="宋体" w:eastAsia="宋体" w:cs="宋体"/>
          <w:color w:val="auto"/>
          <w:kern w:val="0"/>
          <w:sz w:val="24"/>
          <w:szCs w:val="24"/>
          <w:highlight w:val="none"/>
          <w:lang w:val="en-US" w:eastAsia="zh-CN" w:bidi="ar"/>
        </w:rPr>
        <w:t xml:space="preserve"> </w:t>
      </w:r>
    </w:p>
    <w:p w14:paraId="5777BDC2">
      <w:pPr>
        <w:pStyle w:val="15"/>
        <w:keepNext w:val="0"/>
        <w:keepLines w:val="0"/>
        <w:widowControl/>
        <w:suppressLineNumbers w:val="0"/>
        <w:rPr>
          <w:color w:val="auto"/>
          <w:highlight w:val="none"/>
        </w:rPr>
      </w:pPr>
      <w:r>
        <w:rPr>
          <w:rFonts w:hint="eastAsia" w:ascii="黑体" w:hAnsi="宋体" w:eastAsia="黑体" w:cs="黑体"/>
          <w:color w:val="auto"/>
          <w:kern w:val="0"/>
          <w:sz w:val="28"/>
          <w:szCs w:val="28"/>
          <w:highlight w:val="none"/>
        </w:rPr>
        <w:t>3. 投标人资格要求</w:t>
      </w:r>
      <w:r>
        <w:rPr>
          <w:rFonts w:hint="eastAsia" w:ascii="宋体" w:hAnsi="宋体" w:eastAsia="宋体" w:cs="宋体"/>
          <w:color w:val="auto"/>
          <w:sz w:val="21"/>
          <w:szCs w:val="21"/>
          <w:highlight w:val="none"/>
        </w:rPr>
        <w:t xml:space="preserve"> </w:t>
      </w:r>
    </w:p>
    <w:p w14:paraId="44754DA0">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3.1 投标人应依法设立并具备承担本招标项目的如下条件：</w:t>
      </w:r>
    </w:p>
    <w:p w14:paraId="49AE9B9B">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3.1.1 投标人资质要求：具备有效的营业执照，具备有效的市政公用工程施工总承包三级及以上资质，具备有效的安全生产许可证。</w:t>
      </w:r>
    </w:p>
    <w:p w14:paraId="6E2BD5CF">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3.1.2 项目经理要求：</w:t>
      </w:r>
    </w:p>
    <w:p w14:paraId="48F8465D">
      <w:pPr>
        <w:keepNext w:val="0"/>
        <w:keepLines w:val="0"/>
        <w:widowControl w:val="0"/>
        <w:suppressLineNumbers w:val="0"/>
        <w:spacing w:before="0" w:beforeLines="0" w:beforeAutospacing="0" w:after="0" w:afterLines="0" w:afterAutospacing="0" w:line="560" w:lineRule="exact"/>
        <w:ind w:left="0" w:right="0"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（1）具备市政公用工程专业二级及以上注册建造师。</w:t>
      </w:r>
    </w:p>
    <w:p w14:paraId="7AFCD95E">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（2）具备住房和城乡建设行政主管部门颁发的安全生产考核合格证书（B证）。</w:t>
      </w:r>
    </w:p>
    <w:p w14:paraId="4C348F06">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（3）其他要求： 目前未在其他项目上任职或虽在其他项目上任 职但本项目中标后能够从该项目撤离。</w:t>
      </w:r>
    </w:p>
    <w:p w14:paraId="7C6C4EBB">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3.1.3 投标人业绩要求：/</w:t>
      </w:r>
    </w:p>
    <w:p w14:paraId="26EB027C">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3.1.4 项目经理业绩要求：自2020年1月1日以来（以合同签订时间为准），项目经理具备单个合同金额不低于400万元的市政工程施工业绩。</w:t>
      </w:r>
    </w:p>
    <w:p w14:paraId="5E99DAC9">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 xml:space="preserve">3.1.5 财务要求：不要求 </w:t>
      </w:r>
    </w:p>
    <w:p w14:paraId="7E7EF35D">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3.1.6 信誉要求：投标人未被合肥市及其所辖县（市）、区（开发区）公共资源交易监督管理部门记不良行为记录的；或被记不良行为记录（以公布日期为准），但同时符合下列情形的：</w:t>
      </w:r>
    </w:p>
    <w:p w14:paraId="603FB1E2">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（1）开标日前（含当日）6个月内记分累计未满10分的；</w:t>
      </w:r>
    </w:p>
    <w:p w14:paraId="7CCF4633">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（2）开标日前（含当日）12个月内记分累计未满15分的；</w:t>
      </w:r>
    </w:p>
    <w:p w14:paraId="1C09073A">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（3）开标日前（含当日）18个月内记分累计未满20分的；</w:t>
      </w:r>
    </w:p>
    <w:p w14:paraId="5385093A">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（4）开标日前（含当日）24个月内记分累计未满25分的。</w:t>
      </w:r>
    </w:p>
    <w:p w14:paraId="7A67F3BC">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3.1.7 本招标项目不接受联合体投标。联合体投标的，应满足下列要求： /     </w:t>
      </w:r>
    </w:p>
    <w:p w14:paraId="45534E2E">
      <w:pPr>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3.2 投标人不得存在招标文件第二章投标人须知第1.4.3项、第1.4.4项规定的情形。</w:t>
      </w:r>
    </w:p>
    <w:p w14:paraId="7BE9444E">
      <w:pPr>
        <w:pStyle w:val="15"/>
        <w:keepNext w:val="0"/>
        <w:keepLines w:val="0"/>
        <w:widowControl w:val="0"/>
        <w:suppressLineNumbers w:val="0"/>
        <w:spacing w:before="0" w:beforeLines="0" w:beforeAutospacing="0" w:after="0" w:afterLines="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3.3 其他要求：本工程应为中小企业或监狱企业或残疾人福利性单位承建。  </w:t>
      </w:r>
    </w:p>
    <w:p w14:paraId="0AADE961">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4. 招标文件的获取</w:t>
      </w:r>
      <w:r>
        <w:rPr>
          <w:rFonts w:hint="eastAsia" w:ascii="宋体" w:hAnsi="宋体" w:eastAsia="宋体" w:cs="宋体"/>
          <w:color w:val="auto"/>
          <w:kern w:val="0"/>
          <w:sz w:val="24"/>
          <w:szCs w:val="24"/>
          <w:highlight w:val="none"/>
          <w:lang w:val="en-US" w:eastAsia="zh-CN" w:bidi="ar"/>
        </w:rPr>
        <w:t xml:space="preserve"> </w:t>
      </w:r>
    </w:p>
    <w:p w14:paraId="65683B7E">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4.1 获取时间：2025年**月**日 至 投标截止时间。</w:t>
      </w:r>
      <w:r>
        <w:rPr>
          <w:rFonts w:hint="eastAsia" w:ascii="宋体" w:hAnsi="宋体" w:eastAsia="宋体" w:cs="宋体"/>
          <w:color w:val="auto"/>
          <w:kern w:val="0"/>
          <w:sz w:val="24"/>
          <w:szCs w:val="24"/>
          <w:highlight w:val="none"/>
          <w:lang w:val="en-US" w:eastAsia="zh-CN" w:bidi="ar"/>
        </w:rPr>
        <w:t xml:space="preserve"> </w:t>
      </w:r>
    </w:p>
    <w:p w14:paraId="56AD7004">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4.2 获取方式：</w:t>
      </w:r>
      <w:r>
        <w:rPr>
          <w:rFonts w:hint="eastAsia" w:ascii="宋体" w:hAnsi="宋体" w:eastAsia="宋体" w:cs="宋体"/>
          <w:color w:val="auto"/>
          <w:kern w:val="0"/>
          <w:sz w:val="24"/>
          <w:szCs w:val="24"/>
          <w:highlight w:val="none"/>
          <w:lang w:val="en-US" w:eastAsia="zh-CN" w:bidi="ar"/>
        </w:rPr>
        <w:t xml:space="preserve"> </w:t>
      </w:r>
    </w:p>
    <w:p w14:paraId="43A3E615">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（1）本招标项目实行全流程电子化交易。</w:t>
      </w: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8"/>
          <w:szCs w:val="28"/>
          <w:highlight w:val="none"/>
          <w:lang w:val="en-US" w:eastAsia="zh-CN" w:bidi="ar"/>
        </w:rPr>
        <w:t>     （2）潜在投标人可登录安徽合肥公共资源交易电子服务系统（以下简称“电子服务系统”）查阅招标文件，如参与投标，则须在本条第4.1款规定的招标文件获取时间内通过安徽合肥公共资源交易中心电子交易系统【新版】（https://jyxt.hfztb.cn/sso/）获取招标文件。</w:t>
      </w: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8"/>
          <w:szCs w:val="28"/>
          <w:highlight w:val="none"/>
          <w:lang w:val="en-US" w:eastAsia="zh-CN" w:bidi="ar"/>
        </w:rPr>
        <w:t>     （3）招标文件获取过程中有任何疑问，请在工作时间（9：00-17：30，节假日休息）拨打技术支持热线（非项目咨询）：0551-66223900，0551-66223899。项目咨询请拨打电话：0551-68852527。</w:t>
      </w:r>
    </w:p>
    <w:p w14:paraId="23990239">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4.3 招标文件价格：每套人民币0元。</w:t>
      </w:r>
      <w:r>
        <w:rPr>
          <w:rFonts w:hint="eastAsia" w:ascii="宋体" w:hAnsi="宋体" w:eastAsia="宋体" w:cs="宋体"/>
          <w:color w:val="auto"/>
          <w:kern w:val="0"/>
          <w:sz w:val="24"/>
          <w:szCs w:val="24"/>
          <w:highlight w:val="none"/>
          <w:lang w:val="en-US" w:eastAsia="zh-CN" w:bidi="ar"/>
        </w:rPr>
        <w:t xml:space="preserve"> </w:t>
      </w:r>
    </w:p>
    <w:p w14:paraId="144761BB">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5. 投标文件的递交</w:t>
      </w:r>
      <w:r>
        <w:rPr>
          <w:rFonts w:hint="eastAsia" w:ascii="宋体" w:hAnsi="宋体" w:eastAsia="宋体" w:cs="宋体"/>
          <w:color w:val="auto"/>
          <w:kern w:val="0"/>
          <w:sz w:val="24"/>
          <w:szCs w:val="24"/>
          <w:highlight w:val="none"/>
          <w:lang w:val="en-US" w:eastAsia="zh-CN" w:bidi="ar"/>
        </w:rPr>
        <w:t xml:space="preserve"> </w:t>
      </w:r>
    </w:p>
    <w:p w14:paraId="3527EBCB">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投标文件递交的截止时间（投标截止时间，下同）为2025年**月**日10时00分，投标人应在截止时间前通过安徽合肥公共资源交易中心电子交易系统【新版】（https://jyxt.hfztb.cn/sso/）递交电子投标文件。</w:t>
      </w:r>
      <w:r>
        <w:rPr>
          <w:rFonts w:hint="eastAsia" w:ascii="宋体" w:hAnsi="宋体" w:eastAsia="宋体" w:cs="宋体"/>
          <w:color w:val="auto"/>
          <w:kern w:val="0"/>
          <w:sz w:val="24"/>
          <w:szCs w:val="24"/>
          <w:highlight w:val="none"/>
          <w:lang w:val="en-US" w:eastAsia="zh-CN" w:bidi="ar"/>
        </w:rPr>
        <w:t xml:space="preserve"> </w:t>
      </w:r>
    </w:p>
    <w:p w14:paraId="1A1B439E">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6. 资格审查方式</w:t>
      </w:r>
      <w:r>
        <w:rPr>
          <w:rFonts w:hint="eastAsia" w:ascii="宋体" w:hAnsi="宋体" w:eastAsia="宋体" w:cs="宋体"/>
          <w:color w:val="auto"/>
          <w:kern w:val="0"/>
          <w:sz w:val="24"/>
          <w:szCs w:val="24"/>
          <w:highlight w:val="none"/>
          <w:lang w:val="en-US" w:eastAsia="zh-CN" w:bidi="ar"/>
        </w:rPr>
        <w:t xml:space="preserve"> </w:t>
      </w:r>
      <w:bookmarkStart w:id="1725" w:name="_GoBack"/>
      <w:bookmarkEnd w:id="1725"/>
    </w:p>
    <w:p w14:paraId="64DE56F3">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本项目采用资格后审方式进行资格审查。</w:t>
      </w:r>
      <w:r>
        <w:rPr>
          <w:rFonts w:hint="eastAsia" w:ascii="宋体" w:hAnsi="宋体" w:eastAsia="宋体" w:cs="宋体"/>
          <w:color w:val="auto"/>
          <w:kern w:val="0"/>
          <w:sz w:val="24"/>
          <w:szCs w:val="24"/>
          <w:highlight w:val="none"/>
          <w:lang w:val="en-US" w:eastAsia="zh-CN" w:bidi="ar"/>
        </w:rPr>
        <w:t xml:space="preserve"> </w:t>
      </w:r>
    </w:p>
    <w:p w14:paraId="1D325AA9">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7. 评标办法</w:t>
      </w:r>
    </w:p>
    <w:p w14:paraId="70C4F024">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 xml:space="preserve">本招标项目评标办法采用合理价格法（动态合理价格法I）。（见招标文件第三章“评标办法”） </w:t>
      </w:r>
    </w:p>
    <w:p w14:paraId="27343CC7">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8. 开标时间及地点</w:t>
      </w:r>
      <w:r>
        <w:rPr>
          <w:rFonts w:hint="eastAsia" w:ascii="宋体" w:hAnsi="宋体" w:eastAsia="宋体" w:cs="宋体"/>
          <w:color w:val="auto"/>
          <w:kern w:val="0"/>
          <w:sz w:val="24"/>
          <w:szCs w:val="24"/>
          <w:highlight w:val="none"/>
          <w:lang w:val="en-US" w:eastAsia="zh-CN" w:bidi="ar"/>
        </w:rPr>
        <w:t xml:space="preserve"> </w:t>
      </w:r>
    </w:p>
    <w:p w14:paraId="5370BED4">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8.1 开标时间：2025年**月**日10时00分</w:t>
      </w:r>
      <w:r>
        <w:rPr>
          <w:rFonts w:hint="eastAsia" w:ascii="宋体" w:hAnsi="宋体" w:eastAsia="宋体" w:cs="宋体"/>
          <w:color w:val="auto"/>
          <w:kern w:val="0"/>
          <w:sz w:val="24"/>
          <w:szCs w:val="24"/>
          <w:highlight w:val="none"/>
          <w:lang w:val="en-US" w:eastAsia="zh-CN" w:bidi="ar"/>
        </w:rPr>
        <w:t xml:space="preserve"> </w:t>
      </w:r>
    </w:p>
    <w:p w14:paraId="704F5A99">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8.2 开标地点：</w:t>
      </w: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val="en-US" w:eastAsia="zh-CN" w:bidi="ar"/>
        </w:rPr>
        <mc:AlternateContent>
          <mc:Choice Requires="wps">
            <w:drawing>
              <wp:inline distT="0" distB="0" distL="114300" distR="114300">
                <wp:extent cx="635" cy="0"/>
                <wp:effectExtent l="0" t="4445" r="0" b="5080"/>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mXZDrQECAAAaBAAADgAAAAAAAAABACAAAAAdAQAAZHJzL2Uyb0RvYy54&#10;bWxQSwUGAAAAAAYABgBZAQAAkAUAAAAA&#10;">
                <v:fill on="f" focussize="0,0"/>
                <v:stroke color="#000000" joinstyle="miter"/>
                <v:imagedata o:title=""/>
                <o:lock v:ext="edit" aspectratio="t"/>
                <w10:wrap type="none"/>
                <w10:anchorlock/>
              </v:rect>
            </w:pict>
          </mc:Fallback>
        </mc:AlternateContent>
      </w:r>
      <w:r>
        <w:rPr>
          <w:rFonts w:hint="eastAsia" w:ascii="Times New Roman" w:cs="宋体"/>
          <w:color w:val="auto"/>
          <w:sz w:val="24"/>
          <w:szCs w:val="24"/>
          <w:highlight w:val="none"/>
        </w:rPr>
        <w:t>☑</w:t>
      </w:r>
      <w:r>
        <w:rPr>
          <w:rFonts w:hint="eastAsia" w:ascii="仿宋" w:hAnsi="仿宋" w:eastAsia="仿宋" w:cs="仿宋"/>
          <w:color w:val="auto"/>
          <w:kern w:val="0"/>
          <w:sz w:val="28"/>
          <w:szCs w:val="28"/>
          <w:highlight w:val="none"/>
          <w:lang w:val="en-US" w:eastAsia="zh-CN" w:bidi="ar"/>
        </w:rPr>
        <mc:AlternateContent>
          <mc:Choice Requires="wps">
            <w:drawing>
              <wp:inline distT="0" distB="0" distL="114300" distR="114300">
                <wp:extent cx="635" cy="0"/>
                <wp:effectExtent l="0" t="4445" r="0" b="5080"/>
                <wp:docPr id="27"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Up2tMAECAAAaBAAADgAAAAAAAAABACAAAAAdAQAAZHJzL2Uyb0RvYy54&#10;bWxQSwUGAAAAAAYABgBZAQAAkAUAAAAA&#10;">
                <v:fill on="f" focussize="0,0"/>
                <v:stroke color="#000000" joinstyle="miter"/>
                <v:imagedata o:title=""/>
                <o:lock v:ext="edit" aspectratio="t"/>
                <w10:wrap type="none"/>
                <w10:anchorlock/>
              </v:rect>
            </w:pict>
          </mc:Fallback>
        </mc:AlternateContent>
      </w:r>
      <w:r>
        <w:rPr>
          <w:rFonts w:hint="eastAsia" w:ascii="仿宋" w:hAnsi="仿宋" w:eastAsia="仿宋" w:cs="仿宋"/>
          <w:color w:val="auto"/>
          <w:kern w:val="0"/>
          <w:sz w:val="28"/>
          <w:szCs w:val="28"/>
          <w:highlight w:val="none"/>
          <w:lang w:val="en-US" w:eastAsia="zh-CN" w:bidi="ar"/>
        </w:rPr>
        <w:t>肥西县上派镇紫石路与佛光路交叉口肥光办公区3号楼2楼*号开标室</w:t>
      </w: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8"/>
          <w:szCs w:val="28"/>
          <w:highlight w:val="none"/>
          <w:lang w:val="en-US" w:eastAsia="zh-CN" w:bidi="ar"/>
        </w:rPr>
        <w:t>     </w:t>
      </w:r>
      <w:r>
        <w:rPr>
          <w:rFonts w:hint="eastAsia" w:ascii="仿宋" w:hAnsi="仿宋" w:eastAsia="仿宋" w:cs="仿宋"/>
          <w:color w:val="auto"/>
          <w:kern w:val="0"/>
          <w:sz w:val="28"/>
          <w:szCs w:val="28"/>
          <w:highlight w:val="none"/>
          <w:lang w:val="en-US" w:eastAsia="zh-CN" w:bidi="ar"/>
        </w:rPr>
        <mc:AlternateContent>
          <mc:Choice Requires="wps">
            <w:drawing>
              <wp:inline distT="0" distB="0" distL="114300" distR="114300">
                <wp:extent cx="635" cy="0"/>
                <wp:effectExtent l="0" t="4445" r="0" b="5080"/>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ZTkKnOAAAA/wAAAA8AAAAAAAAAAQAgAAAAIgAAAGRycy9kb3ducmV2LnhtbFBL&#10;AQIUABQAAAAIAIdO4kCFTAHQAAIAABoEAAAOAAAAAAAAAAEAIAAAAB0BAABkcnMvZTJvRG9jLnht&#10;bFBLBQYAAAAABgAGAFkBAACPBQAAAAA=&#10;">
                <v:fill on="f" focussize="0,0"/>
                <v:stroke color="#000000" joinstyle="miter"/>
                <v:imagedata o:title=""/>
                <o:lock v:ext="edit" aspectratio="t"/>
                <w10:wrap type="none"/>
                <w10:anchorlock/>
              </v:rect>
            </w:pict>
          </mc:Fallback>
        </mc:AlternateConten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val="en-US" w:eastAsia="zh-CN" w:bidi="ar"/>
        </w:rPr>
        <mc:AlternateContent>
          <mc:Choice Requires="wps">
            <w:drawing>
              <wp:inline distT="0" distB="0" distL="114300" distR="114300">
                <wp:extent cx="635" cy="0"/>
                <wp:effectExtent l="0" t="4445" r="0" b="508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lOQqc4AAAD/AAAADwAAAAAAAAABACAAAAAiAAAAZHJzL2Rvd25yZXYueG1sUEsB&#10;AhQAFAAAAAgAh07iQNfdLyT/AQAAGAQAAA4AAAAAAAAAAQAgAAAAHQEAAGRycy9lMm9Eb2MueG1s&#10;UEsFBgAAAAAGAAYAWQEAAI4FAAAAAA==&#10;">
                <v:fill on="f" focussize="0,0"/>
                <v:stroke color="#000000" joinstyle="miter"/>
                <v:imagedata o:title=""/>
                <o:lock v:ext="edit" aspectratio="t"/>
                <w10:wrap type="none"/>
                <w10:anchorlock/>
              </v:rect>
            </w:pict>
          </mc:Fallback>
        </mc:AlternateContent>
      </w:r>
      <w:r>
        <w:rPr>
          <w:rFonts w:hint="eastAsia" w:ascii="Times New Roman" w:cs="宋体"/>
          <w:color w:val="auto"/>
          <w:sz w:val="24"/>
          <w:szCs w:val="24"/>
          <w:highlight w:val="none"/>
        </w:rPr>
        <w:t>☑</w:t>
      </w:r>
      <w:r>
        <w:rPr>
          <w:rFonts w:hint="eastAsia" w:ascii="仿宋" w:hAnsi="仿宋" w:eastAsia="仿宋" w:cs="仿宋"/>
          <w:color w:val="auto"/>
          <w:kern w:val="0"/>
          <w:sz w:val="28"/>
          <w:szCs w:val="28"/>
          <w:highlight w:val="none"/>
          <w:lang w:val="en-US" w:eastAsia="zh-CN" w:bidi="ar"/>
        </w:rPr>
        <w:t>本招标项目采用“不见面云上开标大厅”方式开标</w:t>
      </w:r>
      <w:r>
        <w:rPr>
          <w:rFonts w:hint="eastAsia" w:ascii="宋体" w:hAnsi="宋体" w:eastAsia="宋体" w:cs="宋体"/>
          <w:color w:val="auto"/>
          <w:kern w:val="0"/>
          <w:sz w:val="24"/>
          <w:szCs w:val="24"/>
          <w:highlight w:val="none"/>
          <w:lang w:val="en-US" w:eastAsia="zh-CN" w:bidi="ar"/>
        </w:rPr>
        <w:t xml:space="preserve"> </w:t>
      </w:r>
    </w:p>
    <w:p w14:paraId="2C905187">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9. 招标文件的异议、投诉</w:t>
      </w:r>
      <w:r>
        <w:rPr>
          <w:rFonts w:hint="eastAsia" w:ascii="宋体" w:hAnsi="宋体" w:eastAsia="宋体" w:cs="宋体"/>
          <w:color w:val="auto"/>
          <w:kern w:val="0"/>
          <w:sz w:val="24"/>
          <w:szCs w:val="24"/>
          <w:highlight w:val="none"/>
          <w:lang w:val="en-US" w:eastAsia="zh-CN" w:bidi="ar"/>
        </w:rPr>
        <w:t xml:space="preserve"> </w:t>
      </w:r>
    </w:p>
    <w:p w14:paraId="3CD74E5B">
      <w:pPr>
        <w:keepNext w:val="0"/>
        <w:keepLines w:val="0"/>
        <w:widowControl/>
        <w:suppressLineNumbers w:val="0"/>
        <w:spacing w:before="0" w:beforeAutospacing="0" w:after="0" w:afterAutospacing="0" w:line="560" w:lineRule="exact"/>
        <w:ind w:left="0" w:right="0"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9.1 投标人或者其他利害关系人对招标文件有异议的，应当在规定时间通过电子交易系统在线提出或以其他书面形式提出。</w:t>
      </w: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8"/>
          <w:szCs w:val="28"/>
          <w:highlight w:val="none"/>
          <w:lang w:val="en-US" w:eastAsia="zh-CN" w:bidi="ar"/>
        </w:rPr>
        <w:t>    9.2 投标人或者其他利害关系人对招标人、招标代理机构的答复不满意，或者招标人、招标代理机构未在规定时间内作出答复的，可以在规定时间内通过网上投诉系统或以其他书面形式向监管部门提出投诉。</w:t>
      </w: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8"/>
          <w:szCs w:val="28"/>
          <w:highlight w:val="none"/>
          <w:lang w:val="en-US" w:eastAsia="zh-CN" w:bidi="ar"/>
        </w:rPr>
        <w:t>    9.3 受理异议的联系人和联系方式见招标公告11.1和11.2。</w:t>
      </w:r>
    </w:p>
    <w:p w14:paraId="5654297F">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10.发布公告的媒介</w:t>
      </w:r>
      <w:r>
        <w:rPr>
          <w:rFonts w:hint="eastAsia" w:ascii="宋体" w:hAnsi="宋体" w:eastAsia="宋体" w:cs="宋体"/>
          <w:color w:val="auto"/>
          <w:kern w:val="0"/>
          <w:sz w:val="24"/>
          <w:szCs w:val="24"/>
          <w:highlight w:val="none"/>
          <w:lang w:val="en-US" w:eastAsia="zh-CN" w:bidi="ar"/>
        </w:rPr>
        <w:t xml:space="preserve"> </w:t>
      </w:r>
    </w:p>
    <w:p w14:paraId="54EF8431">
      <w:pPr>
        <w:keepNext w:val="0"/>
        <w:keepLines w:val="0"/>
        <w:widowControl/>
        <w:suppressLineNumbers w:val="0"/>
        <w:spacing w:before="0" w:beforeAutospacing="0" w:after="0" w:afterAutospacing="0" w:line="560" w:lineRule="exact"/>
        <w:ind w:left="0" w:right="0" w:firstLine="560" w:firstLineChars="200"/>
        <w:jc w:val="left"/>
        <w:rPr>
          <w:rFonts w:hint="eastAsia" w:ascii="宋体" w:hAnsi="宋体" w:eastAsia="宋体" w:cs="宋体"/>
          <w:color w:val="auto"/>
          <w:kern w:val="0"/>
          <w:sz w:val="24"/>
          <w:szCs w:val="24"/>
          <w:highlight w:val="none"/>
          <w:lang w:val="en-US" w:eastAsia="zh-CN" w:bidi="ar"/>
        </w:rPr>
      </w:pPr>
      <w:r>
        <w:rPr>
          <w:rFonts w:hint="eastAsia" w:ascii="仿宋" w:hAnsi="仿宋" w:eastAsia="仿宋" w:cs="仿宋"/>
          <w:color w:val="auto"/>
          <w:kern w:val="0"/>
          <w:sz w:val="28"/>
          <w:szCs w:val="28"/>
          <w:highlight w:val="none"/>
          <w:lang w:val="en-US" w:eastAsia="zh-CN" w:bidi="ar"/>
        </w:rPr>
        <w:t>10.1本次招标公告同时在安徽合肥公共资源交易中心网站、安徽省公共资源交易监管网、全国公共资源交易平台上发布。</w:t>
      </w:r>
      <w:r>
        <w:rPr>
          <w:rFonts w:hint="eastAsia" w:ascii="宋体" w:hAnsi="宋体" w:eastAsia="宋体" w:cs="宋体"/>
          <w:color w:val="auto"/>
          <w:kern w:val="0"/>
          <w:sz w:val="24"/>
          <w:szCs w:val="24"/>
          <w:highlight w:val="none"/>
          <w:lang w:val="en-US" w:eastAsia="zh-CN" w:bidi="ar"/>
        </w:rPr>
        <w:t xml:space="preserve"> </w:t>
      </w:r>
    </w:p>
    <w:p w14:paraId="19C6EAAA">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11.联系方式</w:t>
      </w:r>
      <w:r>
        <w:rPr>
          <w:rFonts w:hint="eastAsia" w:ascii="宋体" w:hAnsi="宋体" w:eastAsia="宋体" w:cs="宋体"/>
          <w:color w:val="auto"/>
          <w:kern w:val="0"/>
          <w:sz w:val="24"/>
          <w:szCs w:val="24"/>
          <w:highlight w:val="none"/>
          <w:lang w:val="en-US" w:eastAsia="zh-CN" w:bidi="ar"/>
        </w:rPr>
        <w:t xml:space="preserve"> </w:t>
      </w:r>
    </w:p>
    <w:p w14:paraId="5CAFE7CC">
      <w:pPr>
        <w:keepNext w:val="0"/>
        <w:keepLines w:val="0"/>
        <w:widowControl/>
        <w:suppressLineNumbers w:val="0"/>
        <w:spacing w:before="0" w:beforeAutospacing="0" w:after="0" w:afterAutospacing="0" w:line="560" w:lineRule="exact"/>
        <w:ind w:left="0" w:right="0" w:firstLine="560" w:firstLineChars="200"/>
        <w:jc w:val="left"/>
        <w:outlineLvl w:val="1"/>
        <w:rPr>
          <w:color w:val="auto"/>
          <w:highlight w:val="none"/>
        </w:rPr>
      </w:pPr>
      <w:r>
        <w:rPr>
          <w:rFonts w:hint="eastAsia" w:ascii="仿宋" w:hAnsi="仿宋" w:eastAsia="仿宋" w:cs="仿宋"/>
          <w:color w:val="auto"/>
          <w:kern w:val="0"/>
          <w:sz w:val="28"/>
          <w:szCs w:val="28"/>
          <w:highlight w:val="none"/>
          <w:lang w:val="en-US" w:eastAsia="zh-CN" w:bidi="ar"/>
        </w:rPr>
        <w:t>11.1 招标人</w:t>
      </w:r>
      <w:r>
        <w:rPr>
          <w:rFonts w:hint="eastAsia" w:ascii="宋体" w:hAnsi="宋体" w:eastAsia="宋体" w:cs="宋体"/>
          <w:color w:val="auto"/>
          <w:kern w:val="0"/>
          <w:sz w:val="24"/>
          <w:szCs w:val="24"/>
          <w:highlight w:val="none"/>
          <w:lang w:val="en-US" w:eastAsia="zh-CN" w:bidi="ar"/>
        </w:rPr>
        <w:t xml:space="preserve"> </w:t>
      </w:r>
    </w:p>
    <w:p w14:paraId="2CB7169A">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招标人：肥西县严店镇人民政府</w:t>
      </w:r>
      <w:r>
        <w:rPr>
          <w:rFonts w:hint="eastAsia" w:ascii="宋体" w:hAnsi="宋体" w:eastAsia="宋体" w:cs="宋体"/>
          <w:color w:val="auto"/>
          <w:kern w:val="0"/>
          <w:sz w:val="24"/>
          <w:szCs w:val="24"/>
          <w:highlight w:val="none"/>
          <w:lang w:val="en-US" w:eastAsia="zh-CN" w:bidi="ar"/>
        </w:rPr>
        <w:t xml:space="preserve"> </w:t>
      </w:r>
    </w:p>
    <w:p w14:paraId="32219D62">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地 址：安徽省合肥市肥西县严店乡严店街道1号</w:t>
      </w:r>
      <w:r>
        <w:rPr>
          <w:rFonts w:hint="eastAsia" w:ascii="宋体" w:hAnsi="宋体" w:eastAsia="宋体" w:cs="宋体"/>
          <w:color w:val="auto"/>
          <w:kern w:val="0"/>
          <w:sz w:val="24"/>
          <w:szCs w:val="24"/>
          <w:highlight w:val="none"/>
          <w:lang w:val="en-US" w:eastAsia="zh-CN" w:bidi="ar"/>
        </w:rPr>
        <w:t xml:space="preserve"> </w:t>
      </w:r>
    </w:p>
    <w:p w14:paraId="2E0CDD0D">
      <w:pPr>
        <w:keepNext w:val="0"/>
        <w:keepLines w:val="0"/>
        <w:widowControl/>
        <w:suppressLineNumbers w:val="0"/>
        <w:spacing w:before="0" w:beforeAutospacing="0" w:after="0" w:afterAutospacing="0" w:line="560" w:lineRule="exact"/>
        <w:ind w:left="0" w:right="0"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邮 编：231200 </w:t>
      </w:r>
    </w:p>
    <w:p w14:paraId="66FCA831">
      <w:pPr>
        <w:keepNext w:val="0"/>
        <w:keepLines w:val="0"/>
        <w:widowControl/>
        <w:suppressLineNumbers w:val="0"/>
        <w:spacing w:before="0" w:beforeAutospacing="0" w:after="0" w:afterAutospacing="0" w:line="560" w:lineRule="exact"/>
        <w:ind w:left="0" w:right="0"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联系人：徐从勇 </w:t>
      </w:r>
    </w:p>
    <w:p w14:paraId="7C939B6D">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电 话：15855101528</w:t>
      </w:r>
    </w:p>
    <w:p w14:paraId="2181E795">
      <w:pPr>
        <w:keepNext w:val="0"/>
        <w:keepLines w:val="0"/>
        <w:widowControl/>
        <w:suppressLineNumbers w:val="0"/>
        <w:spacing w:before="0" w:beforeAutospacing="0" w:after="0" w:afterAutospacing="0" w:line="560" w:lineRule="exact"/>
        <w:ind w:left="0" w:right="0" w:firstLine="560" w:firstLineChars="200"/>
        <w:jc w:val="left"/>
        <w:outlineLvl w:val="1"/>
        <w:rPr>
          <w:color w:val="auto"/>
          <w:highlight w:val="none"/>
        </w:rPr>
      </w:pPr>
      <w:r>
        <w:rPr>
          <w:rFonts w:hint="eastAsia" w:ascii="仿宋" w:hAnsi="仿宋" w:eastAsia="仿宋" w:cs="仿宋"/>
          <w:color w:val="auto"/>
          <w:kern w:val="0"/>
          <w:sz w:val="28"/>
          <w:szCs w:val="28"/>
          <w:highlight w:val="none"/>
          <w:lang w:val="en-US" w:eastAsia="zh-CN" w:bidi="ar"/>
        </w:rPr>
        <w:t>11.2 招标代理机构</w:t>
      </w:r>
      <w:r>
        <w:rPr>
          <w:rFonts w:hint="eastAsia" w:ascii="宋体" w:hAnsi="宋体" w:eastAsia="宋体" w:cs="宋体"/>
          <w:color w:val="auto"/>
          <w:kern w:val="0"/>
          <w:sz w:val="24"/>
          <w:szCs w:val="24"/>
          <w:highlight w:val="none"/>
          <w:lang w:val="en-US" w:eastAsia="zh-CN" w:bidi="ar"/>
        </w:rPr>
        <w:t xml:space="preserve"> </w:t>
      </w:r>
    </w:p>
    <w:p w14:paraId="67AA96DD">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招标代理机构：肥西县公共资源交易有限责任公司</w:t>
      </w:r>
      <w:r>
        <w:rPr>
          <w:rFonts w:hint="eastAsia" w:ascii="宋体" w:hAnsi="宋体" w:eastAsia="宋体" w:cs="宋体"/>
          <w:color w:val="auto"/>
          <w:kern w:val="0"/>
          <w:sz w:val="24"/>
          <w:szCs w:val="24"/>
          <w:highlight w:val="none"/>
          <w:lang w:val="en-US" w:eastAsia="zh-CN" w:bidi="ar"/>
        </w:rPr>
        <w:t xml:space="preserve"> </w:t>
      </w:r>
    </w:p>
    <w:p w14:paraId="0698B4D7">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地 址：肥西县上派镇佛光路与紫石路交叉口肥光办公区3号楼2楼</w:t>
      </w:r>
      <w:r>
        <w:rPr>
          <w:rFonts w:hint="eastAsia" w:ascii="宋体" w:hAnsi="宋体" w:eastAsia="宋体" w:cs="宋体"/>
          <w:color w:val="auto"/>
          <w:kern w:val="0"/>
          <w:sz w:val="24"/>
          <w:szCs w:val="24"/>
          <w:highlight w:val="none"/>
          <w:lang w:val="en-US" w:eastAsia="zh-CN" w:bidi="ar"/>
        </w:rPr>
        <w:t xml:space="preserve"> </w:t>
      </w:r>
    </w:p>
    <w:p w14:paraId="7CA81E35">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邮 编：231200</w:t>
      </w:r>
      <w:r>
        <w:rPr>
          <w:rFonts w:hint="eastAsia" w:ascii="宋体" w:hAnsi="宋体" w:eastAsia="宋体" w:cs="宋体"/>
          <w:color w:val="auto"/>
          <w:kern w:val="0"/>
          <w:sz w:val="24"/>
          <w:szCs w:val="24"/>
          <w:highlight w:val="none"/>
          <w:lang w:val="en-US" w:eastAsia="zh-CN" w:bidi="ar"/>
        </w:rPr>
        <w:t xml:space="preserve"> </w:t>
      </w:r>
    </w:p>
    <w:p w14:paraId="6EA74FAA">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联系人：朱文斌</w:t>
      </w:r>
      <w:r>
        <w:rPr>
          <w:rFonts w:hint="eastAsia" w:ascii="宋体" w:hAnsi="宋体" w:eastAsia="宋体" w:cs="宋体"/>
          <w:color w:val="auto"/>
          <w:kern w:val="0"/>
          <w:sz w:val="24"/>
          <w:szCs w:val="24"/>
          <w:highlight w:val="none"/>
          <w:lang w:val="en-US" w:eastAsia="zh-CN" w:bidi="ar"/>
        </w:rPr>
        <w:t xml:space="preserve"> </w:t>
      </w:r>
    </w:p>
    <w:p w14:paraId="54CD82A8">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电 话：0551-68852527</w:t>
      </w:r>
      <w:r>
        <w:rPr>
          <w:rFonts w:hint="eastAsia" w:ascii="宋体" w:hAnsi="宋体" w:eastAsia="宋体" w:cs="宋体"/>
          <w:color w:val="auto"/>
          <w:kern w:val="0"/>
          <w:sz w:val="24"/>
          <w:szCs w:val="24"/>
          <w:highlight w:val="none"/>
          <w:lang w:val="en-US" w:eastAsia="zh-CN" w:bidi="ar"/>
        </w:rPr>
        <w:t xml:space="preserve"> </w:t>
      </w:r>
    </w:p>
    <w:p w14:paraId="1EE947A8">
      <w:pPr>
        <w:keepNext w:val="0"/>
        <w:keepLines w:val="0"/>
        <w:widowControl/>
        <w:suppressLineNumbers w:val="0"/>
        <w:spacing w:before="0" w:beforeAutospacing="0" w:after="0" w:afterAutospacing="0" w:line="560" w:lineRule="exact"/>
        <w:ind w:left="0" w:right="0" w:firstLine="560" w:firstLineChars="200"/>
        <w:jc w:val="left"/>
        <w:outlineLvl w:val="1"/>
        <w:rPr>
          <w:color w:val="auto"/>
          <w:highlight w:val="none"/>
        </w:rPr>
      </w:pPr>
      <w:r>
        <w:rPr>
          <w:rFonts w:hint="eastAsia" w:ascii="仿宋" w:hAnsi="仿宋" w:eastAsia="仿宋" w:cs="仿宋"/>
          <w:color w:val="auto"/>
          <w:kern w:val="0"/>
          <w:sz w:val="28"/>
          <w:szCs w:val="28"/>
          <w:highlight w:val="none"/>
          <w:lang w:val="en-US" w:eastAsia="zh-CN" w:bidi="ar"/>
        </w:rPr>
        <w:t>11.3 电子交易系统</w:t>
      </w:r>
      <w:r>
        <w:rPr>
          <w:rFonts w:hint="eastAsia" w:ascii="宋体" w:hAnsi="宋体" w:eastAsia="宋体" w:cs="宋体"/>
          <w:color w:val="auto"/>
          <w:kern w:val="0"/>
          <w:sz w:val="24"/>
          <w:szCs w:val="24"/>
          <w:highlight w:val="none"/>
          <w:lang w:val="en-US" w:eastAsia="zh-CN" w:bidi="ar"/>
        </w:rPr>
        <w:t xml:space="preserve"> </w:t>
      </w:r>
    </w:p>
    <w:p w14:paraId="063AE97C">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电子交易系统名称：安徽合肥公共资源交易中心电子交易系统【新版】（https://jyxt.hfztb.cn/sso/）</w:t>
      </w:r>
      <w:r>
        <w:rPr>
          <w:rFonts w:hint="eastAsia" w:ascii="宋体" w:hAnsi="宋体" w:eastAsia="宋体" w:cs="宋体"/>
          <w:color w:val="auto"/>
          <w:kern w:val="0"/>
          <w:sz w:val="24"/>
          <w:szCs w:val="24"/>
          <w:highlight w:val="none"/>
          <w:lang w:val="en-US" w:eastAsia="zh-CN" w:bidi="ar"/>
        </w:rPr>
        <w:t xml:space="preserve"> </w:t>
      </w:r>
    </w:p>
    <w:p w14:paraId="1BB24830">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电子交易系统电话：0512-58188516</w:t>
      </w:r>
      <w:r>
        <w:rPr>
          <w:rFonts w:hint="eastAsia" w:ascii="宋体" w:hAnsi="宋体" w:eastAsia="宋体" w:cs="宋体"/>
          <w:color w:val="auto"/>
          <w:kern w:val="0"/>
          <w:sz w:val="24"/>
          <w:szCs w:val="24"/>
          <w:highlight w:val="none"/>
          <w:lang w:val="en-US" w:eastAsia="zh-CN" w:bidi="ar"/>
        </w:rPr>
        <w:t xml:space="preserve"> </w:t>
      </w:r>
    </w:p>
    <w:p w14:paraId="30D54F92">
      <w:pPr>
        <w:keepNext w:val="0"/>
        <w:keepLines w:val="0"/>
        <w:widowControl/>
        <w:suppressLineNumbers w:val="0"/>
        <w:spacing w:before="0" w:beforeAutospacing="0" w:after="0" w:afterAutospacing="0" w:line="560" w:lineRule="exact"/>
        <w:ind w:left="0" w:right="0" w:firstLine="560" w:firstLineChars="200"/>
        <w:jc w:val="left"/>
        <w:outlineLvl w:val="1"/>
        <w:rPr>
          <w:color w:val="auto"/>
          <w:highlight w:val="none"/>
        </w:rPr>
      </w:pPr>
      <w:r>
        <w:rPr>
          <w:rFonts w:hint="eastAsia" w:ascii="仿宋" w:hAnsi="仿宋" w:eastAsia="仿宋" w:cs="仿宋"/>
          <w:color w:val="auto"/>
          <w:kern w:val="0"/>
          <w:sz w:val="28"/>
          <w:szCs w:val="28"/>
          <w:highlight w:val="none"/>
          <w:lang w:val="en-US" w:eastAsia="zh-CN" w:bidi="ar"/>
        </w:rPr>
        <w:t>11.4 电子服务系统</w:t>
      </w:r>
      <w:r>
        <w:rPr>
          <w:rFonts w:hint="eastAsia" w:ascii="宋体" w:hAnsi="宋体" w:eastAsia="宋体" w:cs="宋体"/>
          <w:color w:val="auto"/>
          <w:kern w:val="0"/>
          <w:sz w:val="24"/>
          <w:szCs w:val="24"/>
          <w:highlight w:val="none"/>
          <w:lang w:val="en-US" w:eastAsia="zh-CN" w:bidi="ar"/>
        </w:rPr>
        <w:t xml:space="preserve"> </w:t>
      </w:r>
    </w:p>
    <w:p w14:paraId="3C5D02C7">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电子服务系统名称：安徽合肥公共资源交易电子服务系统</w:t>
      </w:r>
      <w:r>
        <w:rPr>
          <w:rFonts w:hint="eastAsia" w:ascii="宋体" w:hAnsi="宋体" w:eastAsia="宋体" w:cs="宋体"/>
          <w:color w:val="auto"/>
          <w:kern w:val="0"/>
          <w:sz w:val="24"/>
          <w:szCs w:val="24"/>
          <w:highlight w:val="none"/>
          <w:lang w:val="en-US" w:eastAsia="zh-CN" w:bidi="ar"/>
        </w:rPr>
        <w:t xml:space="preserve"> </w:t>
      </w:r>
    </w:p>
    <w:p w14:paraId="24DE1690">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电子服务系统电话：0551-66223830、0512-58188516</w:t>
      </w:r>
      <w:r>
        <w:rPr>
          <w:rFonts w:hint="eastAsia" w:ascii="宋体" w:hAnsi="宋体" w:eastAsia="宋体" w:cs="宋体"/>
          <w:color w:val="auto"/>
          <w:kern w:val="0"/>
          <w:sz w:val="24"/>
          <w:szCs w:val="24"/>
          <w:highlight w:val="none"/>
          <w:lang w:val="en-US" w:eastAsia="zh-CN" w:bidi="ar"/>
        </w:rPr>
        <w:t xml:space="preserve"> </w:t>
      </w:r>
    </w:p>
    <w:p w14:paraId="13FD6654">
      <w:pPr>
        <w:keepNext w:val="0"/>
        <w:keepLines w:val="0"/>
        <w:widowControl/>
        <w:suppressLineNumbers w:val="0"/>
        <w:spacing w:before="0" w:beforeAutospacing="0" w:after="0" w:afterAutospacing="0" w:line="560" w:lineRule="exact"/>
        <w:ind w:left="0" w:right="0" w:firstLine="560" w:firstLineChars="200"/>
        <w:jc w:val="left"/>
        <w:outlineLvl w:val="1"/>
        <w:rPr>
          <w:color w:val="auto"/>
          <w:highlight w:val="none"/>
        </w:rPr>
      </w:pPr>
      <w:r>
        <w:rPr>
          <w:rFonts w:hint="eastAsia" w:ascii="仿宋" w:hAnsi="仿宋" w:eastAsia="仿宋" w:cs="仿宋"/>
          <w:color w:val="auto"/>
          <w:kern w:val="0"/>
          <w:sz w:val="28"/>
          <w:szCs w:val="28"/>
          <w:highlight w:val="none"/>
          <w:lang w:val="en-US" w:eastAsia="zh-CN" w:bidi="ar"/>
        </w:rPr>
        <w:t>11.5 公共资源交易监督管理部门</w:t>
      </w:r>
      <w:r>
        <w:rPr>
          <w:rFonts w:hint="eastAsia" w:ascii="宋体" w:hAnsi="宋体" w:eastAsia="宋体" w:cs="宋体"/>
          <w:color w:val="auto"/>
          <w:kern w:val="0"/>
          <w:sz w:val="24"/>
          <w:szCs w:val="24"/>
          <w:highlight w:val="none"/>
          <w:lang w:val="en-US" w:eastAsia="zh-CN" w:bidi="ar"/>
        </w:rPr>
        <w:t xml:space="preserve"> </w:t>
      </w:r>
    </w:p>
    <w:p w14:paraId="151E2777">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公共资源交易监督管理部门：肥西县发展和改革委员会（肥西县粮食局）</w:t>
      </w:r>
      <w:r>
        <w:rPr>
          <w:rFonts w:hint="eastAsia" w:ascii="宋体" w:hAnsi="宋体" w:eastAsia="宋体" w:cs="宋体"/>
          <w:color w:val="auto"/>
          <w:kern w:val="0"/>
          <w:sz w:val="24"/>
          <w:szCs w:val="24"/>
          <w:highlight w:val="none"/>
          <w:lang w:val="en-US" w:eastAsia="zh-CN" w:bidi="ar"/>
        </w:rPr>
        <w:t xml:space="preserve"> </w:t>
      </w:r>
    </w:p>
    <w:p w14:paraId="668259F8">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地    址：安徽省合肥市肥西县新站翡翠苑东北门4号商业楼2楼1号办公室</w:t>
      </w:r>
      <w:r>
        <w:rPr>
          <w:rFonts w:hint="eastAsia" w:ascii="宋体" w:hAnsi="宋体" w:eastAsia="宋体" w:cs="宋体"/>
          <w:color w:val="auto"/>
          <w:kern w:val="0"/>
          <w:sz w:val="24"/>
          <w:szCs w:val="24"/>
          <w:highlight w:val="none"/>
          <w:lang w:val="en-US" w:eastAsia="zh-CN" w:bidi="ar"/>
        </w:rPr>
        <w:t xml:space="preserve"> </w:t>
      </w:r>
    </w:p>
    <w:p w14:paraId="49E9FA37">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电    话：0551-68841335</w:t>
      </w:r>
      <w:r>
        <w:rPr>
          <w:rFonts w:hint="eastAsia" w:ascii="宋体" w:hAnsi="宋体" w:eastAsia="宋体" w:cs="宋体"/>
          <w:color w:val="auto"/>
          <w:kern w:val="0"/>
          <w:sz w:val="24"/>
          <w:szCs w:val="24"/>
          <w:highlight w:val="none"/>
          <w:lang w:val="en-US" w:eastAsia="zh-CN" w:bidi="ar"/>
        </w:rPr>
        <w:t xml:space="preserve"> </w:t>
      </w:r>
    </w:p>
    <w:p w14:paraId="5CA4B003">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12.其他事项说明</w:t>
      </w:r>
      <w:r>
        <w:rPr>
          <w:rFonts w:hint="eastAsia" w:ascii="宋体" w:hAnsi="宋体" w:eastAsia="宋体" w:cs="宋体"/>
          <w:color w:val="auto"/>
          <w:kern w:val="0"/>
          <w:sz w:val="24"/>
          <w:szCs w:val="24"/>
          <w:highlight w:val="none"/>
          <w:lang w:val="en-US" w:eastAsia="zh-CN" w:bidi="ar"/>
        </w:rPr>
        <w:t xml:space="preserve"> </w:t>
      </w:r>
    </w:p>
    <w:p w14:paraId="40F5524E">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t>12.1投标人应合理安排招标文件获取时间，特别是网络速度慢的地区防止在系统关闭前网络拥堵无法操作。如果因计算机及网络故障造成无法完成招标文件获取，责任自负。</w:t>
      </w:r>
    </w:p>
    <w:p w14:paraId="2E7D79A9">
      <w:pPr>
        <w:keepNext w:val="0"/>
        <w:keepLines w:val="0"/>
        <w:widowControl/>
        <w:suppressLineNumbers w:val="0"/>
        <w:spacing w:before="0" w:beforeAutospacing="0" w:after="0" w:afterAutospacing="0" w:line="560" w:lineRule="exact"/>
        <w:ind w:left="0" w:right="0"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12.2招标文件中有任何疑问或问题，请在工作时间（周一至周五，上午8:30-11:30，下午14:30-17:30，节假日休息）与项目联系人联系。</w:t>
      </w:r>
    </w:p>
    <w:p w14:paraId="252C1D92">
      <w:pPr>
        <w:keepNext w:val="0"/>
        <w:keepLines w:val="0"/>
        <w:widowControl/>
        <w:suppressLineNumbers w:val="0"/>
        <w:spacing w:before="100" w:beforeAutospacing="1" w:after="100" w:afterAutospacing="1" w:line="560" w:lineRule="exact"/>
        <w:ind w:left="0" w:right="0"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12.3《新版交易系统操作帮助（投标人端）》请在新版交易系统登录页面https://jyxt.hfztb.cn/sso/查看。</w:t>
      </w:r>
    </w:p>
    <w:p w14:paraId="699677EE">
      <w:pPr>
        <w:keepNext w:val="0"/>
        <w:keepLines w:val="0"/>
        <w:widowControl/>
        <w:suppressLineNumbers w:val="0"/>
        <w:spacing w:before="100" w:beforeAutospacing="1" w:after="100" w:afterAutospacing="1" w:line="560" w:lineRule="exact"/>
        <w:ind w:left="0" w:right="0" w:firstLine="560" w:firstLineChars="200"/>
        <w:jc w:val="left"/>
        <w:rPr>
          <w:rFonts w:hint="default"/>
          <w:color w:val="auto"/>
          <w:highlight w:val="none"/>
          <w:lang w:val="en-US"/>
        </w:rPr>
      </w:pPr>
      <w:r>
        <w:rPr>
          <w:rFonts w:hint="eastAsia" w:ascii="仿宋" w:hAnsi="仿宋" w:eastAsia="仿宋" w:cs="仿宋"/>
          <w:color w:val="auto"/>
          <w:kern w:val="0"/>
          <w:sz w:val="28"/>
          <w:szCs w:val="28"/>
          <w:highlight w:val="none"/>
          <w:lang w:val="en-US" w:eastAsia="zh-CN" w:bidi="ar"/>
        </w:rPr>
        <w:t>12.4 “本项目投标文件采用“结构化”方式编制，投标人编制投标文件时，涉及营业执照、资质、业绩、人员、各类证书等信息，须引用安徽合肥公共资源交易中心智慧信息库（https://zhxxk.hfztb.cn/smart-manage/）中的相应内容，请潜在投标人及时登录智慧信息库，在相关模块填写、补充相应数据，并自行保证所填数据的完整性和真实性，以免耽误本次投标。”</w:t>
      </w:r>
    </w:p>
    <w:p w14:paraId="3F656183">
      <w:pPr>
        <w:keepNext w:val="0"/>
        <w:keepLines w:val="0"/>
        <w:widowControl/>
        <w:suppressLineNumbers w:val="0"/>
        <w:spacing w:before="0" w:beforeAutospacing="0" w:after="0" w:afterAutospacing="0" w:line="560" w:lineRule="exact"/>
        <w:ind w:left="0" w:right="0" w:firstLine="560" w:firstLineChars="200"/>
        <w:jc w:val="left"/>
        <w:rPr>
          <w:rFonts w:hint="eastAsia" w:ascii="仿宋" w:hAnsi="仿宋" w:eastAsia="仿宋" w:cs="仿宋"/>
          <w:color w:val="auto"/>
          <w:kern w:val="0"/>
          <w:sz w:val="28"/>
          <w:szCs w:val="28"/>
          <w:highlight w:val="none"/>
          <w:lang w:val="en-US" w:eastAsia="zh-CN" w:bidi="ar"/>
        </w:rPr>
      </w:pPr>
    </w:p>
    <w:p w14:paraId="69618148">
      <w:pPr>
        <w:keepNext w:val="0"/>
        <w:keepLines w:val="0"/>
        <w:widowControl/>
        <w:suppressLineNumbers w:val="0"/>
        <w:spacing w:before="0" w:beforeAutospacing="0" w:after="0" w:afterAutospacing="0" w:line="560" w:lineRule="exact"/>
        <w:ind w:left="0" w:right="0" w:firstLine="0" w:firstLineChars="0"/>
        <w:jc w:val="left"/>
        <w:outlineLvl w:val="0"/>
        <w:rPr>
          <w:color w:val="auto"/>
          <w:highlight w:val="none"/>
        </w:rPr>
      </w:pPr>
      <w:r>
        <w:rPr>
          <w:rFonts w:hint="eastAsia" w:ascii="黑体" w:hAnsi="宋体" w:eastAsia="黑体" w:cs="黑体"/>
          <w:color w:val="auto"/>
          <w:kern w:val="0"/>
          <w:sz w:val="28"/>
          <w:szCs w:val="28"/>
          <w:highlight w:val="none"/>
          <w:lang w:val="en-US" w:eastAsia="zh-CN" w:bidi="ar"/>
        </w:rPr>
        <w:t>13.投标保证金账户</w:t>
      </w:r>
      <w:r>
        <w:rPr>
          <w:rFonts w:hint="eastAsia" w:ascii="宋体" w:hAnsi="宋体" w:eastAsia="宋体" w:cs="宋体"/>
          <w:color w:val="auto"/>
          <w:kern w:val="0"/>
          <w:sz w:val="24"/>
          <w:szCs w:val="24"/>
          <w:highlight w:val="none"/>
          <w:lang w:val="en-US" w:eastAsia="zh-CN" w:bidi="ar"/>
        </w:rPr>
        <w:t xml:space="preserve"> </w:t>
      </w:r>
    </w:p>
    <w:p w14:paraId="55360C59">
      <w:pPr>
        <w:keepNext w:val="0"/>
        <w:keepLines w:val="0"/>
        <w:widowControl/>
        <w:suppressLineNumbers w:val="0"/>
        <w:spacing w:before="0" w:beforeAutospacing="0" w:after="0" w:afterAutospacing="0" w:line="560" w:lineRule="exact"/>
        <w:ind w:left="0" w:right="0" w:firstLine="560" w:firstLineChars="200"/>
        <w:jc w:val="left"/>
        <w:rPr>
          <w:color w:val="auto"/>
          <w:highlight w:val="none"/>
        </w:rPr>
      </w:pP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8"/>
          <w:szCs w:val="28"/>
          <w:highlight w:val="none"/>
          <w:lang w:val="en-US" w:eastAsia="zh-CN" w:bidi="ar"/>
        </w:rPr>
        <w:br w:type="textWrapping"/>
      </w:r>
      <w:r>
        <w:rPr>
          <w:rFonts w:hint="eastAsia" w:ascii="仿宋" w:hAnsi="仿宋" w:eastAsia="仿宋" w:cs="仿宋"/>
          <w:color w:val="auto"/>
          <w:kern w:val="0"/>
          <w:sz w:val="24"/>
          <w:szCs w:val="24"/>
          <w:highlight w:val="none"/>
          <w:lang w:val="en-US" w:eastAsia="zh-CN" w:bidi="ar"/>
        </w:rPr>
        <w:t>    </w:t>
      </w:r>
      <w:r>
        <w:rPr>
          <w:rFonts w:hint="eastAsia" w:ascii="仿宋" w:hAnsi="仿宋" w:eastAsia="仿宋" w:cs="仿宋"/>
          <w:color w:val="auto"/>
          <w:kern w:val="0"/>
          <w:sz w:val="28"/>
          <w:szCs w:val="28"/>
          <w:highlight w:val="none"/>
          <w:lang w:val="en-US" w:eastAsia="zh-CN" w:bidi="ar"/>
        </w:rPr>
        <w:t xml:space="preserve"> </w:t>
      </w:r>
    </w:p>
    <w:p w14:paraId="12245E23">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7C92042F">
      <w:pPr>
        <w:rPr>
          <w:color w:val="auto"/>
          <w:sz w:val="28"/>
          <w:szCs w:val="28"/>
          <w:highlight w:val="none"/>
        </w:rPr>
      </w:pPr>
      <w:r>
        <w:rPr>
          <w:rFonts w:hint="eastAsia" w:ascii="宋体" w:hAnsi="宋体" w:eastAsia="宋体" w:cs="宋体"/>
          <w:color w:val="auto"/>
          <w:kern w:val="0"/>
          <w:sz w:val="24"/>
          <w:szCs w:val="24"/>
          <w:highlight w:val="none"/>
          <w:lang w:val="en-US" w:eastAsia="zh-CN" w:bidi="ar"/>
        </w:rPr>
        <w:br w:type="page"/>
      </w:r>
    </w:p>
    <w:p w14:paraId="06A3BE3D">
      <w:pPr>
        <w:pStyle w:val="2"/>
        <w:keepNext/>
        <w:keepLines/>
        <w:pageBreakBefore w:val="0"/>
        <w:widowControl w:val="0"/>
        <w:kinsoku/>
        <w:wordWrap/>
        <w:overflowPunct/>
        <w:topLinePunct w:val="0"/>
        <w:autoSpaceDE/>
        <w:autoSpaceDN/>
        <w:bidi w:val="0"/>
        <w:adjustRightInd/>
        <w:snapToGrid/>
        <w:spacing w:before="240" w:beforeLines="100" w:after="240" w:afterLines="100" w:line="240" w:lineRule="auto"/>
        <w:ind w:firstLine="643" w:firstLineChars="200"/>
        <w:jc w:val="center"/>
        <w:textAlignment w:val="auto"/>
        <w:rPr>
          <w:rFonts w:hint="eastAsia" w:ascii="Times New Roman"/>
          <w:color w:val="auto"/>
          <w:sz w:val="32"/>
          <w:szCs w:val="44"/>
          <w:highlight w:val="none"/>
        </w:rPr>
      </w:pPr>
      <w:r>
        <w:rPr>
          <w:rFonts w:hint="eastAsia" w:ascii="Times New Roman"/>
          <w:color w:val="auto"/>
          <w:sz w:val="32"/>
          <w:szCs w:val="44"/>
          <w:highlight w:val="none"/>
        </w:rPr>
        <w:t>第二章  投标人须知</w:t>
      </w:r>
      <w:bookmarkEnd w:id="1"/>
    </w:p>
    <w:p w14:paraId="2D6E0FF0">
      <w:pPr>
        <w:pStyle w:val="3"/>
        <w:spacing w:before="240" w:beforeLines="100" w:after="240" w:afterLines="100" w:line="240" w:lineRule="auto"/>
        <w:jc w:val="center"/>
        <w:rPr>
          <w:rFonts w:hint="eastAsia" w:ascii="Times New Roman" w:hAnsi="Times New Roman" w:eastAsia="Times New Roman"/>
          <w:color w:val="auto"/>
          <w:sz w:val="32"/>
          <w:szCs w:val="32"/>
          <w:highlight w:val="none"/>
        </w:rPr>
      </w:pPr>
      <w:bookmarkStart w:id="8" w:name="_Toc30672"/>
      <w:bookmarkStart w:id="9" w:name="_Toc38879315"/>
      <w:bookmarkStart w:id="10" w:name="_Toc25475"/>
      <w:r>
        <w:rPr>
          <w:rFonts w:hint="eastAsia" w:ascii="Times New Roman" w:hAnsi="Times New Roman" w:eastAsia="黑体"/>
          <w:b w:val="0"/>
          <w:color w:val="auto"/>
          <w:sz w:val="32"/>
          <w:szCs w:val="32"/>
          <w:highlight w:val="none"/>
        </w:rPr>
        <w:t>投标人须知前附表</w:t>
      </w:r>
      <w:bookmarkEnd w:id="8"/>
      <w:bookmarkEnd w:id="9"/>
      <w:bookmarkEnd w:id="10"/>
    </w:p>
    <w:tbl>
      <w:tblPr>
        <w:tblStyle w:val="17"/>
        <w:tblW w:w="50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583"/>
        <w:gridCol w:w="6060"/>
      </w:tblGrid>
      <w:tr w14:paraId="7290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C8304C">
            <w:pPr>
              <w:snapToGrid w:val="0"/>
              <w:spacing w:beforeLines="0" w:afterLines="0" w:line="360" w:lineRule="auto"/>
              <w:jc w:val="center"/>
              <w:rPr>
                <w:rFonts w:hint="eastAsia" w:ascii="Times New Roman" w:cs="宋体"/>
                <w:b/>
                <w:color w:val="auto"/>
                <w:sz w:val="24"/>
                <w:szCs w:val="24"/>
                <w:highlight w:val="none"/>
              </w:rPr>
            </w:pPr>
            <w:r>
              <w:rPr>
                <w:rFonts w:hint="eastAsia" w:ascii="Times New Roman" w:cs="宋体"/>
                <w:b/>
                <w:color w:val="auto"/>
                <w:sz w:val="24"/>
                <w:szCs w:val="24"/>
                <w:highlight w:val="none"/>
              </w:rPr>
              <w:t>条款号</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B6E384">
            <w:pPr>
              <w:snapToGrid w:val="0"/>
              <w:spacing w:beforeLines="0" w:afterLines="0" w:line="360" w:lineRule="auto"/>
              <w:jc w:val="center"/>
              <w:rPr>
                <w:rFonts w:hint="eastAsia" w:ascii="Times New Roman" w:cs="宋体"/>
                <w:b/>
                <w:color w:val="auto"/>
                <w:sz w:val="24"/>
                <w:szCs w:val="24"/>
                <w:highlight w:val="none"/>
              </w:rPr>
            </w:pPr>
            <w:r>
              <w:rPr>
                <w:rFonts w:hint="eastAsia" w:ascii="Times New Roman" w:cs="宋体"/>
                <w:b/>
                <w:color w:val="auto"/>
                <w:sz w:val="24"/>
                <w:szCs w:val="24"/>
                <w:highlight w:val="none"/>
              </w:rPr>
              <w:t>条款名称</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D94145">
            <w:pPr>
              <w:snapToGrid w:val="0"/>
              <w:spacing w:beforeLines="0" w:afterLines="0" w:line="360" w:lineRule="auto"/>
              <w:jc w:val="center"/>
              <w:rPr>
                <w:rFonts w:hint="eastAsia" w:ascii="Times New Roman" w:cs="宋体"/>
                <w:b/>
                <w:color w:val="auto"/>
                <w:sz w:val="24"/>
                <w:szCs w:val="24"/>
                <w:highlight w:val="none"/>
              </w:rPr>
            </w:pPr>
            <w:r>
              <w:rPr>
                <w:rFonts w:hint="eastAsia" w:ascii="Times New Roman" w:cs="宋体"/>
                <w:b/>
                <w:color w:val="auto"/>
                <w:sz w:val="24"/>
                <w:szCs w:val="24"/>
                <w:highlight w:val="none"/>
              </w:rPr>
              <w:t>编列内容</w:t>
            </w:r>
          </w:p>
        </w:tc>
      </w:tr>
      <w:tr w14:paraId="787F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4CAF84">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1.3.2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2E6347">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计划工期</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163B8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计划工期：见招标公告</w:t>
            </w:r>
          </w:p>
          <w:p w14:paraId="4FDE1F7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计划开工日期：</w:t>
            </w:r>
            <w:r>
              <w:rPr>
                <w:rFonts w:hint="eastAsia" w:ascii="Times New Roman" w:cs="宋体"/>
                <w:color w:val="auto"/>
                <w:sz w:val="24"/>
                <w:szCs w:val="24"/>
                <w:highlight w:val="none"/>
                <w:u w:val="single"/>
              </w:rPr>
              <w:t xml:space="preserve">  202</w:t>
            </w:r>
            <w:r>
              <w:rPr>
                <w:rFonts w:hint="eastAsia" w:ascii="Times New Roman" w:cs="宋体"/>
                <w:color w:val="auto"/>
                <w:sz w:val="24"/>
                <w:szCs w:val="24"/>
                <w:highlight w:val="none"/>
                <w:u w:val="single"/>
                <w:lang w:val="en-US" w:eastAsia="zh-CN"/>
              </w:rPr>
              <w:t>5</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年</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月</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日（具体开工日期以开工通知为准）</w:t>
            </w:r>
          </w:p>
          <w:p w14:paraId="0CB3F0AE">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除上述总工期外，发包人还要求以下区段/节点工期：</w:t>
            </w:r>
          </w:p>
          <w:p w14:paraId="645620D8">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u w:val="single"/>
              </w:rPr>
              <w:t xml:space="preserve">    /  </w:t>
            </w:r>
          </w:p>
        </w:tc>
      </w:tr>
      <w:tr w14:paraId="62AD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749034">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1.4.1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B8890B">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投标人资质条件、能力和信誉</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6EBA91">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（1）资质条件：见附录1</w:t>
            </w:r>
          </w:p>
          <w:p w14:paraId="0774B37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（2）财务要求：见附录2</w:t>
            </w:r>
          </w:p>
          <w:p w14:paraId="5201AC90">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（3）业绩要求：见附录3</w:t>
            </w:r>
          </w:p>
          <w:p w14:paraId="7516F07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（4）信誉要求：见附录4</w:t>
            </w:r>
          </w:p>
          <w:p w14:paraId="3C24BE1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（5）项目经理资格：见附录5</w:t>
            </w:r>
          </w:p>
          <w:p w14:paraId="7AB02A8F">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（6）其他管理人员和技术人员要求：见附录6</w:t>
            </w:r>
          </w:p>
          <w:p w14:paraId="50BBA72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（7）其他要求：见附录7</w:t>
            </w:r>
          </w:p>
        </w:tc>
      </w:tr>
      <w:tr w14:paraId="5A74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97E8D7">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1.4.2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72F0E0">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是否接受联合体投标</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6C11D1">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☑不接受</w:t>
            </w:r>
          </w:p>
          <w:p w14:paraId="0A82A48B">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□接受，应满足下列要求：</w:t>
            </w:r>
            <w:r>
              <w:rPr>
                <w:rFonts w:hint="eastAsia" w:ascii="Times New Roman" w:cs="宋体"/>
                <w:color w:val="auto"/>
                <w:sz w:val="24"/>
                <w:szCs w:val="24"/>
                <w:highlight w:val="none"/>
                <w:u w:val="single"/>
              </w:rPr>
              <w:t xml:space="preserve">      </w:t>
            </w:r>
          </w:p>
        </w:tc>
      </w:tr>
      <w:tr w14:paraId="6BFC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86B0D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1.4.3（15）</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5D3EEA">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投标人不得存在的其他情形</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C0E9FF">
            <w:pPr>
              <w:snapToGrid w:val="0"/>
              <w:spacing w:beforeLines="0" w:afterLines="0" w:line="360" w:lineRule="auto"/>
              <w:ind w:firstLine="240" w:firstLineChars="100"/>
              <w:rPr>
                <w:rFonts w:hint="eastAsia" w:ascii="Times New Roman" w:cs="宋体"/>
                <w:color w:val="auto"/>
                <w:sz w:val="24"/>
                <w:szCs w:val="24"/>
                <w:highlight w:val="none"/>
              </w:rPr>
            </w:pPr>
            <w:r>
              <w:rPr>
                <w:rFonts w:hint="eastAsia" w:ascii="Times New Roman" w:cs="宋体"/>
                <w:color w:val="auto"/>
                <w:sz w:val="24"/>
                <w:szCs w:val="24"/>
                <w:highlight w:val="none"/>
                <w:u w:val="single"/>
              </w:rPr>
              <w:t>/</w:t>
            </w:r>
          </w:p>
        </w:tc>
      </w:tr>
      <w:tr w14:paraId="128C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01EE9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1.4.4（5）</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8CD73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投标人不得存在的其他不良状况或不良信用记录</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F07A58">
            <w:pPr>
              <w:snapToGrid w:val="0"/>
              <w:spacing w:line="360" w:lineRule="auto"/>
              <w:rPr>
                <w:rFonts w:hint="eastAsia" w:ascii="Times New Roman" w:cs="宋体"/>
                <w:bCs/>
                <w:color w:val="auto"/>
                <w:szCs w:val="24"/>
                <w:highlight w:val="none"/>
                <w:u w:val="none"/>
              </w:rPr>
            </w:pPr>
            <w:r>
              <w:rPr>
                <w:rFonts w:hint="eastAsia" w:ascii="Times New Roman" w:cs="宋体"/>
                <w:bCs/>
                <w:color w:val="auto"/>
                <w:szCs w:val="24"/>
                <w:highlight w:val="none"/>
                <w:u w:val="none"/>
              </w:rPr>
              <w:t xml:space="preserve">（1）投标人被设区的市级及以上建设行政主管部门/房屋建筑和市政基础设施工程招标投标活动的监督部门因安全生产责任事故限制本次招标项目工程所在地或公共资源交易平台所在地承接新的工程项目且在限制期内。 </w:t>
            </w:r>
          </w:p>
          <w:p w14:paraId="410A6B9C">
            <w:pPr>
              <w:snapToGrid w:val="0"/>
              <w:spacing w:line="360" w:lineRule="auto"/>
              <w:ind w:firstLine="480" w:firstLineChars="200"/>
              <w:rPr>
                <w:rFonts w:hint="eastAsia" w:ascii="Times New Roman" w:cs="宋体"/>
                <w:bCs/>
                <w:color w:val="auto"/>
                <w:szCs w:val="24"/>
                <w:highlight w:val="none"/>
                <w:u w:val="none"/>
              </w:rPr>
            </w:pPr>
            <w:r>
              <w:rPr>
                <w:rFonts w:hint="eastAsia" w:ascii="Times New Roman" w:cs="宋体"/>
                <w:bCs/>
                <w:color w:val="auto"/>
                <w:szCs w:val="24"/>
                <w:highlight w:val="none"/>
                <w:u w:val="none"/>
              </w:rPr>
              <w:t>查询要求：评标委员会仅通过“电子服务系统”查询拟推荐中标候选人是否存在上述情形，并将查询截图及查询结果在评标报告中予以记录。</w:t>
            </w:r>
          </w:p>
          <w:p w14:paraId="2B5AD904">
            <w:pPr>
              <w:widowControl/>
              <w:spacing w:beforeLines="0" w:afterLines="0" w:line="360" w:lineRule="auto"/>
              <w:ind w:firstLine="482" w:firstLineChars="200"/>
              <w:jc w:val="left"/>
              <w:rPr>
                <w:rFonts w:hint="eastAsia" w:ascii="Times New Roman" w:cs="宋体"/>
                <w:b/>
                <w:color w:val="auto"/>
                <w:sz w:val="24"/>
                <w:szCs w:val="24"/>
                <w:highlight w:val="none"/>
              </w:rPr>
            </w:pPr>
          </w:p>
        </w:tc>
      </w:tr>
      <w:tr w14:paraId="0E81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A79E24">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1.9.1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3AE4CF">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踏勘现场</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8F40C9">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☑不组织，投标人自行踏勘</w:t>
            </w:r>
          </w:p>
          <w:p w14:paraId="0DD35DB0">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□组织，踏勘时间：</w:t>
            </w:r>
            <w:r>
              <w:rPr>
                <w:rFonts w:hint="eastAsia" w:ascii="Times New Roman" w:cs="宋体"/>
                <w:color w:val="auto"/>
                <w:sz w:val="24"/>
                <w:szCs w:val="24"/>
                <w:highlight w:val="none"/>
                <w:u w:val="single"/>
              </w:rPr>
              <w:t xml:space="preserve">   /   </w:t>
            </w:r>
          </w:p>
          <w:p w14:paraId="328FA5C0">
            <w:pPr>
              <w:snapToGrid w:val="0"/>
              <w:spacing w:beforeLines="0" w:afterLines="0" w:line="360" w:lineRule="auto"/>
              <w:ind w:firstLine="960" w:firstLineChars="400"/>
              <w:rPr>
                <w:rFonts w:hint="eastAsia" w:ascii="Times New Roman" w:cs="宋体"/>
                <w:color w:val="auto"/>
                <w:sz w:val="24"/>
                <w:szCs w:val="24"/>
                <w:highlight w:val="none"/>
              </w:rPr>
            </w:pPr>
            <w:r>
              <w:rPr>
                <w:rFonts w:hint="eastAsia" w:ascii="Times New Roman" w:cs="宋体"/>
                <w:color w:val="auto"/>
                <w:sz w:val="24"/>
                <w:szCs w:val="24"/>
                <w:highlight w:val="none"/>
              </w:rPr>
              <w:t>踏勘集中地点：</w:t>
            </w:r>
            <w:r>
              <w:rPr>
                <w:rFonts w:hint="eastAsia" w:ascii="Times New Roman" w:cs="宋体"/>
                <w:color w:val="auto"/>
                <w:sz w:val="24"/>
                <w:szCs w:val="24"/>
                <w:highlight w:val="none"/>
                <w:u w:val="single"/>
              </w:rPr>
              <w:t xml:space="preserve">   /   </w:t>
            </w:r>
          </w:p>
        </w:tc>
      </w:tr>
      <w:tr w14:paraId="796B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70B04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1.10.1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E99B9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投标预备会</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E35E88">
            <w:pPr>
              <w:adjustRightInd w:val="0"/>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☑不召开</w:t>
            </w:r>
          </w:p>
          <w:p w14:paraId="7AF6E589">
            <w:pPr>
              <w:adjustRightInd w:val="0"/>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□召开，召开时间：</w:t>
            </w:r>
            <w:r>
              <w:rPr>
                <w:rFonts w:hint="eastAsia" w:ascii="Times New Roman" w:cs="宋体"/>
                <w:color w:val="auto"/>
                <w:sz w:val="24"/>
                <w:szCs w:val="24"/>
                <w:highlight w:val="none"/>
                <w:u w:val="single"/>
              </w:rPr>
              <w:t xml:space="preserve">  /    </w:t>
            </w:r>
          </w:p>
          <w:p w14:paraId="506AFEEF">
            <w:pPr>
              <w:snapToGrid w:val="0"/>
              <w:spacing w:beforeLines="0" w:afterLines="0" w:line="360" w:lineRule="auto"/>
              <w:ind w:firstLine="960" w:firstLineChars="400"/>
              <w:rPr>
                <w:rFonts w:hint="eastAsia" w:ascii="Times New Roman" w:cs="宋体"/>
                <w:color w:val="auto"/>
                <w:sz w:val="24"/>
                <w:szCs w:val="24"/>
                <w:highlight w:val="none"/>
              </w:rPr>
            </w:pPr>
            <w:r>
              <w:rPr>
                <w:rFonts w:hint="eastAsia" w:ascii="Times New Roman" w:cs="宋体"/>
                <w:color w:val="auto"/>
                <w:sz w:val="24"/>
                <w:szCs w:val="24"/>
                <w:highlight w:val="none"/>
              </w:rPr>
              <w:t>召开形式：</w:t>
            </w:r>
            <w:r>
              <w:rPr>
                <w:rFonts w:hint="eastAsia" w:ascii="Times New Roman" w:cs="宋体"/>
                <w:color w:val="auto"/>
                <w:sz w:val="24"/>
                <w:szCs w:val="24"/>
                <w:highlight w:val="none"/>
                <w:u w:val="single"/>
              </w:rPr>
              <w:t xml:space="preserve">   /   </w:t>
            </w:r>
          </w:p>
        </w:tc>
      </w:tr>
      <w:tr w14:paraId="06FA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394D9A">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1.10.2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BA84F5">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投标人在投标预备会前提出问题</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FD6962">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color w:val="auto"/>
                <w:sz w:val="24"/>
                <w:szCs w:val="24"/>
                <w:highlight w:val="none"/>
              </w:rPr>
              <w:t>时间：</w:t>
            </w:r>
            <w:r>
              <w:rPr>
                <w:rFonts w:hint="eastAsia" w:ascii="Times New Roman" w:cs="宋体"/>
                <w:color w:val="auto"/>
                <w:sz w:val="24"/>
                <w:szCs w:val="24"/>
                <w:highlight w:val="none"/>
                <w:u w:val="single"/>
              </w:rPr>
              <w:t xml:space="preserve">  /    </w:t>
            </w:r>
          </w:p>
          <w:p w14:paraId="32544FA9">
            <w:pPr>
              <w:snapToGrid w:val="0"/>
              <w:spacing w:beforeLines="0" w:afterLines="0" w:line="360" w:lineRule="auto"/>
              <w:rPr>
                <w:rFonts w:hint="eastAsia" w:ascii="Times New Roman" w:cs="宋体"/>
                <w:color w:val="auto"/>
                <w:sz w:val="24"/>
                <w:szCs w:val="24"/>
                <w:highlight w:val="none"/>
              </w:rPr>
            </w:pPr>
            <w:r>
              <w:rPr>
                <w:rFonts w:hint="eastAsia" w:ascii="Times New Roman" w:cs="宋体"/>
                <w:snapToGrid w:val="0"/>
                <w:color w:val="auto"/>
                <w:sz w:val="24"/>
                <w:szCs w:val="24"/>
                <w:highlight w:val="none"/>
              </w:rPr>
              <w:t>形式：</w:t>
            </w:r>
            <w:r>
              <w:rPr>
                <w:rFonts w:hint="eastAsia" w:ascii="Times New Roman" w:cs="宋体"/>
                <w:color w:val="auto"/>
                <w:sz w:val="24"/>
                <w:szCs w:val="24"/>
                <w:highlight w:val="none"/>
                <w:u w:val="single"/>
              </w:rPr>
              <w:t xml:space="preserve">  /    </w:t>
            </w:r>
          </w:p>
        </w:tc>
      </w:tr>
      <w:tr w14:paraId="3123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5F2A9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1.11.1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F31A51">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分包</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3B3321">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☑不允许</w:t>
            </w:r>
          </w:p>
          <w:p w14:paraId="3CE47C01">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□允许，分包内容：</w:t>
            </w:r>
            <w:r>
              <w:rPr>
                <w:rFonts w:hint="eastAsia" w:ascii="Times New Roman" w:cs="宋体"/>
                <w:color w:val="auto"/>
                <w:sz w:val="24"/>
                <w:szCs w:val="24"/>
                <w:highlight w:val="none"/>
                <w:u w:val="single"/>
              </w:rPr>
              <w:t xml:space="preserve">      </w:t>
            </w:r>
          </w:p>
          <w:p w14:paraId="1C8DAF01">
            <w:pPr>
              <w:snapToGrid w:val="0"/>
              <w:spacing w:beforeLines="0" w:afterLines="0" w:line="360" w:lineRule="auto"/>
              <w:ind w:firstLine="960" w:firstLineChars="400"/>
              <w:rPr>
                <w:rFonts w:hint="eastAsia" w:ascii="Times New Roman" w:cs="宋体"/>
                <w:color w:val="auto"/>
                <w:sz w:val="24"/>
                <w:szCs w:val="24"/>
                <w:highlight w:val="none"/>
              </w:rPr>
            </w:pPr>
            <w:r>
              <w:rPr>
                <w:rFonts w:hint="eastAsia" w:ascii="Times New Roman" w:cs="宋体"/>
                <w:color w:val="auto"/>
                <w:sz w:val="24"/>
                <w:szCs w:val="24"/>
                <w:highlight w:val="none"/>
              </w:rPr>
              <w:t>对分包人的要求：</w:t>
            </w:r>
            <w:r>
              <w:rPr>
                <w:rFonts w:hint="eastAsia" w:ascii="Times New Roman" w:cs="宋体"/>
                <w:color w:val="auto"/>
                <w:sz w:val="24"/>
                <w:szCs w:val="24"/>
                <w:highlight w:val="none"/>
                <w:u w:val="single"/>
              </w:rPr>
              <w:t xml:space="preserve">      </w:t>
            </w:r>
          </w:p>
        </w:tc>
      </w:tr>
      <w:tr w14:paraId="5604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2612B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2.1（9）</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DF025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构成招标文件的其他材料</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447BC7">
            <w:pPr>
              <w:snapToGrid w:val="0"/>
              <w:spacing w:beforeLines="0" w:afterLines="0" w:line="360" w:lineRule="auto"/>
              <w:ind w:firstLine="480" w:firstLineChars="200"/>
              <w:rPr>
                <w:rFonts w:hint="eastAsia" w:ascii="Times New Roman" w:cs="宋体"/>
                <w:color w:val="auto"/>
                <w:kern w:val="2"/>
                <w:sz w:val="24"/>
                <w:szCs w:val="24"/>
                <w:highlight w:val="none"/>
              </w:rPr>
            </w:pPr>
            <w:r>
              <w:rPr>
                <w:rFonts w:hint="eastAsia" w:ascii="Times New Roman" w:cs="宋体"/>
                <w:color w:val="auto"/>
                <w:sz w:val="24"/>
                <w:szCs w:val="24"/>
                <w:highlight w:val="none"/>
              </w:rPr>
              <w:t>施工图纸、工程量清单、补疑、最高投标限价（招标控制价）等。</w:t>
            </w:r>
          </w:p>
        </w:tc>
      </w:tr>
      <w:tr w14:paraId="7521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1304A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2.2.1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41710D">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投标人要求澄清招标文件</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CE7126">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color w:val="auto"/>
                <w:sz w:val="24"/>
                <w:szCs w:val="24"/>
                <w:highlight w:val="none"/>
              </w:rPr>
              <w:t>时间：</w:t>
            </w:r>
            <w:r>
              <w:rPr>
                <w:rFonts w:hint="eastAsia" w:ascii="Times New Roman" w:cs="宋体"/>
                <w:color w:val="auto"/>
                <w:sz w:val="24"/>
                <w:szCs w:val="24"/>
                <w:highlight w:val="none"/>
                <w:u w:val="single"/>
              </w:rPr>
              <w:t xml:space="preserve">   202</w:t>
            </w:r>
            <w:r>
              <w:rPr>
                <w:rFonts w:hint="eastAsia" w:ascii="Times New Roman" w:cs="宋体"/>
                <w:color w:val="auto"/>
                <w:sz w:val="24"/>
                <w:szCs w:val="24"/>
                <w:highlight w:val="none"/>
                <w:u w:val="single"/>
                <w:lang w:val="en-US" w:eastAsia="zh-CN"/>
              </w:rPr>
              <w:t>5</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年</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月</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日</w:t>
            </w:r>
            <w:r>
              <w:rPr>
                <w:rFonts w:hint="eastAsia" w:ascii="Times New Roman" w:cs="宋体"/>
                <w:color w:val="auto"/>
                <w:sz w:val="24"/>
                <w:szCs w:val="24"/>
                <w:highlight w:val="none"/>
                <w:u w:val="single"/>
              </w:rPr>
              <w:t xml:space="preserve">  17 </w:t>
            </w:r>
            <w:r>
              <w:rPr>
                <w:rFonts w:hint="eastAsia" w:ascii="Times New Roman" w:cs="宋体"/>
                <w:color w:val="auto"/>
                <w:sz w:val="24"/>
                <w:szCs w:val="24"/>
                <w:highlight w:val="none"/>
              </w:rPr>
              <w:t>时</w:t>
            </w:r>
            <w:r>
              <w:rPr>
                <w:rFonts w:hint="eastAsia" w:ascii="Times New Roman" w:cs="宋体"/>
                <w:color w:val="auto"/>
                <w:sz w:val="24"/>
                <w:szCs w:val="24"/>
                <w:highlight w:val="none"/>
                <w:u w:val="single"/>
              </w:rPr>
              <w:t xml:space="preserve"> 30  </w:t>
            </w:r>
            <w:r>
              <w:rPr>
                <w:rFonts w:hint="eastAsia" w:ascii="Times New Roman" w:cs="宋体"/>
                <w:color w:val="auto"/>
                <w:sz w:val="24"/>
                <w:szCs w:val="24"/>
                <w:highlight w:val="none"/>
              </w:rPr>
              <w:t>分前</w:t>
            </w:r>
          </w:p>
          <w:p w14:paraId="071A6481">
            <w:pPr>
              <w:snapToGrid w:val="0"/>
              <w:spacing w:beforeLines="0" w:afterLines="0" w:line="360" w:lineRule="auto"/>
              <w:rPr>
                <w:rFonts w:hint="eastAsia" w:ascii="Times New Roman" w:cs="宋体"/>
                <w:color w:val="auto"/>
                <w:sz w:val="24"/>
                <w:szCs w:val="24"/>
                <w:highlight w:val="none"/>
              </w:rPr>
            </w:pPr>
            <w:r>
              <w:rPr>
                <w:rFonts w:hint="eastAsia" w:ascii="Times New Roman" w:cs="宋体"/>
                <w:snapToGrid w:val="0"/>
                <w:color w:val="auto"/>
                <w:sz w:val="24"/>
                <w:szCs w:val="24"/>
                <w:highlight w:val="none"/>
              </w:rPr>
              <w:t>形式：通过电子交易系统在线提出</w:t>
            </w:r>
          </w:p>
        </w:tc>
      </w:tr>
      <w:tr w14:paraId="3E07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F1F471">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2.2.2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B3875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snapToGrid w:val="0"/>
                <w:color w:val="auto"/>
                <w:sz w:val="24"/>
                <w:szCs w:val="24"/>
                <w:highlight w:val="none"/>
              </w:rPr>
              <w:t>招标文件澄清发出的形式</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24B7F6">
            <w:pPr>
              <w:snapToGrid w:val="0"/>
              <w:spacing w:beforeLines="0" w:afterLines="0" w:line="360" w:lineRule="auto"/>
              <w:rPr>
                <w:rFonts w:hint="eastAsia" w:ascii="Times New Roman" w:cs="宋体"/>
                <w:color w:val="auto"/>
                <w:sz w:val="24"/>
                <w:szCs w:val="24"/>
                <w:highlight w:val="none"/>
              </w:rPr>
            </w:pPr>
            <w:r>
              <w:rPr>
                <w:rFonts w:hint="eastAsia" w:ascii="Times New Roman" w:cs="宋体"/>
                <w:snapToGrid w:val="0"/>
                <w:color w:val="auto"/>
                <w:sz w:val="24"/>
                <w:szCs w:val="24"/>
                <w:highlight w:val="none"/>
              </w:rPr>
              <w:t>通过电子服务系统发出</w:t>
            </w:r>
          </w:p>
        </w:tc>
      </w:tr>
      <w:tr w14:paraId="0D6D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B05D1E">
            <w:pPr>
              <w:snapToGrid w:val="0"/>
              <w:spacing w:beforeLines="0" w:afterLines="0" w:line="360" w:lineRule="auto"/>
              <w:ind w:left="120" w:leftChars="50" w:right="120" w:rightChars="50"/>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2.3.1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23987F">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招标文件修改发出的形式</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75B0EF">
            <w:pPr>
              <w:autoSpaceDE w:val="0"/>
              <w:autoSpaceDN w:val="0"/>
              <w:adjustRightInd w:val="0"/>
              <w:snapToGrid w:val="0"/>
              <w:spacing w:beforeLines="0" w:afterLines="0" w:line="360" w:lineRule="auto"/>
              <w:ind w:right="120" w:rightChars="50"/>
              <w:jc w:val="left"/>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通过电子服务系统发出</w:t>
            </w:r>
          </w:p>
        </w:tc>
      </w:tr>
      <w:tr w14:paraId="502F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0EF92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3.2.1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ECFC3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增值税税金相关要求</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8786A7">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（1）计税方法：</w:t>
            </w:r>
          </w:p>
          <w:p w14:paraId="53093F33">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sym w:font="Wingdings 2" w:char="0052"/>
            </w:r>
            <w:r>
              <w:rPr>
                <w:rFonts w:hint="eastAsia" w:ascii="Times New Roman" w:cs="宋体"/>
                <w:snapToGrid w:val="0"/>
                <w:color w:val="auto"/>
                <w:sz w:val="24"/>
                <w:szCs w:val="24"/>
                <w:highlight w:val="none"/>
              </w:rPr>
              <w:t>一般计税方法</w:t>
            </w:r>
          </w:p>
          <w:p w14:paraId="2E42DFD5">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 xml:space="preserve">□简易计算方法 </w:t>
            </w:r>
          </w:p>
          <w:p w14:paraId="3D58ED86">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（2）发票类型：</w:t>
            </w:r>
          </w:p>
          <w:p w14:paraId="2B061143">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sym w:font="Wingdings 2" w:char="0052"/>
            </w:r>
            <w:r>
              <w:rPr>
                <w:rFonts w:hint="eastAsia" w:ascii="Times New Roman" w:cs="宋体"/>
                <w:snapToGrid w:val="0"/>
                <w:color w:val="auto"/>
                <w:sz w:val="24"/>
                <w:szCs w:val="24"/>
                <w:highlight w:val="none"/>
              </w:rPr>
              <w:t>增值税专用发票</w:t>
            </w:r>
          </w:p>
          <w:p w14:paraId="2D034932">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□增值税普通发票</w:t>
            </w:r>
          </w:p>
          <w:p w14:paraId="4C7D813F">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（3）增值税税率按照国家有关规定执行。</w:t>
            </w:r>
          </w:p>
          <w:p w14:paraId="3E6666E3">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（4）注册地不在合肥市行政区域范围（含四县一市）的中标人，应按照国家税务总局规定，在建筑服务发生地及时足额预缴增值税。</w:t>
            </w:r>
          </w:p>
        </w:tc>
      </w:tr>
      <w:tr w14:paraId="06BA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14A12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3.2.4</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30F2F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最高投标限价</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95D6D7">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□无</w:t>
            </w:r>
          </w:p>
          <w:p w14:paraId="44C3B3A1">
            <w:pPr>
              <w:spacing w:beforeLines="0" w:afterLines="0"/>
              <w:rPr>
                <w:rFonts w:hint="default" w:ascii="Times New Roman" w:eastAsia="宋体" w:cs="宋体"/>
                <w:snapToGrid w:val="0"/>
                <w:color w:val="auto"/>
                <w:sz w:val="24"/>
                <w:szCs w:val="24"/>
                <w:highlight w:val="none"/>
                <w:lang w:val="en-US" w:eastAsia="zh-CN"/>
              </w:rPr>
            </w:pPr>
            <w:r>
              <w:rPr>
                <w:rFonts w:hint="eastAsia" w:ascii="Times New Roman" w:cs="宋体"/>
                <w:b/>
                <w:snapToGrid w:val="0"/>
                <w:color w:val="auto"/>
                <w:sz w:val="24"/>
                <w:szCs w:val="24"/>
                <w:highlight w:val="none"/>
              </w:rPr>
              <w:t>☑有，</w:t>
            </w:r>
            <w:r>
              <w:rPr>
                <w:rFonts w:hint="eastAsia" w:ascii="Times New Roman" w:cs="宋体"/>
                <w:b/>
                <w:snapToGrid w:val="0"/>
                <w:color w:val="auto"/>
                <w:sz w:val="24"/>
                <w:szCs w:val="24"/>
                <w:highlight w:val="none"/>
                <w:u w:val="none"/>
                <w:lang w:val="en-US" w:eastAsia="zh-CN"/>
              </w:rPr>
              <w:t>最高投标限价通过电子服务系统发布</w:t>
            </w:r>
          </w:p>
        </w:tc>
      </w:tr>
      <w:tr w14:paraId="41BE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BC4D6F">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3.2.5</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82666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投标报价的其他要求</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2B1FFF">
            <w:pPr>
              <w:snapToGrid w:val="0"/>
              <w:spacing w:beforeLines="0" w:afterLines="0" w:line="360" w:lineRule="auto"/>
              <w:ind w:firstLine="480" w:firstLineChars="200"/>
              <w:rPr>
                <w:rFonts w:hint="eastAsia" w:ascii="Times New Roman" w:cs="宋体"/>
                <w:snapToGrid w:val="0"/>
                <w:color w:val="auto"/>
                <w:sz w:val="24"/>
                <w:szCs w:val="24"/>
                <w:highlight w:val="none"/>
              </w:rPr>
            </w:pPr>
            <w:r>
              <w:rPr>
                <w:rFonts w:hint="eastAsia" w:ascii="Times New Roman" w:cs="宋体"/>
                <w:color w:val="auto"/>
                <w:sz w:val="24"/>
                <w:szCs w:val="24"/>
                <w:highlight w:val="none"/>
              </w:rPr>
              <w:t>投标人报价文件投标函填写的投标总报价精确到分（人民币）。</w:t>
            </w:r>
          </w:p>
        </w:tc>
      </w:tr>
      <w:tr w14:paraId="2D5D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17046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3.3.1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2BACA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投标有效期</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1FB869">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自投标人递交投标文件截止之日起计算</w:t>
            </w:r>
            <w:r>
              <w:rPr>
                <w:rFonts w:hint="eastAsia" w:ascii="Times New Roman" w:cs="宋体"/>
                <w:color w:val="auto"/>
                <w:sz w:val="24"/>
                <w:szCs w:val="24"/>
                <w:highlight w:val="none"/>
                <w:u w:val="single"/>
              </w:rPr>
              <w:t xml:space="preserve"> 120 </w:t>
            </w:r>
            <w:r>
              <w:rPr>
                <w:rFonts w:hint="eastAsia" w:ascii="Times New Roman" w:cs="宋体"/>
                <w:snapToGrid w:val="0"/>
                <w:color w:val="auto"/>
                <w:sz w:val="24"/>
                <w:szCs w:val="24"/>
                <w:highlight w:val="none"/>
              </w:rPr>
              <w:t>日</w:t>
            </w:r>
          </w:p>
        </w:tc>
      </w:tr>
      <w:tr w14:paraId="24E5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F394E3">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3.4.1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88BE21">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投标保证金</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B8AAA4">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是否要求投标人提交投标保证金：</w:t>
            </w:r>
          </w:p>
          <w:p w14:paraId="1038630D">
            <w:pPr>
              <w:snapToGrid w:val="0"/>
              <w:spacing w:beforeLines="0" w:afterLines="0" w:line="360" w:lineRule="auto"/>
              <w:rPr>
                <w:rFonts w:hint="eastAsia" w:ascii="Times New Roman" w:cs="宋体"/>
                <w:color w:val="auto"/>
                <w:sz w:val="24"/>
                <w:szCs w:val="24"/>
                <w:highlight w:val="none"/>
              </w:rPr>
            </w:pPr>
            <w:r>
              <w:rPr>
                <w:rFonts w:hint="eastAsia" w:ascii="Times New Roman" w:cs="宋体"/>
                <w:snapToGrid w:val="0"/>
                <w:color w:val="auto"/>
                <w:sz w:val="24"/>
                <w:szCs w:val="24"/>
                <w:highlight w:val="none"/>
              </w:rPr>
              <w:t>☑</w:t>
            </w:r>
            <w:r>
              <w:rPr>
                <w:rFonts w:hint="eastAsia" w:ascii="Times New Roman" w:cs="宋体"/>
                <w:color w:val="auto"/>
                <w:sz w:val="24"/>
                <w:szCs w:val="24"/>
                <w:highlight w:val="none"/>
              </w:rPr>
              <w:t>不要求</w:t>
            </w:r>
          </w:p>
          <w:p w14:paraId="4AD5797F">
            <w:pPr>
              <w:snapToGrid w:val="0"/>
              <w:spacing w:beforeLines="0" w:afterLines="0" w:line="360" w:lineRule="auto"/>
              <w:rPr>
                <w:rFonts w:hint="eastAsia" w:ascii="Times New Roman" w:cs="宋体"/>
                <w:color w:val="auto"/>
                <w:sz w:val="24"/>
                <w:szCs w:val="24"/>
                <w:highlight w:val="none"/>
              </w:rPr>
            </w:pPr>
            <w:r>
              <w:rPr>
                <w:rFonts w:hint="eastAsia" w:ascii="Times New Roman" w:cs="宋体"/>
                <w:b/>
                <w:snapToGrid w:val="0"/>
                <w:color w:val="auto"/>
                <w:sz w:val="24"/>
                <w:szCs w:val="24"/>
                <w:highlight w:val="none"/>
              </w:rPr>
              <w:t>□</w:t>
            </w:r>
            <w:r>
              <w:rPr>
                <w:rFonts w:hint="eastAsia" w:ascii="Times New Roman" w:cs="宋体"/>
                <w:b/>
                <w:color w:val="auto"/>
                <w:sz w:val="24"/>
                <w:szCs w:val="24"/>
                <w:highlight w:val="none"/>
              </w:rPr>
              <w:t>要求，</w:t>
            </w:r>
            <w:r>
              <w:rPr>
                <w:rFonts w:hint="eastAsia" w:ascii="Times New Roman" w:cs="宋体"/>
                <w:color w:val="auto"/>
                <w:sz w:val="24"/>
                <w:szCs w:val="24"/>
                <w:highlight w:val="none"/>
              </w:rPr>
              <w:t>具体如下：</w:t>
            </w:r>
          </w:p>
          <w:p w14:paraId="1D365E7C">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（1）投标保证金的金额：人民币</w:t>
            </w:r>
            <w:r>
              <w:rPr>
                <w:rFonts w:hint="eastAsia" w:ascii="Times New Roman" w:cs="宋体"/>
                <w:color w:val="auto"/>
                <w:sz w:val="24"/>
                <w:szCs w:val="24"/>
                <w:highlight w:val="none"/>
                <w:u w:val="single"/>
              </w:rPr>
              <w:t xml:space="preserve">  /  </w:t>
            </w:r>
            <w:r>
              <w:rPr>
                <w:rFonts w:hint="eastAsia" w:ascii="Times New Roman" w:cs="宋体"/>
                <w:color w:val="auto"/>
                <w:sz w:val="24"/>
                <w:szCs w:val="24"/>
                <w:highlight w:val="none"/>
              </w:rPr>
              <w:t>万元</w:t>
            </w:r>
          </w:p>
          <w:p w14:paraId="480F74E8">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（2）投标保证金的形式：</w:t>
            </w:r>
          </w:p>
          <w:p w14:paraId="273D2B2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电子保函</w:t>
            </w:r>
          </w:p>
          <w:p w14:paraId="50793DBD">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现金（银行转账、银行电汇）</w:t>
            </w:r>
          </w:p>
          <w:p w14:paraId="5861FE2C">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纸质保函（纸质银行保函、纸质担保机构担保、纸质保证保险）</w:t>
            </w:r>
          </w:p>
          <w:p w14:paraId="530F584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（3）具体要求：</w:t>
            </w:r>
          </w:p>
          <w:p w14:paraId="0E890A86">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注:本项目鼓励优先使用电子保函形式提交投标保证金</w:t>
            </w:r>
          </w:p>
          <w:p w14:paraId="334F8D1B">
            <w:pPr>
              <w:snapToGrid w:val="0"/>
              <w:spacing w:beforeLines="0" w:afterLines="0" w:line="360" w:lineRule="auto"/>
              <w:rPr>
                <w:rFonts w:hint="eastAsia" w:ascii="Times New Roman" w:cs="宋体"/>
                <w:color w:val="auto"/>
                <w:sz w:val="24"/>
                <w:szCs w:val="24"/>
                <w:highlight w:val="none"/>
              </w:rPr>
            </w:pPr>
            <w:r>
              <w:rPr>
                <w:rFonts w:hint="eastAsia" w:ascii="Times New Roman" w:eastAsia="Times New Roman" w:cs="宋体"/>
                <w:color w:val="auto"/>
                <w:sz w:val="24"/>
                <w:szCs w:val="24"/>
                <w:highlight w:val="none"/>
              </w:rPr>
              <w:t>①</w:t>
            </w:r>
            <w:r>
              <w:rPr>
                <w:rFonts w:hint="eastAsia" w:ascii="Times New Roman" w:cs="宋体"/>
                <w:color w:val="auto"/>
                <w:sz w:val="24"/>
                <w:szCs w:val="24"/>
                <w:highlight w:val="none"/>
              </w:rPr>
              <w:t>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见招标公告（选择任何一家银行提交即可）。</w:t>
            </w:r>
          </w:p>
          <w:p w14:paraId="7EFBD42E">
            <w:pPr>
              <w:snapToGrid w:val="0"/>
              <w:spacing w:beforeLines="0" w:afterLines="0" w:line="360" w:lineRule="auto"/>
              <w:rPr>
                <w:rFonts w:hint="eastAsia" w:ascii="Times New Roman" w:cs="宋体"/>
                <w:color w:val="auto"/>
                <w:sz w:val="24"/>
                <w:szCs w:val="24"/>
                <w:highlight w:val="none"/>
              </w:rPr>
            </w:pPr>
            <w:r>
              <w:rPr>
                <w:rFonts w:hint="eastAsia" w:ascii="Times New Roman" w:eastAsia="Times New Roman" w:cs="宋体"/>
                <w:color w:val="auto"/>
                <w:sz w:val="24"/>
                <w:szCs w:val="24"/>
                <w:highlight w:val="none"/>
              </w:rPr>
              <w:t>②</w:t>
            </w:r>
            <w:r>
              <w:rPr>
                <w:rFonts w:hint="eastAsia" w:ascii="Times New Roman" w:cs="宋体"/>
                <w:color w:val="auto"/>
                <w:sz w:val="24"/>
                <w:szCs w:val="24"/>
                <w:highlight w:val="none"/>
              </w:rPr>
              <w:t>采用纸质银行保函的，应为投标人基本存款账户开户行出具的不可撤销、不可转让的见索即付独立保函。</w:t>
            </w:r>
          </w:p>
          <w:p w14:paraId="19329290">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③采用纸质担保机构担保的，应为经安徽省地方金融监督管理局审查批准，依法取得融资担保业务经营许可证的融资担保机构出具的不可撤销、不可转让的见索即付独立保函。</w:t>
            </w:r>
          </w:p>
          <w:p w14:paraId="13D175A9">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④采用纸质保证保险的，应为保险公司出具的不可撤销、不可转让的见索即付保证保险。</w:t>
            </w:r>
          </w:p>
          <w:p w14:paraId="64D8741B">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⑤采用纸质担保机构担保、纸质保证保险的，办理担保机构担保、保证保险的费用必须从投标人基本账户汇（支）出。投标人须将本单位针对该项目（标段）从基本账户汇出保函（或保证保险）费用的凭证（须载有所投项目标段编号或项目名称、投标人基本账户信息、收取该费用的保函或保证保险出具单位名称及其账户信息）扫描件、基本存款账户信息（或基本账户开户许可证）扫描件、保函（或保证保险）扫描件编入投标文件中，由评标委员会在评标时审查认定。未提交或未完整提交的视为未按规定提交投标保证金。</w:t>
            </w:r>
          </w:p>
          <w:p w14:paraId="1CA1657F">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⑥采用电子保函的，请登录全国公共资源交易平台（安徽省•合肥市）（安徽合肥公共资源交易中心网站）“电子保函”栏目查看《合肥市（信易贷）电子保函平台投标保函操作手册》并按照操作手册规定内容办理。</w:t>
            </w:r>
          </w:p>
          <w:p w14:paraId="7286FFAB">
            <w:pPr>
              <w:pStyle w:val="4"/>
              <w:spacing w:beforeLines="0" w:afterLine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（4）是否适用免缴投标保证金政策：</w:t>
            </w:r>
          </w:p>
          <w:p w14:paraId="2B3CEF1E">
            <w:pPr>
              <w:snapToGrid w:val="0"/>
              <w:spacing w:beforeLines="0" w:afterLines="0" w:line="360" w:lineRule="auto"/>
              <w:rPr>
                <w:rFonts w:hint="eastAsia" w:ascii="Times New Roman" w:cs="宋体"/>
                <w:color w:val="auto"/>
                <w:sz w:val="24"/>
                <w:szCs w:val="24"/>
                <w:highlight w:val="none"/>
              </w:rPr>
            </w:pPr>
            <w:r>
              <w:rPr>
                <w:rFonts w:hint="eastAsia" w:ascii="Times New Roman" w:cs="宋体"/>
                <w:snapToGrid w:val="0"/>
                <w:color w:val="auto"/>
                <w:sz w:val="24"/>
                <w:szCs w:val="24"/>
                <w:highlight w:val="none"/>
              </w:rPr>
              <w:t>□</w:t>
            </w:r>
            <w:r>
              <w:rPr>
                <w:rFonts w:hint="eastAsia" w:ascii="Times New Roman" w:cs="宋体"/>
                <w:color w:val="auto"/>
                <w:sz w:val="24"/>
                <w:szCs w:val="24"/>
                <w:highlight w:val="none"/>
              </w:rPr>
              <w:t>不适用</w:t>
            </w:r>
          </w:p>
          <w:p w14:paraId="75B26821">
            <w:pPr>
              <w:pStyle w:val="7"/>
              <w:spacing w:beforeLines="0" w:afterLines="0"/>
              <w:rPr>
                <w:rFonts w:hint="eastAsia" w:ascii="Times New Roman" w:cs="宋体"/>
                <w:color w:val="auto"/>
                <w:sz w:val="24"/>
                <w:szCs w:val="24"/>
                <w:highlight w:val="none"/>
              </w:rPr>
            </w:pPr>
            <w:r>
              <w:rPr>
                <w:rFonts w:hint="eastAsia" w:ascii="Times New Roman" w:cs="宋体"/>
                <w:snapToGrid w:val="0"/>
                <w:color w:val="auto"/>
                <w:sz w:val="24"/>
                <w:szCs w:val="24"/>
                <w:highlight w:val="none"/>
              </w:rPr>
              <w:t>□</w:t>
            </w:r>
            <w:r>
              <w:rPr>
                <w:rFonts w:hint="eastAsia" w:ascii="Times New Roman" w:cs="宋体"/>
                <w:color w:val="auto"/>
                <w:sz w:val="24"/>
                <w:szCs w:val="24"/>
                <w:highlight w:val="none"/>
              </w:rPr>
              <w:t>适用，适用免缴投标保证金的情形：</w:t>
            </w:r>
            <w:r>
              <w:rPr>
                <w:rFonts w:hint="eastAsia" w:ascii="Times New Roman" w:cs="宋体"/>
                <w:b/>
                <w:color w:val="auto"/>
                <w:sz w:val="24"/>
                <w:szCs w:val="24"/>
                <w:highlight w:val="none"/>
                <w:u w:val="single"/>
              </w:rPr>
              <w:t>在投标文件中进行相应承诺。 承诺格式详见 “第八章投标文件格式”</w:t>
            </w:r>
          </w:p>
          <w:p w14:paraId="79B3B040">
            <w:pPr>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w:t>
            </w:r>
            <w:r>
              <w:rPr>
                <w:rFonts w:hint="eastAsia" w:ascii="Times New Roman" w:eastAsia="Times New Roman" w:cs="宋体"/>
                <w:color w:val="auto"/>
                <w:sz w:val="24"/>
                <w:szCs w:val="24"/>
                <w:highlight w:val="none"/>
              </w:rPr>
              <w:t>5</w:t>
            </w:r>
            <w:r>
              <w:rPr>
                <w:rFonts w:hint="eastAsia" w:ascii="Times New Roman" w:cs="宋体"/>
                <w:color w:val="auto"/>
                <w:sz w:val="24"/>
                <w:szCs w:val="24"/>
                <w:highlight w:val="none"/>
              </w:rPr>
              <w:t>）其他要求：</w:t>
            </w:r>
          </w:p>
          <w:p w14:paraId="5EEF6B27">
            <w:pPr>
              <w:spacing w:beforeLines="0" w:afterLines="0" w:line="360" w:lineRule="auto"/>
              <w:rPr>
                <w:rFonts w:hint="eastAsia" w:ascii="Times New Roman" w:cs="宋体"/>
                <w:color w:val="auto"/>
                <w:sz w:val="24"/>
                <w:szCs w:val="24"/>
                <w:highlight w:val="none"/>
              </w:rPr>
            </w:pPr>
            <w:r>
              <w:rPr>
                <w:rFonts w:hint="eastAsia" w:ascii="Times New Roman" w:eastAsia="Times New Roman" w:cs="宋体"/>
                <w:color w:val="auto"/>
                <w:sz w:val="24"/>
                <w:szCs w:val="24"/>
                <w:highlight w:val="none"/>
              </w:rPr>
              <w:t>①</w:t>
            </w:r>
            <w:r>
              <w:rPr>
                <w:rFonts w:hint="eastAsia" w:ascii="Times New Roman" w:cs="宋体"/>
                <w:color w:val="auto"/>
                <w:sz w:val="24"/>
                <w:szCs w:val="24"/>
                <w:highlight w:val="none"/>
              </w:rPr>
              <w:t>特别提醒</w:t>
            </w:r>
          </w:p>
          <w:p w14:paraId="46014351">
            <w:pPr>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投标人采用保函方式提交投标保证金的，如出现本招标项目招标文件“投标人须知”第3.4.4项所列情形的，提供担保的银行、担保机构及保险机构将无条件向招标人支付保函所列的全部投标保证金金额，该支付行为视同投标保证金不予退还。</w:t>
            </w:r>
          </w:p>
          <w:p w14:paraId="4CC5DEF0">
            <w:pPr>
              <w:spacing w:beforeLines="0" w:afterLines="0" w:line="360" w:lineRule="auto"/>
              <w:rPr>
                <w:rFonts w:hint="eastAsia" w:ascii="Times New Roman" w:cs="宋体"/>
                <w:color w:val="auto"/>
                <w:sz w:val="24"/>
                <w:szCs w:val="24"/>
                <w:highlight w:val="none"/>
              </w:rPr>
            </w:pPr>
            <w:r>
              <w:rPr>
                <w:rFonts w:hint="eastAsia" w:ascii="Times New Roman" w:eastAsia="Times New Roman" w:cs="宋体"/>
                <w:color w:val="auto"/>
                <w:sz w:val="24"/>
                <w:szCs w:val="24"/>
                <w:highlight w:val="none"/>
              </w:rPr>
              <w:t>②</w:t>
            </w:r>
            <w:r>
              <w:rPr>
                <w:rFonts w:hint="eastAsia" w:ascii="Times New Roman" w:cs="宋体"/>
                <w:color w:val="auto"/>
                <w:sz w:val="24"/>
                <w:szCs w:val="24"/>
                <w:highlight w:val="none"/>
              </w:rPr>
              <w:t>投标保证金弄虚作假情形</w:t>
            </w:r>
          </w:p>
          <w:p w14:paraId="2F6AEDDA">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投标人采用虚假保函方式提交投标保证金的，除依法承担弄虚作假、骗取中标的法律责任外，还应根据招标文件规定承担投标保证金不予退还的民事责任，其承担方式为限时足额缴纳招标文件所列全部投标保证金，投标人在招标人发出追缴通知后的规定缴纳时间内不能足额支付投标保证金的，招标人将依法提起诉讼追缴，招标人因此发生的诉讼费、律师代理费等费用均由投标人承担。</w:t>
            </w:r>
          </w:p>
          <w:p w14:paraId="2AD4EC81">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w:t>
            </w:r>
            <w:r>
              <w:rPr>
                <w:rFonts w:hint="eastAsia" w:ascii="Times New Roman" w:eastAsia="Times New Roman" w:cs="宋体"/>
                <w:color w:val="auto"/>
                <w:sz w:val="24"/>
                <w:szCs w:val="24"/>
                <w:highlight w:val="none"/>
              </w:rPr>
              <w:t>6</w:t>
            </w:r>
            <w:r>
              <w:rPr>
                <w:rFonts w:hint="eastAsia" w:ascii="Times New Roman" w:cs="宋体"/>
                <w:color w:val="auto"/>
                <w:sz w:val="24"/>
                <w:szCs w:val="24"/>
                <w:highlight w:val="none"/>
              </w:rPr>
              <w:t>）投标保证金注意事项：</w:t>
            </w:r>
          </w:p>
          <w:p w14:paraId="595085B7">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①投标人采用纸质保函形式的，须提供明确有效的查询途径（网址链接及查询方式），否则无效。</w:t>
            </w:r>
          </w:p>
          <w:p w14:paraId="62124CB1">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②保函存在明显异常情形的（如多家投标人的保函编号相同；保函存在明显伪造痕迹、内容前后矛盾等情形），评标委员会应根据投标人提供的查询途径进行核查，并在评标报告中予以记录。</w:t>
            </w:r>
          </w:p>
          <w:p w14:paraId="6FD8A400">
            <w:pPr>
              <w:snapToGrid w:val="0"/>
              <w:spacing w:beforeLines="0" w:afterLines="0" w:line="360" w:lineRule="auto"/>
              <w:rPr>
                <w:rFonts w:hint="eastAsia"/>
                <w:color w:val="auto"/>
                <w:sz w:val="24"/>
                <w:szCs w:val="24"/>
                <w:highlight w:val="none"/>
              </w:rPr>
            </w:pPr>
            <w:r>
              <w:rPr>
                <w:rFonts w:hint="eastAsia" w:ascii="Times New Roman" w:cs="宋体"/>
                <w:color w:val="auto"/>
                <w:sz w:val="24"/>
                <w:szCs w:val="24"/>
                <w:highlight w:val="none"/>
              </w:rPr>
              <w:t>③中标候选人须在中标候选人公示期间将其开具至本招标项目的纸质保函原件提交招标人（或招标代理机构），且原件须与投标文件中提供的扫描件一致，如存在未按照规定提交或提交内容不一致，或发现弄虚作假的，招标人（或招标代理机构）应报公共资源交易监督管理部门。</w:t>
            </w:r>
          </w:p>
        </w:tc>
      </w:tr>
      <w:tr w14:paraId="1052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2A2373">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3.4.3</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50445E">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投标保证金的退还</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0588A8">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按照安徽合肥公共资源交易中心《关于进一步优化投标保证金退还流程的通知》（合公中心〔2023〕3号）执行。如投标人采用现金</w:t>
            </w:r>
            <w:r>
              <w:rPr>
                <w:rFonts w:hint="eastAsia" w:ascii="Times New Roman" w:cs="宋体"/>
                <w:color w:val="auto"/>
                <w:sz w:val="24"/>
                <w:szCs w:val="24"/>
                <w:highlight w:val="none"/>
                <w:lang w:eastAsia="zh-CN"/>
              </w:rPr>
              <w:t>、</w:t>
            </w:r>
            <w:r>
              <w:rPr>
                <w:rFonts w:hint="eastAsia" w:ascii="Times New Roman" w:cs="宋体"/>
                <w:color w:val="auto"/>
                <w:sz w:val="24"/>
                <w:szCs w:val="24"/>
                <w:highlight w:val="none"/>
              </w:rPr>
              <w:t>银行转账、银行电汇形式提交保证金的，同时退还银行同期活期存款利息。</w:t>
            </w:r>
          </w:p>
          <w:p w14:paraId="6FE0F64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（如有最新规定，按照最新规定执行）</w:t>
            </w:r>
          </w:p>
        </w:tc>
      </w:tr>
      <w:tr w14:paraId="2C6D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CC723A">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3.4.4（3）</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E9D294">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其他不予退还投标保证金的情形</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FDEA31">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w:t>
            </w:r>
          </w:p>
        </w:tc>
      </w:tr>
      <w:tr w14:paraId="18D5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984FB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3.6.1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BD5C0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是否允许递交备选投标方案</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8672AC">
            <w:pPr>
              <w:adjustRightInd w:val="0"/>
              <w:snapToGrid w:val="0"/>
              <w:spacing w:beforeLines="0" w:afterLines="0" w:line="360" w:lineRule="auto"/>
              <w:rPr>
                <w:rFonts w:hint="eastAsia" w:ascii="Times New Roman" w:cs="宋体"/>
                <w:b/>
                <w:color w:val="auto"/>
                <w:sz w:val="24"/>
                <w:szCs w:val="24"/>
                <w:highlight w:val="none"/>
              </w:rPr>
            </w:pPr>
            <w:r>
              <w:rPr>
                <w:rFonts w:hint="eastAsia" w:ascii="Times New Roman" w:cs="宋体"/>
                <w:b/>
                <w:color w:val="auto"/>
                <w:sz w:val="24"/>
                <w:szCs w:val="24"/>
                <w:highlight w:val="none"/>
              </w:rPr>
              <w:t>☑不允许。</w:t>
            </w:r>
          </w:p>
          <w:p w14:paraId="4C2C144A">
            <w:pPr>
              <w:adjustRightInd w:val="0"/>
              <w:snapToGrid w:val="0"/>
              <w:spacing w:beforeLines="0" w:afterLines="0" w:line="360" w:lineRule="auto"/>
              <w:rPr>
                <w:rFonts w:hint="eastAsia" w:ascii="Times New Roman" w:cs="宋体"/>
                <w:snapToGrid w:val="0"/>
                <w:color w:val="auto"/>
                <w:sz w:val="24"/>
                <w:szCs w:val="24"/>
                <w:highlight w:val="none"/>
                <w:shd w:val="clear" w:color="auto" w:fill="FFFFFF"/>
              </w:rPr>
            </w:pP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允许，具体要求：</w:t>
            </w:r>
            <w:r>
              <w:rPr>
                <w:rFonts w:hint="eastAsia" w:ascii="Times New Roman" w:cs="宋体"/>
                <w:color w:val="auto"/>
                <w:sz w:val="24"/>
                <w:szCs w:val="24"/>
                <w:highlight w:val="none"/>
                <w:u w:val="single"/>
              </w:rPr>
              <w:t xml:space="preserve">      </w:t>
            </w:r>
          </w:p>
        </w:tc>
      </w:tr>
      <w:tr w14:paraId="2F73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62976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3.7.4</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C873A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非加密投标文件递交</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FF3E8D">
            <w:pPr>
              <w:adjustRightInd w:val="0"/>
              <w:snapToGrid w:val="0"/>
              <w:spacing w:beforeLines="0" w:afterLines="0" w:line="360" w:lineRule="auto"/>
              <w:rPr>
                <w:rFonts w:hint="eastAsia" w:ascii="Times New Roman" w:cs="宋体"/>
                <w:b/>
                <w:color w:val="auto"/>
                <w:sz w:val="24"/>
                <w:szCs w:val="24"/>
                <w:highlight w:val="none"/>
              </w:rPr>
            </w:pPr>
            <w:r>
              <w:rPr>
                <w:rFonts w:hint="eastAsia" w:ascii="Times New Roman" w:cs="宋体"/>
                <w:b/>
                <w:color w:val="auto"/>
                <w:sz w:val="24"/>
                <w:szCs w:val="24"/>
                <w:highlight w:val="none"/>
              </w:rPr>
              <w:t>☑不允许。</w:t>
            </w:r>
          </w:p>
          <w:p w14:paraId="601E0D75">
            <w:pPr>
              <w:pStyle w:val="27"/>
              <w:spacing w:beforeLines="0" w:afterLines="0" w:line="360" w:lineRule="auto"/>
              <w:ind w:firstLine="0" w:firstLineChars="0"/>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□允许，具体要求如下：</w:t>
            </w:r>
          </w:p>
          <w:p w14:paraId="44FD1405">
            <w:pPr>
              <w:pStyle w:val="27"/>
              <w:spacing w:beforeLines="0" w:afterLines="0" w:line="360" w:lineRule="auto"/>
              <w:ind w:firstLine="0" w:firstLineChars="0"/>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非加密投标文件由投标人自行确定是否递交。</w:t>
            </w:r>
          </w:p>
          <w:p w14:paraId="3D2D9F5C">
            <w:pPr>
              <w:pStyle w:val="27"/>
              <w:spacing w:beforeLines="0" w:afterLines="0" w:line="360" w:lineRule="auto"/>
              <w:ind w:firstLine="0" w:firstLineChars="0"/>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如递交，应在投标截止时间前在开标地点递交，并提供以下证明材料，否则招标人不予接收。</w:t>
            </w:r>
          </w:p>
          <w:p w14:paraId="360BDF7A">
            <w:pPr>
              <w:pStyle w:val="27"/>
              <w:spacing w:beforeLines="0" w:afterLines="0" w:line="360" w:lineRule="auto"/>
              <w:ind w:firstLine="0" w:firstLineChars="0"/>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（1）法定代表人亲自递交的，应提供法定代表人身份证明和法定代表人的有效身份证件；</w:t>
            </w:r>
          </w:p>
          <w:p w14:paraId="26D19F7E">
            <w:pPr>
              <w:pStyle w:val="27"/>
              <w:spacing w:beforeLines="0" w:afterLines="0" w:line="360" w:lineRule="auto"/>
              <w:ind w:firstLine="0" w:firstLineChars="0"/>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（2）委托代理人递交的，应提供授权委托书和委托代理人的有效身份证件。</w:t>
            </w:r>
          </w:p>
          <w:p w14:paraId="73E94C94">
            <w:pPr>
              <w:pStyle w:val="27"/>
              <w:spacing w:beforeLines="0" w:afterLines="0" w:line="360" w:lineRule="auto"/>
              <w:ind w:firstLine="0" w:firstLineChars="0"/>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非加密投标文件介质：光盘或U盘</w:t>
            </w:r>
          </w:p>
        </w:tc>
      </w:tr>
      <w:tr w14:paraId="4E27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786DC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4.1.2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BE22D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非加密投标文件密封和标记要求</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FB0D35">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非加密投标文件封套：</w:t>
            </w:r>
          </w:p>
          <w:p w14:paraId="4F0ACBF8">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投标人名称：</w:t>
            </w:r>
            <w:r>
              <w:rPr>
                <w:rFonts w:hint="eastAsia" w:ascii="Times New Roman" w:cs="宋体"/>
                <w:color w:val="auto"/>
                <w:sz w:val="24"/>
                <w:szCs w:val="24"/>
                <w:highlight w:val="none"/>
                <w:u w:val="single"/>
              </w:rPr>
              <w:t xml:space="preserve">      </w:t>
            </w:r>
          </w:p>
          <w:p w14:paraId="2BF15E52">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u w:val="single"/>
              </w:rPr>
              <w:t>（招标项目名称）</w:t>
            </w:r>
            <w:r>
              <w:rPr>
                <w:rFonts w:hint="eastAsia" w:ascii="Times New Roman" w:cs="宋体"/>
                <w:snapToGrid w:val="0"/>
                <w:color w:val="auto"/>
                <w:sz w:val="24"/>
                <w:szCs w:val="24"/>
                <w:highlight w:val="none"/>
              </w:rPr>
              <w:t xml:space="preserve"> </w:t>
            </w:r>
            <w:r>
              <w:rPr>
                <w:rFonts w:hint="eastAsia" w:ascii="Times New Roman" w:cs="宋体"/>
                <w:snapToGrid w:val="0"/>
                <w:color w:val="auto"/>
                <w:sz w:val="24"/>
                <w:szCs w:val="24"/>
                <w:highlight w:val="none"/>
                <w:u w:val="single"/>
              </w:rPr>
              <w:t xml:space="preserve">      </w:t>
            </w:r>
            <w:r>
              <w:rPr>
                <w:rFonts w:hint="eastAsia" w:ascii="Times New Roman" w:cs="宋体"/>
                <w:snapToGrid w:val="0"/>
                <w:color w:val="auto"/>
                <w:sz w:val="24"/>
                <w:szCs w:val="24"/>
                <w:highlight w:val="none"/>
              </w:rPr>
              <w:t>标段投标文件</w:t>
            </w:r>
          </w:p>
          <w:p w14:paraId="643DCA54">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（非加密投标文件）</w:t>
            </w:r>
          </w:p>
          <w:p w14:paraId="35E4B829">
            <w:pPr>
              <w:snapToGrid w:val="0"/>
              <w:spacing w:beforeLines="0" w:afterLines="0" w:line="360" w:lineRule="auto"/>
              <w:rPr>
                <w:rFonts w:hint="eastAsia" w:ascii="Times New Roman" w:cs="宋体"/>
                <w:color w:val="auto"/>
                <w:sz w:val="24"/>
                <w:szCs w:val="24"/>
                <w:highlight w:val="none"/>
              </w:rPr>
            </w:pPr>
            <w:r>
              <w:rPr>
                <w:rFonts w:hint="eastAsia" w:ascii="Times New Roman" w:cs="宋体"/>
                <w:snapToGrid w:val="0"/>
                <w:color w:val="auto"/>
                <w:sz w:val="24"/>
                <w:szCs w:val="24"/>
                <w:highlight w:val="none"/>
              </w:rPr>
              <w:t>在</w:t>
            </w:r>
            <w:r>
              <w:rPr>
                <w:rFonts w:hint="eastAsia" w:ascii="Times New Roman" w:cs="宋体"/>
                <w:snapToGrid w:val="0"/>
                <w:color w:val="auto"/>
                <w:sz w:val="24"/>
                <w:szCs w:val="24"/>
                <w:highlight w:val="none"/>
                <w:u w:val="single"/>
              </w:rPr>
              <w:t xml:space="preserve">    </w:t>
            </w:r>
            <w:r>
              <w:rPr>
                <w:rFonts w:hint="eastAsia" w:ascii="Times New Roman" w:cs="宋体"/>
                <w:snapToGrid w:val="0"/>
                <w:color w:val="auto"/>
                <w:sz w:val="24"/>
                <w:szCs w:val="24"/>
                <w:highlight w:val="none"/>
              </w:rPr>
              <w:t>年</w:t>
            </w:r>
            <w:r>
              <w:rPr>
                <w:rFonts w:hint="eastAsia" w:ascii="Times New Roman" w:cs="宋体"/>
                <w:snapToGrid w:val="0"/>
                <w:color w:val="auto"/>
                <w:sz w:val="24"/>
                <w:szCs w:val="24"/>
                <w:highlight w:val="none"/>
                <w:u w:val="single"/>
              </w:rPr>
              <w:t xml:space="preserve">   </w:t>
            </w:r>
            <w:r>
              <w:rPr>
                <w:rFonts w:hint="eastAsia" w:ascii="Times New Roman" w:cs="宋体"/>
                <w:snapToGrid w:val="0"/>
                <w:color w:val="auto"/>
                <w:sz w:val="24"/>
                <w:szCs w:val="24"/>
                <w:highlight w:val="none"/>
              </w:rPr>
              <w:t>月</w:t>
            </w:r>
            <w:r>
              <w:rPr>
                <w:rFonts w:hint="eastAsia" w:ascii="Times New Roman" w:cs="宋体"/>
                <w:snapToGrid w:val="0"/>
                <w:color w:val="auto"/>
                <w:sz w:val="24"/>
                <w:szCs w:val="24"/>
                <w:highlight w:val="none"/>
                <w:u w:val="single"/>
              </w:rPr>
              <w:t xml:space="preserve">   </w:t>
            </w:r>
            <w:r>
              <w:rPr>
                <w:rFonts w:hint="eastAsia" w:ascii="Times New Roman" w:cs="宋体"/>
                <w:snapToGrid w:val="0"/>
                <w:color w:val="auto"/>
                <w:sz w:val="24"/>
                <w:szCs w:val="24"/>
                <w:highlight w:val="none"/>
              </w:rPr>
              <w:t>日</w:t>
            </w:r>
            <w:r>
              <w:rPr>
                <w:rFonts w:hint="eastAsia" w:ascii="Times New Roman" w:cs="宋体"/>
                <w:snapToGrid w:val="0"/>
                <w:color w:val="auto"/>
                <w:sz w:val="24"/>
                <w:szCs w:val="24"/>
                <w:highlight w:val="none"/>
                <w:u w:val="single"/>
              </w:rPr>
              <w:t xml:space="preserve">   </w:t>
            </w:r>
            <w:r>
              <w:rPr>
                <w:rFonts w:hint="eastAsia" w:ascii="Times New Roman" w:cs="宋体"/>
                <w:snapToGrid w:val="0"/>
                <w:color w:val="auto"/>
                <w:sz w:val="24"/>
                <w:szCs w:val="24"/>
                <w:highlight w:val="none"/>
              </w:rPr>
              <w:t>时</w:t>
            </w:r>
            <w:r>
              <w:rPr>
                <w:rFonts w:hint="eastAsia" w:ascii="Times New Roman" w:cs="宋体"/>
                <w:snapToGrid w:val="0"/>
                <w:color w:val="auto"/>
                <w:sz w:val="24"/>
                <w:szCs w:val="24"/>
                <w:highlight w:val="none"/>
                <w:u w:val="single"/>
              </w:rPr>
              <w:t xml:space="preserve">   </w:t>
            </w:r>
            <w:r>
              <w:rPr>
                <w:rFonts w:hint="eastAsia" w:ascii="Times New Roman" w:cs="宋体"/>
                <w:snapToGrid w:val="0"/>
                <w:color w:val="auto"/>
                <w:sz w:val="24"/>
                <w:szCs w:val="24"/>
                <w:highlight w:val="none"/>
              </w:rPr>
              <w:t>分前不得开启</w:t>
            </w:r>
          </w:p>
        </w:tc>
      </w:tr>
      <w:tr w14:paraId="5519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6C6E2F">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4.2.2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13CBF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递交非加密投标文件地点</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6DBA6B">
            <w:pPr>
              <w:pStyle w:val="27"/>
              <w:spacing w:beforeLines="0" w:afterLines="0" w:line="360" w:lineRule="auto"/>
              <w:ind w:firstLine="0" w:firstLineChars="0"/>
              <w:rPr>
                <w:rFonts w:hint="eastAsia" w:ascii="Times New Roman" w:hAnsi="Times New Roman" w:cs="宋体"/>
                <w:snapToGrid w:val="0"/>
                <w:color w:val="auto"/>
                <w:sz w:val="24"/>
                <w:szCs w:val="24"/>
                <w:highlight w:val="none"/>
              </w:rPr>
            </w:pPr>
            <w:r>
              <w:rPr>
                <w:rFonts w:hint="eastAsia" w:ascii="Times New Roman" w:hAnsi="Times New Roman" w:cs="宋体"/>
                <w:snapToGrid w:val="0"/>
                <w:color w:val="auto"/>
                <w:sz w:val="24"/>
                <w:szCs w:val="24"/>
                <w:highlight w:val="none"/>
              </w:rPr>
              <w:t>同开标地点</w:t>
            </w:r>
          </w:p>
        </w:tc>
      </w:tr>
      <w:tr w14:paraId="46EE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CB0DC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4.2.3</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39E3DD">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是否退还投标文件</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2992E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☑否</w:t>
            </w:r>
          </w:p>
          <w:p w14:paraId="34C61A46">
            <w:pPr>
              <w:pStyle w:val="27"/>
              <w:spacing w:beforeLines="0" w:afterLines="0" w:line="360" w:lineRule="auto"/>
              <w:ind w:firstLine="0" w:firstLineChars="0"/>
              <w:rPr>
                <w:rFonts w:hint="eastAsia" w:ascii="Times New Roman" w:hAnsi="Times New Roman" w:cs="宋体"/>
                <w:snapToGrid w:val="0"/>
                <w:color w:val="auto"/>
                <w:sz w:val="24"/>
                <w:szCs w:val="24"/>
                <w:highlight w:val="none"/>
                <w:u w:val="single"/>
              </w:rPr>
            </w:pPr>
            <w:r>
              <w:rPr>
                <w:rFonts w:hint="eastAsia" w:ascii="Times New Roman" w:hAnsi="Times New Roman" w:cs="宋体"/>
                <w:color w:val="auto"/>
                <w:sz w:val="24"/>
                <w:szCs w:val="24"/>
                <w:highlight w:val="none"/>
              </w:rPr>
              <w:t>□是，退还安排：</w:t>
            </w:r>
            <w:r>
              <w:rPr>
                <w:rFonts w:hint="eastAsia" w:ascii="Times New Roman" w:hAnsi="Times New Roman" w:cs="宋体"/>
                <w:color w:val="auto"/>
                <w:sz w:val="24"/>
                <w:szCs w:val="24"/>
                <w:highlight w:val="none"/>
                <w:u w:val="single"/>
              </w:rPr>
              <w:t xml:space="preserve">   /   </w:t>
            </w:r>
          </w:p>
        </w:tc>
      </w:tr>
      <w:tr w14:paraId="68FA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E0C12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5.1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55E76E">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开标时间和地点</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983011">
            <w:pPr>
              <w:adjustRightInd w:val="0"/>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开标时间：同投标截止时间</w:t>
            </w:r>
          </w:p>
          <w:p w14:paraId="3E7D202E">
            <w:pPr>
              <w:adjustRightInd w:val="0"/>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开标地点：见招标公告</w:t>
            </w:r>
          </w:p>
        </w:tc>
      </w:tr>
      <w:tr w14:paraId="17A0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217F24">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5.2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E7F6A1">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开标程序</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3F0E20">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color w:val="auto"/>
                <w:sz w:val="24"/>
                <w:szCs w:val="24"/>
                <w:highlight w:val="none"/>
              </w:rPr>
              <w:t>（3）解密时间：</w:t>
            </w:r>
            <w:r>
              <w:rPr>
                <w:rFonts w:hint="eastAsia" w:ascii="Times New Roman" w:cs="宋体"/>
                <w:color w:val="auto"/>
                <w:sz w:val="24"/>
                <w:szCs w:val="24"/>
                <w:highlight w:val="none"/>
                <w:u w:val="single"/>
              </w:rPr>
              <w:t xml:space="preserve">  30  </w:t>
            </w:r>
            <w:r>
              <w:rPr>
                <w:rFonts w:hint="eastAsia" w:ascii="Times New Roman" w:cs="宋体"/>
                <w:color w:val="auto"/>
                <w:sz w:val="24"/>
                <w:szCs w:val="24"/>
                <w:highlight w:val="none"/>
              </w:rPr>
              <w:t>分钟</w:t>
            </w:r>
            <w:r>
              <w:rPr>
                <w:rFonts w:hint="eastAsia" w:ascii="Times New Roman" w:cs="宋体"/>
                <w:snapToGrid w:val="0"/>
                <w:color w:val="auto"/>
                <w:sz w:val="24"/>
                <w:szCs w:val="24"/>
                <w:highlight w:val="none"/>
              </w:rPr>
              <w:t>（以电子交易系统解密倒计时为准）；</w:t>
            </w:r>
          </w:p>
          <w:p w14:paraId="3F260B31">
            <w:pPr>
              <w:adjustRightInd w:val="0"/>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☑（6）公布投标人名称、标段名称、投标报价、质量标准、工期及其他内容。</w:t>
            </w:r>
          </w:p>
          <w:p w14:paraId="189D04C3">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□（6）公布投标人名称、标段名称、质量标准、工期及其他内容；商务、技术文件评审完成后，根据第三章“评标办法”的规定再公布所有投标人的投标报价。</w:t>
            </w:r>
          </w:p>
          <w:p w14:paraId="377F156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多标段开标顺序：</w:t>
            </w:r>
            <w:r>
              <w:rPr>
                <w:rFonts w:hint="eastAsia" w:ascii="Times New Roman" w:cs="宋体"/>
                <w:color w:val="auto"/>
                <w:sz w:val="24"/>
                <w:szCs w:val="24"/>
                <w:highlight w:val="none"/>
                <w:u w:val="single"/>
              </w:rPr>
              <w:t xml:space="preserve">  /  </w:t>
            </w:r>
          </w:p>
        </w:tc>
      </w:tr>
      <w:tr w14:paraId="700B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899AC3">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6.3.2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1DBF51">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评标委员会推荐中标候选人的数量</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489C9C">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sz w:val="24"/>
                <w:szCs w:val="24"/>
                <w:highlight w:val="none"/>
                <w:u w:val="single"/>
              </w:rPr>
              <w:t xml:space="preserve"> 第一中标候选人 1 家 </w:t>
            </w:r>
          </w:p>
        </w:tc>
      </w:tr>
      <w:tr w14:paraId="0CDB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C5B9E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6.4</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192EFD">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中标候选人公示媒介、期限及其他要求</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01AA3B">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（1）公示媒介：同招标公告发布媒介</w:t>
            </w:r>
          </w:p>
          <w:p w14:paraId="26183FA4">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（2）公示期限：</w:t>
            </w:r>
            <w:r>
              <w:rPr>
                <w:rFonts w:hint="eastAsia" w:ascii="Times New Roman" w:cs="宋体"/>
                <w:color w:val="auto"/>
                <w:sz w:val="24"/>
                <w:szCs w:val="24"/>
                <w:highlight w:val="none"/>
                <w:u w:val="single"/>
              </w:rPr>
              <w:t xml:space="preserve"> 3  </w:t>
            </w:r>
            <w:r>
              <w:rPr>
                <w:rFonts w:hint="eastAsia" w:ascii="Times New Roman" w:cs="宋体"/>
                <w:color w:val="auto"/>
                <w:sz w:val="24"/>
                <w:szCs w:val="24"/>
                <w:highlight w:val="none"/>
              </w:rPr>
              <w:t>日（公示期截止时间在法定休息日的应顺延至首个工作日）</w:t>
            </w:r>
          </w:p>
          <w:p w14:paraId="3AC9ADD6">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（3）其他要求：进入安徽合肥公共资源交易平台交易的工程建设项目，招标人（或委托代理机构）在发布中标候选人公示时应当同时公开以下评标情况：</w:t>
            </w:r>
          </w:p>
          <w:p w14:paraId="7A14FAEF">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a.投标人名称、投标报价、投标文件被否决的原因及依据；</w:t>
            </w:r>
          </w:p>
          <w:p w14:paraId="05DB46A0">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b</w:t>
            </w:r>
            <w:r>
              <w:rPr>
                <w:rFonts w:hint="eastAsia" w:ascii="Times New Roman" w:eastAsia="Times New Roman" w:cs="宋体"/>
                <w:color w:val="auto"/>
                <w:sz w:val="24"/>
                <w:szCs w:val="24"/>
                <w:highlight w:val="none"/>
              </w:rPr>
              <w:t>.</w:t>
            </w:r>
            <w:r>
              <w:rPr>
                <w:rFonts w:hint="eastAsia" w:ascii="Times New Roman" w:cs="宋体"/>
                <w:color w:val="auto"/>
                <w:sz w:val="24"/>
                <w:szCs w:val="24"/>
                <w:highlight w:val="none"/>
              </w:rPr>
              <w:t>评标委员会的评分情况。包括商务文件、技术文件、报价文件评分，其中技术文件还需公开采用编码标注的各评标委员会成员评分；</w:t>
            </w:r>
          </w:p>
          <w:p w14:paraId="74B5AD95">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kern w:val="2"/>
                <w:sz w:val="24"/>
                <w:szCs w:val="24"/>
                <w:highlight w:val="none"/>
              </w:rPr>
              <w:t>c.中标候选人经评审通过的投标人业绩（如要求）、项目经理信息及项目经理业绩（如要求）;</w:t>
            </w:r>
          </w:p>
          <w:p w14:paraId="2F7F099F">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kern w:val="2"/>
                <w:sz w:val="24"/>
                <w:szCs w:val="24"/>
                <w:highlight w:val="none"/>
              </w:rPr>
              <w:t>d.中标候选人通过银行保函或担保机构担保或保证保险形式提交的投标保证金证明材料。</w:t>
            </w:r>
          </w:p>
          <w:p w14:paraId="1D2BD2B6">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sz w:val="24"/>
                <w:szCs w:val="24"/>
                <w:highlight w:val="none"/>
              </w:rPr>
              <w:t>（如有最新规定，按照最新规定执行）</w:t>
            </w:r>
          </w:p>
        </w:tc>
      </w:tr>
      <w:tr w14:paraId="2494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05C6D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7.1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DF46F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是否授权评标委员会确定中标人</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A3E11C">
            <w:pPr>
              <w:snapToGrid w:val="0"/>
              <w:spacing w:beforeLines="0" w:afterLines="0" w:line="360" w:lineRule="auto"/>
              <w:rPr>
                <w:rFonts w:hint="eastAsia" w:ascii="Times New Roman" w:cs="宋体"/>
                <w:b/>
                <w:color w:val="auto"/>
                <w:sz w:val="24"/>
                <w:szCs w:val="24"/>
                <w:highlight w:val="none"/>
              </w:rPr>
            </w:pPr>
            <w:r>
              <w:rPr>
                <w:rFonts w:hint="eastAsia" w:ascii="Times New Roman" w:cs="宋体"/>
                <w:b/>
                <w:color w:val="auto"/>
                <w:sz w:val="24"/>
                <w:szCs w:val="24"/>
                <w:highlight w:val="none"/>
              </w:rPr>
              <w:sym w:font="Wingdings 2" w:char="0052"/>
            </w:r>
            <w:r>
              <w:rPr>
                <w:rFonts w:hint="eastAsia" w:ascii="Times New Roman" w:cs="宋体"/>
                <w:b/>
                <w:color w:val="auto"/>
                <w:sz w:val="24"/>
                <w:szCs w:val="24"/>
                <w:highlight w:val="none"/>
              </w:rPr>
              <w:t>是</w:t>
            </w:r>
          </w:p>
          <w:p w14:paraId="364F791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否</w:t>
            </w:r>
          </w:p>
        </w:tc>
      </w:tr>
      <w:tr w14:paraId="1579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82A94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7.2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00F96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中标结果公示媒介</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20F023">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同招标公告发布媒介</w:t>
            </w:r>
          </w:p>
        </w:tc>
      </w:tr>
      <w:tr w14:paraId="73E4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5B8470">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7.3</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EC510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中标通知书和中标结果通知发出的形式</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6DC37A">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（1）中标通知书发出的形式：</w:t>
            </w:r>
            <w:r>
              <w:rPr>
                <w:rFonts w:hint="eastAsia" w:ascii="Times New Roman" w:cs="宋体"/>
                <w:color w:val="auto"/>
                <w:sz w:val="24"/>
                <w:szCs w:val="24"/>
                <w:highlight w:val="none"/>
              </w:rPr>
              <w:sym w:font="Wingdings 2" w:char="0052"/>
            </w:r>
            <w:r>
              <w:rPr>
                <w:rFonts w:hint="eastAsia" w:ascii="Times New Roman" w:cs="宋体"/>
                <w:color w:val="auto"/>
                <w:sz w:val="24"/>
                <w:szCs w:val="24"/>
                <w:highlight w:val="none"/>
              </w:rPr>
              <w:t xml:space="preserve">数据电文  </w:t>
            </w: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纸质</w:t>
            </w:r>
          </w:p>
          <w:p w14:paraId="1C8B6C7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（2）中标结果通知发出的形式：</w:t>
            </w:r>
            <w:r>
              <w:rPr>
                <w:rFonts w:hint="eastAsia" w:ascii="Times New Roman" w:cs="宋体"/>
                <w:color w:val="auto"/>
                <w:sz w:val="24"/>
                <w:szCs w:val="24"/>
                <w:highlight w:val="none"/>
              </w:rPr>
              <w:sym w:font="Wingdings 2" w:char="0052"/>
            </w:r>
            <w:r>
              <w:rPr>
                <w:rFonts w:hint="eastAsia" w:ascii="Times New Roman" w:cs="宋体"/>
                <w:color w:val="auto"/>
                <w:sz w:val="24"/>
                <w:szCs w:val="24"/>
                <w:highlight w:val="none"/>
              </w:rPr>
              <w:t xml:space="preserve">数据电文  </w:t>
            </w: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纸质</w:t>
            </w:r>
          </w:p>
          <w:p w14:paraId="06F715CA">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特别提醒：招标人确定中标人后，通过电子交易系统向中标人发出中标通知书，中标通知书发出即视为送达。投标人应主动登录电子交易系统查询，招标人和招标代理机构不承担投标人未及时关注相关信息引发的相关责任。</w:t>
            </w:r>
          </w:p>
        </w:tc>
      </w:tr>
      <w:tr w14:paraId="24E1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45BF21">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8.1.1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89C7B0">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履约保证金</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F1BD2C">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是否要求投标人递交</w:t>
            </w:r>
            <w:r>
              <w:rPr>
                <w:rFonts w:hint="eastAsia" w:ascii="Times New Roman" w:cs="宋体"/>
                <w:color w:val="auto"/>
                <w:sz w:val="24"/>
                <w:szCs w:val="24"/>
                <w:highlight w:val="none"/>
              </w:rPr>
              <w:t>履约保证金</w:t>
            </w:r>
            <w:r>
              <w:rPr>
                <w:rFonts w:hint="eastAsia" w:ascii="Times New Roman" w:cs="宋体"/>
                <w:snapToGrid w:val="0"/>
                <w:color w:val="auto"/>
                <w:sz w:val="24"/>
                <w:szCs w:val="24"/>
                <w:highlight w:val="none"/>
              </w:rPr>
              <w:t>：</w:t>
            </w:r>
          </w:p>
          <w:p w14:paraId="2C53AB40">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sym w:font="Wingdings 2" w:char="00A3"/>
            </w:r>
            <w:r>
              <w:rPr>
                <w:rFonts w:hint="eastAsia" w:ascii="Times New Roman" w:cs="宋体"/>
                <w:snapToGrid w:val="0"/>
                <w:color w:val="auto"/>
                <w:sz w:val="24"/>
                <w:szCs w:val="24"/>
                <w:highlight w:val="none"/>
              </w:rPr>
              <w:t>不要求</w:t>
            </w:r>
          </w:p>
          <w:p w14:paraId="38728228">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sym w:font="Wingdings 2" w:char="0052"/>
            </w:r>
            <w:r>
              <w:rPr>
                <w:rFonts w:hint="eastAsia" w:ascii="Times New Roman" w:cs="宋体"/>
                <w:snapToGrid w:val="0"/>
                <w:color w:val="auto"/>
                <w:sz w:val="24"/>
                <w:szCs w:val="24"/>
                <w:highlight w:val="none"/>
              </w:rPr>
              <w:t>要求，具体如下：</w:t>
            </w:r>
          </w:p>
          <w:p w14:paraId="3B6F426B">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（1）履约保证金金额：</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中标</w:t>
            </w:r>
            <w:r>
              <w:rPr>
                <w:rFonts w:hint="eastAsia" w:ascii="Times New Roman" w:cs="宋体"/>
                <w:color w:val="auto"/>
                <w:sz w:val="24"/>
                <w:szCs w:val="24"/>
                <w:highlight w:val="none"/>
                <w:u w:val="single"/>
              </w:rPr>
              <w:t xml:space="preserve">金额的2%   </w:t>
            </w:r>
          </w:p>
          <w:p w14:paraId="77B092B5">
            <w:pPr>
              <w:snapToGrid w:val="0"/>
              <w:spacing w:beforeLines="0" w:afterLines="0" w:line="360" w:lineRule="auto"/>
              <w:rPr>
                <w:rFonts w:hint="eastAsia" w:ascii="Times New Roman" w:cs="宋体"/>
                <w:color w:val="auto"/>
                <w:sz w:val="24"/>
                <w:szCs w:val="24"/>
                <w:highlight w:val="none"/>
              </w:rPr>
            </w:pPr>
            <w:r>
              <w:rPr>
                <w:rFonts w:hint="eastAsia" w:ascii="Times New Roman" w:cs="宋体"/>
                <w:snapToGrid w:val="0"/>
                <w:color w:val="auto"/>
                <w:sz w:val="24"/>
                <w:szCs w:val="24"/>
                <w:highlight w:val="none"/>
              </w:rPr>
              <w:t>（2）履约保证金形式</w:t>
            </w:r>
            <w:r>
              <w:rPr>
                <w:rFonts w:hint="eastAsia" w:ascii="Times New Roman" w:cs="宋体"/>
                <w:color w:val="auto"/>
                <w:sz w:val="24"/>
                <w:szCs w:val="24"/>
                <w:highlight w:val="none"/>
              </w:rPr>
              <w:t>：</w:t>
            </w:r>
          </w:p>
          <w:p w14:paraId="3FC9E82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52"/>
            </w:r>
            <w:r>
              <w:rPr>
                <w:rFonts w:hint="eastAsia" w:ascii="Times New Roman" w:cs="宋体"/>
                <w:color w:val="auto"/>
                <w:sz w:val="24"/>
                <w:szCs w:val="24"/>
                <w:highlight w:val="none"/>
              </w:rPr>
              <w:t>电子保函</w:t>
            </w:r>
          </w:p>
          <w:p w14:paraId="5938D78F">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52"/>
            </w:r>
            <w:r>
              <w:rPr>
                <w:rFonts w:hint="eastAsia" w:ascii="Times New Roman" w:cs="宋体"/>
                <w:color w:val="auto"/>
                <w:sz w:val="24"/>
                <w:szCs w:val="24"/>
                <w:highlight w:val="none"/>
              </w:rPr>
              <w:t>现金（银行转账、银行电汇）</w:t>
            </w:r>
          </w:p>
          <w:p w14:paraId="11322C95">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52"/>
            </w:r>
            <w:r>
              <w:rPr>
                <w:rFonts w:hint="eastAsia" w:ascii="Times New Roman" w:cs="宋体"/>
                <w:color w:val="auto"/>
                <w:sz w:val="24"/>
                <w:szCs w:val="24"/>
                <w:highlight w:val="none"/>
              </w:rPr>
              <w:t>纸质保函（纸质银行保函、纸质担保机构担保、纸质保证保险）</w:t>
            </w:r>
          </w:p>
          <w:p w14:paraId="4351608A">
            <w:pPr>
              <w:numPr>
                <w:ilvl w:val="0"/>
                <w:numId w:val="1"/>
              </w:num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具体要求：</w:t>
            </w:r>
          </w:p>
          <w:p w14:paraId="33C25954">
            <w:pPr>
              <w:snapToGrid w:val="0"/>
              <w:spacing w:beforeLines="0" w:afterLines="0" w:line="360" w:lineRule="auto"/>
              <w:rPr>
                <w:rFonts w:hint="eastAsia"/>
                <w:color w:val="auto"/>
                <w:sz w:val="24"/>
                <w:szCs w:val="24"/>
                <w:highlight w:val="none"/>
              </w:rPr>
            </w:pPr>
            <w:r>
              <w:rPr>
                <w:rFonts w:hint="eastAsia" w:ascii="Times New Roman" w:cs="宋体"/>
                <w:color w:val="auto"/>
                <w:sz w:val="24"/>
                <w:szCs w:val="24"/>
                <w:highlight w:val="none"/>
              </w:rPr>
              <w:t>注:本项目鼓励优先使用电子保函形式递交履约保证金</w:t>
            </w:r>
          </w:p>
          <w:p w14:paraId="21C9BABA">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①采用纸质银行保函的，应为不可撤销、不可转让的见索即付独立保函。</w:t>
            </w:r>
          </w:p>
          <w:p w14:paraId="2AD4E793">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②采用纸质担保机构担保的，应为经安徽省地方金融监督管理局审查批准，依法取得融资担保业务经营许可证的融资担保机构出具的不可撤销、不可转让的见索即付独立保函。</w:t>
            </w:r>
          </w:p>
          <w:p w14:paraId="799E5AAC">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③采用纸质保证保险的，应为保险公司出具的不可撤销、不可转让的见索即付保证保险。</w:t>
            </w:r>
          </w:p>
          <w:p w14:paraId="13A40F4C">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color w:val="auto"/>
                <w:sz w:val="24"/>
                <w:szCs w:val="24"/>
                <w:highlight w:val="none"/>
              </w:rPr>
              <w:t>④采用电子保函的，请登录全国公共资源交易平台（安徽省•合肥市）（安徽合肥公共资源交易中心网站）“电子保函”栏目查看《合肥市（信易贷）电子保函平台履约保函操作手册》并按照操作手册规定内容办理。</w:t>
            </w:r>
          </w:p>
          <w:p w14:paraId="365CFE04">
            <w:pPr>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（4）本招标项目是否减免履约保证金：</w:t>
            </w:r>
          </w:p>
          <w:p w14:paraId="75CBD6D2">
            <w:pPr>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☑不减免</w:t>
            </w:r>
          </w:p>
          <w:p w14:paraId="21EC1103">
            <w:pPr>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□减免，适用减免履约保证金的情形：</w:t>
            </w:r>
            <w:r>
              <w:rPr>
                <w:rFonts w:hint="eastAsia" w:ascii="Times New Roman" w:cs="宋体"/>
                <w:color w:val="auto"/>
                <w:sz w:val="24"/>
                <w:szCs w:val="24"/>
                <w:highlight w:val="none"/>
                <w:u w:val="single"/>
              </w:rPr>
              <w:t xml:space="preserve">    </w:t>
            </w:r>
          </w:p>
          <w:p w14:paraId="6143A586">
            <w:pPr>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（5）其他要求：</w:t>
            </w:r>
            <w:r>
              <w:rPr>
                <w:rFonts w:hint="eastAsia" w:ascii="Times New Roman" w:cs="宋体"/>
                <w:color w:val="auto"/>
                <w:sz w:val="24"/>
                <w:szCs w:val="24"/>
                <w:highlight w:val="none"/>
                <w:u w:val="single"/>
              </w:rPr>
              <w:t>投标人采用现金（银行转账、银行电汇）形式提交履约保证金的，同时退还银行同期活期存款利息。</w:t>
            </w:r>
          </w:p>
        </w:tc>
      </w:tr>
      <w:tr w14:paraId="4815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A82FC13">
            <w:pPr>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10. 需要补充的其他内容</w:t>
            </w:r>
          </w:p>
        </w:tc>
      </w:tr>
      <w:tr w14:paraId="1679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3148C3">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A22B76">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获取与查看通知</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B64EEE">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本招标项目的招标文件、图纸、工程量清单、最高投标限价、澄清及修改等相关资料均通过电子服务系统发布；投标人应当及时登录电子服务系统自行查看并下载。</w:t>
            </w:r>
          </w:p>
        </w:tc>
      </w:tr>
      <w:tr w14:paraId="3D1D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7BCC1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60AED5">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电子招标</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AF4824">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本招标项目实行全流程电子化交易，除招标文件另有规定外，电子招标投标操作要求见本章附件《合肥市公共资源交易电子招标投标操作规程》。</w:t>
            </w:r>
          </w:p>
        </w:tc>
      </w:tr>
      <w:tr w14:paraId="3F34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E82A6B">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10.3</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907AB3">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相关政策要求</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CF7DD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（1）承包人在工程实施过程中的用工行为，必须严格</w:t>
            </w:r>
          </w:p>
          <w:p w14:paraId="37D38C52">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按照《保障农民工工资支付条例》（国令第724号）</w:t>
            </w:r>
          </w:p>
          <w:p w14:paraId="1F7A1F16">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《工程建设领域农民工工资专用账户管理暂行办法》</w:t>
            </w:r>
          </w:p>
          <w:p w14:paraId="0B153CA1">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（人社部发〔2021〕53号）及安徽省、合肥市等文件</w:t>
            </w:r>
          </w:p>
          <w:p w14:paraId="6793646F">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精神的有关规定，依法与招用的农民工签订劳动合同，</w:t>
            </w:r>
          </w:p>
          <w:p w14:paraId="62C81B33">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并按规定及时足额支付工资。承包人必须按照合肥市</w:t>
            </w:r>
          </w:p>
          <w:p w14:paraId="07B36B4D">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相关文件设立农民工工资专用账户，专户资金使用、</w:t>
            </w:r>
          </w:p>
          <w:p w14:paraId="5649E1A0">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监管严格按照合肥市相关文件执行。本工程工资性工</w:t>
            </w:r>
          </w:p>
          <w:p w14:paraId="6F2966BE">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程款及工资性工程进度款按《关于发布合肥市建设工</w:t>
            </w:r>
          </w:p>
          <w:p w14:paraId="3E8610A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程人工费计算最低标准的通知》（合造价〔2022〕8</w:t>
            </w:r>
          </w:p>
          <w:p w14:paraId="5D5A28B2">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号）及《合肥建设工程市场价格信息》（合肥市城乡</w:t>
            </w:r>
          </w:p>
          <w:p w14:paraId="02F01F11">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建设局）规定执行。中标后承包人按上述文件规定办</w:t>
            </w:r>
          </w:p>
          <w:p w14:paraId="4C3DFAA4">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理相关专户设立、工资支付等事宜。</w:t>
            </w:r>
          </w:p>
          <w:p w14:paraId="23B5BFB4">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（2）建设工程不可竞争费构成及计费标准按</w:t>
            </w:r>
            <w:r>
              <w:rPr>
                <w:rFonts w:hint="eastAsia" w:ascii="Times New Roman" w:cs="宋体"/>
                <w:b/>
                <w:color w:val="auto"/>
                <w:sz w:val="24"/>
                <w:szCs w:val="24"/>
                <w:highlight w:val="none"/>
              </w:rPr>
              <w:t>《关于贯彻执行&lt;2018版安徽省建设工程计价依据动态调整（第1期）&gt;的通知》（合建监管〔2024〕13号）</w:t>
            </w:r>
            <w:r>
              <w:rPr>
                <w:rFonts w:hint="eastAsia" w:ascii="Times New Roman" w:cs="宋体"/>
                <w:color w:val="auto"/>
                <w:sz w:val="24"/>
                <w:szCs w:val="24"/>
                <w:highlight w:val="none"/>
              </w:rPr>
              <w:t>执行，本工程最高投标限价（招标控制价）已按规定的措施项目、费率和单价列出招标工程施工扬尘污染防治费用和建筑工人实名制管理费用清单，投标人应承诺投标报价中已包含招标文件公布的施工扬尘污染防治费用和建筑工人实名制管理费用。工程竣工结算时，未落实的施工扬尘污染防治和建筑工人实名制管理措施项目, 应按清单所列金额从工程结算价款中扣除。</w:t>
            </w:r>
          </w:p>
          <w:p w14:paraId="2FBD71CC">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注册地不在合肥市行政区域范围（含四县一市）的中标人，应按照《纳税人跨县（市、区）提供建筑服务增值税征收管理暂行办法》（国家税务总局公告2016年第17号）规定，在建筑服务发生地及时足额预缴增值税。</w:t>
            </w:r>
          </w:p>
          <w:p w14:paraId="68ACF92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 xml:space="preserve">（4）省外建设工程企业按照《关于优化进皖建设工程企业信息登记服务和管理有关工作的通知》（建市规〔2025〕4号）进行相关信息登记。 </w:t>
            </w:r>
          </w:p>
          <w:p w14:paraId="6F43A63B">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（5）工程质量保证金执行《关于以保函等方式替代工程质量保证金的通知》（合建〔2020〕29号文件）。</w:t>
            </w:r>
          </w:p>
          <w:p w14:paraId="7E6F5215">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（6）农民工工资保证金保函严格执行转发《关于印发&lt;安徽省工程建设领域农民工工资保证金实施办法&gt;的通知》的通知(合治欠办(2022) 5 号)，支持以银行保函、保险机构保单保函方式存储。</w:t>
            </w:r>
          </w:p>
          <w:p w14:paraId="499EA1F1">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（7）劳资专管员执行《关于加强建设领域劳资专管员管理工作的通知》（合治欠发〔2021〕6号文件）。</w:t>
            </w:r>
          </w:p>
          <w:p w14:paraId="1F3540B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（8）关于投标保证金、履约保证金、工程质量保证金执行《关于加快推进房屋建筑和市政基础设施工程实行工程担保制度的通知》（建市〔2020〕84号文件）。</w:t>
            </w:r>
          </w:p>
          <w:p w14:paraId="4ABE4AC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（9）保证保险产品应按《中国银保监会办公厅关于进一步加强和改进财产保险公司产品监管有关问题的通知》执行。</w:t>
            </w:r>
          </w:p>
          <w:p w14:paraId="1E148FE5">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（10）采用一级建造师投标的应按《住房和城乡建设部办公厅关于全面实行一级建造师电子注册证书的通知》(建办市〔2021〕40号)执行。</w:t>
            </w:r>
          </w:p>
          <w:p w14:paraId="2A899C40">
            <w:pPr>
              <w:widowControl/>
              <w:snapToGrid w:val="0"/>
              <w:spacing w:beforeLines="0" w:afterLines="0" w:line="360" w:lineRule="auto"/>
              <w:jc w:val="left"/>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（11）工程建设领域农民工工资专用账户执行安徽省人社厅等部门印发的《贯彻落实〈工程建设领域农民工工资专用账户管理暂行办法〉的通知》（皖人社发〔2022〕5 号）及《贯彻落实&lt;工程建设领域农民工工资专用账户管理暂行办法&gt;的通知》的通知（合治欠办〔2022〕7 号）。</w:t>
            </w:r>
          </w:p>
          <w:p w14:paraId="1267D917">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12）为切实保障建筑行业农民工工资支付、加快培育新时代建筑产业工人队伍、有效破解拖欠工程款问题，严格执行《关于建立长效机制切实保障建筑行业农民工工资支付工作的通知》（建市函〔2022〕490号），《关于加快培育和壮大我省建筑产业工人队伍的意见》（建市规〔 2023〕1 号）以及《关于印发〈安徽省房屋建筑和市政基础设施工程施工过程结算管理办法〉的通知》（建市规〔2023〕2 号）。</w:t>
            </w:r>
          </w:p>
          <w:p w14:paraId="0D70C861">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（13）投标保证金、履约保证金、预付款担保、质量保证金缴纳执行安徽合肥公共资源交易中心发布的《关于全面推行投标保证金、履约保证金、预付款担保、质量保证金电子保函的通知》。</w:t>
            </w:r>
          </w:p>
          <w:p w14:paraId="70096B69">
            <w:pPr>
              <w:widowControl/>
              <w:snapToGrid w:val="0"/>
              <w:spacing w:beforeLines="0" w:afterLines="0" w:line="360" w:lineRule="auto"/>
              <w:jc w:val="left"/>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注：</w:t>
            </w:r>
          </w:p>
          <w:p w14:paraId="08992B8D">
            <w:pPr>
              <w:widowControl/>
              <w:numPr>
                <w:ilvl w:val="0"/>
                <w:numId w:val="0"/>
              </w:numPr>
              <w:snapToGrid w:val="0"/>
              <w:spacing w:beforeLines="0" w:afterLines="0" w:line="360" w:lineRule="auto"/>
              <w:jc w:val="left"/>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①未列明的按照国家、省、市相关政策执行。</w:t>
            </w:r>
          </w:p>
          <w:p w14:paraId="3AF04166">
            <w:pPr>
              <w:spacing w:beforeLines="0" w:afterLines="0" w:line="440" w:lineRule="exact"/>
              <w:rPr>
                <w:rFonts w:hint="eastAsia" w:ascii="Times New Roman" w:cs="宋体"/>
                <w:color w:val="auto"/>
                <w:sz w:val="24"/>
                <w:szCs w:val="24"/>
                <w:highlight w:val="none"/>
              </w:rPr>
            </w:pPr>
            <w:r>
              <w:rPr>
                <w:rFonts w:hint="eastAsia" w:ascii="Times New Roman" w:cs="宋体"/>
                <w:color w:val="auto"/>
                <w:sz w:val="24"/>
                <w:szCs w:val="24"/>
                <w:highlight w:val="none"/>
              </w:rPr>
              <w:t>② 如有相关政策文件更新，按照最新政策文件执行。</w:t>
            </w:r>
          </w:p>
        </w:tc>
      </w:tr>
      <w:tr w14:paraId="5EDC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42238E">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10.4</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5D0309">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评标过程中的澄清、说明或补正</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421255">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（1）评标委员会通过电子交易系统将需要澄清、说明或补正的内容以询标函的形式发送给投标人，投标人应安排专人登录电子交易系统并保持在线状态，以便及时接收评标委员会可能发出的询标函。</w:t>
            </w:r>
          </w:p>
          <w:p w14:paraId="7B1063E4">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（2）因投标人未登录电子交易系统导致无法及时接收询标函（远程网上询标）或未在规定时间（</w:t>
            </w:r>
            <w:r>
              <w:rPr>
                <w:rFonts w:hint="eastAsia" w:ascii="Times New Roman" w:cs="宋体"/>
                <w:color w:val="auto"/>
                <w:sz w:val="24"/>
                <w:szCs w:val="24"/>
                <w:highlight w:val="none"/>
                <w:u w:val="single"/>
              </w:rPr>
              <w:t xml:space="preserve"> 15</w:t>
            </w:r>
            <w:r>
              <w:rPr>
                <w:rFonts w:hint="eastAsia" w:ascii="Times New Roman" w:cs="宋体"/>
                <w:color w:val="auto"/>
                <w:sz w:val="24"/>
                <w:szCs w:val="24"/>
                <w:highlight w:val="none"/>
              </w:rPr>
              <w:t>分钟）内按照评标委员会要求进行澄清、说明或补正内容的，视同投标人放弃澄清、说明或补正内容的权利，评标委员会可按照对投标人不利的解释进行判定。</w:t>
            </w:r>
          </w:p>
        </w:tc>
      </w:tr>
      <w:tr w14:paraId="0BDC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52C7D3">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10.5</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7E850D">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投标人对所提供材料应承担的责任</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B428E5">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（1）投标人提供虚假材料谋取中标的，公共资源交易监督管理部门将依法处理，并记入不良行为记录，予以披露。</w:t>
            </w:r>
          </w:p>
          <w:p w14:paraId="22266649">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投标人对所提供的材料承担缔约过失责任和法律责任。若投诉人或举报人对前述材料存在争议，进行有效投诉或举报，被投诉人、被举报人应当主动配合公共资源交易监督管理部门调查，并在规定期限内举证，提供有关证明材料；拒绝配合调查，且未在规定期限内举证、提供证明材料的，公共资源交易监督管理部门将依法处理。</w:t>
            </w:r>
          </w:p>
        </w:tc>
      </w:tr>
      <w:tr w14:paraId="3358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CF99C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10.6</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262B51">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中标人未履行相关义务的责任</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97A9C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中标人未履行相关义务的，公共资源交易监督管理部门将依法对中标人进行处理，追究相关责任：</w:t>
            </w:r>
          </w:p>
          <w:p w14:paraId="0E31A8CD">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（1）中标后，中标人被公共资源交易监督管理部门查实存在违法行为，不满足中标条件的，由招标人取消其中标资格，并做好项目后续工作；</w:t>
            </w:r>
          </w:p>
          <w:p w14:paraId="22CFC766">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（2）中标人应在规定期限内提交履约保证金并与招标人签订合同，若中标人未能在规定期限内提交履约保证金或签订合同，招标人有权取消其中标资格，并报公共资源交易监督管理部门；</w:t>
            </w:r>
          </w:p>
          <w:p w14:paraId="3021DFB6">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（3）合同签订后，中标人存在规定时间内不组织人员进场开工、不履行合同义务等情况，招标人有权解除合同，追究其违约责任，并报公共资源交易监督管理部门。</w:t>
            </w:r>
          </w:p>
        </w:tc>
      </w:tr>
      <w:tr w14:paraId="62AF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0DAB7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10.7</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8AE44F">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同义词语</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30BF42">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构成招标文件组成部分的“通用合同条款”、“专用合同条款”、“技术标准和要求”和“工程量清单”等章节中“发包人”和“承包人”，等同于招标投标阶段的“招标人”和“投标人/中标人”。</w:t>
            </w:r>
          </w:p>
        </w:tc>
      </w:tr>
      <w:tr w14:paraId="0506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A11B30">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10.8</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04CE4B">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解释权</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5BD16F">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（1）构成本招标文件的各个组成文件应互为解释，互为说明；</w:t>
            </w:r>
          </w:p>
          <w:p w14:paraId="5A31441A">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（2）同一组成文件中就同一事项的规定或约定不一致的，以编排顺序在后者为准；</w:t>
            </w:r>
          </w:p>
          <w:p w14:paraId="65C1FFC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（3）如有不明确或不一致，构成合同文件组成内容的，以合同文件约定内容为准，且以专用合同条款约定的合同文件优先顺序解释；</w:t>
            </w:r>
          </w:p>
          <w:p w14:paraId="1141D52D">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（4）除招标文件中有特别规定外，仅适用于招标投标阶段的规定，按照招标公告、投标人须知、评标办法、投标文件格式的先后顺序解释；</w:t>
            </w:r>
          </w:p>
          <w:p w14:paraId="22FD4AE2">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（5）按照本款前述规定仍不能形成结论的，由招标人负责解释。</w:t>
            </w:r>
          </w:p>
        </w:tc>
      </w:tr>
      <w:tr w14:paraId="63B1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25AF85">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10.9</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B26195">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创优目标</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B1AE76">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☑无</w:t>
            </w:r>
          </w:p>
          <w:p w14:paraId="2465165E">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有，具体要求如下：</w:t>
            </w:r>
          </w:p>
        </w:tc>
      </w:tr>
      <w:tr w14:paraId="34A7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3FACAD">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10.10</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FBB88F">
            <w:pPr>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异议提出方式</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AC5AC3">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异议提交方式（任选一种）：</w:t>
            </w:r>
          </w:p>
          <w:p w14:paraId="77494499">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①现场递交；</w:t>
            </w:r>
          </w:p>
          <w:p w14:paraId="53E61E52">
            <w:pPr>
              <w:widowControl/>
              <w:snapToGrid w:val="0"/>
              <w:spacing w:beforeLines="0" w:afterLines="0" w:line="360" w:lineRule="auto"/>
              <w:jc w:val="left"/>
              <w:rPr>
                <w:rFonts w:hint="eastAsia" w:ascii="Times New Roman" w:cs="宋体"/>
                <w:color w:val="auto"/>
                <w:sz w:val="24"/>
                <w:szCs w:val="24"/>
                <w:highlight w:val="none"/>
                <w:u w:val="single"/>
              </w:rPr>
            </w:pPr>
            <w:r>
              <w:rPr>
                <w:rFonts w:hint="eastAsia" w:ascii="Times New Roman" w:cs="宋体"/>
                <w:color w:val="auto"/>
                <w:sz w:val="24"/>
                <w:szCs w:val="24"/>
                <w:highlight w:val="none"/>
              </w:rPr>
              <w:t>②通过电子交易系统递交。</w:t>
            </w:r>
          </w:p>
        </w:tc>
      </w:tr>
      <w:tr w14:paraId="25AE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98FAA3">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snapToGrid w:val="0"/>
                <w:color w:val="auto"/>
                <w:sz w:val="24"/>
                <w:szCs w:val="24"/>
                <w:highlight w:val="none"/>
              </w:rPr>
              <w:t>10.11</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DAB28A">
            <w:pPr>
              <w:snapToGrid w:val="0"/>
              <w:spacing w:beforeLines="0" w:afterLines="0" w:line="360" w:lineRule="auto"/>
              <w:jc w:val="center"/>
              <w:rPr>
                <w:rFonts w:hint="eastAsia" w:ascii="Times New Roman" w:cs="宋体"/>
                <w:snapToGrid w:val="0"/>
                <w:color w:val="auto"/>
                <w:sz w:val="24"/>
                <w:szCs w:val="24"/>
                <w:highlight w:val="none"/>
              </w:rPr>
            </w:pPr>
          </w:p>
          <w:p w14:paraId="44693243">
            <w:pPr>
              <w:snapToGrid w:val="0"/>
              <w:spacing w:beforeLines="0" w:afterLines="0" w:line="360" w:lineRule="auto"/>
              <w:jc w:val="center"/>
              <w:rPr>
                <w:rFonts w:hint="eastAsia" w:ascii="Times New Roman" w:cs="宋体"/>
                <w:snapToGrid w:val="0"/>
                <w:color w:val="auto"/>
                <w:sz w:val="24"/>
                <w:szCs w:val="24"/>
                <w:highlight w:val="none"/>
              </w:rPr>
            </w:pPr>
          </w:p>
          <w:p w14:paraId="627928D8">
            <w:pPr>
              <w:snapToGrid w:val="0"/>
              <w:spacing w:beforeLines="0" w:afterLines="0" w:line="360" w:lineRule="auto"/>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招标代理服务费及工程量清单和最高投标限价（招标控制价）编制审核费</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938B96">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中标人在领取中标通知书前须向招标代理机构缴纳招标代理服务费、工程量清单和最高投标限价编制费，可以银行转账、银行电汇方式。</w:t>
            </w:r>
          </w:p>
          <w:p w14:paraId="22B1949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（1）招标代理服务费：以中标</w:t>
            </w:r>
            <w:r>
              <w:rPr>
                <w:rFonts w:hint="eastAsia" w:ascii="Times New Roman" w:cs="宋体"/>
                <w:color w:val="auto"/>
                <w:sz w:val="24"/>
                <w:szCs w:val="24"/>
                <w:highlight w:val="none"/>
                <w:lang w:val="en-US" w:eastAsia="zh-CN"/>
              </w:rPr>
              <w:t>金额</w:t>
            </w:r>
            <w:r>
              <w:rPr>
                <w:rFonts w:hint="eastAsia" w:ascii="Times New Roman" w:cs="宋体"/>
                <w:color w:val="auto"/>
                <w:sz w:val="24"/>
                <w:szCs w:val="24"/>
                <w:highlight w:val="none"/>
              </w:rPr>
              <w:t>为计算基数，分标段参照合公协〔2023〕03号文件收费标准收取。详见本章“附件1”</w:t>
            </w:r>
          </w:p>
          <w:p w14:paraId="3B098660">
            <w:pPr>
              <w:pStyle w:val="4"/>
              <w:spacing w:beforeLines="0" w:afterLines="0"/>
              <w:rPr>
                <w:rFonts w:hint="eastAsia" w:ascii="Times New Roman" w:cs="宋体"/>
                <w:color w:val="auto"/>
                <w:sz w:val="24"/>
                <w:szCs w:val="24"/>
                <w:highlight w:val="none"/>
                <w:u w:val="single"/>
              </w:rPr>
            </w:pP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eastAsia="zh-CN"/>
              </w:rPr>
              <w:t>2</w:t>
            </w:r>
            <w:r>
              <w:rPr>
                <w:rFonts w:hint="eastAsia" w:ascii="Times New Roman" w:hAnsi="Times New Roman" w:eastAsia="宋体" w:cs="宋体"/>
                <w:color w:val="auto"/>
                <w:sz w:val="24"/>
                <w:szCs w:val="24"/>
                <w:highlight w:val="none"/>
              </w:rPr>
              <w:t>）以上相关费用，投标人在报价单中不单列，包含在投标总价中，招标人不再单独计量支付。</w:t>
            </w:r>
          </w:p>
        </w:tc>
      </w:tr>
      <w:tr w14:paraId="76E6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37164F">
            <w:pPr>
              <w:widowControl/>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color w:val="auto"/>
                <w:sz w:val="24"/>
                <w:szCs w:val="24"/>
                <w:highlight w:val="none"/>
              </w:rPr>
              <w:t>10.12</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37172E">
            <w:pPr>
              <w:widowControl/>
              <w:snapToGrid w:val="0"/>
              <w:spacing w:beforeLines="0" w:afterLines="0" w:line="360" w:lineRule="auto"/>
              <w:jc w:val="center"/>
              <w:rPr>
                <w:rFonts w:hint="eastAsia" w:ascii="Times New Roman" w:cs="宋体"/>
                <w:snapToGrid w:val="0"/>
                <w:color w:val="auto"/>
                <w:sz w:val="24"/>
                <w:szCs w:val="24"/>
                <w:highlight w:val="none"/>
              </w:rPr>
            </w:pPr>
            <w:r>
              <w:rPr>
                <w:rFonts w:hint="eastAsia" w:ascii="Times New Roman" w:cs="宋体"/>
                <w:color w:val="auto"/>
                <w:sz w:val="24"/>
                <w:szCs w:val="24"/>
                <w:highlight w:val="none"/>
              </w:rPr>
              <w:t>其他</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EAF16A">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（1）项目经理必须是投标人本单位工作人员，提供虚假资料谋取中标的将报监管部门处理。</w:t>
            </w:r>
          </w:p>
          <w:p w14:paraId="2C61C275">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（2）如本项目图纸中出现特定性、唯一性品牌的表述，该品牌仅作为参考，施工过程中不具有限定性。</w:t>
            </w:r>
          </w:p>
          <w:p w14:paraId="68738C90">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 xml:space="preserve">（3）投标人对所提交的投标人或拟派项目经理业绩、投标人资质等证明资料承担缔约过失责任和法律责任。若投诉人或举报人对前述资料或证明资料存在争议，进行有效投诉或举报，被投诉人、被举报人应当主动配合执法机关调查，并在规定的期限内举证，提供有关证明资料的原件；拒不配合执法机构调查，且未在规定期限内举证、提供证明资料原件的，执法机构依法处理。  </w:t>
            </w:r>
          </w:p>
          <w:p w14:paraId="33D600A7">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（4）招标人和中标人未履行下述义务的，公共资源交易监督管理部门将依法对招标人和中标人进行处理，追究相关责任：</w:t>
            </w:r>
          </w:p>
          <w:p w14:paraId="50195E09">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①中标人应在规定期限内提交履约担保并与招标人签订合同，若中标人未能在规定期限内提交履约担保或签订合同，招标人有权取消中标人中标资格，并将相关违约行为报送监管部门，实施信用惩戒；</w:t>
            </w:r>
          </w:p>
          <w:p w14:paraId="74AA8622">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②合同签订后，中标人存在规定时间内不组织人员进场开工、不履行供货安装义务等情况，招标人有权解除合同，并追究违约责任，同时将相关违约行为报送监管部门处理；</w:t>
            </w:r>
          </w:p>
          <w:p w14:paraId="349E6BBD">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③中标人中标后被监管部门查实存在违法行为，不满足中标条件的，由招标人取消中标资格，并做好项目后续工作；</w:t>
            </w:r>
          </w:p>
          <w:p w14:paraId="2FDB77DB">
            <w:pPr>
              <w:widowControl/>
              <w:snapToGrid w:val="0"/>
              <w:spacing w:beforeLines="0" w:afterLines="0" w:line="360" w:lineRule="auto"/>
              <w:jc w:val="left"/>
              <w:rPr>
                <w:rFonts w:hint="eastAsia" w:ascii="Times New Roman" w:cs="宋体"/>
                <w:b/>
                <w:color w:val="auto"/>
                <w:sz w:val="24"/>
                <w:szCs w:val="24"/>
                <w:highlight w:val="none"/>
              </w:rPr>
            </w:pPr>
            <w:r>
              <w:rPr>
                <w:rFonts w:hint="eastAsia" w:ascii="Times New Roman" w:cs="宋体"/>
                <w:color w:val="auto"/>
                <w:sz w:val="24"/>
                <w:szCs w:val="24"/>
                <w:highlight w:val="none"/>
              </w:rPr>
              <w:t>④中标人在中标项目发生投诉、信访举报案件、履约存在争议时，拒绝协助配合执法部门调查案件的，招标人可以取消其中标资格或解除合同，并追究其违约责任。</w:t>
            </w:r>
            <w:r>
              <w:rPr>
                <w:rFonts w:hint="eastAsia" w:ascii="Times New Roman" w:cs="宋体"/>
                <w:b/>
                <w:color w:val="auto"/>
                <w:sz w:val="24"/>
                <w:szCs w:val="24"/>
                <w:highlight w:val="none"/>
              </w:rPr>
              <w:t>（5）本项目的投标保证金（如有）、履约保证金（如有）及质量保证金（如有）等，投标人以现金（银行转账、银行电汇）形式提交的，退还时同时退还银行同期活期存款利息。</w:t>
            </w:r>
          </w:p>
          <w:p w14:paraId="51579F67">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b/>
                <w:color w:val="auto"/>
                <w:sz w:val="24"/>
                <w:szCs w:val="24"/>
                <w:highlight w:val="none"/>
              </w:rPr>
              <w:t>（如有最新规定，按照最新规定执行）</w:t>
            </w:r>
          </w:p>
        </w:tc>
      </w:tr>
      <w:tr w14:paraId="2F01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BAD79B">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10.13</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E60EF7">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招标人补充的其他内容</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7E07DF">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投标人投标文件中填报人员及投标人按招标文件提出的最低要求填报派驻投标标段的其他管理和技术人员，经招标人审核后不得进行更换。除非招标文件另有约定，投标人派驻投标标段的项目经理及项目管理机构主要人员均应为投标单位在职人员（不含外聘人员、返聘人员、临时聘用人员），否则招标人有权取消其中标资格。</w:t>
            </w:r>
          </w:p>
          <w:p w14:paraId="39F553BA">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2.特别提示：因电子服务系统或电子交易系统出现软件设计或功能缺陷、运行异常等情况，可能影响招投标活动公平、公正进行的，招标人（或招标代理机构）有权中止或终止招投标活动，招投标各方免责。</w:t>
            </w:r>
          </w:p>
          <w:p w14:paraId="72476FD0">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3.所有证件办理、调试、验收、档案资料移交等工作及费用由中标人负责（法律规定的由建设单位负责的除外），其费用在其投标报价时综合考虑，后期不再另计。</w:t>
            </w:r>
          </w:p>
          <w:p w14:paraId="78A5E93D">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4.投标人需自行前往现场踏勘核对实际情况，在投标期间可以提出异议，标后不允许以工程量组价缺失为由提出变更申请。</w:t>
            </w:r>
          </w:p>
        </w:tc>
      </w:tr>
      <w:tr w14:paraId="0207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89DF8D">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10.14</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5ABD3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重要提示</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90E54A">
            <w:pPr>
              <w:widowControl/>
              <w:numPr>
                <w:ilvl w:val="0"/>
                <w:numId w:val="2"/>
              </w:numPr>
              <w:snapToGrid w:val="0"/>
              <w:spacing w:line="360" w:lineRule="auto"/>
              <w:ind w:firstLine="482" w:firstLineChars="200"/>
              <w:jc w:val="left"/>
              <w:rPr>
                <w:rFonts w:hint="eastAsia" w:ascii="Times New Roman" w:hAnsi="Times New Roman" w:eastAsia="宋体" w:cs="宋体"/>
                <w:b/>
                <w:bCs w:val="0"/>
                <w:color w:val="auto"/>
                <w:szCs w:val="24"/>
                <w:highlight w:val="none"/>
                <w:lang w:val="en-US" w:eastAsia="zh-CN"/>
              </w:rPr>
            </w:pPr>
            <w:r>
              <w:rPr>
                <w:rFonts w:hint="eastAsia" w:ascii="Times New Roman" w:hAnsi="Times New Roman" w:eastAsia="宋体" w:cs="宋体"/>
                <w:b/>
                <w:bCs w:val="0"/>
                <w:color w:val="auto"/>
                <w:szCs w:val="24"/>
                <w:highlight w:val="none"/>
                <w:lang w:val="en-US" w:eastAsia="zh-CN"/>
              </w:rPr>
              <w:t>本项目使用“云开标大厅”投标人可通过云开标大厅进行解密，无须现场参加开标。 </w:t>
            </w:r>
          </w:p>
          <w:p w14:paraId="278A88F2">
            <w:pPr>
              <w:widowControl/>
              <w:snapToGrid w:val="0"/>
              <w:spacing w:line="360" w:lineRule="auto"/>
              <w:ind w:firstLine="482" w:firstLineChars="200"/>
              <w:jc w:val="left"/>
              <w:rPr>
                <w:rFonts w:hint="eastAsia" w:ascii="Times New Roman" w:hAnsi="Times New Roman" w:eastAsia="宋体" w:cs="宋体"/>
                <w:b/>
                <w:bCs w:val="0"/>
                <w:color w:val="auto"/>
                <w:szCs w:val="24"/>
                <w:highlight w:val="none"/>
                <w:lang w:val="en-US" w:eastAsia="zh-CN"/>
              </w:rPr>
            </w:pPr>
            <w:r>
              <w:rPr>
                <w:rFonts w:hint="eastAsia" w:ascii="Times New Roman" w:hAnsi="Times New Roman" w:eastAsia="宋体" w:cs="宋体"/>
                <w:b/>
                <w:bCs w:val="0"/>
                <w:color w:val="auto"/>
                <w:szCs w:val="24"/>
                <w:highlight w:val="none"/>
                <w:lang w:val="en-US" w:eastAsia="zh-CN"/>
              </w:rPr>
              <w:t>2. 安徽省二级建造师电子证书右上角增加使用时限的标注，查看和下载电子证书时，本人应确认该证书的使用时限。电子证书使用时限为 180 天,但使用时限距注册专业有效期或建造师满 65 周岁不足 180 天的，使用时限截止日期以注册专业有效期截止日期或建造师满 65 周岁当日为准。超出使用时限的电子证书无效，需重新下载电子证书并再次确认使用时限。</w:t>
            </w:r>
          </w:p>
          <w:p w14:paraId="33F2E735">
            <w:pPr>
              <w:widowControl/>
              <w:snapToGrid w:val="0"/>
              <w:spacing w:line="360" w:lineRule="auto"/>
              <w:ind w:firstLine="482" w:firstLineChars="200"/>
              <w:jc w:val="left"/>
              <w:rPr>
                <w:rFonts w:hint="eastAsia" w:ascii="Times New Roman" w:hAnsi="Times New Roman" w:eastAsia="宋体" w:cs="宋体"/>
                <w:b/>
                <w:bCs w:val="0"/>
                <w:color w:val="auto"/>
                <w:szCs w:val="24"/>
                <w:highlight w:val="none"/>
                <w:lang w:val="en-US" w:eastAsia="zh-CN"/>
              </w:rPr>
            </w:pPr>
            <w:r>
              <w:rPr>
                <w:rFonts w:hint="eastAsia" w:ascii="Times New Roman" w:hAnsi="Times New Roman" w:eastAsia="宋体" w:cs="宋体"/>
                <w:b/>
                <w:bCs w:val="0"/>
                <w:color w:val="auto"/>
                <w:szCs w:val="24"/>
                <w:highlight w:val="none"/>
                <w:lang w:val="en-US" w:eastAsia="zh-CN"/>
              </w:rPr>
              <w:t>3. 安徽省自2024年9月1日起，旧二级建造师电子证书失效。二级建造师打印电子证书后，应在个人签名处手写本人签名，未手写签名或与签名图像笔迹不一致的，该电子证书无效。</w:t>
            </w:r>
          </w:p>
          <w:p w14:paraId="40C38BB7">
            <w:pPr>
              <w:widowControl/>
              <w:snapToGrid w:val="0"/>
              <w:spacing w:line="360" w:lineRule="auto"/>
              <w:jc w:val="left"/>
              <w:rPr>
                <w:rFonts w:hint="eastAsia" w:ascii="Times New Roman" w:hAnsi="Times New Roman" w:eastAsia="宋体" w:cs="宋体"/>
                <w:b/>
                <w:bCs w:val="0"/>
                <w:color w:val="auto"/>
                <w:szCs w:val="24"/>
                <w:highlight w:val="none"/>
                <w:lang w:val="en-US" w:eastAsia="zh-CN"/>
              </w:rPr>
            </w:pPr>
            <w:r>
              <w:rPr>
                <w:rFonts w:hint="eastAsia" w:ascii="Times New Roman" w:hAnsi="Times New Roman" w:eastAsia="宋体" w:cs="宋体"/>
                <w:b/>
                <w:bCs w:val="0"/>
                <w:color w:val="auto"/>
                <w:szCs w:val="24"/>
                <w:highlight w:val="none"/>
                <w:lang w:val="en-US" w:eastAsia="zh-CN"/>
              </w:rPr>
              <w:t>注：</w:t>
            </w:r>
          </w:p>
          <w:p w14:paraId="743E792A">
            <w:pPr>
              <w:widowControl/>
              <w:numPr>
                <w:ilvl w:val="0"/>
                <w:numId w:val="3"/>
              </w:numPr>
              <w:snapToGrid w:val="0"/>
              <w:spacing w:line="360" w:lineRule="auto"/>
              <w:jc w:val="left"/>
              <w:rPr>
                <w:rFonts w:hint="eastAsia" w:ascii="Times New Roman" w:hAnsi="Times New Roman" w:eastAsia="宋体" w:cs="宋体"/>
                <w:b/>
                <w:bCs w:val="0"/>
                <w:color w:val="auto"/>
                <w:szCs w:val="24"/>
                <w:highlight w:val="none"/>
                <w:lang w:val="en-US" w:eastAsia="zh-CN"/>
              </w:rPr>
            </w:pPr>
            <w:r>
              <w:rPr>
                <w:rFonts w:hint="eastAsia" w:ascii="Times New Roman" w:hAnsi="Times New Roman" w:eastAsia="宋体" w:cs="宋体"/>
                <w:b/>
                <w:bCs w:val="0"/>
                <w:color w:val="auto"/>
                <w:szCs w:val="24"/>
                <w:highlight w:val="none"/>
                <w:lang w:val="en-US" w:eastAsia="zh-CN"/>
              </w:rPr>
              <w:t>相关政策详见安徽省住房和城乡建设厅《关于加强二级建造师事中事后监管工作的通知》（建市函〔2024〕137号）。</w:t>
            </w:r>
          </w:p>
          <w:p w14:paraId="72973D5C">
            <w:pPr>
              <w:widowControl/>
              <w:numPr>
                <w:ilvl w:val="0"/>
                <w:numId w:val="3"/>
              </w:numPr>
              <w:snapToGrid w:val="0"/>
              <w:spacing w:beforeLines="0" w:afterLines="0" w:line="360" w:lineRule="auto"/>
              <w:jc w:val="left"/>
              <w:rPr>
                <w:rFonts w:hint="eastAsia" w:ascii="Times New Roman" w:cs="宋体"/>
                <w:b/>
                <w:color w:val="auto"/>
                <w:sz w:val="24"/>
                <w:szCs w:val="24"/>
                <w:highlight w:val="none"/>
              </w:rPr>
            </w:pPr>
            <w:r>
              <w:rPr>
                <w:rFonts w:hint="eastAsia" w:ascii="Times New Roman" w:hAnsi="Times New Roman" w:eastAsia="宋体" w:cs="宋体"/>
                <w:b/>
                <w:bCs w:val="0"/>
                <w:color w:val="auto"/>
                <w:szCs w:val="24"/>
                <w:highlight w:val="none"/>
                <w:lang w:val="en-US" w:eastAsia="zh-CN"/>
              </w:rPr>
              <w:t>对于其他省份颁发的二级建造师注册证书使用要求，证书颁发单位另有规定的按其规定执行。</w:t>
            </w:r>
          </w:p>
        </w:tc>
      </w:tr>
      <w:tr w14:paraId="4F2F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64B1A0">
            <w:pPr>
              <w:pStyle w:val="16"/>
              <w:spacing w:beforeLines="0" w:afterLines="0"/>
              <w:ind w:left="0" w:firstLine="0" w:firstLineChars="0"/>
              <w:rPr>
                <w:rFonts w:hint="eastAsia" w:ascii="Times New Roman" w:hAnsi="Times New Roman" w:cs="宋体"/>
                <w:color w:val="auto"/>
                <w:sz w:val="21"/>
                <w:szCs w:val="24"/>
                <w:highlight w:val="none"/>
              </w:rPr>
            </w:pPr>
            <w:r>
              <w:rPr>
                <w:rFonts w:hint="eastAsia" w:ascii="Times New Roman" w:hAnsi="Times New Roman" w:cs="宋体"/>
                <w:color w:val="auto"/>
                <w:sz w:val="24"/>
                <w:szCs w:val="24"/>
                <w:highlight w:val="none"/>
              </w:rPr>
              <w:t>10.15</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25BAD9">
            <w:pPr>
              <w:pStyle w:val="16"/>
              <w:spacing w:beforeLines="0" w:afterLines="0"/>
              <w:ind w:left="0" w:firstLine="0" w:firstLineChars="0"/>
              <w:rPr>
                <w:rFonts w:hint="eastAsia" w:ascii="Times New Roman" w:hAnsi="Times New Roman" w:cs="宋体"/>
                <w:color w:val="auto"/>
                <w:sz w:val="21"/>
                <w:szCs w:val="24"/>
                <w:highlight w:val="none"/>
              </w:rPr>
            </w:pPr>
            <w:r>
              <w:rPr>
                <w:rFonts w:hint="eastAsia" w:ascii="Times New Roman" w:hAnsi="Times New Roman" w:cs="宋体"/>
                <w:color w:val="auto"/>
                <w:sz w:val="24"/>
                <w:szCs w:val="24"/>
                <w:highlight w:val="none"/>
              </w:rPr>
              <w:t>异常低价评审</w:t>
            </w: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13FB09">
            <w:pPr>
              <w:pStyle w:val="16"/>
              <w:spacing w:beforeLines="0" w:afterLines="0"/>
              <w:ind w:left="0" w:firstLine="0" w:firstLineChars="0"/>
              <w:rPr>
                <w:rFonts w:hint="eastAsia" w:ascii="Times New Roman" w:hAnsi="Times New Roman" w:eastAsia="宋体" w:cs="宋体"/>
                <w:color w:val="auto"/>
                <w:sz w:val="21"/>
                <w:szCs w:val="24"/>
                <w:highlight w:val="none"/>
                <w:lang w:eastAsia="zh-CN"/>
              </w:rPr>
            </w:pPr>
            <w:r>
              <w:rPr>
                <w:rFonts w:hint="eastAsia" w:ascii="Times New Roman" w:hAnsi="Times New Roman" w:cs="宋体"/>
                <w:color w:val="auto"/>
                <w:sz w:val="24"/>
                <w:szCs w:val="24"/>
                <w:highlight w:val="none"/>
              </w:rPr>
              <w:t>具体详见第三章评标办法</w:t>
            </w:r>
            <w:r>
              <w:rPr>
                <w:rFonts w:hint="eastAsia" w:ascii="Times New Roman" w:hAnsi="Times New Roman" w:cs="宋体"/>
                <w:color w:val="auto"/>
                <w:sz w:val="24"/>
                <w:szCs w:val="24"/>
                <w:highlight w:val="none"/>
                <w:lang w:val="en-US" w:eastAsia="zh-CN"/>
              </w:rPr>
              <w:t xml:space="preserve"> </w:t>
            </w:r>
          </w:p>
        </w:tc>
      </w:tr>
      <w:tr w14:paraId="754F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839C4D">
            <w:pPr>
              <w:pStyle w:val="16"/>
              <w:spacing w:beforeLines="0" w:afterLines="0"/>
              <w:ind w:left="0" w:firstLine="0" w:firstLineChars="0"/>
              <w:rPr>
                <w:rFonts w:hint="eastAsia" w:ascii="Times New Roman" w:hAnsi="Times New Roman" w:eastAsia="Times New Roman" w:cs="宋体"/>
                <w:color w:val="auto"/>
                <w:sz w:val="24"/>
                <w:szCs w:val="24"/>
                <w:highlight w:val="none"/>
              </w:rPr>
            </w:pPr>
            <w:bookmarkStart w:id="11" w:name="_Toc460660062"/>
            <w:bookmarkStart w:id="12" w:name="_Toc460226989"/>
            <w:bookmarkStart w:id="13" w:name="_Toc11078137"/>
            <w:bookmarkStart w:id="14" w:name="_Toc460226720"/>
            <w:bookmarkStart w:id="15" w:name="_Toc14420"/>
            <w:bookmarkStart w:id="16" w:name="_Toc421916975"/>
            <w:bookmarkStart w:id="17" w:name="_Toc24087"/>
            <w:bookmarkStart w:id="18" w:name="_Toc283798416"/>
            <w:bookmarkStart w:id="19" w:name="_Toc511"/>
            <w:bookmarkStart w:id="20" w:name="_Toc38879316"/>
            <w:bookmarkStart w:id="21" w:name="_Toc184635071"/>
            <w:r>
              <w:rPr>
                <w:rFonts w:hint="eastAsia" w:ascii="Times New Roman" w:hAnsi="Times New Roman" w:cs="宋体"/>
                <w:color w:val="auto"/>
                <w:sz w:val="24"/>
                <w:szCs w:val="24"/>
                <w:highlight w:val="none"/>
              </w:rPr>
              <w:t>10.16</w:t>
            </w:r>
          </w:p>
        </w:tc>
        <w:tc>
          <w:tcPr>
            <w:tcW w:w="9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BA6AE2">
            <w:pPr>
              <w:widowControl/>
              <w:spacing w:beforeLines="0" w:afterLines="0"/>
              <w:jc w:val="center"/>
              <w:rPr>
                <w:rFonts w:hint="eastAsia"/>
                <w:color w:val="auto"/>
                <w:sz w:val="24"/>
                <w:szCs w:val="24"/>
                <w:highlight w:val="none"/>
              </w:rPr>
            </w:pPr>
            <w:r>
              <w:rPr>
                <w:rFonts w:hint="eastAsia" w:hAnsi="宋体" w:cs="宋体"/>
                <w:color w:val="auto"/>
                <w:sz w:val="24"/>
                <w:szCs w:val="24"/>
                <w:highlight w:val="none"/>
                <w:lang w:bidi="ar"/>
              </w:rPr>
              <w:t>报价文件编制要求</w:t>
            </w:r>
          </w:p>
          <w:p w14:paraId="1C57EA9D">
            <w:pPr>
              <w:pStyle w:val="16"/>
              <w:spacing w:beforeLines="0" w:afterLines="0"/>
              <w:ind w:left="0" w:firstLine="0" w:firstLineChars="0"/>
              <w:rPr>
                <w:rFonts w:hint="eastAsia" w:ascii="Times New Roman" w:hAnsi="Times New Roman" w:cs="宋体"/>
                <w:color w:val="auto"/>
                <w:sz w:val="24"/>
                <w:szCs w:val="24"/>
                <w:highlight w:val="none"/>
              </w:rPr>
            </w:pPr>
          </w:p>
        </w:tc>
        <w:tc>
          <w:tcPr>
            <w:tcW w:w="35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61ECCB">
            <w:pPr>
              <w:widowControl/>
              <w:spacing w:beforeLines="0" w:afterLines="0"/>
              <w:jc w:val="left"/>
              <w:rPr>
                <w:rFonts w:hint="eastAsia"/>
                <w:color w:val="auto"/>
                <w:sz w:val="24"/>
                <w:szCs w:val="20"/>
                <w:highlight w:val="none"/>
              </w:rPr>
            </w:pPr>
            <w:r>
              <w:rPr>
                <w:rFonts w:hint="eastAsia" w:hAnsi="宋体" w:cs="宋体"/>
                <w:color w:val="auto"/>
                <w:sz w:val="24"/>
                <w:szCs w:val="24"/>
                <w:highlight w:val="none"/>
                <w:lang w:bidi="ar"/>
              </w:rPr>
              <w:t>（</w:t>
            </w:r>
            <w:r>
              <w:rPr>
                <w:rFonts w:hint="eastAsia" w:ascii="Times New Roman" w:eastAsia="Times New Roman"/>
                <w:color w:val="auto"/>
                <w:sz w:val="24"/>
                <w:szCs w:val="24"/>
                <w:highlight w:val="none"/>
                <w:lang w:bidi="ar"/>
              </w:rPr>
              <w:t>1</w:t>
            </w:r>
            <w:r>
              <w:rPr>
                <w:rFonts w:hint="eastAsia" w:hAnsi="宋体" w:cs="宋体"/>
                <w:color w:val="auto"/>
                <w:sz w:val="24"/>
                <w:szCs w:val="24"/>
                <w:highlight w:val="none"/>
                <w:lang w:bidi="ar"/>
              </w:rPr>
              <w:t xml:space="preserve">）发布的工程量清单为 </w:t>
            </w:r>
            <w:r>
              <w:rPr>
                <w:rFonts w:hint="eastAsia" w:ascii="Times New Roman" w:eastAsia="Times New Roman"/>
                <w:color w:val="auto"/>
                <w:sz w:val="24"/>
                <w:szCs w:val="24"/>
                <w:highlight w:val="none"/>
                <w:lang w:bidi="ar"/>
              </w:rPr>
              <w:t xml:space="preserve">18ZHZB </w:t>
            </w:r>
            <w:r>
              <w:rPr>
                <w:rFonts w:hint="eastAsia" w:hAnsi="宋体" w:cs="宋体"/>
                <w:color w:val="auto"/>
                <w:sz w:val="24"/>
                <w:szCs w:val="24"/>
                <w:highlight w:val="none"/>
                <w:lang w:bidi="ar"/>
              </w:rPr>
              <w:t xml:space="preserve">格式，投标人应及时升级造价软件，生成的已标价工程量清单文件后缀名须为 </w:t>
            </w:r>
            <w:r>
              <w:rPr>
                <w:rFonts w:hint="eastAsia" w:ascii="Times New Roman" w:eastAsia="Times New Roman"/>
                <w:color w:val="auto"/>
                <w:sz w:val="24"/>
                <w:szCs w:val="24"/>
                <w:highlight w:val="none"/>
                <w:lang w:bidi="ar"/>
              </w:rPr>
              <w:t>18ZHTB</w:t>
            </w:r>
            <w:r>
              <w:rPr>
                <w:rFonts w:hint="eastAsia" w:hAnsi="宋体" w:cs="宋体"/>
                <w:color w:val="auto"/>
                <w:sz w:val="24"/>
                <w:szCs w:val="24"/>
                <w:highlight w:val="none"/>
                <w:lang w:bidi="ar"/>
              </w:rPr>
              <w:t>。</w:t>
            </w:r>
          </w:p>
          <w:p w14:paraId="77344321">
            <w:pPr>
              <w:widowControl/>
              <w:spacing w:beforeLines="0" w:afterLines="0"/>
              <w:jc w:val="left"/>
              <w:rPr>
                <w:rFonts w:hint="eastAsia"/>
                <w:color w:val="auto"/>
                <w:sz w:val="24"/>
                <w:szCs w:val="20"/>
                <w:highlight w:val="none"/>
              </w:rPr>
            </w:pPr>
            <w:r>
              <w:rPr>
                <w:rFonts w:hint="eastAsia" w:hAnsi="宋体" w:cs="宋体"/>
                <w:color w:val="auto"/>
                <w:sz w:val="24"/>
                <w:szCs w:val="24"/>
                <w:highlight w:val="none"/>
                <w:lang w:bidi="ar"/>
              </w:rPr>
              <w:t>（</w:t>
            </w:r>
            <w:r>
              <w:rPr>
                <w:rFonts w:hint="eastAsia" w:ascii="Times New Roman" w:eastAsia="Times New Roman"/>
                <w:color w:val="auto"/>
                <w:sz w:val="24"/>
                <w:szCs w:val="24"/>
                <w:highlight w:val="none"/>
                <w:lang w:bidi="ar"/>
              </w:rPr>
              <w:t>2</w:t>
            </w:r>
            <w:r>
              <w:rPr>
                <w:rFonts w:hint="eastAsia" w:hAnsi="宋体" w:cs="宋体"/>
                <w:color w:val="auto"/>
                <w:sz w:val="24"/>
                <w:szCs w:val="24"/>
                <w:highlight w:val="none"/>
                <w:lang w:bidi="ar"/>
              </w:rPr>
              <w:t>）投标人制作投标文件前，必须及时升级电子投标文件制作软件至最新版本。投标人如未及时更新电子投标文件制作软件和造价软件，产生的一切后果由投标人自行承担。</w:t>
            </w:r>
          </w:p>
          <w:p w14:paraId="10C72D8E">
            <w:pPr>
              <w:widowControl/>
              <w:spacing w:beforeLines="0" w:afterLines="0"/>
              <w:jc w:val="left"/>
              <w:rPr>
                <w:rFonts w:hint="eastAsia" w:hAnsi="宋体" w:cs="宋体"/>
                <w:color w:val="auto"/>
                <w:sz w:val="24"/>
                <w:szCs w:val="24"/>
                <w:highlight w:val="none"/>
                <w:lang w:bidi="ar"/>
              </w:rPr>
            </w:pPr>
            <w:r>
              <w:rPr>
                <w:rFonts w:hint="eastAsia" w:hAnsi="宋体" w:cs="宋体"/>
                <w:color w:val="auto"/>
                <w:sz w:val="24"/>
                <w:szCs w:val="24"/>
                <w:highlight w:val="none"/>
                <w:lang w:bidi="ar"/>
              </w:rPr>
              <w:t>（</w:t>
            </w:r>
            <w:r>
              <w:rPr>
                <w:rFonts w:hint="eastAsia" w:ascii="Times New Roman" w:eastAsia="Times New Roman"/>
                <w:color w:val="auto"/>
                <w:sz w:val="24"/>
                <w:szCs w:val="24"/>
                <w:highlight w:val="none"/>
                <w:lang w:bidi="ar"/>
              </w:rPr>
              <w:t>3</w:t>
            </w:r>
            <w:r>
              <w:rPr>
                <w:rFonts w:hint="eastAsia" w:hAnsi="宋体" w:cs="宋体"/>
                <w:color w:val="auto"/>
                <w:sz w:val="24"/>
                <w:szCs w:val="24"/>
                <w:highlight w:val="none"/>
                <w:lang w:bidi="ar"/>
              </w:rPr>
              <w:t>）工程量清单报价书编制人应为投标人或工程造价咨询单位具有造价执业资格的人员。工程量清单报价书编制人可为造价员，评审过程中不对造价员执业专用章的时间有效性或电子执业章的时间有效性进行评审。</w:t>
            </w:r>
          </w:p>
          <w:p w14:paraId="362F9170">
            <w:pPr>
              <w:widowControl/>
              <w:spacing w:beforeLines="0" w:afterLines="0"/>
              <w:jc w:val="left"/>
              <w:rPr>
                <w:rFonts w:hint="eastAsia" w:ascii="Times New Roman" w:cs="宋体"/>
                <w:color w:val="auto"/>
                <w:sz w:val="24"/>
                <w:szCs w:val="24"/>
                <w:highlight w:val="none"/>
              </w:rPr>
            </w:pPr>
            <w:r>
              <w:rPr>
                <w:rFonts w:hint="eastAsia" w:hAnsi="宋体" w:cs="宋体"/>
                <w:color w:val="auto"/>
                <w:sz w:val="24"/>
                <w:szCs w:val="24"/>
                <w:highlight w:val="none"/>
                <w:lang w:bidi="ar"/>
              </w:rPr>
              <w:t>（</w:t>
            </w:r>
            <w:r>
              <w:rPr>
                <w:rFonts w:hint="eastAsia" w:ascii="Times New Roman" w:eastAsia="Times New Roman"/>
                <w:color w:val="auto"/>
                <w:sz w:val="24"/>
                <w:szCs w:val="24"/>
                <w:highlight w:val="none"/>
                <w:lang w:bidi="ar"/>
              </w:rPr>
              <w:t>4</w:t>
            </w:r>
            <w:r>
              <w:rPr>
                <w:rFonts w:hint="eastAsia" w:hAnsi="宋体" w:cs="宋体"/>
                <w:color w:val="auto"/>
                <w:sz w:val="24"/>
                <w:szCs w:val="24"/>
                <w:highlight w:val="none"/>
                <w:lang w:bidi="ar"/>
              </w:rPr>
              <w:t>）本标段工程量清单、最高投标限价发出后，投标人应对其数据进行复核，如认为数据有误，可按照本招标文件规定的程序及时限要求提出。</w:t>
            </w:r>
          </w:p>
        </w:tc>
      </w:tr>
    </w:tbl>
    <w:p w14:paraId="70FFEA20">
      <w:pPr>
        <w:pStyle w:val="3"/>
        <w:spacing w:before="240" w:beforeLines="100" w:after="240" w:afterLines="100" w:line="240" w:lineRule="auto"/>
        <w:rPr>
          <w:rFonts w:hint="eastAsia" w:ascii="Times New Roman" w:hAnsi="Times New Roman" w:cs="宋体"/>
          <w:color w:val="auto"/>
          <w:sz w:val="24"/>
          <w:szCs w:val="24"/>
          <w:highlight w:val="none"/>
        </w:rPr>
      </w:pPr>
      <w:r>
        <w:rPr>
          <w:rFonts w:hint="eastAsia" w:ascii="Times New Roman" w:hAnsi="Times New Roman" w:eastAsia="黑体"/>
          <w:b w:val="0"/>
          <w:color w:val="auto"/>
          <w:sz w:val="32"/>
          <w:szCs w:val="32"/>
          <w:highlight w:val="none"/>
        </w:rPr>
        <w:br w:type="page"/>
      </w:r>
      <w:bookmarkStart w:id="22" w:name="_Toc25414"/>
      <w:r>
        <w:rPr>
          <w:rFonts w:hint="eastAsia" w:ascii="Times New Roman" w:hAnsi="Times New Roman" w:cs="宋体"/>
          <w:color w:val="auto"/>
          <w:sz w:val="24"/>
          <w:szCs w:val="24"/>
          <w:highlight w:val="none"/>
        </w:rPr>
        <w:t>附 件1</w:t>
      </w:r>
    </w:p>
    <w:p w14:paraId="79EB3592">
      <w:pPr>
        <w:pStyle w:val="3"/>
        <w:spacing w:before="240" w:beforeLines="100" w:after="240" w:afterLines="100" w:line="240" w:lineRule="auto"/>
        <w:ind w:firstLine="482" w:firstLineChars="200"/>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招标代理服务费以中标</w:t>
      </w:r>
      <w:r>
        <w:rPr>
          <w:rFonts w:hint="eastAsia" w:ascii="Times New Roman" w:hAnsi="Times New Roman" w:cs="宋体"/>
          <w:color w:val="auto"/>
          <w:sz w:val="24"/>
          <w:szCs w:val="24"/>
          <w:highlight w:val="none"/>
          <w:lang w:val="en-US" w:eastAsia="zh-CN"/>
        </w:rPr>
        <w:t>金额</w:t>
      </w:r>
      <w:r>
        <w:rPr>
          <w:rFonts w:hint="eastAsia" w:ascii="Times New Roman" w:hAnsi="Times New Roman" w:cs="宋体"/>
          <w:color w:val="auto"/>
          <w:sz w:val="24"/>
          <w:szCs w:val="24"/>
          <w:highlight w:val="none"/>
        </w:rPr>
        <w:t>为计算基数，按照下表计算方式计算：</w:t>
      </w:r>
    </w:p>
    <w:p w14:paraId="2B90242F">
      <w:pPr>
        <w:pStyle w:val="3"/>
        <w:spacing w:before="240" w:beforeLines="100" w:after="240" w:afterLines="100" w:line="240" w:lineRule="auto"/>
        <w:ind w:firstLine="482" w:firstLineChars="200"/>
        <w:jc w:val="left"/>
        <w:rPr>
          <w:rFonts w:hint="eastAsia" w:ascii="Times New Roman" w:hAnsi="Times New Roman" w:eastAsia="黑体"/>
          <w:b w:val="0"/>
          <w:color w:val="auto"/>
          <w:sz w:val="32"/>
          <w:szCs w:val="32"/>
          <w:highlight w:val="none"/>
        </w:rPr>
      </w:pPr>
      <w:r>
        <w:rPr>
          <w:rFonts w:hint="default" w:ascii="宋体" w:hAnsi="宋体" w:cs="宋体"/>
          <w:color w:val="auto"/>
          <w:sz w:val="24"/>
          <w:szCs w:val="24"/>
          <w:highlight w:val="none"/>
        </w:rPr>
        <w:drawing>
          <wp:inline distT="0" distB="0" distL="114300" distR="114300">
            <wp:extent cx="5602605" cy="7100570"/>
            <wp:effectExtent l="0" t="0" r="5715" b="1270"/>
            <wp:docPr id="5"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IMG_256"/>
                    <pic:cNvPicPr>
                      <a:picLocks noChangeAspect="1"/>
                    </pic:cNvPicPr>
                  </pic:nvPicPr>
                  <pic:blipFill>
                    <a:blip r:embed="rId7"/>
                    <a:stretch>
                      <a:fillRect/>
                    </a:stretch>
                  </pic:blipFill>
                  <pic:spPr>
                    <a:xfrm>
                      <a:off x="0" y="0"/>
                      <a:ext cx="5602605" cy="7100570"/>
                    </a:xfrm>
                    <a:prstGeom prst="rect">
                      <a:avLst/>
                    </a:prstGeom>
                    <a:noFill/>
                    <a:ln>
                      <a:noFill/>
                    </a:ln>
                  </pic:spPr>
                </pic:pic>
              </a:graphicData>
            </a:graphic>
          </wp:inline>
        </w:drawing>
      </w:r>
      <w:r>
        <w:rPr>
          <w:rFonts w:hint="eastAsia" w:ascii="Times New Roman" w:hAnsi="Times New Roman" w:eastAsia="黑体"/>
          <w:b w:val="0"/>
          <w:color w:val="auto"/>
          <w:sz w:val="32"/>
          <w:szCs w:val="32"/>
          <w:highlight w:val="none"/>
        </w:rPr>
        <w:br w:type="page"/>
      </w:r>
    </w:p>
    <w:p w14:paraId="1B5BA399">
      <w:pPr>
        <w:rPr>
          <w:rFonts w:hint="default"/>
          <w:color w:val="auto"/>
          <w:highlight w:val="none"/>
        </w:rPr>
      </w:pPr>
    </w:p>
    <w:p w14:paraId="00B77B96">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eastAsia="黑体"/>
          <w:b w:val="0"/>
          <w:color w:val="auto"/>
          <w:sz w:val="32"/>
          <w:szCs w:val="32"/>
          <w:highlight w:val="none"/>
        </w:rPr>
        <w:br w:type="page"/>
      </w:r>
      <w:r>
        <w:rPr>
          <w:rFonts w:hint="eastAsia" w:ascii="Times New Roman" w:hAnsi="Times New Roman" w:eastAsia="黑体"/>
          <w:b w:val="0"/>
          <w:color w:val="auto"/>
          <w:sz w:val="32"/>
          <w:szCs w:val="32"/>
          <w:highlight w:val="none"/>
        </w:rPr>
        <w:t>附录1  资格审查条件（资质最低条件）</w:t>
      </w:r>
      <w:bookmarkEnd w:id="11"/>
      <w:bookmarkEnd w:id="12"/>
      <w:bookmarkEnd w:id="13"/>
      <w:bookmarkEnd w:id="14"/>
      <w:bookmarkEnd w:id="15"/>
      <w:bookmarkEnd w:id="16"/>
      <w:bookmarkEnd w:id="17"/>
      <w:bookmarkEnd w:id="18"/>
      <w:bookmarkEnd w:id="19"/>
      <w:bookmarkEnd w:id="20"/>
      <w:bookmarkEnd w:id="22"/>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0C54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774B81">
            <w:pPr>
              <w:pStyle w:val="26"/>
              <w:adjustRightInd w:val="0"/>
              <w:snapToGrid w:val="0"/>
              <w:spacing w:beforeLines="0" w:afterLines="0"/>
              <w:jc w:val="center"/>
              <w:rPr>
                <w:rFonts w:hint="eastAsia" w:ascii="Times New Roman" w:hAnsi="Times New Roman" w:eastAsia="Times New Roman"/>
                <w:b/>
                <w:color w:val="auto"/>
                <w:sz w:val="24"/>
                <w:szCs w:val="24"/>
                <w:highlight w:val="none"/>
              </w:rPr>
            </w:pPr>
            <w:r>
              <w:rPr>
                <w:rFonts w:hint="eastAsia" w:ascii="Times New Roman" w:hAnsi="Times New Roman"/>
                <w:b/>
                <w:color w:val="auto"/>
                <w:sz w:val="24"/>
                <w:szCs w:val="24"/>
                <w:highlight w:val="none"/>
              </w:rPr>
              <w:t>资质证书及其他要求</w:t>
            </w:r>
          </w:p>
        </w:tc>
      </w:tr>
      <w:tr w14:paraId="3B57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top"/>
          </w:tcPr>
          <w:p w14:paraId="327671B5">
            <w:pPr>
              <w:pStyle w:val="26"/>
              <w:adjustRightInd w:val="0"/>
              <w:snapToGrid w:val="0"/>
              <w:spacing w:before="120" w:beforeLines="50" w:afterLines="0" w:line="360" w:lineRule="auto"/>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1.具备有效的营业执照。</w:t>
            </w:r>
          </w:p>
          <w:p w14:paraId="178D8CBF">
            <w:pPr>
              <w:pStyle w:val="26"/>
              <w:adjustRightInd w:val="0"/>
              <w:snapToGrid w:val="0"/>
              <w:spacing w:before="120" w:beforeLines="50" w:afterLines="0" w:line="360" w:lineRule="auto"/>
              <w:rPr>
                <w:rFonts w:hint="eastAsia" w:ascii="Times New Roman" w:hAnsi="Times New Roman"/>
                <w:snapToGrid w:val="0"/>
                <w:color w:val="auto"/>
                <w:sz w:val="24"/>
                <w:szCs w:val="24"/>
                <w:highlight w:val="none"/>
              </w:rPr>
            </w:pPr>
            <w:r>
              <w:rPr>
                <w:rFonts w:hint="eastAsia" w:ascii="Times New Roman" w:hAnsi="Times New Roman"/>
                <w:snapToGrid w:val="0"/>
                <w:color w:val="auto"/>
                <w:sz w:val="24"/>
                <w:szCs w:val="24"/>
                <w:highlight w:val="none"/>
              </w:rPr>
              <w:t>2.具备有效的资质证书、具备有效的安全生产许可证。（见招标公告）</w:t>
            </w:r>
          </w:p>
          <w:p w14:paraId="44862C00">
            <w:pPr>
              <w:pStyle w:val="26"/>
              <w:adjustRightInd w:val="0"/>
              <w:snapToGrid w:val="0"/>
              <w:spacing w:before="120" w:beforeLines="50" w:afterLines="0" w:line="360" w:lineRule="auto"/>
              <w:rPr>
                <w:rFonts w:hint="eastAsia" w:ascii="Times New Roman" w:hAnsi="Times New Roman"/>
                <w:snapToGrid w:val="0"/>
                <w:color w:val="auto"/>
                <w:sz w:val="24"/>
                <w:szCs w:val="24"/>
                <w:highlight w:val="none"/>
              </w:rPr>
            </w:pPr>
          </w:p>
          <w:p w14:paraId="06430D6E">
            <w:pPr>
              <w:pStyle w:val="26"/>
              <w:adjustRightInd w:val="0"/>
              <w:snapToGrid w:val="0"/>
              <w:spacing w:before="120" w:beforeLines="50" w:afterLines="0" w:line="360" w:lineRule="auto"/>
              <w:rPr>
                <w:rFonts w:hint="eastAsia" w:ascii="Times New Roman" w:hAnsi="Times New Roman"/>
                <w:snapToGrid w:val="0"/>
                <w:color w:val="auto"/>
                <w:sz w:val="24"/>
                <w:szCs w:val="24"/>
                <w:highlight w:val="none"/>
              </w:rPr>
            </w:pPr>
          </w:p>
        </w:tc>
      </w:tr>
    </w:tbl>
    <w:p w14:paraId="16C051F4">
      <w:pPr>
        <w:pStyle w:val="26"/>
        <w:adjustRightInd w:val="0"/>
        <w:snapToGrid w:val="0"/>
        <w:spacing w:beforeLines="0" w:afterLines="0" w:line="300" w:lineRule="exact"/>
        <w:ind w:firstLine="480" w:firstLineChars="200"/>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注：1.投标人应提供营业执照、资质证书、安全生产许可证</w:t>
      </w:r>
      <w:bookmarkStart w:id="23" w:name="_Toc421916976"/>
      <w:bookmarkStart w:id="24" w:name="_Toc460226990"/>
      <w:bookmarkStart w:id="25" w:name="_Toc460226721"/>
      <w:bookmarkStart w:id="26" w:name="_Toc460660063"/>
      <w:bookmarkStart w:id="27" w:name="_Toc283798417"/>
      <w:r>
        <w:rPr>
          <w:rFonts w:hint="eastAsia" w:ascii="Times New Roman" w:hAnsi="Times New Roman"/>
          <w:snapToGrid w:val="0"/>
          <w:color w:val="auto"/>
          <w:kern w:val="0"/>
          <w:sz w:val="24"/>
          <w:szCs w:val="24"/>
          <w:highlight w:val="none"/>
        </w:rPr>
        <w:t>。</w:t>
      </w:r>
    </w:p>
    <w:p w14:paraId="678728BA">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eastAsia="Times New Roman"/>
          <w:b w:val="0"/>
          <w:color w:val="auto"/>
          <w:sz w:val="32"/>
          <w:szCs w:val="32"/>
          <w:highlight w:val="none"/>
        </w:rPr>
        <w:br w:type="page"/>
      </w:r>
      <w:bookmarkStart w:id="28" w:name="_Toc38879317"/>
      <w:bookmarkStart w:id="29" w:name="_Toc11078138"/>
      <w:bookmarkStart w:id="30" w:name="_Toc23161"/>
      <w:bookmarkStart w:id="31" w:name="_Toc16453"/>
      <w:bookmarkStart w:id="32" w:name="_Toc697"/>
      <w:bookmarkStart w:id="33" w:name="_Toc13564"/>
      <w:r>
        <w:rPr>
          <w:rFonts w:hint="eastAsia" w:ascii="Times New Roman" w:hAnsi="Times New Roman" w:eastAsia="黑体"/>
          <w:b w:val="0"/>
          <w:color w:val="auto"/>
          <w:sz w:val="32"/>
          <w:szCs w:val="32"/>
          <w:highlight w:val="none"/>
        </w:rPr>
        <w:t>附录2  资格审查条件（财务最低要求）</w:t>
      </w:r>
      <w:bookmarkEnd w:id="23"/>
      <w:bookmarkEnd w:id="24"/>
      <w:bookmarkEnd w:id="25"/>
      <w:bookmarkEnd w:id="26"/>
      <w:bookmarkEnd w:id="27"/>
      <w:bookmarkEnd w:id="28"/>
      <w:bookmarkEnd w:id="29"/>
      <w:bookmarkEnd w:id="30"/>
      <w:bookmarkEnd w:id="31"/>
      <w:bookmarkEnd w:id="32"/>
      <w:bookmarkEnd w:id="33"/>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E60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3FC68F">
            <w:pPr>
              <w:pStyle w:val="26"/>
              <w:adjustRightInd w:val="0"/>
              <w:snapToGrid w:val="0"/>
              <w:spacing w:beforeLines="0" w:afterLines="0"/>
              <w:jc w:val="center"/>
              <w:rPr>
                <w:rFonts w:hint="eastAsia" w:ascii="Times New Roman" w:hAnsi="Times New Roman" w:eastAsia="Times New Roman"/>
                <w:b/>
                <w:color w:val="auto"/>
                <w:sz w:val="24"/>
                <w:szCs w:val="24"/>
                <w:highlight w:val="none"/>
              </w:rPr>
            </w:pPr>
            <w:r>
              <w:rPr>
                <w:rFonts w:hint="eastAsia" w:ascii="Times New Roman" w:hAnsi="Times New Roman"/>
                <w:b/>
                <w:color w:val="auto"/>
                <w:sz w:val="24"/>
                <w:szCs w:val="24"/>
                <w:highlight w:val="none"/>
              </w:rPr>
              <w:t>财务要求</w:t>
            </w:r>
          </w:p>
        </w:tc>
      </w:tr>
      <w:tr w14:paraId="0430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58FAE3">
            <w:pPr>
              <w:pStyle w:val="26"/>
              <w:adjustRightInd w:val="0"/>
              <w:snapToGrid w:val="0"/>
              <w:spacing w:beforeLines="0" w:afterLines="0" w:line="360" w:lineRule="auto"/>
              <w:jc w:val="left"/>
              <w:rPr>
                <w:rFonts w:hint="eastAsia" w:ascii="Times New Roman" w:hAnsi="Times New Roman"/>
                <w:color w:val="auto"/>
                <w:sz w:val="24"/>
                <w:szCs w:val="24"/>
                <w:highlight w:val="none"/>
              </w:rPr>
            </w:pPr>
            <w:r>
              <w:rPr>
                <w:rFonts w:hint="eastAsia" w:ascii="宋体" w:hAnsi="宋体" w:cs="MS Mincho"/>
                <w:snapToGrid w:val="0"/>
                <w:color w:val="auto"/>
                <w:kern w:val="0"/>
                <w:sz w:val="24"/>
                <w:szCs w:val="24"/>
                <w:highlight w:val="none"/>
              </w:rPr>
              <w:sym w:font="Wingdings 2" w:char="0052"/>
            </w:r>
            <w:r>
              <w:rPr>
                <w:rFonts w:hint="eastAsia" w:ascii="Times New Roman" w:hAnsi="Times New Roman"/>
                <w:color w:val="auto"/>
                <w:sz w:val="24"/>
                <w:szCs w:val="24"/>
                <w:highlight w:val="none"/>
              </w:rPr>
              <w:t>无需提供。</w:t>
            </w:r>
          </w:p>
          <w:p w14:paraId="718D0BE4">
            <w:pPr>
              <w:pStyle w:val="26"/>
              <w:adjustRightInd w:val="0"/>
              <w:snapToGrid w:val="0"/>
              <w:spacing w:beforeLines="0" w:afterLines="0" w:line="360" w:lineRule="auto"/>
              <w:jc w:val="left"/>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□需提供以下材料：</w:t>
            </w:r>
          </w:p>
          <w:p w14:paraId="435013BB">
            <w:pPr>
              <w:pStyle w:val="26"/>
              <w:adjustRightInd w:val="0"/>
              <w:snapToGrid w:val="0"/>
              <w:spacing w:beforeLines="0" w:afterLines="0" w:line="360" w:lineRule="auto"/>
              <w:jc w:val="left"/>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经会计师事务所或审计机构审计的财务会计报表，包括资产负债表、现金流量表、利润表、财务情况说明书……</w:t>
            </w:r>
          </w:p>
        </w:tc>
      </w:tr>
    </w:tbl>
    <w:p w14:paraId="3C08CB8C">
      <w:pPr>
        <w:pStyle w:val="26"/>
        <w:adjustRightInd w:val="0"/>
        <w:snapToGrid w:val="0"/>
        <w:spacing w:beforeLines="0" w:afterLines="0" w:line="300" w:lineRule="exact"/>
        <w:ind w:firstLine="480" w:firstLineChars="200"/>
        <w:rPr>
          <w:rFonts w:hint="eastAsia" w:ascii="Times New Roman" w:hAnsi="Times New Roman"/>
          <w:snapToGrid w:val="0"/>
          <w:color w:val="auto"/>
          <w:kern w:val="0"/>
          <w:sz w:val="24"/>
          <w:szCs w:val="24"/>
          <w:highlight w:val="none"/>
        </w:rPr>
      </w:pPr>
      <w:r>
        <w:rPr>
          <w:rFonts w:hint="eastAsia" w:ascii="Times New Roman" w:hAnsi="Times New Roman"/>
          <w:color w:val="auto"/>
          <w:kern w:val="0"/>
          <w:sz w:val="24"/>
          <w:szCs w:val="24"/>
          <w:highlight w:val="none"/>
        </w:rPr>
        <w:t>注：</w:t>
      </w:r>
      <w:r>
        <w:rPr>
          <w:rFonts w:hint="eastAsia" w:ascii="Times New Roman" w:hAnsi="Times New Roman"/>
          <w:snapToGrid w:val="0"/>
          <w:color w:val="auto"/>
          <w:kern w:val="0"/>
          <w:sz w:val="24"/>
          <w:szCs w:val="24"/>
          <w:highlight w:val="none"/>
        </w:rPr>
        <w:t>证明材料</w:t>
      </w:r>
      <w:r>
        <w:rPr>
          <w:rFonts w:hint="eastAsia" w:ascii="Times New Roman" w:hAnsi="Times New Roman"/>
          <w:color w:val="auto"/>
          <w:kern w:val="0"/>
          <w:sz w:val="24"/>
          <w:szCs w:val="24"/>
          <w:highlight w:val="none"/>
        </w:rPr>
        <w:t>的信息应完整或能充分证明满足评审需要</w:t>
      </w:r>
      <w:r>
        <w:rPr>
          <w:rFonts w:hint="eastAsia" w:ascii="Times New Roman" w:hAnsi="Times New Roman"/>
          <w:snapToGrid w:val="0"/>
          <w:color w:val="auto"/>
          <w:kern w:val="0"/>
          <w:sz w:val="24"/>
          <w:szCs w:val="24"/>
          <w:highlight w:val="none"/>
        </w:rPr>
        <w:t>。</w:t>
      </w:r>
    </w:p>
    <w:p w14:paraId="65995B93">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eastAsia="Times New Roman"/>
          <w:color w:val="auto"/>
          <w:sz w:val="32"/>
          <w:szCs w:val="21"/>
          <w:highlight w:val="none"/>
        </w:rPr>
        <w:br w:type="page"/>
      </w:r>
      <w:bookmarkStart w:id="34" w:name="_Toc28740"/>
      <w:bookmarkStart w:id="35" w:name="_Toc421916977"/>
      <w:bookmarkStart w:id="36" w:name="_Toc8062"/>
      <w:bookmarkStart w:id="37" w:name="_Toc283798418"/>
      <w:bookmarkStart w:id="38" w:name="_Toc460226991"/>
      <w:bookmarkStart w:id="39" w:name="_Toc38879318"/>
      <w:bookmarkStart w:id="40" w:name="_Toc460660064"/>
      <w:bookmarkStart w:id="41" w:name="_Toc11078139"/>
      <w:bookmarkStart w:id="42" w:name="_Toc460226722"/>
      <w:bookmarkStart w:id="43" w:name="_Toc19832"/>
      <w:bookmarkStart w:id="44" w:name="_Toc18581"/>
      <w:r>
        <w:rPr>
          <w:rFonts w:hint="eastAsia" w:ascii="Times New Roman" w:hAnsi="Times New Roman" w:eastAsia="黑体"/>
          <w:b w:val="0"/>
          <w:color w:val="auto"/>
          <w:sz w:val="32"/>
          <w:szCs w:val="32"/>
          <w:highlight w:val="none"/>
        </w:rPr>
        <w:t>附录3  资格审查条件</w:t>
      </w:r>
      <w:bookmarkEnd w:id="34"/>
      <w:bookmarkEnd w:id="35"/>
      <w:bookmarkEnd w:id="36"/>
      <w:bookmarkEnd w:id="37"/>
      <w:bookmarkEnd w:id="38"/>
      <w:bookmarkEnd w:id="39"/>
      <w:bookmarkEnd w:id="40"/>
      <w:bookmarkEnd w:id="41"/>
      <w:bookmarkEnd w:id="42"/>
      <w:bookmarkEnd w:id="43"/>
      <w:r>
        <w:rPr>
          <w:rFonts w:hint="eastAsia" w:ascii="Times New Roman" w:hAnsi="Times New Roman" w:eastAsia="黑体"/>
          <w:b w:val="0"/>
          <w:color w:val="auto"/>
          <w:sz w:val="32"/>
          <w:szCs w:val="32"/>
          <w:highlight w:val="none"/>
        </w:rPr>
        <w:t>（业绩最低要求）</w:t>
      </w:r>
      <w:bookmarkEnd w:id="44"/>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5F92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138FEE">
            <w:pPr>
              <w:pStyle w:val="26"/>
              <w:adjustRightInd w:val="0"/>
              <w:snapToGrid w:val="0"/>
              <w:spacing w:beforeLines="0" w:afterLines="0"/>
              <w:jc w:val="center"/>
              <w:rPr>
                <w:rFonts w:hint="eastAsia" w:ascii="Times New Roman" w:hAnsi="Times New Roman" w:eastAsia="Times New Roman"/>
                <w:b/>
                <w:color w:val="auto"/>
                <w:sz w:val="24"/>
                <w:szCs w:val="24"/>
                <w:highlight w:val="none"/>
              </w:rPr>
            </w:pPr>
            <w:r>
              <w:rPr>
                <w:rFonts w:hint="eastAsia" w:ascii="Times New Roman" w:hAnsi="Times New Roman"/>
                <w:b/>
                <w:color w:val="auto"/>
                <w:sz w:val="24"/>
                <w:szCs w:val="24"/>
                <w:highlight w:val="none"/>
              </w:rPr>
              <w:t>投标人业绩要求</w:t>
            </w:r>
          </w:p>
        </w:tc>
      </w:tr>
      <w:tr w14:paraId="386F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8955CF">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见招标公告。</w:t>
            </w:r>
          </w:p>
        </w:tc>
      </w:tr>
    </w:tbl>
    <w:p w14:paraId="1E1BA9F7">
      <w:pPr>
        <w:adjustRightInd w:val="0"/>
        <w:snapToGrid w:val="0"/>
        <w:spacing w:beforeLines="0" w:afterLines="0" w:line="400" w:lineRule="exact"/>
        <w:ind w:firstLine="480" w:firstLineChars="200"/>
        <w:rPr>
          <w:rFonts w:hint="eastAsia" w:ascii="Times New Roman"/>
          <w:snapToGrid w:val="0"/>
          <w:color w:val="auto"/>
          <w:sz w:val="24"/>
          <w:szCs w:val="21"/>
          <w:highlight w:val="none"/>
        </w:rPr>
      </w:pPr>
      <w:r>
        <w:rPr>
          <w:rFonts w:hint="eastAsia" w:ascii="Times New Roman"/>
          <w:snapToGrid w:val="0"/>
          <w:color w:val="auto"/>
          <w:sz w:val="24"/>
          <w:szCs w:val="21"/>
          <w:highlight w:val="none"/>
        </w:rPr>
        <w:t>注：</w:t>
      </w:r>
    </w:p>
    <w:p w14:paraId="64EA0BF8">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1.投标人应提供下列勾选的任一类别的业绩证明材料：</w:t>
      </w:r>
    </w:p>
    <w:p w14:paraId="409AC58B">
      <w:pPr>
        <w:spacing w:beforeLines="0" w:afterLines="0" w:line="440" w:lineRule="exact"/>
        <w:ind w:firstLine="437"/>
        <w:rPr>
          <w:rFonts w:hint="eastAsia" w:ascii="Times New Roman" w:eastAsia="Times New Roman"/>
          <w:color w:val="auto"/>
          <w:sz w:val="24"/>
          <w:szCs w:val="21"/>
          <w:highlight w:val="none"/>
        </w:rPr>
      </w:pPr>
      <w:r>
        <w:rPr>
          <w:rFonts w:hint="eastAsia" w:hAnsi="宋体"/>
          <w:color w:val="auto"/>
          <w:sz w:val="24"/>
          <w:szCs w:val="21"/>
          <w:highlight w:val="none"/>
        </w:rPr>
        <w:sym w:font="Wingdings 2" w:char="00A3"/>
      </w:r>
      <w:r>
        <w:rPr>
          <w:rFonts w:hint="eastAsia" w:ascii="Times New Roman"/>
          <w:color w:val="auto"/>
          <w:sz w:val="24"/>
          <w:szCs w:val="21"/>
          <w:highlight w:val="none"/>
        </w:rPr>
        <w:t>第一类：</w:t>
      </w:r>
    </w:p>
    <w:p w14:paraId="40DD331E">
      <w:pPr>
        <w:adjustRightInd w:val="0"/>
        <w:snapToGrid w:val="0"/>
        <w:spacing w:beforeLines="0" w:afterLines="0" w:line="400" w:lineRule="exact"/>
        <w:ind w:firstLine="480" w:firstLineChars="200"/>
        <w:rPr>
          <w:rFonts w:hint="eastAsia" w:ascii="Times New Roman"/>
          <w:color w:val="auto"/>
          <w:sz w:val="24"/>
          <w:szCs w:val="21"/>
          <w:highlight w:val="none"/>
        </w:rPr>
      </w:pPr>
      <w:r>
        <w:rPr>
          <w:rFonts w:hint="eastAsia" w:ascii="Times New Roman"/>
          <w:color w:val="auto"/>
          <w:sz w:val="24"/>
          <w:szCs w:val="21"/>
          <w:highlight w:val="none"/>
        </w:rPr>
        <w:t>住房和城乡建设部全国建筑市场监管公共服务平台（以下简称“四库一平台”）“数据等级”C级及以上项目业绩网页截图。</w:t>
      </w:r>
    </w:p>
    <w:p w14:paraId="665FA112">
      <w:pPr>
        <w:adjustRightInd w:val="0"/>
        <w:snapToGrid w:val="0"/>
        <w:spacing w:beforeLines="0" w:afterLines="0" w:line="400" w:lineRule="exact"/>
        <w:ind w:firstLine="480" w:firstLineChars="200"/>
        <w:rPr>
          <w:rFonts w:hint="eastAsia" w:ascii="Times New Roman"/>
          <w:color w:val="auto"/>
          <w:sz w:val="24"/>
          <w:szCs w:val="24"/>
          <w:highlight w:val="none"/>
        </w:rPr>
      </w:pPr>
      <w:r>
        <w:rPr>
          <w:rFonts w:hint="eastAsia" w:ascii="Times New Roman"/>
          <w:color w:val="auto"/>
          <w:sz w:val="24"/>
          <w:szCs w:val="21"/>
          <w:highlight w:val="none"/>
        </w:rPr>
        <w:t>业绩需在商务文件中“资格审查资料”栏“投标人业绩情况表（资格审查）”中注明并提供相关证明材料。如投标人提供的上述业绩证明材料未能完整或充分反映评审因素（如</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val="en-US" w:eastAsia="zh-CN"/>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）的，应提供第二类任意证明材料或另附合同甲方证明材料（须加盖合同甲方单位章）予以明确说明，否则评标委员会不予认可。</w:t>
      </w:r>
    </w:p>
    <w:p w14:paraId="7E6E4BC8">
      <w:pPr>
        <w:spacing w:beforeLines="0" w:afterLines="0" w:line="440" w:lineRule="exact"/>
        <w:ind w:firstLine="437"/>
        <w:rPr>
          <w:rFonts w:hint="eastAsia" w:ascii="Times New Roman" w:eastAsia="Times New Roman"/>
          <w:color w:val="auto"/>
          <w:sz w:val="24"/>
          <w:szCs w:val="21"/>
          <w:highlight w:val="none"/>
        </w:rPr>
      </w:pPr>
      <w:r>
        <w:rPr>
          <w:rFonts w:hint="eastAsia" w:hAnsi="宋体"/>
          <w:color w:val="auto"/>
          <w:sz w:val="24"/>
          <w:szCs w:val="21"/>
          <w:highlight w:val="none"/>
        </w:rPr>
        <w:sym w:font="Wingdings 2" w:char="00A3"/>
      </w:r>
      <w:r>
        <w:rPr>
          <w:rFonts w:hint="eastAsia" w:ascii="Times New Roman"/>
          <w:color w:val="auto"/>
          <w:sz w:val="24"/>
          <w:szCs w:val="21"/>
          <w:highlight w:val="none"/>
        </w:rPr>
        <w:t>第二类：</w:t>
      </w:r>
    </w:p>
    <w:p w14:paraId="227F4779">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（1）合同协议书。</w:t>
      </w:r>
    </w:p>
    <w:p w14:paraId="0085D1EF">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（2）中标查询网址及查询截图，或住房和城乡建设主管部门网站公布的施工许可证办理查询截图，或信用评价体系查询截图。无法提供以上截图的，应当提供住房和城乡建设主管部门证明材料。</w:t>
      </w:r>
    </w:p>
    <w:p w14:paraId="5B84EF07">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（3）竣工验收证明文件（至少有建设单位、设计单位、监理单位、施工单位四方参与竣工验收并盖单位章）。</w:t>
      </w:r>
    </w:p>
    <w:p w14:paraId="5C4CAFAC">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（4）其他材料：</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val="en-US" w:eastAsia="zh-CN"/>
        </w:rPr>
        <w:t>/</w:t>
      </w:r>
      <w:r>
        <w:rPr>
          <w:rFonts w:hint="eastAsia" w:ascii="Times New Roman"/>
          <w:color w:val="auto"/>
          <w:sz w:val="24"/>
          <w:szCs w:val="21"/>
          <w:highlight w:val="none"/>
          <w:u w:val="single"/>
        </w:rPr>
        <w:t xml:space="preserve">   </w:t>
      </w:r>
    </w:p>
    <w:p w14:paraId="458E796F">
      <w:pPr>
        <w:adjustRightInd w:val="0"/>
        <w:snapToGrid w:val="0"/>
        <w:spacing w:beforeLines="0" w:afterLines="0" w:line="400" w:lineRule="exact"/>
        <w:ind w:firstLine="480" w:firstLineChars="200"/>
        <w:rPr>
          <w:rFonts w:hint="eastAsia" w:ascii="Times New Roman"/>
          <w:color w:val="auto"/>
          <w:sz w:val="24"/>
          <w:szCs w:val="21"/>
          <w:highlight w:val="none"/>
        </w:rPr>
      </w:pPr>
      <w:r>
        <w:rPr>
          <w:rFonts w:hint="eastAsia" w:ascii="Times New Roman"/>
          <w:color w:val="auto"/>
          <w:sz w:val="24"/>
          <w:szCs w:val="21"/>
          <w:highlight w:val="none"/>
        </w:rPr>
        <w:t>业绩需在商务文件中“资格审查资料”栏“投标人业绩情况表（资格审查）”中注明并提供相关证明材料。如投标人提供的上述业绩证明材料未能完整或充分反映评审因素（如</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val="en-US" w:eastAsia="zh-CN"/>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）的，应另附合同甲方证明材料（须加盖合同甲方单位章）予以明确说明，否则评标委员会不予认可。</w:t>
      </w:r>
    </w:p>
    <w:p w14:paraId="0CFEEEB1">
      <w:pPr>
        <w:adjustRightInd w:val="0"/>
        <w:snapToGrid w:val="0"/>
        <w:spacing w:beforeLines="0" w:afterLines="0" w:line="400" w:lineRule="exact"/>
        <w:ind w:firstLine="480" w:firstLineChars="200"/>
        <w:rPr>
          <w:rFonts w:hint="eastAsia" w:ascii="Times New Roman"/>
          <w:color w:val="auto"/>
          <w:sz w:val="24"/>
          <w:szCs w:val="21"/>
          <w:highlight w:val="none"/>
        </w:rPr>
      </w:pPr>
      <w:r>
        <w:rPr>
          <w:rFonts w:hint="eastAsia" w:ascii="Times New Roman"/>
          <w:color w:val="auto"/>
          <w:sz w:val="24"/>
          <w:szCs w:val="21"/>
          <w:highlight w:val="none"/>
        </w:rPr>
        <w:t>2.本招标项目投标人业绩（资格审查）数量：</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val="en-US" w:eastAsia="zh-CN"/>
        </w:rPr>
        <w:t>0</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个。</w:t>
      </w:r>
    </w:p>
    <w:p w14:paraId="2A965C38">
      <w:pPr>
        <w:adjustRightInd w:val="0"/>
        <w:snapToGrid w:val="0"/>
        <w:spacing w:beforeLines="0" w:afterLines="0" w:line="400" w:lineRule="exact"/>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3.……</w:t>
      </w:r>
    </w:p>
    <w:p w14:paraId="49B0E49D">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eastAsia="Times New Roman"/>
          <w:b w:val="0"/>
          <w:snapToGrid w:val="0"/>
          <w:color w:val="auto"/>
          <w:sz w:val="21"/>
          <w:szCs w:val="21"/>
          <w:highlight w:val="none"/>
        </w:rPr>
        <w:br w:type="page"/>
      </w:r>
      <w:bookmarkStart w:id="45" w:name="_Toc30200"/>
      <w:bookmarkStart w:id="46" w:name="_Toc38879319"/>
      <w:bookmarkStart w:id="47" w:name="_Toc6506"/>
      <w:bookmarkStart w:id="48" w:name="_Toc11078140"/>
      <w:bookmarkStart w:id="49" w:name="_Toc10084"/>
      <w:bookmarkStart w:id="50" w:name="_Toc4225"/>
      <w:bookmarkStart w:id="51" w:name="_Toc460226992"/>
      <w:bookmarkStart w:id="52" w:name="_Toc460226723"/>
      <w:bookmarkStart w:id="53" w:name="_Toc421916978"/>
      <w:r>
        <w:rPr>
          <w:rFonts w:hint="eastAsia" w:ascii="Times New Roman" w:hAnsi="Times New Roman" w:eastAsia="黑体"/>
          <w:b w:val="0"/>
          <w:color w:val="auto"/>
          <w:sz w:val="32"/>
          <w:szCs w:val="32"/>
          <w:highlight w:val="none"/>
        </w:rPr>
        <w:t>附录4  资格审查条件（信誉最低要求）</w:t>
      </w:r>
      <w:bookmarkEnd w:id="45"/>
      <w:bookmarkEnd w:id="46"/>
      <w:bookmarkEnd w:id="47"/>
      <w:bookmarkEnd w:id="48"/>
      <w:bookmarkEnd w:id="49"/>
      <w:bookmarkEnd w:id="50"/>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4C9F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A376F0">
            <w:pPr>
              <w:pStyle w:val="26"/>
              <w:adjustRightInd w:val="0"/>
              <w:snapToGrid w:val="0"/>
              <w:spacing w:beforeLines="0" w:afterLines="0"/>
              <w:jc w:val="center"/>
              <w:rPr>
                <w:rFonts w:hint="eastAsia" w:ascii="Times New Roman" w:hAnsi="Times New Roman" w:eastAsia="Times New Roman"/>
                <w:b/>
                <w:color w:val="auto"/>
                <w:sz w:val="24"/>
                <w:szCs w:val="24"/>
                <w:highlight w:val="none"/>
              </w:rPr>
            </w:pPr>
            <w:r>
              <w:rPr>
                <w:rFonts w:hint="eastAsia" w:ascii="Times New Roman" w:hAnsi="Times New Roman"/>
                <w:b/>
                <w:color w:val="auto"/>
                <w:sz w:val="24"/>
                <w:szCs w:val="24"/>
                <w:highlight w:val="none"/>
              </w:rPr>
              <w:t>信誉要求</w:t>
            </w:r>
          </w:p>
        </w:tc>
      </w:tr>
      <w:tr w14:paraId="5D98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C3274C">
            <w:pPr>
              <w:spacing w:beforeLines="0" w:afterLines="0" w:line="460" w:lineRule="exact"/>
              <w:rPr>
                <w:rFonts w:hint="eastAsia" w:ascii="Times New Roman"/>
                <w:color w:val="auto"/>
                <w:sz w:val="24"/>
                <w:szCs w:val="24"/>
                <w:highlight w:val="none"/>
              </w:rPr>
            </w:pPr>
            <w:r>
              <w:rPr>
                <w:rFonts w:hint="eastAsia" w:ascii="Times New Roman"/>
                <w:color w:val="auto"/>
                <w:sz w:val="24"/>
                <w:szCs w:val="24"/>
                <w:highlight w:val="none"/>
              </w:rPr>
              <w:t>见招标公告。</w:t>
            </w:r>
          </w:p>
        </w:tc>
      </w:tr>
    </w:tbl>
    <w:p w14:paraId="3802613B">
      <w:pPr>
        <w:pStyle w:val="26"/>
        <w:adjustRightInd w:val="0"/>
        <w:snapToGrid w:val="0"/>
        <w:spacing w:beforeLines="0" w:afterLines="0" w:line="360" w:lineRule="auto"/>
        <w:ind w:firstLine="480" w:firstLineChars="200"/>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注：投标人无需提供证明材料，由</w:t>
      </w:r>
      <w:r>
        <w:rPr>
          <w:rStyle w:val="22"/>
          <w:rFonts w:hint="eastAsia" w:ascii="Times New Roman" w:hAnsi="Times New Roman"/>
          <w:snapToGrid w:val="0"/>
          <w:color w:val="auto"/>
          <w:kern w:val="0"/>
          <w:sz w:val="24"/>
          <w:szCs w:val="22"/>
          <w:highlight w:val="none"/>
        </w:rPr>
        <w:t>评标委员会通过</w:t>
      </w:r>
      <w:r>
        <w:rPr>
          <w:rFonts w:hint="eastAsia" w:ascii="Times New Roman" w:hAnsi="Times New Roman"/>
          <w:snapToGrid w:val="0"/>
          <w:color w:val="auto"/>
          <w:kern w:val="0"/>
          <w:sz w:val="24"/>
          <w:szCs w:val="24"/>
          <w:highlight w:val="none"/>
        </w:rPr>
        <w:t>电子服务</w:t>
      </w:r>
      <w:r>
        <w:rPr>
          <w:rStyle w:val="22"/>
          <w:rFonts w:hint="eastAsia" w:ascii="Times New Roman" w:hAnsi="Times New Roman"/>
          <w:snapToGrid w:val="0"/>
          <w:color w:val="auto"/>
          <w:kern w:val="0"/>
          <w:sz w:val="24"/>
          <w:szCs w:val="22"/>
          <w:highlight w:val="none"/>
        </w:rPr>
        <w:t>系统查询。</w:t>
      </w:r>
      <w:bookmarkStart w:id="54" w:name="_Toc38879320"/>
      <w:bookmarkStart w:id="55" w:name="_Toc11078141"/>
      <w:bookmarkStart w:id="56" w:name="_Toc460660065"/>
    </w:p>
    <w:p w14:paraId="393D67A9">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eastAsia="Times New Roman"/>
          <w:b w:val="0"/>
          <w:color w:val="auto"/>
          <w:sz w:val="32"/>
          <w:szCs w:val="32"/>
          <w:highlight w:val="none"/>
        </w:rPr>
        <w:br w:type="page"/>
      </w:r>
      <w:bookmarkStart w:id="57" w:name="_Toc2606"/>
      <w:bookmarkStart w:id="58" w:name="_Toc30197"/>
      <w:bookmarkStart w:id="59" w:name="_Toc22030"/>
      <w:bookmarkStart w:id="60" w:name="_Toc21132"/>
      <w:r>
        <w:rPr>
          <w:rFonts w:hint="eastAsia" w:ascii="Times New Roman" w:hAnsi="Times New Roman" w:eastAsia="黑体"/>
          <w:b w:val="0"/>
          <w:color w:val="auto"/>
          <w:sz w:val="32"/>
          <w:szCs w:val="32"/>
          <w:highlight w:val="none"/>
        </w:rPr>
        <w:t>附录5  资格审查条件（项目经理最低要求）</w:t>
      </w:r>
      <w:bookmarkEnd w:id="51"/>
      <w:bookmarkEnd w:id="52"/>
      <w:bookmarkEnd w:id="53"/>
      <w:bookmarkEnd w:id="54"/>
      <w:bookmarkEnd w:id="55"/>
      <w:bookmarkEnd w:id="56"/>
      <w:bookmarkEnd w:id="57"/>
      <w:bookmarkEnd w:id="58"/>
      <w:bookmarkEnd w:id="59"/>
      <w:bookmarkEnd w:id="60"/>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7055"/>
      </w:tblGrid>
      <w:tr w14:paraId="7E28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E92DF2">
            <w:pPr>
              <w:pStyle w:val="26"/>
              <w:adjustRightInd w:val="0"/>
              <w:snapToGrid w:val="0"/>
              <w:spacing w:beforeLines="0" w:afterLines="0"/>
              <w:jc w:val="center"/>
              <w:rPr>
                <w:rFonts w:hint="eastAsia" w:ascii="Times New Roman" w:hAnsi="Times New Roman" w:eastAsia="Times New Roman"/>
                <w:b/>
                <w:color w:val="auto"/>
                <w:sz w:val="24"/>
                <w:szCs w:val="24"/>
                <w:highlight w:val="none"/>
              </w:rPr>
            </w:pPr>
            <w:r>
              <w:rPr>
                <w:rFonts w:hint="eastAsia" w:ascii="Times New Roman" w:hAnsi="Times New Roman"/>
                <w:b/>
                <w:color w:val="auto"/>
                <w:sz w:val="24"/>
                <w:szCs w:val="24"/>
                <w:highlight w:val="none"/>
              </w:rPr>
              <w:t>人员</w:t>
            </w:r>
          </w:p>
        </w:tc>
        <w:tc>
          <w:tcPr>
            <w:tcW w:w="414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C8025E">
            <w:pPr>
              <w:pStyle w:val="26"/>
              <w:adjustRightInd w:val="0"/>
              <w:snapToGrid w:val="0"/>
              <w:spacing w:beforeLines="0" w:afterLines="0"/>
              <w:jc w:val="center"/>
              <w:rPr>
                <w:rFonts w:hint="eastAsia" w:ascii="Times New Roman" w:hAnsi="Times New Roman" w:eastAsia="Times New Roman"/>
                <w:b/>
                <w:color w:val="auto"/>
                <w:sz w:val="24"/>
                <w:szCs w:val="24"/>
                <w:highlight w:val="none"/>
              </w:rPr>
            </w:pPr>
            <w:r>
              <w:rPr>
                <w:rFonts w:hint="eastAsia" w:ascii="Times New Roman" w:hAnsi="Times New Roman"/>
                <w:b/>
                <w:color w:val="auto"/>
                <w:sz w:val="24"/>
                <w:szCs w:val="24"/>
                <w:highlight w:val="none"/>
              </w:rPr>
              <w:t>资格要求</w:t>
            </w:r>
          </w:p>
        </w:tc>
      </w:tr>
      <w:tr w14:paraId="2C83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72B122">
            <w:pPr>
              <w:pStyle w:val="26"/>
              <w:widowControl/>
              <w:spacing w:beforeLines="0" w:afterLines="0" w:line="360" w:lineRule="auto"/>
              <w:jc w:val="center"/>
              <w:rPr>
                <w:rFonts w:hint="eastAsia" w:ascii="Times New Roman" w:hAnsi="Times New Roman" w:eastAsia="Times New Roman" w:cs="宋体"/>
                <w:color w:val="auto"/>
                <w:kern w:val="0"/>
                <w:sz w:val="24"/>
                <w:szCs w:val="24"/>
                <w:highlight w:val="none"/>
              </w:rPr>
            </w:pPr>
            <w:r>
              <w:rPr>
                <w:rFonts w:hint="eastAsia" w:ascii="Times New Roman" w:hAnsi="Times New Roman" w:cs="楷体"/>
                <w:snapToGrid w:val="0"/>
                <w:color w:val="auto"/>
                <w:kern w:val="0"/>
                <w:sz w:val="24"/>
                <w:szCs w:val="24"/>
                <w:highlight w:val="none"/>
              </w:rPr>
              <w:t>项目经理</w:t>
            </w:r>
          </w:p>
        </w:tc>
        <w:tc>
          <w:tcPr>
            <w:tcW w:w="414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1A5F06">
            <w:pPr>
              <w:pStyle w:val="26"/>
              <w:widowControl/>
              <w:spacing w:beforeLines="0" w:afterLines="0" w:line="360" w:lineRule="auto"/>
              <w:jc w:val="left"/>
              <w:rPr>
                <w:rFonts w:hint="eastAsia" w:ascii="Times New Roman" w:hAnsi="Times New Roman" w:cs="楷体"/>
                <w:snapToGrid w:val="0"/>
                <w:color w:val="auto"/>
                <w:kern w:val="0"/>
                <w:sz w:val="24"/>
                <w:szCs w:val="24"/>
                <w:highlight w:val="none"/>
              </w:rPr>
            </w:pPr>
            <w:r>
              <w:rPr>
                <w:rFonts w:hint="eastAsia" w:ascii="Times New Roman" w:hAnsi="Times New Roman" w:eastAsia="Times New Roman"/>
                <w:color w:val="auto"/>
                <w:kern w:val="0"/>
                <w:sz w:val="24"/>
                <w:szCs w:val="24"/>
                <w:highlight w:val="none"/>
              </w:rPr>
              <w:t>1.</w:t>
            </w:r>
            <w:r>
              <w:rPr>
                <w:rFonts w:hint="eastAsia" w:ascii="Times New Roman" w:hAnsi="Times New Roman" w:cs="楷体"/>
                <w:snapToGrid w:val="0"/>
                <w:color w:val="auto"/>
                <w:kern w:val="0"/>
                <w:sz w:val="24"/>
                <w:szCs w:val="24"/>
                <w:highlight w:val="none"/>
              </w:rPr>
              <w:t>项目经理资格条件见招标公告，且必须是本单位人员（招标公告中要求的注册证书注册单位应当与投标人名称一致）。</w:t>
            </w:r>
          </w:p>
          <w:p w14:paraId="4AC52259">
            <w:pPr>
              <w:widowControl/>
              <w:spacing w:beforeLines="0" w:afterLines="0" w:line="360" w:lineRule="auto"/>
              <w:jc w:val="left"/>
              <w:rPr>
                <w:rFonts w:hint="eastAsia" w:ascii="Times New Roman" w:cs="楷体"/>
                <w:snapToGrid w:val="0"/>
                <w:color w:val="auto"/>
                <w:sz w:val="24"/>
                <w:szCs w:val="24"/>
                <w:highlight w:val="none"/>
              </w:rPr>
            </w:pPr>
            <w:r>
              <w:rPr>
                <w:rFonts w:hint="eastAsia" w:ascii="Times New Roman"/>
                <w:color w:val="auto"/>
                <w:sz w:val="24"/>
                <w:szCs w:val="24"/>
                <w:highlight w:val="none"/>
              </w:rPr>
              <w:t>2.</w:t>
            </w:r>
            <w:r>
              <w:rPr>
                <w:rFonts w:hint="eastAsia" w:ascii="Times New Roman" w:cs="楷体"/>
                <w:snapToGrid w:val="0"/>
                <w:color w:val="auto"/>
                <w:sz w:val="24"/>
                <w:szCs w:val="24"/>
                <w:highlight w:val="none"/>
              </w:rPr>
              <w:t>项目经理业绩具体要求见招标公告。</w:t>
            </w:r>
          </w:p>
          <w:p w14:paraId="18DA3930">
            <w:pPr>
              <w:widowControl/>
              <w:spacing w:beforeLines="0" w:afterLines="0" w:line="360" w:lineRule="auto"/>
              <w:jc w:val="left"/>
              <w:rPr>
                <w:rFonts w:hint="eastAsia" w:ascii="Times New Roman" w:cs="楷体"/>
                <w:snapToGrid w:val="0"/>
                <w:color w:val="auto"/>
                <w:sz w:val="24"/>
                <w:szCs w:val="24"/>
                <w:highlight w:val="none"/>
              </w:rPr>
            </w:pPr>
            <w:r>
              <w:rPr>
                <w:rFonts w:hint="eastAsia" w:ascii="Times New Roman"/>
                <w:color w:val="auto"/>
                <w:sz w:val="24"/>
                <w:szCs w:val="24"/>
                <w:highlight w:val="none"/>
              </w:rPr>
              <w:t>3.</w:t>
            </w:r>
            <w:r>
              <w:rPr>
                <w:rFonts w:hint="eastAsia" w:ascii="Times New Roman" w:cs="楷体"/>
                <w:snapToGrid w:val="0"/>
                <w:color w:val="auto"/>
                <w:sz w:val="24"/>
                <w:szCs w:val="24"/>
                <w:highlight w:val="none"/>
              </w:rPr>
              <w:t>项目经理不得同时担任两个及以上建设工程施工项目经理，以下情形除外：</w:t>
            </w:r>
          </w:p>
          <w:p w14:paraId="673A63AB">
            <w:pPr>
              <w:widowControl/>
              <w:spacing w:beforeLines="0" w:afterLines="0" w:line="360" w:lineRule="auto"/>
              <w:jc w:val="left"/>
              <w:rPr>
                <w:rFonts w:hint="eastAsia" w:ascii="Times New Roman" w:cs="楷体"/>
                <w:snapToGrid w:val="0"/>
                <w:color w:val="auto"/>
                <w:sz w:val="24"/>
                <w:szCs w:val="24"/>
                <w:highlight w:val="none"/>
              </w:rPr>
            </w:pPr>
            <w:r>
              <w:rPr>
                <w:rFonts w:hint="eastAsia" w:ascii="Times New Roman" w:cs="楷体"/>
                <w:snapToGrid w:val="0"/>
                <w:color w:val="auto"/>
                <w:sz w:val="24"/>
                <w:szCs w:val="24"/>
                <w:highlight w:val="none"/>
              </w:rPr>
              <w:t>（1）法定情形；</w:t>
            </w:r>
          </w:p>
          <w:p w14:paraId="6D7AA33F">
            <w:pPr>
              <w:widowControl/>
              <w:spacing w:beforeLines="0" w:afterLines="0" w:line="360" w:lineRule="auto"/>
              <w:jc w:val="left"/>
              <w:rPr>
                <w:rFonts w:hint="eastAsia" w:ascii="Times New Roman" w:cs="楷体"/>
                <w:snapToGrid w:val="0"/>
                <w:color w:val="auto"/>
                <w:sz w:val="24"/>
                <w:szCs w:val="24"/>
                <w:highlight w:val="none"/>
              </w:rPr>
            </w:pPr>
            <w:r>
              <w:rPr>
                <w:rFonts w:hint="eastAsia" w:ascii="Times New Roman" w:cs="楷体"/>
                <w:snapToGrid w:val="0"/>
                <w:color w:val="auto"/>
                <w:sz w:val="24"/>
                <w:szCs w:val="24"/>
                <w:highlight w:val="none"/>
              </w:rPr>
              <w:t>（2）虽在其他项目上担任项目经理岗位，但承诺在本招标项目中标后合同签订前能够从其他项目变更至本招标项目并全面履约。</w:t>
            </w:r>
          </w:p>
          <w:p w14:paraId="2ED50847">
            <w:pPr>
              <w:widowControl/>
              <w:spacing w:beforeLines="0" w:afterLines="0" w:line="360" w:lineRule="auto"/>
              <w:jc w:val="left"/>
              <w:rPr>
                <w:rFonts w:hint="eastAsia" w:ascii="Times New Roman" w:eastAsia="Times New Roman" w:cs="楷体"/>
                <w:snapToGrid w:val="0"/>
                <w:color w:val="auto"/>
                <w:sz w:val="24"/>
                <w:szCs w:val="24"/>
                <w:highlight w:val="none"/>
              </w:rPr>
            </w:pPr>
            <w:r>
              <w:rPr>
                <w:rFonts w:hint="eastAsia" w:ascii="Times New Roman"/>
                <w:color w:val="auto"/>
                <w:sz w:val="24"/>
                <w:szCs w:val="24"/>
                <w:highlight w:val="none"/>
              </w:rPr>
              <w:sym w:font="Wingdings 2" w:char="0052"/>
            </w:r>
            <w:r>
              <w:rPr>
                <w:rFonts w:hint="eastAsia" w:ascii="Times New Roman" w:cs="楷体"/>
                <w:snapToGrid w:val="0"/>
                <w:color w:val="auto"/>
                <w:sz w:val="24"/>
                <w:szCs w:val="24"/>
                <w:highlight w:val="none"/>
              </w:rPr>
              <w:t>社保要求：提供投标人所属社保机构出具的项目经理</w:t>
            </w:r>
            <w:r>
              <w:rPr>
                <w:rFonts w:hint="eastAsia" w:ascii="Times New Roman" w:cs="楷体"/>
                <w:snapToGrid w:val="0"/>
                <w:color w:val="auto"/>
                <w:sz w:val="24"/>
                <w:szCs w:val="24"/>
                <w:highlight w:val="none"/>
                <w:u w:val="single"/>
              </w:rPr>
              <w:t xml:space="preserve"> 2024年1月1日以来任意连续三个月 </w:t>
            </w:r>
            <w:r>
              <w:rPr>
                <w:rFonts w:hint="eastAsia" w:ascii="Times New Roman" w:cs="楷体"/>
                <w:snapToGrid w:val="0"/>
                <w:color w:val="auto"/>
                <w:sz w:val="24"/>
                <w:szCs w:val="24"/>
                <w:highlight w:val="none"/>
              </w:rPr>
              <w:t>社保缴费证明（或其他能够证明项目经理参加社保的有效证明）材料，项目经理的社保缴纳单位应当是投标人或者投标人不具备独立法人资格的分支机构。</w:t>
            </w:r>
          </w:p>
          <w:p w14:paraId="0A805FEA">
            <w:pPr>
              <w:widowControl/>
              <w:spacing w:beforeLines="0" w:afterLines="0" w:line="360" w:lineRule="auto"/>
              <w:jc w:val="left"/>
              <w:rPr>
                <w:rFonts w:hint="eastAsia" w:ascii="Times New Roman" w:cs="楷体"/>
                <w:snapToGrid w:val="0"/>
                <w:color w:val="auto"/>
                <w:sz w:val="24"/>
                <w:szCs w:val="24"/>
                <w:highlight w:val="none"/>
              </w:rPr>
            </w:pPr>
            <w:r>
              <w:rPr>
                <w:rFonts w:hint="eastAsia" w:ascii="Times New Roman" w:cs="楷体"/>
                <w:snapToGrid w:val="0"/>
                <w:color w:val="auto"/>
                <w:sz w:val="24"/>
                <w:szCs w:val="24"/>
                <w:highlight w:val="none"/>
              </w:rPr>
              <w:t>（社保缴费证明或社保的有效证明材料至少含养老保险）</w:t>
            </w:r>
          </w:p>
        </w:tc>
      </w:tr>
    </w:tbl>
    <w:p w14:paraId="485B3C9C">
      <w:pPr>
        <w:pStyle w:val="26"/>
        <w:adjustRightInd w:val="0"/>
        <w:snapToGrid w:val="0"/>
        <w:spacing w:beforeLines="0" w:afterLines="0" w:line="400" w:lineRule="exact"/>
        <w:ind w:firstLine="480" w:firstLineChars="200"/>
        <w:jc w:val="left"/>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注：</w:t>
      </w:r>
    </w:p>
    <w:p w14:paraId="538D00CB">
      <w:pPr>
        <w:spacing w:beforeLines="0" w:afterLines="0" w:line="440" w:lineRule="exact"/>
        <w:ind w:firstLine="437"/>
        <w:rPr>
          <w:rFonts w:hint="eastAsia" w:ascii="Times New Roman" w:eastAsia="Times New Roman"/>
          <w:color w:val="auto"/>
          <w:sz w:val="24"/>
          <w:szCs w:val="21"/>
          <w:highlight w:val="none"/>
        </w:rPr>
      </w:pPr>
      <w:r>
        <w:rPr>
          <w:rFonts w:hint="eastAsia" w:ascii="Times New Roman"/>
          <w:color w:val="auto"/>
          <w:sz w:val="24"/>
          <w:szCs w:val="21"/>
          <w:highlight w:val="none"/>
        </w:rPr>
        <w:t>1.投标人应提供项目经理的注册建造师注册证书、安全生产考核合格证书、参加社保的有效证明材料（如要求）。</w:t>
      </w:r>
    </w:p>
    <w:p w14:paraId="659ACB7A">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2.投标人应提供下列勾选的任一类别的业绩证明材料：</w:t>
      </w:r>
    </w:p>
    <w:p w14:paraId="36B4AEBB">
      <w:pPr>
        <w:spacing w:beforeLines="0" w:afterLines="0" w:line="440" w:lineRule="exact"/>
        <w:ind w:firstLine="437"/>
        <w:rPr>
          <w:rFonts w:hint="eastAsia" w:ascii="Times New Roman" w:eastAsia="Times New Roman"/>
          <w:color w:val="auto"/>
          <w:sz w:val="24"/>
          <w:szCs w:val="21"/>
          <w:highlight w:val="none"/>
        </w:rPr>
      </w:pPr>
      <w:r>
        <w:rPr>
          <w:rFonts w:hint="eastAsia" w:ascii="Times New Roman"/>
          <w:color w:val="auto"/>
          <w:sz w:val="24"/>
          <w:szCs w:val="21"/>
          <w:highlight w:val="none"/>
        </w:rPr>
        <w:sym w:font="Wingdings 2" w:char="00A3"/>
      </w:r>
      <w:r>
        <w:rPr>
          <w:rFonts w:hint="eastAsia" w:ascii="Times New Roman"/>
          <w:color w:val="auto"/>
          <w:sz w:val="24"/>
          <w:szCs w:val="21"/>
          <w:highlight w:val="none"/>
        </w:rPr>
        <w:t>第一类：</w:t>
      </w:r>
    </w:p>
    <w:p w14:paraId="7BBE506F">
      <w:pPr>
        <w:adjustRightInd w:val="0"/>
        <w:snapToGrid w:val="0"/>
        <w:spacing w:beforeLines="0" w:afterLines="0" w:line="400" w:lineRule="exact"/>
        <w:ind w:firstLine="480" w:firstLineChars="200"/>
        <w:rPr>
          <w:rFonts w:hint="eastAsia" w:ascii="Times New Roman"/>
          <w:color w:val="auto"/>
          <w:sz w:val="24"/>
          <w:szCs w:val="21"/>
          <w:highlight w:val="none"/>
        </w:rPr>
      </w:pPr>
      <w:r>
        <w:rPr>
          <w:rFonts w:hint="eastAsia" w:ascii="Times New Roman"/>
          <w:color w:val="auto"/>
          <w:sz w:val="24"/>
          <w:szCs w:val="21"/>
          <w:highlight w:val="none"/>
        </w:rPr>
        <w:t>住房和城乡建设部全国建筑市场监管公共服务平台（以下简称“四库一平台”）“数据等级”C级及以上项目业绩网页截图。</w:t>
      </w:r>
    </w:p>
    <w:p w14:paraId="7D88E670">
      <w:pPr>
        <w:adjustRightInd w:val="0"/>
        <w:snapToGrid w:val="0"/>
        <w:spacing w:beforeLines="0" w:afterLines="0" w:line="400" w:lineRule="exact"/>
        <w:ind w:firstLine="480" w:firstLineChars="200"/>
        <w:rPr>
          <w:rFonts w:hint="eastAsia" w:ascii="Times New Roman"/>
          <w:color w:val="auto"/>
          <w:sz w:val="24"/>
          <w:szCs w:val="24"/>
          <w:highlight w:val="none"/>
        </w:rPr>
      </w:pPr>
      <w:r>
        <w:rPr>
          <w:rFonts w:hint="eastAsia" w:ascii="Times New Roman"/>
          <w:color w:val="auto"/>
          <w:sz w:val="24"/>
          <w:szCs w:val="21"/>
          <w:highlight w:val="none"/>
        </w:rPr>
        <w:t>业绩需在商务文件中“资格审查资料”栏“项目经理业绩情况表（资格审查）”中注明并提供相关证明材料。如投标人提供的上述业绩证明材料未能完整或充分反映评审因素（如</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）的，应提供第二类任意证明材料或另附合同甲方证明材料（须加盖合同甲方单位章）予以明确说明，否则评标委员会不予认可。</w:t>
      </w:r>
    </w:p>
    <w:p w14:paraId="224E7F85">
      <w:pPr>
        <w:spacing w:beforeLines="0" w:afterLines="0" w:line="440" w:lineRule="exact"/>
        <w:ind w:firstLine="437"/>
        <w:rPr>
          <w:rFonts w:hint="eastAsia" w:ascii="Times New Roman" w:eastAsia="Times New Roman"/>
          <w:color w:val="auto"/>
          <w:sz w:val="24"/>
          <w:szCs w:val="21"/>
          <w:highlight w:val="none"/>
        </w:rPr>
      </w:pPr>
      <w:r>
        <w:rPr>
          <w:rFonts w:hint="eastAsia" w:ascii="Times New Roman"/>
          <w:color w:val="auto"/>
          <w:sz w:val="24"/>
          <w:szCs w:val="21"/>
          <w:highlight w:val="none"/>
        </w:rPr>
        <w:sym w:font="Wingdings 2" w:char="0052"/>
      </w:r>
      <w:r>
        <w:rPr>
          <w:rFonts w:hint="eastAsia" w:ascii="Times New Roman"/>
          <w:color w:val="auto"/>
          <w:sz w:val="24"/>
          <w:szCs w:val="21"/>
          <w:highlight w:val="none"/>
        </w:rPr>
        <w:t>第二类：</w:t>
      </w:r>
    </w:p>
    <w:p w14:paraId="3B43A767">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（1）合同协议书。</w:t>
      </w:r>
    </w:p>
    <w:p w14:paraId="639EA360">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（2）中标查询网址及查询截图，或住房和城乡建设主管部门网站公布的施工许可证办理查询截图，或信用评价体系查询截图。无法提供以上截图的，应当提供住房和城乡建设主管部门证明材料。</w:t>
      </w:r>
    </w:p>
    <w:p w14:paraId="62114484">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（3）竣工验收证明文件（至少有建设单位、设计单位、监理单位、施工单位四方参与竣工验收并盖单位章）。</w:t>
      </w:r>
    </w:p>
    <w:p w14:paraId="4E1297E2">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（4）其他材料：</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val="en-US" w:eastAsia="zh-CN"/>
        </w:rPr>
        <w:t>/</w:t>
      </w:r>
      <w:r>
        <w:rPr>
          <w:rFonts w:hint="eastAsia" w:ascii="Times New Roman"/>
          <w:color w:val="auto"/>
          <w:sz w:val="24"/>
          <w:szCs w:val="21"/>
          <w:highlight w:val="none"/>
          <w:u w:val="single"/>
        </w:rPr>
        <w:t xml:space="preserve">    </w:t>
      </w:r>
    </w:p>
    <w:p w14:paraId="5DDBE1FD">
      <w:pPr>
        <w:spacing w:beforeLines="0" w:afterLines="0" w:line="440" w:lineRule="exact"/>
        <w:ind w:firstLine="437"/>
        <w:rPr>
          <w:rFonts w:hint="eastAsia" w:ascii="Times New Roman"/>
          <w:color w:val="auto"/>
          <w:sz w:val="24"/>
          <w:szCs w:val="21"/>
          <w:highlight w:val="none"/>
        </w:rPr>
      </w:pPr>
      <w:r>
        <w:rPr>
          <w:rFonts w:hint="eastAsia" w:ascii="Times New Roman"/>
          <w:color w:val="auto"/>
          <w:sz w:val="24"/>
          <w:szCs w:val="21"/>
          <w:highlight w:val="none"/>
        </w:rPr>
        <w:t>业绩需在商务文件中“资格审查资料”栏“项目经理业绩情况表（资格审查）”中注明并提供相关证明材料。如投标人提供的上述业绩证明材料未能完整或充分反映评审因素（如</w:t>
      </w:r>
      <w:r>
        <w:rPr>
          <w:rFonts w:hint="eastAsia" w:ascii="Times New Roman"/>
          <w:color w:val="auto"/>
          <w:sz w:val="24"/>
          <w:szCs w:val="21"/>
          <w:highlight w:val="none"/>
          <w:u w:val="single"/>
        </w:rPr>
        <w:t xml:space="preserve">  合同</w:t>
      </w:r>
      <w:r>
        <w:rPr>
          <w:rFonts w:hint="eastAsia" w:ascii="Times New Roman"/>
          <w:color w:val="auto"/>
          <w:sz w:val="24"/>
          <w:szCs w:val="21"/>
          <w:highlight w:val="none"/>
          <w:u w:val="single"/>
          <w:lang w:val="en-US" w:eastAsia="zh-CN"/>
        </w:rPr>
        <w:t>内容</w:t>
      </w:r>
      <w:r>
        <w:rPr>
          <w:rFonts w:hint="eastAsia" w:ascii="Times New Roman"/>
          <w:color w:val="auto"/>
          <w:sz w:val="24"/>
          <w:szCs w:val="21"/>
          <w:highlight w:val="none"/>
          <w:u w:val="single"/>
        </w:rPr>
        <w:t xml:space="preserve">等    </w:t>
      </w:r>
      <w:r>
        <w:rPr>
          <w:rFonts w:hint="eastAsia" w:ascii="Times New Roman"/>
          <w:color w:val="auto"/>
          <w:sz w:val="24"/>
          <w:szCs w:val="21"/>
          <w:highlight w:val="none"/>
        </w:rPr>
        <w:t>）的，应另附合同甲方证明材料（须加盖合同甲方单位章）予以明确说明，否则评标委员会不予认可。</w:t>
      </w:r>
    </w:p>
    <w:p w14:paraId="2B1DC4CA">
      <w:pPr>
        <w:adjustRightInd w:val="0"/>
        <w:snapToGrid w:val="0"/>
        <w:spacing w:beforeLines="0" w:afterLines="0" w:line="400" w:lineRule="exact"/>
        <w:ind w:firstLine="437"/>
        <w:rPr>
          <w:rFonts w:hint="eastAsia" w:ascii="Times New Roman"/>
          <w:color w:val="auto"/>
          <w:sz w:val="24"/>
          <w:szCs w:val="24"/>
          <w:highlight w:val="none"/>
        </w:rPr>
      </w:pPr>
      <w:r>
        <w:rPr>
          <w:rFonts w:hint="eastAsia" w:ascii="Times New Roman"/>
          <w:color w:val="auto"/>
          <w:sz w:val="24"/>
          <w:szCs w:val="24"/>
          <w:highlight w:val="none"/>
        </w:rPr>
        <w:t>3.投标人提供的项目经理业绩证明材料应反映出本招标项目的项目经理在此业绩中担任过项目经理的岗位。</w:t>
      </w:r>
    </w:p>
    <w:p w14:paraId="3A5E154D">
      <w:pPr>
        <w:adjustRightInd w:val="0"/>
        <w:snapToGrid w:val="0"/>
        <w:spacing w:beforeLines="0" w:afterLines="0" w:line="400" w:lineRule="exact"/>
        <w:ind w:firstLine="437"/>
        <w:rPr>
          <w:rFonts w:hint="eastAsia" w:ascii="Times New Roman"/>
          <w:color w:val="auto"/>
          <w:sz w:val="24"/>
          <w:szCs w:val="24"/>
          <w:highlight w:val="none"/>
        </w:rPr>
      </w:pPr>
      <w:r>
        <w:rPr>
          <w:rFonts w:hint="eastAsia" w:ascii="Times New Roman"/>
          <w:color w:val="auto"/>
          <w:sz w:val="24"/>
          <w:szCs w:val="24"/>
          <w:highlight w:val="none"/>
        </w:rPr>
        <w:t>4.本招标项目项目经理不得同时兼任本招标项目技术负责人岗位。</w:t>
      </w:r>
    </w:p>
    <w:p w14:paraId="34C4C4D2">
      <w:pPr>
        <w:adjustRightInd w:val="0"/>
        <w:snapToGrid w:val="0"/>
        <w:spacing w:beforeLines="0" w:afterLines="0" w:line="400" w:lineRule="exact"/>
        <w:ind w:firstLine="437"/>
        <w:rPr>
          <w:rFonts w:hint="eastAsia" w:ascii="Times New Roman" w:eastAsia="Times New Roman"/>
          <w:color w:val="auto"/>
          <w:sz w:val="24"/>
          <w:szCs w:val="24"/>
          <w:highlight w:val="none"/>
        </w:rPr>
      </w:pPr>
      <w:r>
        <w:rPr>
          <w:rFonts w:hint="eastAsia" w:ascii="Times New Roman"/>
          <w:color w:val="auto"/>
          <w:sz w:val="24"/>
          <w:szCs w:val="24"/>
          <w:highlight w:val="none"/>
        </w:rPr>
        <w:t>5.</w:t>
      </w:r>
      <w:r>
        <w:rPr>
          <w:rFonts w:hint="eastAsia" w:ascii="Times New Roman"/>
          <w:color w:val="auto"/>
          <w:sz w:val="24"/>
          <w:szCs w:val="21"/>
          <w:highlight w:val="none"/>
        </w:rPr>
        <w:t>本招标项目项目经理业绩（资格审查）数量：</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1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个。</w:t>
      </w:r>
    </w:p>
    <w:p w14:paraId="1E2973AF">
      <w:pPr>
        <w:pStyle w:val="3"/>
        <w:spacing w:before="240" w:beforeLines="100" w:after="240" w:afterLines="100" w:line="240" w:lineRule="auto"/>
        <w:jc w:val="center"/>
        <w:rPr>
          <w:rFonts w:hint="eastAsia" w:ascii="黑体" w:hAnsi="黑体" w:eastAsia="黑体" w:cs="黑体"/>
          <w:b w:val="0"/>
          <w:color w:val="auto"/>
          <w:sz w:val="32"/>
          <w:szCs w:val="32"/>
          <w:highlight w:val="none"/>
        </w:rPr>
      </w:pPr>
      <w:r>
        <w:rPr>
          <w:rFonts w:hint="eastAsia" w:ascii="Times New Roman" w:hAnsi="Times New Roman" w:eastAsia="Times New Roman"/>
          <w:color w:val="auto"/>
          <w:sz w:val="32"/>
          <w:szCs w:val="21"/>
          <w:highlight w:val="none"/>
        </w:rPr>
        <w:br w:type="page"/>
      </w:r>
      <w:bookmarkStart w:id="61" w:name="_Toc460660066"/>
      <w:bookmarkStart w:id="62" w:name="_Toc460226724"/>
      <w:bookmarkStart w:id="63" w:name="_Toc460226993"/>
      <w:bookmarkStart w:id="64" w:name="_Toc421916979"/>
      <w:bookmarkStart w:id="65" w:name="_Toc24864"/>
      <w:bookmarkStart w:id="66" w:name="_Toc38879321"/>
      <w:bookmarkStart w:id="67" w:name="_Toc11078142"/>
      <w:bookmarkStart w:id="68" w:name="_Toc10615"/>
      <w:bookmarkStart w:id="69" w:name="_Toc11745"/>
      <w:bookmarkStart w:id="70" w:name="_Toc12498"/>
      <w:r>
        <w:rPr>
          <w:rFonts w:hint="eastAsia" w:ascii="黑体" w:hAnsi="黑体" w:eastAsia="黑体" w:cs="黑体"/>
          <w:b w:val="0"/>
          <w:color w:val="auto"/>
          <w:sz w:val="32"/>
          <w:szCs w:val="32"/>
          <w:highlight w:val="none"/>
        </w:rPr>
        <w:t xml:space="preserve">附录6  </w:t>
      </w:r>
      <w:bookmarkEnd w:id="61"/>
      <w:bookmarkEnd w:id="62"/>
      <w:bookmarkEnd w:id="63"/>
      <w:bookmarkEnd w:id="64"/>
      <w:r>
        <w:rPr>
          <w:rFonts w:hint="eastAsia" w:ascii="黑体" w:hAnsi="黑体" w:eastAsia="黑体" w:cs="黑体"/>
          <w:b w:val="0"/>
          <w:color w:val="auto"/>
          <w:sz w:val="32"/>
          <w:szCs w:val="32"/>
          <w:highlight w:val="none"/>
        </w:rPr>
        <w:t>资格审查条件（其他管理人员和技术人员最低要求）</w:t>
      </w:r>
      <w:bookmarkEnd w:id="65"/>
      <w:bookmarkEnd w:id="66"/>
      <w:bookmarkEnd w:id="67"/>
      <w:bookmarkEnd w:id="68"/>
      <w:bookmarkEnd w:id="69"/>
      <w:bookmarkEnd w:id="70"/>
    </w:p>
    <w:p w14:paraId="3AD475BB">
      <w:pPr>
        <w:spacing w:before="240" w:beforeLines="100" w:after="240" w:afterLines="100"/>
        <w:jc w:val="center"/>
        <w:outlineLvl w:val="2"/>
        <w:rPr>
          <w:rFonts w:hint="eastAsia" w:ascii="Times New Roman" w:eastAsia="黑体" w:cs="黑体"/>
          <w:color w:val="auto"/>
          <w:sz w:val="24"/>
          <w:szCs w:val="24"/>
          <w:highlight w:val="none"/>
        </w:rPr>
      </w:pPr>
      <w:r>
        <w:rPr>
          <w:rFonts w:hint="eastAsia" w:ascii="Times New Roman" w:eastAsia="黑体" w:cs="黑体"/>
          <w:color w:val="auto"/>
          <w:sz w:val="24"/>
          <w:szCs w:val="24"/>
          <w:highlight w:val="none"/>
        </w:rPr>
        <w:t>附表1  资格审查评审条件（主要管理人员最低要求）</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036"/>
        <w:gridCol w:w="5530"/>
      </w:tblGrid>
      <w:tr w14:paraId="7FDE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1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48D8B3">
            <w:pPr>
              <w:adjustRightInd w:val="0"/>
              <w:snapToGrid w:val="0"/>
              <w:spacing w:beforeLines="0" w:afterLines="0" w:line="360" w:lineRule="auto"/>
              <w:jc w:val="center"/>
              <w:rPr>
                <w:rFonts w:hint="eastAsia" w:ascii="Times New Roman" w:eastAsia="Times New Roman"/>
                <w:b/>
                <w:color w:val="auto"/>
                <w:sz w:val="24"/>
                <w:szCs w:val="24"/>
                <w:highlight w:val="none"/>
              </w:rPr>
            </w:pPr>
            <w:bookmarkStart w:id="71" w:name="_Toc460660067"/>
            <w:bookmarkStart w:id="72" w:name="_Toc460226725"/>
            <w:bookmarkStart w:id="73" w:name="_Toc460226994"/>
            <w:r>
              <w:rPr>
                <w:rFonts w:hint="eastAsia" w:ascii="Times New Roman"/>
                <w:b/>
                <w:color w:val="auto"/>
                <w:sz w:val="24"/>
                <w:szCs w:val="24"/>
                <w:highlight w:val="none"/>
              </w:rPr>
              <w:t>人员岗位</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B16E7D">
            <w:pPr>
              <w:adjustRightInd w:val="0"/>
              <w:snapToGrid w:val="0"/>
              <w:spacing w:beforeLines="0" w:afterLines="0" w:line="360" w:lineRule="auto"/>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数量</w:t>
            </w:r>
          </w:p>
        </w:tc>
        <w:tc>
          <w:tcPr>
            <w:tcW w:w="32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2746D6">
            <w:pPr>
              <w:adjustRightInd w:val="0"/>
              <w:snapToGrid w:val="0"/>
              <w:spacing w:beforeLines="0" w:afterLines="0" w:line="360" w:lineRule="auto"/>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资格要求</w:t>
            </w:r>
          </w:p>
        </w:tc>
      </w:tr>
      <w:tr w14:paraId="0C03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DDB856">
            <w:pPr>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项目技术负责人</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B9AA9A">
            <w:pPr>
              <w:widowControl/>
              <w:spacing w:beforeLines="0" w:afterLines="0" w:line="360" w:lineRule="auto"/>
              <w:jc w:val="center"/>
              <w:rPr>
                <w:rFonts w:hint="eastAsia" w:ascii="Times New Roman"/>
                <w:color w:val="auto"/>
                <w:sz w:val="24"/>
                <w:szCs w:val="24"/>
                <w:highlight w:val="none"/>
              </w:rPr>
            </w:pPr>
            <w:r>
              <w:rPr>
                <w:rFonts w:hint="eastAsia" w:ascii="Times New Roman"/>
                <w:color w:val="auto"/>
                <w:sz w:val="24"/>
                <w:szCs w:val="24"/>
                <w:highlight w:val="none"/>
              </w:rPr>
              <w:t>1</w:t>
            </w:r>
          </w:p>
        </w:tc>
        <w:tc>
          <w:tcPr>
            <w:tcW w:w="32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DD2EDA">
            <w:pPr>
              <w:spacing w:beforeLines="0" w:afterLines="0" w:line="360" w:lineRule="auto"/>
              <w:rPr>
                <w:rFonts w:hint="eastAsia" w:ascii="Times New Roman"/>
                <w:color w:val="auto"/>
                <w:sz w:val="24"/>
                <w:szCs w:val="24"/>
                <w:highlight w:val="none"/>
              </w:rPr>
            </w:pPr>
            <w:r>
              <w:rPr>
                <w:rFonts w:hint="eastAsia" w:ascii="Times New Roman"/>
                <w:color w:val="auto"/>
                <w:sz w:val="24"/>
                <w:szCs w:val="24"/>
                <w:highlight w:val="none"/>
              </w:rPr>
              <w:t>☑具备</w:t>
            </w:r>
            <w:r>
              <w:rPr>
                <w:rFonts w:hint="eastAsia" w:ascii="Times New Roman"/>
                <w:color w:val="auto"/>
                <w:sz w:val="24"/>
                <w:szCs w:val="24"/>
                <w:highlight w:val="none"/>
                <w:u w:val="single"/>
              </w:rPr>
              <w:t xml:space="preserve"> </w:t>
            </w:r>
            <w:r>
              <w:rPr>
                <w:rFonts w:hint="eastAsia" w:ascii="Times New Roman"/>
                <w:color w:val="auto"/>
                <w:sz w:val="24"/>
                <w:szCs w:val="24"/>
                <w:highlight w:val="none"/>
                <w:u w:val="single"/>
                <w:lang w:val="en-US" w:eastAsia="zh-CN"/>
              </w:rPr>
              <w:t>市政公用</w:t>
            </w:r>
            <w:r>
              <w:rPr>
                <w:rFonts w:hint="eastAsia" w:ascii="Times New Roman"/>
                <w:color w:val="auto"/>
                <w:sz w:val="24"/>
                <w:szCs w:val="24"/>
                <w:highlight w:val="none"/>
                <w:u w:val="single"/>
              </w:rPr>
              <w:t xml:space="preserve">工程   </w:t>
            </w:r>
            <w:r>
              <w:rPr>
                <w:rFonts w:hint="eastAsia" w:ascii="Times New Roman"/>
                <w:color w:val="auto"/>
                <w:sz w:val="24"/>
                <w:szCs w:val="24"/>
                <w:highlight w:val="none"/>
              </w:rPr>
              <w:t xml:space="preserve">专业 </w:t>
            </w:r>
            <w:r>
              <w:rPr>
                <w:rFonts w:hint="eastAsia" w:ascii="Times New Roman"/>
                <w:color w:val="auto"/>
                <w:sz w:val="24"/>
                <w:szCs w:val="24"/>
                <w:highlight w:val="none"/>
                <w:u w:val="single"/>
              </w:rPr>
              <w:t xml:space="preserve"> 二级及以上   </w:t>
            </w:r>
            <w:r>
              <w:rPr>
                <w:rFonts w:hint="eastAsia" w:ascii="Times New Roman"/>
                <w:color w:val="auto"/>
                <w:sz w:val="24"/>
                <w:szCs w:val="24"/>
                <w:highlight w:val="none"/>
              </w:rPr>
              <w:t xml:space="preserve"> 注册建造师，具备</w:t>
            </w:r>
            <w:r>
              <w:rPr>
                <w:rFonts w:hint="eastAsia" w:ascii="Times New Roman"/>
                <w:color w:val="auto"/>
                <w:sz w:val="24"/>
                <w:szCs w:val="24"/>
                <w:highlight w:val="none"/>
                <w:u w:val="single"/>
              </w:rPr>
              <w:t xml:space="preserve">   住房和城乡建设   </w:t>
            </w:r>
            <w:r>
              <w:rPr>
                <w:rFonts w:hint="eastAsia" w:ascii="Times New Roman"/>
                <w:color w:val="auto"/>
                <w:sz w:val="24"/>
                <w:szCs w:val="24"/>
                <w:highlight w:val="none"/>
              </w:rPr>
              <w:t>行政主管部门颁发的安全生产考核合格证书（B证），且</w:t>
            </w:r>
            <w:r>
              <w:rPr>
                <w:rFonts w:hint="eastAsia" w:ascii="Times New Roman" w:cs="楷体"/>
                <w:snapToGrid w:val="0"/>
                <w:color w:val="auto"/>
                <w:sz w:val="24"/>
                <w:szCs w:val="24"/>
                <w:highlight w:val="none"/>
              </w:rPr>
              <w:t>必须是本单位人员（</w:t>
            </w:r>
            <w:r>
              <w:rPr>
                <w:rFonts w:hint="eastAsia" w:ascii="Times New Roman"/>
                <w:color w:val="auto"/>
                <w:sz w:val="24"/>
                <w:szCs w:val="24"/>
                <w:highlight w:val="none"/>
              </w:rPr>
              <w:t>该注册建造师注册证书注册单位应当与投标人名称一致</w:t>
            </w:r>
            <w:r>
              <w:rPr>
                <w:rFonts w:hint="eastAsia" w:ascii="Times New Roman" w:cs="楷体"/>
                <w:snapToGrid w:val="0"/>
                <w:color w:val="auto"/>
                <w:sz w:val="24"/>
                <w:szCs w:val="24"/>
                <w:highlight w:val="none"/>
              </w:rPr>
              <w:t>）</w:t>
            </w:r>
            <w:r>
              <w:rPr>
                <w:rFonts w:hint="eastAsia" w:ascii="Times New Roman"/>
                <w:color w:val="auto"/>
                <w:sz w:val="24"/>
                <w:szCs w:val="24"/>
                <w:highlight w:val="none"/>
              </w:rPr>
              <w:t>。</w:t>
            </w:r>
          </w:p>
          <w:p w14:paraId="4ACAF269">
            <w:pPr>
              <w:spacing w:beforeLines="0" w:afterLines="0" w:line="360" w:lineRule="auto"/>
              <w:rPr>
                <w:rFonts w:hint="eastAsia" w:ascii="Times New Roman"/>
                <w:color w:val="auto"/>
                <w:sz w:val="24"/>
                <w:szCs w:val="24"/>
                <w:highlight w:val="none"/>
              </w:rPr>
            </w:pPr>
            <w:r>
              <w:rPr>
                <w:rFonts w:hint="eastAsia" w:ascii="Times New Roman"/>
                <w:color w:val="auto"/>
                <w:sz w:val="24"/>
                <w:szCs w:val="24"/>
                <w:highlight w:val="none"/>
              </w:rPr>
              <w:sym w:font="Wingdings 2" w:char="00A3"/>
            </w:r>
            <w:r>
              <w:rPr>
                <w:rFonts w:hint="eastAsia" w:ascii="Times New Roman"/>
                <w:color w:val="auto"/>
                <w:sz w:val="24"/>
                <w:szCs w:val="24"/>
                <w:highlight w:val="none"/>
              </w:rPr>
              <w:t>技术职称为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专业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及以上。</w:t>
            </w:r>
          </w:p>
          <w:p w14:paraId="5046487D">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sym w:font="Wingdings 2" w:char="0052"/>
            </w:r>
            <w:r>
              <w:rPr>
                <w:rFonts w:hint="eastAsia" w:ascii="Times New Roman"/>
                <w:color w:val="auto"/>
                <w:sz w:val="24"/>
                <w:szCs w:val="24"/>
                <w:highlight w:val="none"/>
              </w:rPr>
              <w:t>社保要求：提供投标人所属社保机构出具的项目技术负责人</w:t>
            </w:r>
            <w:r>
              <w:rPr>
                <w:rFonts w:hint="eastAsia" w:ascii="Times New Roman"/>
                <w:color w:val="auto"/>
                <w:sz w:val="24"/>
                <w:szCs w:val="24"/>
                <w:highlight w:val="none"/>
                <w:u w:val="single"/>
              </w:rPr>
              <w:t xml:space="preserve">2024年 1 月 1  日以来任意连续三个月 </w:t>
            </w:r>
            <w:r>
              <w:rPr>
                <w:rFonts w:hint="eastAsia" w:ascii="Times New Roman"/>
                <w:color w:val="auto"/>
                <w:sz w:val="24"/>
                <w:szCs w:val="24"/>
                <w:highlight w:val="none"/>
              </w:rPr>
              <w:t>社保缴费证明（或其他能够证明项目技术负责人参加社保的有效证明）材料，项目技术负责人的社保缴纳单位应当是投标人或者投标人不具备独立法人资格的分支机构。</w:t>
            </w:r>
          </w:p>
          <w:p w14:paraId="626ABE49">
            <w:pPr>
              <w:spacing w:beforeLines="0" w:afterLines="0" w:line="360" w:lineRule="auto"/>
              <w:rPr>
                <w:rFonts w:hint="eastAsia" w:ascii="Times New Roman"/>
                <w:color w:val="auto"/>
                <w:sz w:val="24"/>
                <w:szCs w:val="24"/>
                <w:highlight w:val="none"/>
              </w:rPr>
            </w:pPr>
            <w:r>
              <w:rPr>
                <w:rFonts w:hint="eastAsia" w:ascii="Times New Roman"/>
                <w:color w:val="auto"/>
                <w:sz w:val="24"/>
                <w:szCs w:val="24"/>
                <w:highlight w:val="none"/>
              </w:rPr>
              <w:t>（社保缴费证明或社保的有效证明材料至少含养老保险）</w:t>
            </w:r>
          </w:p>
        </w:tc>
      </w:tr>
    </w:tbl>
    <w:p w14:paraId="3A8B9AA9">
      <w:pPr>
        <w:pStyle w:val="26"/>
        <w:adjustRightInd w:val="0"/>
        <w:snapToGrid w:val="0"/>
        <w:spacing w:beforeLines="0" w:afterLines="0" w:line="400" w:lineRule="exact"/>
        <w:ind w:firstLine="480" w:firstLineChars="200"/>
        <w:jc w:val="left"/>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注：投标人应提供项目技术负责人的注册建造师注册证书（如要求）、安全生产考核合格证书（如要求）、职称证书（如要求）、参加社保的有效证明材料（如要求）。</w:t>
      </w:r>
    </w:p>
    <w:p w14:paraId="277C96EB">
      <w:pPr>
        <w:spacing w:before="240" w:beforeLines="100" w:after="240" w:afterLines="100"/>
        <w:jc w:val="center"/>
        <w:outlineLvl w:val="2"/>
        <w:rPr>
          <w:rFonts w:hint="eastAsia" w:ascii="Times New Roman" w:eastAsia="黑体" w:cs="黑体"/>
          <w:color w:val="auto"/>
          <w:sz w:val="24"/>
          <w:szCs w:val="24"/>
          <w:highlight w:val="none"/>
        </w:rPr>
      </w:pPr>
      <w:r>
        <w:rPr>
          <w:rFonts w:hint="eastAsia" w:ascii="Times New Roman" w:eastAsia="Times New Roman"/>
          <w:b/>
          <w:color w:val="auto"/>
          <w:sz w:val="28"/>
          <w:szCs w:val="28"/>
          <w:highlight w:val="none"/>
        </w:rPr>
        <w:br w:type="page"/>
      </w:r>
      <w:r>
        <w:rPr>
          <w:rFonts w:hint="eastAsia" w:ascii="Times New Roman" w:eastAsia="黑体" w:cs="黑体"/>
          <w:color w:val="auto"/>
          <w:sz w:val="24"/>
          <w:szCs w:val="24"/>
          <w:highlight w:val="none"/>
        </w:rPr>
        <w:t>附表2  其他主要管理人员和技术人员最低要求（中标后配备）</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034"/>
        <w:gridCol w:w="5533"/>
      </w:tblGrid>
      <w:tr w14:paraId="0C48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18A758">
            <w:pPr>
              <w:adjustRightInd w:val="0"/>
              <w:snapToGrid w:val="0"/>
              <w:spacing w:beforeLines="0" w:afterLines="0" w:line="360" w:lineRule="auto"/>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人员岗位</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7A4C1D">
            <w:pPr>
              <w:adjustRightInd w:val="0"/>
              <w:snapToGrid w:val="0"/>
              <w:spacing w:beforeLines="0" w:afterLines="0" w:line="360" w:lineRule="auto"/>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数量</w:t>
            </w:r>
          </w:p>
        </w:tc>
        <w:tc>
          <w:tcPr>
            <w:tcW w:w="32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BF1561">
            <w:pPr>
              <w:adjustRightInd w:val="0"/>
              <w:snapToGrid w:val="0"/>
              <w:spacing w:beforeLines="0" w:afterLines="0" w:line="360" w:lineRule="auto"/>
              <w:jc w:val="center"/>
              <w:rPr>
                <w:rFonts w:hint="eastAsia" w:ascii="Times New Roman"/>
                <w:b/>
                <w:color w:val="auto"/>
                <w:sz w:val="24"/>
                <w:szCs w:val="24"/>
                <w:highlight w:val="none"/>
              </w:rPr>
            </w:pPr>
            <w:r>
              <w:rPr>
                <w:rFonts w:hint="eastAsia" w:ascii="Times New Roman"/>
                <w:b/>
                <w:color w:val="auto"/>
                <w:sz w:val="24"/>
                <w:szCs w:val="24"/>
                <w:highlight w:val="none"/>
              </w:rPr>
              <w:t>资格要求</w:t>
            </w:r>
          </w:p>
        </w:tc>
      </w:tr>
      <w:tr w14:paraId="1763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ADD459">
            <w:pPr>
              <w:autoSpaceDE w:val="0"/>
              <w:autoSpaceDN w:val="0"/>
              <w:adjustRightIn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施工员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9361E6">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 xml:space="preserve"> 2</w:t>
            </w:r>
          </w:p>
        </w:tc>
        <w:tc>
          <w:tcPr>
            <w:tcW w:w="3248" w:type="pct"/>
            <w:vMerge w:val="restart"/>
            <w:tcBorders>
              <w:top w:val="single" w:color="auto" w:sz="4" w:space="0"/>
              <w:left w:val="single" w:color="auto" w:sz="4" w:space="0"/>
              <w:bottom w:val="single" w:color="auto" w:sz="4" w:space="0"/>
              <w:right w:val="single" w:color="auto" w:sz="4" w:space="0"/>
              <w:tl2br w:val="nil"/>
              <w:tr2bl w:val="nil"/>
            </w:tcBorders>
            <w:noWrap w:val="0"/>
            <w:vAlign w:val="top"/>
          </w:tcPr>
          <w:p w14:paraId="3F4DB235">
            <w:pPr>
              <w:spacing w:beforeLines="0" w:afterLines="0" w:line="360" w:lineRule="auto"/>
              <w:rPr>
                <w:rFonts w:hint="eastAsia" w:ascii="Times New Roman" w:eastAsia="Times New Roman" w:cs="宋体"/>
                <w:color w:val="auto"/>
                <w:sz w:val="24"/>
                <w:szCs w:val="24"/>
                <w:highlight w:val="none"/>
              </w:rPr>
            </w:pPr>
            <w:r>
              <w:rPr>
                <w:rFonts w:hint="eastAsia" w:hAnsi="宋体" w:cs="宋体"/>
                <w:color w:val="auto"/>
                <w:sz w:val="21"/>
                <w:szCs w:val="21"/>
                <w:highlight w:val="none"/>
              </w:rPr>
              <w:t>根据安徽省住房和城乡建设厅《关于调整招标投标活动中有关住房城乡建设领域现场专业人员证书要求的通知》（建市函〔2019〕1112号）要求，不再将住房城乡建设领域现场专业技术人员（包括施工员、质量员、安全员、资料员、材料员、劳务员、机械员、标准员）及取样员持证情况列入招标投标文件。</w:t>
            </w:r>
          </w:p>
        </w:tc>
      </w:tr>
      <w:tr w14:paraId="17B0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2BA531">
            <w:pPr>
              <w:autoSpaceDE w:val="0"/>
              <w:autoSpaceDN w:val="0"/>
              <w:adjustRightIn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质量员/质检员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1F1E41">
            <w:pPr>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 xml:space="preserve">1 </w:t>
            </w:r>
          </w:p>
        </w:tc>
        <w:tc>
          <w:tcPr>
            <w:tcW w:w="32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59AFB1B">
            <w:pPr>
              <w:spacing w:beforeLines="0" w:afterLines="0" w:line="360" w:lineRule="auto"/>
              <w:rPr>
                <w:rFonts w:hint="eastAsia" w:ascii="Times New Roman" w:eastAsia="Times New Roman" w:cs="宋体"/>
                <w:color w:val="auto"/>
                <w:sz w:val="24"/>
                <w:szCs w:val="24"/>
                <w:highlight w:val="none"/>
              </w:rPr>
            </w:pPr>
          </w:p>
        </w:tc>
      </w:tr>
      <w:tr w14:paraId="300D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9C00CE">
            <w:pPr>
              <w:autoSpaceDE w:val="0"/>
              <w:autoSpaceDN w:val="0"/>
              <w:adjustRightIn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安全员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F8FB3C">
            <w:pPr>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 xml:space="preserve"> 1</w:t>
            </w:r>
          </w:p>
        </w:tc>
        <w:tc>
          <w:tcPr>
            <w:tcW w:w="32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FE70F96">
            <w:pPr>
              <w:spacing w:beforeLines="0" w:afterLines="0" w:line="360" w:lineRule="auto"/>
              <w:rPr>
                <w:rFonts w:hint="eastAsia" w:ascii="Times New Roman" w:eastAsia="Times New Roman" w:cs="宋体"/>
                <w:color w:val="auto"/>
                <w:sz w:val="24"/>
                <w:szCs w:val="24"/>
                <w:highlight w:val="none"/>
              </w:rPr>
            </w:pPr>
          </w:p>
        </w:tc>
      </w:tr>
      <w:tr w14:paraId="4267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AEE004">
            <w:pPr>
              <w:autoSpaceDE w:val="0"/>
              <w:autoSpaceDN w:val="0"/>
              <w:adjustRightIn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资料员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6A75B6">
            <w:pPr>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 xml:space="preserve">1 </w:t>
            </w:r>
          </w:p>
        </w:tc>
        <w:tc>
          <w:tcPr>
            <w:tcW w:w="32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BABDACD">
            <w:pPr>
              <w:spacing w:beforeLines="0" w:afterLines="0" w:line="360" w:lineRule="auto"/>
              <w:rPr>
                <w:rFonts w:hint="eastAsia" w:ascii="Times New Roman" w:eastAsia="Times New Roman" w:cs="宋体"/>
                <w:color w:val="auto"/>
                <w:sz w:val="24"/>
                <w:szCs w:val="24"/>
                <w:highlight w:val="none"/>
              </w:rPr>
            </w:pPr>
          </w:p>
        </w:tc>
      </w:tr>
      <w:tr w14:paraId="1E51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70BE8C">
            <w:pPr>
              <w:autoSpaceDE w:val="0"/>
              <w:autoSpaceDN w:val="0"/>
              <w:adjustRightIn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劳资专管员</w:t>
            </w:r>
          </w:p>
        </w:tc>
        <w:tc>
          <w:tcPr>
            <w:tcW w:w="6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65D5C2">
            <w:pPr>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1</w:t>
            </w:r>
          </w:p>
        </w:tc>
        <w:tc>
          <w:tcPr>
            <w:tcW w:w="32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12E867">
            <w:pPr>
              <w:spacing w:beforeLines="0" w:afterLines="0" w:line="360" w:lineRule="auto"/>
              <w:rPr>
                <w:rFonts w:hint="eastAsia" w:ascii="Times New Roman" w:eastAsia="Times New Roman" w:cs="宋体"/>
                <w:color w:val="auto"/>
                <w:sz w:val="24"/>
                <w:szCs w:val="24"/>
                <w:highlight w:val="none"/>
              </w:rPr>
            </w:pPr>
            <w:r>
              <w:rPr>
                <w:rFonts w:hint="eastAsia"/>
                <w:snapToGrid w:val="0"/>
                <w:color w:val="auto"/>
                <w:sz w:val="21"/>
                <w:szCs w:val="21"/>
                <w:highlight w:val="none"/>
              </w:rPr>
              <w:t>执行《关于加强建设领域劳资专管员管理工作的通知》</w:t>
            </w:r>
            <w:r>
              <w:rPr>
                <w:rFonts w:hint="eastAsia" w:hAnsi="宋体" w:cs="宋体"/>
                <w:color w:val="auto"/>
                <w:sz w:val="21"/>
                <w:szCs w:val="21"/>
                <w:highlight w:val="none"/>
              </w:rPr>
              <w:t>（合治欠发</w:t>
            </w:r>
            <w:r>
              <w:rPr>
                <w:rFonts w:hint="eastAsia"/>
                <w:snapToGrid w:val="0"/>
                <w:color w:val="auto"/>
                <w:sz w:val="21"/>
                <w:szCs w:val="21"/>
                <w:highlight w:val="none"/>
              </w:rPr>
              <w:t>〔2021〕</w:t>
            </w:r>
            <w:r>
              <w:rPr>
                <w:rFonts w:hint="eastAsia" w:hAnsi="宋体" w:cs="宋体"/>
                <w:color w:val="auto"/>
                <w:sz w:val="21"/>
                <w:szCs w:val="21"/>
                <w:highlight w:val="none"/>
              </w:rPr>
              <w:t>6号文件）</w:t>
            </w:r>
          </w:p>
        </w:tc>
      </w:tr>
      <w:bookmarkEnd w:id="21"/>
      <w:bookmarkEnd w:id="71"/>
      <w:bookmarkEnd w:id="72"/>
      <w:bookmarkEnd w:id="73"/>
    </w:tbl>
    <w:p w14:paraId="7C6F59A4">
      <w:pPr>
        <w:pStyle w:val="26"/>
        <w:adjustRightInd w:val="0"/>
        <w:snapToGrid w:val="0"/>
        <w:spacing w:beforeLines="0" w:afterLines="0" w:line="400" w:lineRule="exact"/>
        <w:ind w:firstLine="480" w:firstLineChars="200"/>
        <w:jc w:val="left"/>
        <w:rPr>
          <w:rFonts w:hint="eastAsia" w:ascii="Times New Roman" w:hAnsi="Times New Roman"/>
          <w:snapToGrid w:val="0"/>
          <w:color w:val="auto"/>
          <w:kern w:val="0"/>
          <w:sz w:val="24"/>
          <w:szCs w:val="24"/>
          <w:highlight w:val="none"/>
        </w:rPr>
      </w:pPr>
      <w:bookmarkStart w:id="74" w:name="_Toc283798422"/>
      <w:bookmarkStart w:id="75" w:name="_Toc2985"/>
      <w:bookmarkStart w:id="76" w:name="_Toc38879323"/>
      <w:r>
        <w:rPr>
          <w:rFonts w:hint="eastAsia" w:ascii="Times New Roman" w:hAnsi="Times New Roman"/>
          <w:snapToGrid w:val="0"/>
          <w:color w:val="auto"/>
          <w:kern w:val="0"/>
          <w:sz w:val="24"/>
          <w:szCs w:val="24"/>
          <w:highlight w:val="none"/>
        </w:rPr>
        <w:t>注：</w:t>
      </w:r>
    </w:p>
    <w:p w14:paraId="07291B73">
      <w:pPr>
        <w:pStyle w:val="26"/>
        <w:adjustRightInd w:val="0"/>
        <w:snapToGrid w:val="0"/>
        <w:spacing w:beforeLines="0" w:afterLines="0" w:line="400" w:lineRule="exact"/>
        <w:ind w:firstLine="480" w:firstLineChars="200"/>
        <w:jc w:val="left"/>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1.本附表 2 为招标人按照住房和城乡建设部及安徽省相关标准规定要求投标人中标后需要配备其他主要管理人员和技术人员数量的最低要求。</w:t>
      </w:r>
    </w:p>
    <w:p w14:paraId="7963E3F1">
      <w:pPr>
        <w:pStyle w:val="26"/>
        <w:adjustRightInd w:val="0"/>
        <w:snapToGrid w:val="0"/>
        <w:spacing w:beforeLines="0" w:afterLines="0" w:line="400" w:lineRule="exact"/>
        <w:ind w:firstLine="480" w:firstLineChars="200"/>
        <w:jc w:val="left"/>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2.项目实施时，中标人和招标人在签订合同时应按照不低于本表人员配置的要求填写承包人主要施工管理人员表（人员配置符合住房和城乡建设部及安徽省相关标准），并作为合同的附件之一。</w:t>
      </w:r>
    </w:p>
    <w:p w14:paraId="64310233">
      <w:pPr>
        <w:pStyle w:val="26"/>
        <w:adjustRightInd w:val="0"/>
        <w:snapToGrid w:val="0"/>
        <w:spacing w:beforeLines="0" w:afterLines="0" w:line="400" w:lineRule="exact"/>
        <w:ind w:firstLine="480" w:firstLineChars="200"/>
        <w:jc w:val="left"/>
        <w:rPr>
          <w:rFonts w:hint="eastAsia" w:ascii="Times New Roman" w:hAnsi="Times New Roman"/>
          <w:snapToGrid w:val="0"/>
          <w:color w:val="auto"/>
          <w:kern w:val="0"/>
          <w:sz w:val="24"/>
          <w:szCs w:val="24"/>
          <w:highlight w:val="none"/>
        </w:rPr>
      </w:pPr>
    </w:p>
    <w:p w14:paraId="423AC1B1">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eastAsia="黑体"/>
          <w:b w:val="0"/>
          <w:color w:val="auto"/>
          <w:sz w:val="32"/>
          <w:szCs w:val="32"/>
          <w:highlight w:val="none"/>
        </w:rPr>
        <w:br w:type="page"/>
      </w:r>
      <w:bookmarkStart w:id="77" w:name="_Toc20019"/>
      <w:r>
        <w:rPr>
          <w:rFonts w:hint="eastAsia" w:ascii="Times New Roman" w:hAnsi="Times New Roman" w:eastAsia="黑体"/>
          <w:b w:val="0"/>
          <w:color w:val="auto"/>
          <w:sz w:val="32"/>
          <w:szCs w:val="32"/>
          <w:highlight w:val="none"/>
        </w:rPr>
        <w:t>附录7  资格审查条件（其他要求）</w:t>
      </w:r>
      <w:bookmarkEnd w:id="77"/>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4E063F64">
        <w:tblPrEx>
          <w:tblCellMar>
            <w:top w:w="0" w:type="dxa"/>
            <w:left w:w="108" w:type="dxa"/>
            <w:bottom w:w="0" w:type="dxa"/>
            <w:right w:w="108" w:type="dxa"/>
          </w:tblCellMar>
        </w:tblPrEx>
        <w:trPr>
          <w:cantSplit/>
          <w:trHeight w:val="567"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16790B">
            <w:pPr>
              <w:pStyle w:val="26"/>
              <w:adjustRightInd w:val="0"/>
              <w:snapToGrid w:val="0"/>
              <w:spacing w:beforeLines="0" w:afterLines="0"/>
              <w:jc w:val="center"/>
              <w:rPr>
                <w:rFonts w:hint="eastAsia" w:ascii="Times New Roman" w:hAnsi="Times New Roman" w:eastAsia="Times New Roman"/>
                <w:b/>
                <w:color w:val="auto"/>
                <w:sz w:val="24"/>
                <w:szCs w:val="24"/>
                <w:highlight w:val="none"/>
              </w:rPr>
            </w:pPr>
            <w:r>
              <w:rPr>
                <w:rFonts w:hint="eastAsia" w:ascii="Times New Roman" w:hAnsi="Times New Roman"/>
                <w:b/>
                <w:color w:val="auto"/>
                <w:sz w:val="24"/>
                <w:szCs w:val="24"/>
                <w:highlight w:val="none"/>
              </w:rPr>
              <w:t>其他要求</w:t>
            </w:r>
          </w:p>
        </w:tc>
      </w:tr>
      <w:tr w14:paraId="03F9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6BC790">
            <w:pPr>
              <w:spacing w:beforeLines="0" w:afterLines="0" w:line="460" w:lineRule="exact"/>
              <w:rPr>
                <w:rFonts w:hint="eastAsia" w:ascii="Times New Roman"/>
                <w:color w:val="auto"/>
                <w:sz w:val="24"/>
                <w:szCs w:val="21"/>
                <w:highlight w:val="none"/>
              </w:rPr>
            </w:pPr>
            <w:r>
              <w:rPr>
                <w:rFonts w:hint="eastAsia" w:ascii="Times New Roman"/>
                <w:color w:val="auto"/>
                <w:sz w:val="24"/>
                <w:szCs w:val="21"/>
                <w:highlight w:val="none"/>
              </w:rPr>
              <w:t>1.投标人不得存在招标文件第二章投标人须知第1.4.3项、第1.4.4项规定的情形。</w:t>
            </w:r>
          </w:p>
          <w:p w14:paraId="3915E65B">
            <w:pPr>
              <w:spacing w:beforeLines="0" w:afterLines="0" w:line="460" w:lineRule="exact"/>
              <w:rPr>
                <w:rFonts w:hint="eastAsia" w:ascii="Times New Roman" w:eastAsia="Times New Roman"/>
                <w:color w:val="auto"/>
                <w:sz w:val="24"/>
                <w:szCs w:val="24"/>
                <w:highlight w:val="none"/>
                <w:u w:val="single"/>
              </w:rPr>
            </w:pPr>
            <w:r>
              <w:rPr>
                <w:rFonts w:hint="eastAsia" w:ascii="Times New Roman"/>
                <w:color w:val="auto"/>
                <w:sz w:val="24"/>
                <w:szCs w:val="21"/>
                <w:highlight w:val="none"/>
              </w:rPr>
              <w:t>2.</w:t>
            </w:r>
            <w:r>
              <w:rPr>
                <w:rFonts w:hint="eastAsia" w:ascii="Times New Roman"/>
                <w:color w:val="auto"/>
                <w:sz w:val="24"/>
                <w:szCs w:val="22"/>
                <w:highlight w:val="none"/>
              </w:rPr>
              <w:t>其他要求：</w:t>
            </w:r>
            <w:r>
              <w:rPr>
                <w:rFonts w:hint="eastAsia" w:ascii="Times New Roman"/>
                <w:color w:val="auto"/>
                <w:sz w:val="24"/>
                <w:szCs w:val="21"/>
                <w:highlight w:val="none"/>
                <w:u w:val="single"/>
              </w:rPr>
              <w:t xml:space="preserve">    /   </w:t>
            </w:r>
          </w:p>
        </w:tc>
      </w:tr>
    </w:tbl>
    <w:p w14:paraId="77AA35EC">
      <w:pPr>
        <w:pStyle w:val="26"/>
        <w:adjustRightInd w:val="0"/>
        <w:snapToGrid w:val="0"/>
        <w:spacing w:beforeLines="0" w:afterLines="0" w:line="360" w:lineRule="auto"/>
        <w:ind w:firstLine="480" w:firstLineChars="200"/>
        <w:jc w:val="left"/>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注：</w:t>
      </w:r>
    </w:p>
    <w:p w14:paraId="2C1E99FC">
      <w:pPr>
        <w:pStyle w:val="26"/>
        <w:adjustRightInd w:val="0"/>
        <w:snapToGrid w:val="0"/>
        <w:spacing w:beforeLines="0" w:afterLines="0" w:line="360" w:lineRule="auto"/>
        <w:ind w:firstLine="480" w:firstLineChars="200"/>
        <w:rPr>
          <w:rFonts w:hint="eastAsia" w:ascii="Times New Roman" w:hAnsi="Times New Roman"/>
          <w:snapToGrid w:val="0"/>
          <w:color w:val="auto"/>
          <w:kern w:val="0"/>
          <w:sz w:val="24"/>
          <w:szCs w:val="24"/>
          <w:highlight w:val="none"/>
        </w:rPr>
      </w:pPr>
      <w:r>
        <w:rPr>
          <w:rFonts w:hint="eastAsia" w:ascii="Times New Roman" w:hAnsi="Times New Roman"/>
          <w:snapToGrid w:val="0"/>
          <w:color w:val="auto"/>
          <w:kern w:val="0"/>
          <w:sz w:val="24"/>
          <w:szCs w:val="24"/>
          <w:highlight w:val="none"/>
        </w:rPr>
        <w:t>1.投标人应按照第八章“投标文件格式”的“诚信投标承诺书”承诺。如投标人承诺与实际不符，招标人有权取消其中标（或中标候选）资格，并报公共资源交易监督管理部门。</w:t>
      </w:r>
    </w:p>
    <w:p w14:paraId="44A04318">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b w:val="0"/>
          <w:color w:val="auto"/>
          <w:sz w:val="24"/>
          <w:szCs w:val="32"/>
          <w:highlight w:val="none"/>
        </w:rPr>
        <w:br w:type="page"/>
      </w:r>
      <w:bookmarkStart w:id="78" w:name="_Toc4666"/>
      <w:bookmarkStart w:id="79" w:name="_Toc25831"/>
      <w:bookmarkStart w:id="80" w:name="_Toc5852"/>
      <w:bookmarkStart w:id="81" w:name="_Toc17783"/>
      <w:bookmarkStart w:id="82" w:name="_Toc31252"/>
      <w:bookmarkStart w:id="83" w:name="_Toc16515"/>
      <w:bookmarkStart w:id="84" w:name="_Toc299"/>
      <w:bookmarkStart w:id="85" w:name="_Toc8098"/>
      <w:r>
        <w:rPr>
          <w:rFonts w:hint="eastAsia" w:ascii="Times New Roman" w:hAnsi="Times New Roman" w:eastAsia="黑体"/>
          <w:b w:val="0"/>
          <w:color w:val="auto"/>
          <w:sz w:val="32"/>
          <w:szCs w:val="32"/>
          <w:highlight w:val="none"/>
        </w:rPr>
        <w:t>投标人须知</w:t>
      </w:r>
      <w:bookmarkEnd w:id="74"/>
      <w:r>
        <w:rPr>
          <w:rFonts w:hint="eastAsia" w:ascii="Times New Roman" w:hAnsi="Times New Roman" w:eastAsia="黑体"/>
          <w:b w:val="0"/>
          <w:color w:val="auto"/>
          <w:sz w:val="32"/>
          <w:szCs w:val="32"/>
          <w:highlight w:val="none"/>
        </w:rPr>
        <w:t>正文修改一览表</w:t>
      </w:r>
      <w:bookmarkEnd w:id="75"/>
      <w:bookmarkEnd w:id="76"/>
      <w:bookmarkEnd w:id="78"/>
      <w:bookmarkEnd w:id="79"/>
      <w:bookmarkEnd w:id="80"/>
      <w:bookmarkEnd w:id="81"/>
      <w:bookmarkEnd w:id="82"/>
      <w:bookmarkEnd w:id="83"/>
      <w:bookmarkEnd w:id="84"/>
      <w:bookmarkEnd w:id="85"/>
    </w:p>
    <w:p w14:paraId="1112694A">
      <w:pPr>
        <w:pStyle w:val="28"/>
        <w:spacing w:beforeLines="0" w:afterLines="0" w:line="360" w:lineRule="auto"/>
        <w:rPr>
          <w:rFonts w:hint="eastAsia" w:eastAsia="宋体"/>
          <w:color w:val="auto"/>
          <w:kern w:val="0"/>
          <w:sz w:val="24"/>
          <w:szCs w:val="24"/>
          <w:highlight w:val="none"/>
        </w:rPr>
      </w:pPr>
      <w:r>
        <w:rPr>
          <w:rFonts w:hint="eastAsia" w:eastAsia="宋体"/>
          <w:color w:val="auto"/>
          <w:kern w:val="0"/>
          <w:sz w:val="24"/>
          <w:szCs w:val="24"/>
          <w:highlight w:val="none"/>
        </w:rPr>
        <w:t>投标人须知正文条款内容修改如下：</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2849"/>
        <w:gridCol w:w="4687"/>
      </w:tblGrid>
      <w:tr w14:paraId="1B01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D0B9C9">
            <w:pPr>
              <w:pStyle w:val="28"/>
              <w:spacing w:beforeLines="0" w:afterLines="0"/>
              <w:jc w:val="center"/>
              <w:rPr>
                <w:rFonts w:hint="eastAsia"/>
                <w:b/>
                <w:color w:val="auto"/>
                <w:sz w:val="24"/>
                <w:szCs w:val="24"/>
                <w:highlight w:val="none"/>
              </w:rPr>
            </w:pPr>
            <w:r>
              <w:rPr>
                <w:rFonts w:hint="eastAsia" w:eastAsia="宋体"/>
                <w:b/>
                <w:color w:val="auto"/>
                <w:sz w:val="24"/>
                <w:szCs w:val="24"/>
                <w:highlight w:val="none"/>
              </w:rPr>
              <w:t>条款</w:t>
            </w:r>
          </w:p>
          <w:p w14:paraId="04EA4570">
            <w:pPr>
              <w:pStyle w:val="28"/>
              <w:spacing w:beforeLines="0" w:afterLines="0"/>
              <w:jc w:val="center"/>
              <w:rPr>
                <w:rFonts w:hint="eastAsia"/>
                <w:b/>
                <w:color w:val="auto"/>
                <w:sz w:val="24"/>
                <w:szCs w:val="24"/>
                <w:highlight w:val="none"/>
              </w:rPr>
            </w:pPr>
            <w:r>
              <w:rPr>
                <w:rFonts w:hint="eastAsia" w:eastAsia="宋体"/>
                <w:b/>
                <w:color w:val="auto"/>
                <w:sz w:val="24"/>
                <w:szCs w:val="24"/>
                <w:highlight w:val="none"/>
              </w:rPr>
              <w:t>编号</w:t>
            </w:r>
          </w:p>
        </w:tc>
        <w:tc>
          <w:tcPr>
            <w:tcW w:w="30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631782">
            <w:pPr>
              <w:pStyle w:val="28"/>
              <w:spacing w:beforeLines="0" w:afterLines="0"/>
              <w:jc w:val="center"/>
              <w:rPr>
                <w:rFonts w:hint="eastAsia"/>
                <w:b/>
                <w:color w:val="auto"/>
                <w:sz w:val="24"/>
                <w:szCs w:val="24"/>
                <w:highlight w:val="none"/>
              </w:rPr>
            </w:pPr>
            <w:r>
              <w:rPr>
                <w:rFonts w:hint="eastAsia" w:eastAsia="宋体"/>
                <w:b/>
                <w:color w:val="auto"/>
                <w:sz w:val="24"/>
                <w:szCs w:val="24"/>
                <w:highlight w:val="none"/>
              </w:rPr>
              <w:t>示范文本中条款内容</w:t>
            </w:r>
          </w:p>
        </w:tc>
        <w:tc>
          <w:tcPr>
            <w:tcW w:w="50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DBD8E8">
            <w:pPr>
              <w:pStyle w:val="28"/>
              <w:spacing w:beforeLines="0" w:afterLines="0"/>
              <w:jc w:val="center"/>
              <w:rPr>
                <w:rFonts w:hint="eastAsia"/>
                <w:b/>
                <w:color w:val="auto"/>
                <w:sz w:val="24"/>
                <w:szCs w:val="24"/>
                <w:highlight w:val="none"/>
              </w:rPr>
            </w:pPr>
            <w:r>
              <w:rPr>
                <w:rFonts w:hint="eastAsia" w:eastAsia="宋体"/>
                <w:b/>
                <w:color w:val="auto"/>
                <w:sz w:val="24"/>
                <w:szCs w:val="24"/>
                <w:highlight w:val="none"/>
              </w:rPr>
              <w:t>修改后条款内容</w:t>
            </w:r>
          </w:p>
        </w:tc>
      </w:tr>
      <w:tr w14:paraId="60B0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224C21">
            <w:pPr>
              <w:pStyle w:val="28"/>
              <w:spacing w:beforeLines="0" w:afterLines="0"/>
              <w:jc w:val="center"/>
              <w:rPr>
                <w:rFonts w:hint="eastAsia" w:eastAsia="宋体"/>
                <w:color w:val="auto"/>
                <w:sz w:val="24"/>
                <w:szCs w:val="24"/>
                <w:highlight w:val="none"/>
              </w:rPr>
            </w:pPr>
          </w:p>
        </w:tc>
        <w:tc>
          <w:tcPr>
            <w:tcW w:w="30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99C075">
            <w:pPr>
              <w:pStyle w:val="28"/>
              <w:spacing w:beforeLines="0" w:afterLines="0"/>
              <w:jc w:val="center"/>
              <w:rPr>
                <w:rFonts w:hint="eastAsia"/>
                <w:color w:val="auto"/>
                <w:sz w:val="24"/>
                <w:szCs w:val="24"/>
                <w:highlight w:val="none"/>
              </w:rPr>
            </w:pPr>
          </w:p>
        </w:tc>
        <w:tc>
          <w:tcPr>
            <w:tcW w:w="50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6F6900">
            <w:pPr>
              <w:pStyle w:val="28"/>
              <w:spacing w:beforeLines="0" w:afterLines="0"/>
              <w:jc w:val="center"/>
              <w:rPr>
                <w:rFonts w:hint="eastAsia"/>
                <w:color w:val="auto"/>
                <w:sz w:val="24"/>
                <w:szCs w:val="24"/>
                <w:highlight w:val="none"/>
              </w:rPr>
            </w:pPr>
          </w:p>
        </w:tc>
      </w:tr>
      <w:tr w14:paraId="3585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9A0B0D">
            <w:pPr>
              <w:spacing w:beforeLines="0" w:afterLines="0"/>
              <w:jc w:val="center"/>
              <w:rPr>
                <w:rFonts w:hint="eastAsia" w:ascii="Times New Roman" w:eastAsia="Times New Roman"/>
                <w:color w:val="auto"/>
                <w:sz w:val="24"/>
                <w:szCs w:val="24"/>
                <w:highlight w:val="none"/>
              </w:rPr>
            </w:pPr>
          </w:p>
        </w:tc>
        <w:tc>
          <w:tcPr>
            <w:tcW w:w="30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F38780">
            <w:pPr>
              <w:snapToGrid w:val="0"/>
              <w:spacing w:beforeLines="0" w:afterLines="0"/>
              <w:jc w:val="center"/>
              <w:rPr>
                <w:rFonts w:hint="eastAsia" w:ascii="Times New Roman"/>
                <w:color w:val="auto"/>
                <w:sz w:val="24"/>
                <w:szCs w:val="24"/>
                <w:highlight w:val="none"/>
              </w:rPr>
            </w:pPr>
          </w:p>
        </w:tc>
        <w:tc>
          <w:tcPr>
            <w:tcW w:w="50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8B5D31">
            <w:pPr>
              <w:spacing w:beforeLines="0" w:afterLines="0"/>
              <w:jc w:val="center"/>
              <w:rPr>
                <w:rFonts w:hint="eastAsia" w:ascii="Times New Roman" w:eastAsia="Times New Roman"/>
                <w:b/>
                <w:color w:val="auto"/>
                <w:sz w:val="24"/>
                <w:szCs w:val="24"/>
                <w:highlight w:val="none"/>
              </w:rPr>
            </w:pPr>
          </w:p>
        </w:tc>
      </w:tr>
      <w:tr w14:paraId="6FFC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D986EE">
            <w:pPr>
              <w:spacing w:beforeLines="0" w:afterLines="0"/>
              <w:jc w:val="center"/>
              <w:rPr>
                <w:rFonts w:hint="eastAsia" w:ascii="Times New Roman" w:eastAsia="Times New Roman"/>
                <w:color w:val="auto"/>
                <w:sz w:val="24"/>
                <w:szCs w:val="24"/>
                <w:highlight w:val="none"/>
              </w:rPr>
            </w:pPr>
          </w:p>
        </w:tc>
        <w:tc>
          <w:tcPr>
            <w:tcW w:w="30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62A721">
            <w:pPr>
              <w:snapToGrid w:val="0"/>
              <w:spacing w:beforeLines="0" w:afterLines="0"/>
              <w:jc w:val="center"/>
              <w:rPr>
                <w:rFonts w:hint="eastAsia" w:ascii="Times New Roman"/>
                <w:color w:val="auto"/>
                <w:sz w:val="24"/>
                <w:szCs w:val="24"/>
                <w:highlight w:val="none"/>
              </w:rPr>
            </w:pPr>
          </w:p>
        </w:tc>
        <w:tc>
          <w:tcPr>
            <w:tcW w:w="50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9418E1">
            <w:pPr>
              <w:spacing w:beforeLines="0" w:afterLines="0"/>
              <w:jc w:val="center"/>
              <w:rPr>
                <w:rFonts w:hint="eastAsia" w:ascii="Times New Roman" w:eastAsia="Times New Roman"/>
                <w:b/>
                <w:color w:val="auto"/>
                <w:sz w:val="24"/>
                <w:szCs w:val="24"/>
                <w:highlight w:val="none"/>
              </w:rPr>
            </w:pPr>
          </w:p>
        </w:tc>
      </w:tr>
      <w:tr w14:paraId="7702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88B84A">
            <w:pPr>
              <w:pStyle w:val="28"/>
              <w:spacing w:beforeLines="0" w:afterLines="0"/>
              <w:jc w:val="center"/>
              <w:rPr>
                <w:rFonts w:hint="eastAsia"/>
                <w:color w:val="auto"/>
                <w:sz w:val="21"/>
                <w:szCs w:val="24"/>
                <w:highlight w:val="none"/>
              </w:rPr>
            </w:pPr>
          </w:p>
        </w:tc>
        <w:tc>
          <w:tcPr>
            <w:tcW w:w="30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17A5E7">
            <w:pPr>
              <w:pStyle w:val="28"/>
              <w:spacing w:beforeLines="0" w:afterLines="0"/>
              <w:jc w:val="center"/>
              <w:rPr>
                <w:rFonts w:hint="eastAsia"/>
                <w:color w:val="auto"/>
                <w:sz w:val="21"/>
                <w:szCs w:val="24"/>
                <w:highlight w:val="none"/>
              </w:rPr>
            </w:pPr>
          </w:p>
        </w:tc>
        <w:tc>
          <w:tcPr>
            <w:tcW w:w="50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D192D0">
            <w:pPr>
              <w:pStyle w:val="28"/>
              <w:spacing w:beforeLines="0" w:afterLines="0"/>
              <w:jc w:val="center"/>
              <w:rPr>
                <w:rFonts w:hint="eastAsia"/>
                <w:color w:val="auto"/>
                <w:sz w:val="21"/>
                <w:szCs w:val="24"/>
                <w:highlight w:val="none"/>
              </w:rPr>
            </w:pPr>
          </w:p>
        </w:tc>
      </w:tr>
      <w:bookmarkEnd w:id="2"/>
      <w:bookmarkEnd w:id="3"/>
      <w:bookmarkEnd w:id="4"/>
      <w:bookmarkEnd w:id="5"/>
      <w:bookmarkEnd w:id="6"/>
      <w:bookmarkEnd w:id="7"/>
    </w:tbl>
    <w:p w14:paraId="5E9E44DA">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86" w:name="_Toc1641"/>
      <w:bookmarkStart w:id="87" w:name="_Toc38879335"/>
      <w:bookmarkStart w:id="88" w:name="_Toc63412030"/>
      <w:r>
        <w:rPr>
          <w:rFonts w:hint="eastAsia" w:ascii="Times New Roman" w:hAnsi="Times New Roman" w:eastAsia="黑体"/>
          <w:b w:val="0"/>
          <w:color w:val="auto"/>
          <w:sz w:val="32"/>
          <w:szCs w:val="32"/>
          <w:highlight w:val="none"/>
        </w:rPr>
        <w:br w:type="page"/>
      </w:r>
      <w:bookmarkStart w:id="89" w:name="_Toc19348"/>
      <w:bookmarkStart w:id="90" w:name="_Toc25441"/>
      <w:r>
        <w:rPr>
          <w:rFonts w:hint="eastAsia" w:ascii="Times New Roman" w:hAnsi="Times New Roman" w:eastAsia="黑体"/>
          <w:b w:val="0"/>
          <w:color w:val="auto"/>
          <w:sz w:val="32"/>
          <w:szCs w:val="32"/>
          <w:highlight w:val="none"/>
        </w:rPr>
        <w:t>1. 总则</w:t>
      </w:r>
      <w:bookmarkEnd w:id="86"/>
      <w:bookmarkEnd w:id="89"/>
      <w:bookmarkEnd w:id="90"/>
    </w:p>
    <w:p w14:paraId="5C712125">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91" w:name="_Toc144974499"/>
      <w:bookmarkStart w:id="92" w:name="_Toc152042307"/>
      <w:bookmarkStart w:id="93" w:name="_Toc179632548"/>
      <w:bookmarkStart w:id="94" w:name="_Toc152045531"/>
      <w:r>
        <w:rPr>
          <w:rFonts w:hint="eastAsia" w:ascii="Times New Roman" w:hAnsi="Times New Roman"/>
          <w:snapToGrid w:val="0"/>
          <w:color w:val="auto"/>
          <w:sz w:val="24"/>
          <w:szCs w:val="24"/>
          <w:highlight w:val="none"/>
          <w:shd w:val="clear" w:color="auto" w:fill="FFFFFF"/>
          <w:lang w:val="zh-CN"/>
        </w:rPr>
        <w:t>1.1 项目概况</w:t>
      </w:r>
    </w:p>
    <w:p w14:paraId="6C10EDE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1.1.1 根据《中华人民共和国招标投标法》《中华人民共和国招标投标法实施条例》等有关法律、法规和规章的规定，本招标项目已具备招标条件，现对本招标项目进行招标。</w:t>
      </w:r>
    </w:p>
    <w:p w14:paraId="6C966DC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1.1.2 招标人：见招标公告。</w:t>
      </w:r>
    </w:p>
    <w:p w14:paraId="6F21C9A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1.1.3 招标代理机构：见招标公告。</w:t>
      </w:r>
    </w:p>
    <w:p w14:paraId="6BD4E30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1.1.4 招标项目名称：见招标公告。</w:t>
      </w:r>
    </w:p>
    <w:p w14:paraId="51B55E3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1.1.5 建设地点：见招标公告。</w:t>
      </w:r>
    </w:p>
    <w:p w14:paraId="036CA989">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1.2 资金来源和落实情况</w:t>
      </w:r>
    </w:p>
    <w:p w14:paraId="6C8E215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1.2.1 资金来源：见招标公告。</w:t>
      </w:r>
    </w:p>
    <w:p w14:paraId="44A9A42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1.2.2 出资比例：见招标公告。</w:t>
      </w:r>
    </w:p>
    <w:p w14:paraId="1F9AFB3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1.2.3 资金落实情况：见招标公告。</w:t>
      </w:r>
    </w:p>
    <w:p w14:paraId="6C2883FA">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1.3 招标范围、计划工期、质量标准</w:t>
      </w:r>
    </w:p>
    <w:p w14:paraId="6D78BA9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1.3.1 招标范围：见招标公告。</w:t>
      </w:r>
    </w:p>
    <w:p w14:paraId="5288358A">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1.3.2 计划工期：见投标人须知前附表。</w:t>
      </w:r>
    </w:p>
    <w:p w14:paraId="15C3A18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1.3.3 质量标准：见招标公告。</w:t>
      </w:r>
    </w:p>
    <w:p w14:paraId="26407AAF">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1.4 投标人资格要求</w:t>
      </w:r>
    </w:p>
    <w:p w14:paraId="63B4787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1.4.1 投标人应具备承担本标段施工的资质条件、能力和信誉。</w:t>
      </w:r>
    </w:p>
    <w:p w14:paraId="78D48C1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（1）资质条件：见投标人须知前附表；</w:t>
      </w:r>
    </w:p>
    <w:p w14:paraId="407E823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（2）财务要求：见投标人须知前附表；</w:t>
      </w:r>
    </w:p>
    <w:p w14:paraId="493BF9B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（3）业绩要求：见投标人须知前附表；</w:t>
      </w:r>
    </w:p>
    <w:p w14:paraId="01325E1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（4）信誉要求：见投标人须知前附表；</w:t>
      </w:r>
    </w:p>
    <w:p w14:paraId="612F486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（5）项目经理资格：见投标人须知前附表；</w:t>
      </w:r>
    </w:p>
    <w:p w14:paraId="1BDF4CE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（6）其他管理人员和技术人员要求：见投标人须知前附表；</w:t>
      </w:r>
    </w:p>
    <w:p w14:paraId="561A7FE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（7）其他要求：见投标人须知前附表。</w:t>
      </w:r>
    </w:p>
    <w:p w14:paraId="4AFB2D7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需要提交的相关证明材料见本章第3.5款的规定。</w:t>
      </w:r>
    </w:p>
    <w:p w14:paraId="097B266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1.4.2 投标人须知前附表规定接受联合体投标的，联合体除应符合本章第1.4.1项和投标人须知前附表的要求外，还应遵守以下规定：</w:t>
      </w:r>
    </w:p>
    <w:p w14:paraId="05DA433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（1）联合体各方应按照招标文件提供的格式签订联合体协议书，明确联合体牵头人和各方权利义务，并承诺就中标项目向招标人承担连带责任；</w:t>
      </w:r>
    </w:p>
    <w:p w14:paraId="26C163C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联合体协议约定同一专业分工由两个以上成员共同承担的，按照承担该专业工作的资质等级最低的成员确定联合体该专业的资质；不同专业分工由不同成员分别承担的，按照各自的专业资质确定联合体的资质；</w:t>
      </w:r>
    </w:p>
    <w:p w14:paraId="5EEEFB0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（3）联合体各方不得再以自己名义单独或参加其他联合体在同一标段中投标。</w:t>
      </w:r>
    </w:p>
    <w:p w14:paraId="729160A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被认为已代表了联合体各成员的真实情况；</w:t>
      </w:r>
    </w:p>
    <w:p w14:paraId="737F23F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（5）尽管委任了联合体牵头人，但联合体各成员在投标、签约与履行合同过程中，仍负有连带的和各自的法律责任。</w:t>
      </w:r>
    </w:p>
    <w:p w14:paraId="15E5AFB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1.4.3 投标人（包括联合体各成员）不得存在下列情形：</w:t>
      </w:r>
    </w:p>
    <w:p w14:paraId="3053D5B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（1）为招标人不具有独立法人资格的附属机构（单位）；</w:t>
      </w:r>
    </w:p>
    <w:p w14:paraId="29242AF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（2）与招标人存在利害关系且可能影响招标公正性；</w:t>
      </w:r>
    </w:p>
    <w:p w14:paraId="1CF389C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（3）与本标段其他投标人的单位负责人为同一人；</w:t>
      </w:r>
    </w:p>
    <w:p w14:paraId="14093A6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（4）与本标段的其他投标人存在控股、管理关系；</w:t>
      </w:r>
    </w:p>
    <w:p w14:paraId="45F64E5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（5）为本标段前期准备提供设计或咨询服务的法人或其任何附属机构（单位）；</w:t>
      </w:r>
    </w:p>
    <w:p w14:paraId="304DC3D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（6）为本标段的监理人或代建人或招标代理机构；</w:t>
      </w:r>
    </w:p>
    <w:p w14:paraId="62C0CA1A">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（7）与本标段的监理人或代建人或招标代理机构同为一个法定代表人；</w:t>
      </w:r>
    </w:p>
    <w:p w14:paraId="396084A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（8）与本标段的监理人或代建人或招标代理机构存在控股或参股关系；</w:t>
      </w:r>
    </w:p>
    <w:p w14:paraId="36CDA23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（9）被依法暂停或者取消投标资格，且在处罚期和处罚范围内（以有关行政管理部门的行政处罚决定或司法机关出具的有关法律文书为准）；</w:t>
      </w:r>
    </w:p>
    <w:p w14:paraId="063E239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10）在最近三年内（自投标截止之日向前追溯3年）有骗取中标或串通投标或严重违约或重大工程质量事故或重大生产安全事故的（以有关行政管理部门的行政处罚决定或司法机关出具的有关法律文书为准），前述行政处罚已完成信用修复的，但自行政处罚作出机关或信用修复主管部门同意修复之日起满一年的，不受三年期限限制；</w:t>
      </w:r>
    </w:p>
    <w:p w14:paraId="618CF27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（11）被责令停业，暂扣或吊销执照，或吊销资质证书；</w:t>
      </w:r>
    </w:p>
    <w:p w14:paraId="3ABCD4E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（12）进入清算程序，或被宣告破产，或其他丧失履约能力的情形；</w:t>
      </w:r>
    </w:p>
    <w:p w14:paraId="601F181A">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（13）投标人或其法定代表人、项目经理在近三年内（自投标截止之日向前追溯3年）有行贿犯罪行为；</w:t>
      </w:r>
    </w:p>
    <w:p w14:paraId="79B2CC6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（14）法律法规规定的其他禁止投标的情形；</w:t>
      </w:r>
    </w:p>
    <w:p w14:paraId="22AA9D5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（15）投标人须知前附表规定的其他情形。</w:t>
      </w:r>
    </w:p>
    <w:p w14:paraId="19A7B1F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1.4.4 投标人（包括联合体各成员）不得存在下列不良状况或不良信用记录：</w:t>
      </w:r>
    </w:p>
    <w:p w14:paraId="45B03E6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（1）在国家企业信用信息公示系统（http://www.gsxt.gov.cn/）中被列入严重违法失信企业名单；</w:t>
      </w:r>
    </w:p>
    <w:p w14:paraId="4DFD8D9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（2）在“信用中国”网站（http://www.creditchina.gov.cn/）中被列入失信被执行人名单；</w:t>
      </w:r>
    </w:p>
    <w:p w14:paraId="4C1AE44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（3）在“信用中国”网站（http://www.creditchina.gov.cn/）中被列入重大税收违法失信主体名单；</w:t>
      </w:r>
    </w:p>
    <w:p w14:paraId="432C46E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（4）在“信用中国”网站（http://www.creditchina.gov.cn/）中被列入拖欠农民工工资失信联合惩戒对象名单；</w:t>
      </w:r>
    </w:p>
    <w:p w14:paraId="60000914">
      <w:pPr>
        <w:spacing w:beforeLines="0" w:afterLines="0" w:line="360" w:lineRule="auto"/>
        <w:ind w:firstLine="480" w:firstLineChars="200"/>
        <w:rPr>
          <w:rFonts w:hint="eastAsia" w:ascii="Times New Roman"/>
          <w:color w:val="auto"/>
          <w:sz w:val="24"/>
          <w:szCs w:val="24"/>
          <w:highlight w:val="none"/>
          <w:lang w:val="zh-CN"/>
        </w:rPr>
      </w:pPr>
      <w:r>
        <w:rPr>
          <w:rFonts w:hint="eastAsia" w:ascii="Times New Roman"/>
          <w:color w:val="auto"/>
          <w:sz w:val="24"/>
          <w:szCs w:val="24"/>
          <w:highlight w:val="none"/>
        </w:rPr>
        <w:t>（5）投标人须知前附表规定的其他情形。</w:t>
      </w:r>
    </w:p>
    <w:bookmarkEnd w:id="91"/>
    <w:bookmarkEnd w:id="92"/>
    <w:bookmarkEnd w:id="93"/>
    <w:bookmarkEnd w:id="94"/>
    <w:p w14:paraId="58CE34BF">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95" w:name="_Toc152042311"/>
      <w:bookmarkStart w:id="96" w:name="_Toc152045535"/>
      <w:bookmarkStart w:id="97" w:name="_Toc144974503"/>
      <w:bookmarkStart w:id="98" w:name="_Toc179632552"/>
      <w:r>
        <w:rPr>
          <w:rFonts w:hint="eastAsia" w:ascii="Times New Roman" w:hAnsi="Times New Roman"/>
          <w:snapToGrid w:val="0"/>
          <w:color w:val="auto"/>
          <w:sz w:val="24"/>
          <w:szCs w:val="24"/>
          <w:highlight w:val="none"/>
          <w:shd w:val="clear" w:color="auto" w:fill="FFFFFF"/>
          <w:lang w:val="zh-CN"/>
        </w:rPr>
        <w:t>1.5 费用承担</w:t>
      </w:r>
      <w:bookmarkEnd w:id="95"/>
      <w:bookmarkEnd w:id="96"/>
      <w:bookmarkEnd w:id="97"/>
      <w:bookmarkEnd w:id="98"/>
    </w:p>
    <w:p w14:paraId="575E1A9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投标人准备和参加投标活动发生的费用自理。</w:t>
      </w:r>
    </w:p>
    <w:p w14:paraId="1E3EC79F">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99" w:name="_Toc179632553"/>
      <w:bookmarkStart w:id="100" w:name="_Toc152042312"/>
      <w:bookmarkStart w:id="101" w:name="_Toc144974504"/>
      <w:bookmarkStart w:id="102" w:name="_Toc152045536"/>
      <w:r>
        <w:rPr>
          <w:rFonts w:hint="eastAsia" w:ascii="Times New Roman" w:hAnsi="Times New Roman"/>
          <w:snapToGrid w:val="0"/>
          <w:color w:val="auto"/>
          <w:sz w:val="24"/>
          <w:szCs w:val="24"/>
          <w:highlight w:val="none"/>
          <w:shd w:val="clear" w:color="auto" w:fill="FFFFFF"/>
          <w:lang w:val="zh-CN"/>
        </w:rPr>
        <w:t>1.6 保密</w:t>
      </w:r>
      <w:bookmarkEnd w:id="99"/>
      <w:bookmarkEnd w:id="100"/>
      <w:bookmarkEnd w:id="101"/>
      <w:bookmarkEnd w:id="102"/>
    </w:p>
    <w:p w14:paraId="4C8802E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参与招标投标活动的各方应对招标文件和投标文件中的商业和技术等秘密保密，否则应承担相应的法律责任。</w:t>
      </w:r>
    </w:p>
    <w:p w14:paraId="32BF36E6">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03" w:name="_Toc144974505"/>
      <w:bookmarkStart w:id="104" w:name="_Toc179632554"/>
      <w:bookmarkStart w:id="105" w:name="_Toc152042313"/>
      <w:bookmarkStart w:id="106" w:name="_Toc152045537"/>
      <w:r>
        <w:rPr>
          <w:rFonts w:hint="eastAsia" w:ascii="Times New Roman" w:hAnsi="Times New Roman"/>
          <w:snapToGrid w:val="0"/>
          <w:color w:val="auto"/>
          <w:sz w:val="24"/>
          <w:szCs w:val="24"/>
          <w:highlight w:val="none"/>
          <w:shd w:val="clear" w:color="auto" w:fill="FFFFFF"/>
          <w:lang w:val="zh-CN"/>
        </w:rPr>
        <w:t>1.7 语言</w:t>
      </w:r>
      <w:bookmarkEnd w:id="103"/>
      <w:r>
        <w:rPr>
          <w:rFonts w:hint="eastAsia" w:ascii="Times New Roman" w:hAnsi="Times New Roman"/>
          <w:snapToGrid w:val="0"/>
          <w:color w:val="auto"/>
          <w:sz w:val="24"/>
          <w:szCs w:val="24"/>
          <w:highlight w:val="none"/>
          <w:shd w:val="clear" w:color="auto" w:fill="FFFFFF"/>
          <w:lang w:val="zh-CN"/>
        </w:rPr>
        <w:t>文字</w:t>
      </w:r>
      <w:bookmarkEnd w:id="104"/>
      <w:bookmarkEnd w:id="105"/>
      <w:bookmarkEnd w:id="106"/>
    </w:p>
    <w:p w14:paraId="7DBBB14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招标投标文件使用的语言文字为中文。专用术语使用外文的，应附有中文注释。</w:t>
      </w:r>
    </w:p>
    <w:p w14:paraId="16AA52B7">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07" w:name="_Toc144974506"/>
      <w:bookmarkStart w:id="108" w:name="_Toc152042314"/>
      <w:bookmarkStart w:id="109" w:name="_Toc152045538"/>
      <w:bookmarkStart w:id="110" w:name="_Toc179632555"/>
      <w:r>
        <w:rPr>
          <w:rFonts w:hint="eastAsia" w:ascii="Times New Roman" w:hAnsi="Times New Roman"/>
          <w:snapToGrid w:val="0"/>
          <w:color w:val="auto"/>
          <w:sz w:val="24"/>
          <w:szCs w:val="24"/>
          <w:highlight w:val="none"/>
          <w:shd w:val="clear" w:color="auto" w:fill="FFFFFF"/>
          <w:lang w:val="zh-CN"/>
        </w:rPr>
        <w:t>1.8 计量单位</w:t>
      </w:r>
      <w:bookmarkEnd w:id="107"/>
      <w:bookmarkEnd w:id="108"/>
      <w:bookmarkEnd w:id="109"/>
      <w:bookmarkEnd w:id="110"/>
    </w:p>
    <w:p w14:paraId="51F4994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所有计量均采用中华人民共和国法定计量单位。</w:t>
      </w:r>
    </w:p>
    <w:p w14:paraId="1EB2EA34">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11" w:name="_Toc152042315"/>
      <w:bookmarkStart w:id="112" w:name="_Toc179632556"/>
      <w:bookmarkStart w:id="113" w:name="_Toc152045539"/>
      <w:bookmarkStart w:id="114" w:name="_Toc144974507"/>
      <w:r>
        <w:rPr>
          <w:rFonts w:hint="eastAsia" w:ascii="Times New Roman" w:hAnsi="Times New Roman"/>
          <w:snapToGrid w:val="0"/>
          <w:color w:val="auto"/>
          <w:sz w:val="24"/>
          <w:szCs w:val="24"/>
          <w:highlight w:val="none"/>
          <w:shd w:val="clear" w:color="auto" w:fill="FFFFFF"/>
          <w:lang w:val="zh-CN"/>
        </w:rPr>
        <w:t>1.9 踏勘现场</w:t>
      </w:r>
      <w:bookmarkEnd w:id="111"/>
      <w:bookmarkEnd w:id="112"/>
      <w:bookmarkEnd w:id="113"/>
      <w:bookmarkEnd w:id="114"/>
    </w:p>
    <w:p w14:paraId="340EB12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1.9.1 投标人须知前附表规定组织踏勘现场的，招标人按投标人须知前附表规定的时间、地点组织投标人踏勘项目现场。部分投标人未按时参加踏勘现场的，不影响踏勘现场的正常进行。招标人不得组织单个或部分投标人踏勘项目现场。</w:t>
      </w:r>
    </w:p>
    <w:p w14:paraId="4C1D092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1.9.2 投标人踏勘现场发生的费用自理。</w:t>
      </w:r>
    </w:p>
    <w:p w14:paraId="6051ADD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1.9.3 除招标人的原因外，投标人自行负责在踏勘现场中所发生的人员伤亡和财产损失。</w:t>
      </w:r>
    </w:p>
    <w:p w14:paraId="759F68A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1.9.4 招标人在踏勘现场中介绍的工程场地和相关的周边环境情况，供投标人在编制投标文件时参考，招标人不对投标人据此作出的判断和决策负责。</w:t>
      </w:r>
    </w:p>
    <w:p w14:paraId="67B4224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1.9.5 无论投标人是否到施工现场实地踏勘，中标后签订合同时和履约过程中，投标人不得以不完全了解现场情况或现场情况与招标文件描述不一致等为由，提出任何形式的增加工程造价或索赔的要求。</w:t>
      </w:r>
    </w:p>
    <w:p w14:paraId="3E525F0C">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1.10 投标预备会</w:t>
      </w:r>
    </w:p>
    <w:p w14:paraId="67116C3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1.10.1 投标人须知前附表规定召开投标预备会的，招标人按照投标人须知前附表规定的时间和形式召开投标预备会，澄清投标人提出的问题。</w:t>
      </w:r>
    </w:p>
    <w:p w14:paraId="1F92650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1.10.2 投标人应按照投标人须知前附表规定的时间和形式将提出的问题送达招标人，以便招标人在会议期间澄清。</w:t>
      </w:r>
    </w:p>
    <w:p w14:paraId="02AB257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1.10.3 投标预备会后，招标人将对投标人所提问题的澄清，按照本章第2.2款规定的时间和形式通知所有获取招标文件的投标人。该澄清内容为招标文件的组成部分。</w:t>
      </w:r>
    </w:p>
    <w:p w14:paraId="7338431D">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15" w:name="_Toc152042317"/>
      <w:bookmarkStart w:id="116" w:name="_Toc152045541"/>
      <w:bookmarkStart w:id="117" w:name="_Toc179632558"/>
      <w:bookmarkStart w:id="118" w:name="_Toc144974509"/>
      <w:r>
        <w:rPr>
          <w:rFonts w:hint="eastAsia" w:ascii="Times New Roman" w:hAnsi="Times New Roman"/>
          <w:snapToGrid w:val="0"/>
          <w:color w:val="auto"/>
          <w:sz w:val="24"/>
          <w:szCs w:val="24"/>
          <w:highlight w:val="none"/>
          <w:shd w:val="clear" w:color="auto" w:fill="FFFFFF"/>
          <w:lang w:val="zh-CN"/>
        </w:rPr>
        <w:t>1.</w:t>
      </w:r>
      <w:r>
        <w:rPr>
          <w:rFonts w:hint="eastAsia" w:ascii="Times New Roman" w:hAnsi="Times New Roman"/>
          <w:snapToGrid w:val="0"/>
          <w:color w:val="auto"/>
          <w:sz w:val="24"/>
          <w:szCs w:val="24"/>
          <w:highlight w:val="none"/>
          <w:shd w:val="clear" w:color="auto" w:fill="FFFFFF"/>
        </w:rPr>
        <w:t>11</w:t>
      </w:r>
      <w:r>
        <w:rPr>
          <w:rFonts w:hint="eastAsia" w:ascii="Times New Roman" w:hAnsi="Times New Roman"/>
          <w:snapToGrid w:val="0"/>
          <w:color w:val="auto"/>
          <w:sz w:val="24"/>
          <w:szCs w:val="24"/>
          <w:highlight w:val="none"/>
          <w:shd w:val="clear" w:color="auto" w:fill="FFFFFF"/>
          <w:lang w:val="zh-CN"/>
        </w:rPr>
        <w:t xml:space="preserve"> 分包</w:t>
      </w:r>
      <w:bookmarkEnd w:id="115"/>
      <w:bookmarkEnd w:id="116"/>
      <w:bookmarkEnd w:id="117"/>
      <w:bookmarkEnd w:id="118"/>
    </w:p>
    <w:p w14:paraId="068BD57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1.11.1 投标人拟在中标后将中标项目的部分非主体、非关键性工作进行分包的，应符合以下规定：</w:t>
      </w:r>
    </w:p>
    <w:p w14:paraId="2388135A">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（1）分包内容要求：招标人允许分包或不允许分包的专业工程应在投标人须知前附表中载明；</w:t>
      </w:r>
    </w:p>
    <w:p w14:paraId="447C043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（2）接受分包的第三人资格要求：分包人的资格能力应与其分包工程的标准和规模相适应，且具备投标人须知前附表中规定的资格条件；</w:t>
      </w:r>
    </w:p>
    <w:p w14:paraId="6E9D2CE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（3）其他要求：投标人如有分包计划，应按第八章“投标文件格式”的要求填写“拟分包项目情况表”，明确拟分包的工程及规模，且投标人中标后的分包应满足合同条款的相关要求。</w:t>
      </w:r>
    </w:p>
    <w:p w14:paraId="4AA0F2B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1.11.2 中标人不得向他人转让中标项目，接受分包的人不得再次分包。中标人应就分包项目向招标人负责，接受分包的人就分包项目承担连带责任。</w:t>
      </w:r>
    </w:p>
    <w:p w14:paraId="74D76DCF">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19" w:name="_Toc179632559"/>
      <w:r>
        <w:rPr>
          <w:rFonts w:hint="eastAsia" w:ascii="Times New Roman" w:hAnsi="Times New Roman"/>
          <w:snapToGrid w:val="0"/>
          <w:color w:val="auto"/>
          <w:sz w:val="24"/>
          <w:szCs w:val="24"/>
          <w:highlight w:val="none"/>
          <w:shd w:val="clear" w:color="auto" w:fill="FFFFFF"/>
          <w:lang w:val="zh-CN"/>
        </w:rPr>
        <w:t>1.</w:t>
      </w:r>
      <w:r>
        <w:rPr>
          <w:rFonts w:hint="eastAsia" w:ascii="Times New Roman" w:hAnsi="Times New Roman"/>
          <w:snapToGrid w:val="0"/>
          <w:color w:val="auto"/>
          <w:sz w:val="24"/>
          <w:szCs w:val="24"/>
          <w:highlight w:val="none"/>
          <w:shd w:val="clear" w:color="auto" w:fill="FFFFFF"/>
        </w:rPr>
        <w:t>12</w:t>
      </w:r>
      <w:r>
        <w:rPr>
          <w:rFonts w:hint="eastAsia" w:ascii="Times New Roman" w:hAnsi="Times New Roman"/>
          <w:snapToGrid w:val="0"/>
          <w:color w:val="auto"/>
          <w:sz w:val="24"/>
          <w:szCs w:val="24"/>
          <w:highlight w:val="none"/>
          <w:shd w:val="clear" w:color="auto" w:fill="FFFFFF"/>
          <w:lang w:val="zh-CN"/>
        </w:rPr>
        <w:t xml:space="preserve"> 响应和</w:t>
      </w:r>
      <w:bookmarkEnd w:id="119"/>
      <w:r>
        <w:rPr>
          <w:rFonts w:hint="eastAsia" w:ascii="Times New Roman" w:hAnsi="Times New Roman"/>
          <w:snapToGrid w:val="0"/>
          <w:color w:val="auto"/>
          <w:sz w:val="24"/>
          <w:szCs w:val="24"/>
          <w:highlight w:val="none"/>
          <w:shd w:val="clear" w:color="auto" w:fill="FFFFFF"/>
        </w:rPr>
        <w:t>偏差</w:t>
      </w:r>
    </w:p>
    <w:p w14:paraId="1E58B98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1.12.1 投标文件偏离招标文件某些要求，视为投标文件存在偏差。偏差包括重大偏差和细微偏差。</w:t>
      </w:r>
    </w:p>
    <w:p w14:paraId="0573B6B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1.12.2 投标文件应对招标文件的实质性要求和条件作出满足性或更有利于招标人的响应，否则，视为投标文件存在重大偏差，投标人的投标将被否决。</w:t>
      </w:r>
    </w:p>
    <w:p w14:paraId="412A530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投标文件存在第三章“评标办法”中所列任一否决投标情形的，均属于存在重大偏差。</w:t>
      </w:r>
    </w:p>
    <w:p w14:paraId="67656AB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1.12.3 投标文件中的下列偏差为细微偏差：</w:t>
      </w:r>
    </w:p>
    <w:p w14:paraId="2C42992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在按照第三章“评标办法”的规定对投标价进行算术性错误修正及其他错误修正后，最终投标报价未超过最高投标限价（如有）或未被否决投标的情况下，出现第三章“评标办法”规定的算术性错误和投标报价的其他错误；</w:t>
      </w:r>
    </w:p>
    <w:p w14:paraId="02EFA7C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（2）投标文件个别文字有遗漏错误等不影响投标文件实质性内容的偏差。</w:t>
      </w:r>
    </w:p>
    <w:p w14:paraId="23F0605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1.12.4 评标委员会对投标文件中的细微偏差按照如下规定处理： </w:t>
      </w:r>
    </w:p>
    <w:p w14:paraId="173AA9D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（1）对于本章第1.12.3项（1）目所述的细微偏差，按照第三章“评标办法”的规定予以修正并要求投标人进行澄清；</w:t>
      </w:r>
    </w:p>
    <w:p w14:paraId="7E6751B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（2）对于本章第1.12.3项（2）目所述的细微偏差，可要求投标人对细微偏差进行澄清。</w:t>
      </w:r>
    </w:p>
    <w:p w14:paraId="42D7C035">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120" w:name="_Toc144974510"/>
      <w:bookmarkStart w:id="121" w:name="_Toc15465"/>
      <w:bookmarkStart w:id="122" w:name="_Toc5072"/>
      <w:bookmarkStart w:id="123" w:name="_Toc179632560"/>
      <w:bookmarkStart w:id="124" w:name="_Toc28866"/>
      <w:bookmarkStart w:id="125" w:name="_Toc38879325"/>
      <w:bookmarkStart w:id="126" w:name="_Toc152042318"/>
      <w:bookmarkStart w:id="127" w:name="_Toc152045542"/>
      <w:r>
        <w:rPr>
          <w:rFonts w:hint="eastAsia" w:ascii="Times New Roman" w:hAnsi="Times New Roman" w:eastAsia="黑体"/>
          <w:b w:val="0"/>
          <w:color w:val="auto"/>
          <w:sz w:val="32"/>
          <w:szCs w:val="32"/>
          <w:highlight w:val="none"/>
        </w:rPr>
        <w:t>2. 招标文件</w:t>
      </w:r>
      <w:bookmarkEnd w:id="120"/>
      <w:bookmarkEnd w:id="121"/>
      <w:bookmarkEnd w:id="122"/>
      <w:bookmarkEnd w:id="123"/>
      <w:bookmarkEnd w:id="124"/>
      <w:bookmarkEnd w:id="125"/>
      <w:bookmarkEnd w:id="126"/>
      <w:bookmarkEnd w:id="127"/>
    </w:p>
    <w:p w14:paraId="15D193B2">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28" w:name="_Toc144974511"/>
      <w:bookmarkStart w:id="129" w:name="_Toc152042319"/>
      <w:bookmarkStart w:id="130" w:name="_Toc152045543"/>
      <w:bookmarkStart w:id="131" w:name="_Toc179632561"/>
      <w:r>
        <w:rPr>
          <w:rFonts w:hint="eastAsia" w:ascii="Times New Roman" w:hAnsi="Times New Roman"/>
          <w:snapToGrid w:val="0"/>
          <w:color w:val="auto"/>
          <w:sz w:val="24"/>
          <w:szCs w:val="24"/>
          <w:highlight w:val="none"/>
          <w:shd w:val="clear" w:color="auto" w:fill="FFFFFF"/>
          <w:lang w:val="zh-CN"/>
        </w:rPr>
        <w:t>2.1 招标文件的组成</w:t>
      </w:r>
      <w:bookmarkEnd w:id="128"/>
      <w:bookmarkEnd w:id="129"/>
      <w:bookmarkEnd w:id="130"/>
      <w:bookmarkEnd w:id="131"/>
    </w:p>
    <w:p w14:paraId="1878B81E">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本招标文件包括：</w:t>
      </w:r>
    </w:p>
    <w:p w14:paraId="68A4C4E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（1）招标公告；</w:t>
      </w:r>
    </w:p>
    <w:p w14:paraId="67FE635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（2）投标人须知；</w:t>
      </w:r>
    </w:p>
    <w:p w14:paraId="359D9B3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（3）评标办法；</w:t>
      </w:r>
    </w:p>
    <w:p w14:paraId="3FA1531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（4）合同条款及格式；</w:t>
      </w:r>
    </w:p>
    <w:p w14:paraId="4EF392E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（5）工程量清单；</w:t>
      </w:r>
    </w:p>
    <w:p w14:paraId="7C0A009D">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（6）图纸</w:t>
      </w:r>
    </w:p>
    <w:p w14:paraId="6E3C0AE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（7）技术标准和要求</w:t>
      </w:r>
    </w:p>
    <w:p w14:paraId="55BFCA6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（8）投标文件格式；</w:t>
      </w:r>
    </w:p>
    <w:p w14:paraId="56AA36D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（9）投标人须知前附表规定的其他材料。</w:t>
      </w:r>
    </w:p>
    <w:p w14:paraId="071198A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根据本章第1.10款、第2.2款和第2.3款对招标文件所作的澄清、修改，构成招标文件的组成部分。</w:t>
      </w:r>
    </w:p>
    <w:p w14:paraId="6977820E">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当招标文件、招标文件的澄清或修改等在同一内容的表述上不一致时，以最后发出的文件为准。</w:t>
      </w:r>
    </w:p>
    <w:p w14:paraId="0FFAEBAA">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32" w:name="_Toc152042320"/>
      <w:bookmarkStart w:id="133" w:name="_Toc179632562"/>
      <w:bookmarkStart w:id="134" w:name="_Toc152045544"/>
      <w:bookmarkStart w:id="135" w:name="_Toc144974512"/>
      <w:r>
        <w:rPr>
          <w:rFonts w:hint="eastAsia" w:ascii="Times New Roman" w:hAnsi="Times New Roman"/>
          <w:snapToGrid w:val="0"/>
          <w:color w:val="auto"/>
          <w:sz w:val="24"/>
          <w:szCs w:val="24"/>
          <w:highlight w:val="none"/>
          <w:shd w:val="clear" w:color="auto" w:fill="FFFFFF"/>
          <w:lang w:val="zh-CN"/>
        </w:rPr>
        <w:t>2.2 招标文件的澄清</w:t>
      </w:r>
      <w:bookmarkEnd w:id="132"/>
      <w:bookmarkEnd w:id="133"/>
      <w:bookmarkEnd w:id="134"/>
      <w:bookmarkEnd w:id="135"/>
    </w:p>
    <w:p w14:paraId="0828569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2.2.1 投标人应仔细阅读和检查招标文件的全部内容。如有疑问，应按照投标人须知前附表规定的时间和形式向招标人发出对招标文件进行澄清的要求。</w:t>
      </w:r>
    </w:p>
    <w:p w14:paraId="7028668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2.2.2 招标人对招标文件进行澄清的，以投标人须知前附表规定的形式向所有获取招标文件的投标人发出澄清文件，澄清文件一经发出则视为送达所有获取招标文件的投标人。因投标人未及时查阅上述澄清文件而导致的后果由投标人自行承担。</w:t>
      </w:r>
    </w:p>
    <w:p w14:paraId="7752141E">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2.2.3 澄清文件发出的时间距投标截止时间不足15日的，并且澄清内容可能影响投标文件编制的，招标人将相应顺延投标截止时间。</w:t>
      </w:r>
    </w:p>
    <w:p w14:paraId="6E7C30F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2.2.4 除非招标人认为确有必要答复，否则，招标人有权拒绝回复投标人在本章第2.2.1项规定的时间后提出的任何澄清要求。</w:t>
      </w:r>
    </w:p>
    <w:p w14:paraId="0C84624E">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36" w:name="_Toc144974513"/>
      <w:bookmarkStart w:id="137" w:name="_Toc152045545"/>
      <w:bookmarkStart w:id="138" w:name="_Toc152042321"/>
      <w:bookmarkStart w:id="139" w:name="_Toc179632563"/>
      <w:r>
        <w:rPr>
          <w:rFonts w:hint="eastAsia" w:ascii="Times New Roman" w:hAnsi="Times New Roman"/>
          <w:snapToGrid w:val="0"/>
          <w:color w:val="auto"/>
          <w:sz w:val="24"/>
          <w:szCs w:val="24"/>
          <w:highlight w:val="none"/>
          <w:shd w:val="clear" w:color="auto" w:fill="FFFFFF"/>
          <w:lang w:val="zh-CN"/>
        </w:rPr>
        <w:t>2.3 招标文件的修改</w:t>
      </w:r>
      <w:bookmarkEnd w:id="136"/>
      <w:bookmarkEnd w:id="137"/>
      <w:bookmarkEnd w:id="138"/>
      <w:bookmarkEnd w:id="139"/>
    </w:p>
    <w:p w14:paraId="50A7BEB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2.3.1 招标人对招标文件进行修改的，以投标人须知前附表规定的形式向所有获取招标文件的投标人发出修改文件，修改文件一经发出则视为送达所有获取招标文件的投标人。因投标人未及时查阅上述修改文件而导致的后果由投标人自行承担。</w:t>
      </w:r>
    </w:p>
    <w:p w14:paraId="44C9908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2.3.2 修改文件发出的时间距投标截止时间不足15日的，并且修改内容可能影响投标文件编制的，招标人将相应顺延投标截止时间。</w:t>
      </w:r>
    </w:p>
    <w:p w14:paraId="55B25A1B">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2.4 招标文件的异议</w:t>
      </w:r>
    </w:p>
    <w:p w14:paraId="3CFD082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投标人或者其他利害关系人对招标文件有异议的，应在投标截止时间10日前通过电子交易系统在线提出或以其他书面形式提出。招标人将在收到异议之日起3日内作出答复；作出答复前，将暂停招标投标活动。</w:t>
      </w:r>
    </w:p>
    <w:p w14:paraId="56B9608D">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140" w:name="_Toc10192"/>
      <w:bookmarkStart w:id="141" w:name="_Toc179632564"/>
      <w:bookmarkStart w:id="142" w:name="_Toc152045546"/>
      <w:bookmarkStart w:id="143" w:name="_Toc8007"/>
      <w:bookmarkStart w:id="144" w:name="_Toc38879326"/>
      <w:bookmarkStart w:id="145" w:name="_Toc152042322"/>
      <w:bookmarkStart w:id="146" w:name="_Toc31804"/>
      <w:bookmarkStart w:id="147" w:name="_Toc144974514"/>
      <w:r>
        <w:rPr>
          <w:rFonts w:hint="eastAsia" w:ascii="Times New Roman" w:hAnsi="Times New Roman" w:eastAsia="黑体"/>
          <w:b w:val="0"/>
          <w:color w:val="auto"/>
          <w:sz w:val="32"/>
          <w:szCs w:val="32"/>
          <w:highlight w:val="none"/>
        </w:rPr>
        <w:t>3. 投标文件</w:t>
      </w:r>
      <w:bookmarkEnd w:id="140"/>
      <w:bookmarkEnd w:id="141"/>
      <w:bookmarkEnd w:id="142"/>
      <w:bookmarkEnd w:id="143"/>
      <w:bookmarkEnd w:id="144"/>
      <w:bookmarkEnd w:id="145"/>
      <w:bookmarkEnd w:id="146"/>
      <w:bookmarkEnd w:id="147"/>
    </w:p>
    <w:p w14:paraId="6D2C735D">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48" w:name="_Toc144974515"/>
      <w:bookmarkStart w:id="149" w:name="_Toc179632565"/>
      <w:bookmarkStart w:id="150" w:name="_Toc152042323"/>
      <w:bookmarkStart w:id="151" w:name="_Toc152045547"/>
      <w:r>
        <w:rPr>
          <w:rFonts w:hint="eastAsia" w:ascii="Times New Roman" w:hAnsi="Times New Roman"/>
          <w:snapToGrid w:val="0"/>
          <w:color w:val="auto"/>
          <w:sz w:val="24"/>
          <w:szCs w:val="24"/>
          <w:highlight w:val="none"/>
          <w:shd w:val="clear" w:color="auto" w:fill="FFFFFF"/>
          <w:lang w:val="zh-CN"/>
        </w:rPr>
        <w:t>3.1 投标文件的组成</w:t>
      </w:r>
      <w:bookmarkEnd w:id="148"/>
      <w:bookmarkEnd w:id="149"/>
      <w:bookmarkEnd w:id="150"/>
      <w:bookmarkEnd w:id="151"/>
    </w:p>
    <w:p w14:paraId="1D1BC00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3.1.1 投标文件应包括下列内容：</w:t>
      </w:r>
    </w:p>
    <w:p w14:paraId="7E277C0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（1）商务文件</w:t>
      </w:r>
    </w:p>
    <w:p w14:paraId="0896856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（2）技术文件</w:t>
      </w:r>
    </w:p>
    <w:p w14:paraId="6662A59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（3）报价文件</w:t>
      </w:r>
    </w:p>
    <w:p w14:paraId="0DB6FB8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3.1.2 投标人在评标过程中作出的符合法律法规和招标文件规定的澄清、说明和确认，构成投标文件的组成部分。</w:t>
      </w:r>
    </w:p>
    <w:p w14:paraId="547B2271">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52" w:name="_Toc179632566"/>
      <w:bookmarkStart w:id="153" w:name="_Toc144974516"/>
      <w:bookmarkStart w:id="154" w:name="_Toc152045548"/>
      <w:bookmarkStart w:id="155" w:name="_Toc152042324"/>
      <w:r>
        <w:rPr>
          <w:rFonts w:hint="eastAsia" w:ascii="Times New Roman" w:hAnsi="Times New Roman"/>
          <w:snapToGrid w:val="0"/>
          <w:color w:val="auto"/>
          <w:sz w:val="24"/>
          <w:szCs w:val="24"/>
          <w:highlight w:val="none"/>
          <w:shd w:val="clear" w:color="auto" w:fill="FFFFFF"/>
          <w:lang w:val="zh-CN"/>
        </w:rPr>
        <w:t>3.2 投标报价</w:t>
      </w:r>
      <w:bookmarkEnd w:id="152"/>
      <w:bookmarkEnd w:id="153"/>
      <w:bookmarkEnd w:id="154"/>
      <w:bookmarkEnd w:id="155"/>
    </w:p>
    <w:p w14:paraId="286868A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3.2.1 投标报价应包括国家规定的增值税税金，除投标人须知前附表另有规定外，增值税税金按照一般计税方法计算。投标人应按照第八章“投标文件格式”的要求在报价文件投标函中进行报价，并填写工程量清单相应表格。</w:t>
      </w:r>
    </w:p>
    <w:p w14:paraId="68D2162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3.2.2 投标人应充分了解本项目的总体情况以及影响投标报价的其他要素。</w:t>
      </w:r>
    </w:p>
    <w:p w14:paraId="1CAA17E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3.2.3 投标人在投标截止时间前修改报价文件投标函中的投标总报价，应同时修改投标文件“已标价工程量清单”中的相应报价。此修改须符合本章第4.3款的有关要求。</w:t>
      </w:r>
    </w:p>
    <w:p w14:paraId="606ECD2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3.2.4 招标人设有最高投标限价的，投标人的投标报价不得超过最高投标限价，最高投标限价在投标人须知前附表中载明。</w:t>
      </w:r>
    </w:p>
    <w:p w14:paraId="2E6D6DA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3.2.5 投标报价的其他要求见投标人须知前附表。</w:t>
      </w:r>
    </w:p>
    <w:p w14:paraId="7A4DBA4B">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56" w:name="_Toc152045549"/>
      <w:bookmarkStart w:id="157" w:name="_Toc152042325"/>
      <w:bookmarkStart w:id="158" w:name="_Toc144974517"/>
      <w:bookmarkStart w:id="159" w:name="_Toc179632567"/>
      <w:r>
        <w:rPr>
          <w:rFonts w:hint="eastAsia" w:ascii="Times New Roman" w:hAnsi="Times New Roman"/>
          <w:snapToGrid w:val="0"/>
          <w:color w:val="auto"/>
          <w:sz w:val="24"/>
          <w:szCs w:val="24"/>
          <w:highlight w:val="none"/>
          <w:shd w:val="clear" w:color="auto" w:fill="FFFFFF"/>
          <w:lang w:val="zh-CN"/>
        </w:rPr>
        <w:t>3.3 投标有效期</w:t>
      </w:r>
      <w:bookmarkEnd w:id="156"/>
      <w:bookmarkEnd w:id="157"/>
      <w:bookmarkEnd w:id="158"/>
      <w:bookmarkEnd w:id="159"/>
    </w:p>
    <w:p w14:paraId="27D9864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3.3.1 除投标人须知前附表另有规定外，投标有效期为120日。</w:t>
      </w:r>
    </w:p>
    <w:p w14:paraId="1A45812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3.3.2 在投标有效期内，投标人撤销投标文件的，应承担招标文件和法律规定的责任。</w:t>
      </w:r>
    </w:p>
    <w:p w14:paraId="5B9C18FA">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7F580738">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60" w:name="_Toc152045550"/>
      <w:bookmarkStart w:id="161" w:name="_Toc179632568"/>
      <w:bookmarkStart w:id="162" w:name="_Toc144974518"/>
      <w:bookmarkStart w:id="163" w:name="_Toc152042326"/>
      <w:r>
        <w:rPr>
          <w:rFonts w:hint="eastAsia" w:ascii="Times New Roman" w:hAnsi="Times New Roman"/>
          <w:snapToGrid w:val="0"/>
          <w:color w:val="auto"/>
          <w:sz w:val="24"/>
          <w:szCs w:val="24"/>
          <w:highlight w:val="none"/>
          <w:shd w:val="clear" w:color="auto" w:fill="FFFFFF"/>
          <w:lang w:val="zh-CN"/>
        </w:rPr>
        <w:t>3.4 投标保证金</w:t>
      </w:r>
      <w:bookmarkEnd w:id="160"/>
      <w:bookmarkEnd w:id="161"/>
      <w:bookmarkEnd w:id="162"/>
      <w:bookmarkEnd w:id="163"/>
    </w:p>
    <w:p w14:paraId="4345715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3.4.1 招标人在投标人须知前附表中要求投标人提交投标保证金的，投标人在递交投标文件的同时，应按照投标人须知前附表规定的金额、形式和第八章“投标文件格式”规定的投标保证金格式提交投标保证金，并作为其投标文件的组成部分。</w:t>
      </w:r>
    </w:p>
    <w:p w14:paraId="6F8755C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境内投标人以现金（银行转账、银行电汇）形式提交的投标保证金应当从其基本存款账户转出。联合体投标的，其投标保证金由牵头人递交，并应符合投标人须知前附表的规定。</w:t>
      </w:r>
    </w:p>
    <w:p w14:paraId="356CE65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无论采取何种形式的投标保证金，投标保证金有效期均应与投标有效期一致。招标人如果按照本章第3.3.3项的规定延长了投标有效期，则投标保证金的有效期也相应延长。</w:t>
      </w:r>
    </w:p>
    <w:p w14:paraId="5F334FC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3.4.2 投标人不按照本章第3.4.1项要求提交投标保证金的，评标委员会将否决其投标。</w:t>
      </w:r>
    </w:p>
    <w:p w14:paraId="163A200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3.4.3 除投标人须知前附表另有规定外，招标人最迟将在中标通知书发出后5日内向中标候选人以外的其他投标人退还投标保证金，与中标人签订合同后5日内向中标人和其他中标候选人退还投标保证金。投标保证金以现金（银行转账、银行电汇）形式提交的，招标人应同时退还投标保证金的银行同期活期存款利息，且退还至投标人的基本存款账户。其他形式的投标保证金，在投标有效期届满时自动失效的，无需退还。</w:t>
      </w:r>
    </w:p>
    <w:p w14:paraId="5AD4472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3.4.4 有下列情形之一的，投标保证金将不予退还：</w:t>
      </w:r>
    </w:p>
    <w:p w14:paraId="56C1502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（1）投标人在规定的投标有效期内撤销其投标文件；</w:t>
      </w:r>
    </w:p>
    <w:p w14:paraId="454A37C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（2）中标人在收到中标通知书后，无正当理由不与招标人订立合同，或在签订合同时向招标人提出附加条件，或不按照招标文件要求提交履约保证金；</w:t>
      </w:r>
    </w:p>
    <w:p w14:paraId="34B4209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（3）发生投标人须知前附表规定的其他不予退还投标保证金的情形。</w:t>
      </w:r>
      <w:bookmarkStart w:id="164" w:name="_Toc152045552"/>
      <w:bookmarkStart w:id="165" w:name="_Toc179632570"/>
      <w:bookmarkStart w:id="166" w:name="_Toc152042328"/>
      <w:bookmarkStart w:id="167" w:name="_Toc144974520"/>
    </w:p>
    <w:p w14:paraId="2CBCD833">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3.5</w:t>
      </w:r>
      <w:r>
        <w:rPr>
          <w:rFonts w:hint="eastAsia" w:ascii="Times New Roman" w:hAnsi="Times New Roman" w:eastAsia="Times New Roman"/>
          <w:snapToGrid w:val="0"/>
          <w:color w:val="auto"/>
          <w:sz w:val="24"/>
          <w:szCs w:val="24"/>
          <w:highlight w:val="none"/>
          <w:shd w:val="clear" w:color="auto" w:fill="FFFFFF"/>
          <w:lang w:val="zh-CN"/>
        </w:rPr>
        <w:t xml:space="preserve"> </w:t>
      </w:r>
      <w:r>
        <w:rPr>
          <w:rFonts w:hint="eastAsia" w:ascii="Times New Roman" w:hAnsi="Times New Roman"/>
          <w:snapToGrid w:val="0"/>
          <w:color w:val="auto"/>
          <w:sz w:val="24"/>
          <w:szCs w:val="24"/>
          <w:highlight w:val="none"/>
          <w:shd w:val="clear" w:color="auto" w:fill="FFFFFF"/>
          <w:lang w:val="zh-CN"/>
        </w:rPr>
        <w:t>资格审查资料</w:t>
      </w:r>
    </w:p>
    <w:bookmarkEnd w:id="164"/>
    <w:bookmarkEnd w:id="165"/>
    <w:bookmarkEnd w:id="166"/>
    <w:bookmarkEnd w:id="167"/>
    <w:p w14:paraId="0021B72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3.5.1 投标人应按照投标人须知前附表附录要求提供资格审查资料，内容及格式见第八章“投标文件格式”要求。</w:t>
      </w:r>
    </w:p>
    <w:p w14:paraId="653FCFB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3.5.2 投标人须知前附表规定接受联合体投标的，资格审查资料应包括联合体各方相关情况。</w:t>
      </w:r>
    </w:p>
    <w:p w14:paraId="7BE62C7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3.5.3 招标人有权核查投标人在投标文件中提供的材料，若在评标期间发现投标人提供了虚假材料，其投标将被否决；若在签订合同前发现中标候选人、中标人提供了虚假材料，招标人有权取消其中标候选资格、中标资格。同时招标人将报公共资源交易监督管理部门。</w:t>
      </w:r>
    </w:p>
    <w:p w14:paraId="4C30F10C">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3.6 备选投标方案</w:t>
      </w:r>
    </w:p>
    <w:p w14:paraId="0D0F036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3.6.1 除投标人须知前附表规定允许外，投标人不得递交备选投标方案，否则其投标将被否决。</w:t>
      </w:r>
    </w:p>
    <w:p w14:paraId="03D109D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07F2FF4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3.6.3 投标人提供两个或两个以上投标报价，或在投标文件中提供一个报价，但同时提供两个或两个以上施工组织设计的，视为提供备选方案。</w:t>
      </w:r>
    </w:p>
    <w:p w14:paraId="09E143DF">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68" w:name="_Toc152045554"/>
      <w:bookmarkStart w:id="169" w:name="_Toc152042330"/>
      <w:bookmarkStart w:id="170" w:name="_Toc144974522"/>
      <w:bookmarkStart w:id="171" w:name="_Toc179632572"/>
      <w:r>
        <w:rPr>
          <w:rFonts w:hint="eastAsia" w:ascii="Times New Roman" w:hAnsi="Times New Roman"/>
          <w:snapToGrid w:val="0"/>
          <w:color w:val="auto"/>
          <w:sz w:val="24"/>
          <w:szCs w:val="24"/>
          <w:highlight w:val="none"/>
          <w:shd w:val="clear" w:color="auto" w:fill="FFFFFF"/>
          <w:lang w:val="zh-CN"/>
        </w:rPr>
        <w:t>3.</w:t>
      </w:r>
      <w:r>
        <w:rPr>
          <w:rFonts w:hint="eastAsia" w:ascii="Times New Roman" w:hAnsi="Times New Roman"/>
          <w:snapToGrid w:val="0"/>
          <w:color w:val="auto"/>
          <w:sz w:val="24"/>
          <w:szCs w:val="24"/>
          <w:highlight w:val="none"/>
          <w:shd w:val="clear" w:color="auto" w:fill="FFFFFF"/>
        </w:rPr>
        <w:t>7</w:t>
      </w:r>
      <w:r>
        <w:rPr>
          <w:rFonts w:hint="eastAsia" w:ascii="Times New Roman" w:hAnsi="Times New Roman"/>
          <w:snapToGrid w:val="0"/>
          <w:color w:val="auto"/>
          <w:sz w:val="24"/>
          <w:szCs w:val="24"/>
          <w:highlight w:val="none"/>
          <w:shd w:val="clear" w:color="auto" w:fill="FFFFFF"/>
          <w:lang w:val="zh-CN"/>
        </w:rPr>
        <w:t xml:space="preserve"> 投标文件的编制</w:t>
      </w:r>
      <w:bookmarkEnd w:id="168"/>
      <w:bookmarkEnd w:id="169"/>
      <w:bookmarkEnd w:id="170"/>
      <w:bookmarkEnd w:id="171"/>
    </w:p>
    <w:p w14:paraId="6DE8F55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3.7.1 投标文件应按照第八章“投标文件格式”进行编写，如有必要，可以增加附页，作为投标文件的组成部分。投标函在满足招标文件实质性要求的基础上，可以提出比招标文件要求更有利于招标人的承诺。</w:t>
      </w:r>
    </w:p>
    <w:p w14:paraId="46CC8F3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3.7.2 投标文件应当对招标文件有关工期、投标有效期、质量标准、技术标准和要求、招标范围等实质性内容作出响应。</w:t>
      </w:r>
    </w:p>
    <w:p w14:paraId="11F8059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3.7.3 投标文件的制作应满足以下规定：</w:t>
      </w:r>
    </w:p>
    <w:p w14:paraId="717FFFD0">
      <w:pPr>
        <w:spacing w:beforeLines="0" w:afterLines="0" w:line="360" w:lineRule="auto"/>
        <w:ind w:firstLine="480" w:firstLineChars="200"/>
        <w:rPr>
          <w:rFonts w:hint="eastAsia" w:ascii="Times New Roman"/>
          <w:color w:val="auto"/>
          <w:sz w:val="24"/>
          <w:szCs w:val="24"/>
          <w:highlight w:val="none"/>
        </w:rPr>
      </w:pPr>
      <w:bookmarkStart w:id="172" w:name="_Toc152045555"/>
      <w:bookmarkStart w:id="173" w:name="_Toc38879327"/>
      <w:bookmarkStart w:id="174" w:name="_Toc144974523"/>
      <w:bookmarkStart w:id="175" w:name="_Toc179632573"/>
      <w:bookmarkStart w:id="176" w:name="_Toc152042331"/>
      <w:r>
        <w:rPr>
          <w:rFonts w:hint="eastAsia" w:ascii="Times New Roman"/>
          <w:color w:val="auto"/>
          <w:sz w:val="24"/>
          <w:szCs w:val="24"/>
          <w:highlight w:val="none"/>
        </w:rPr>
        <w:t>（1）投标文件由投标人使用电子交易系统提供的“投标文件制作工具”制作生成。“投标文件制作工具”可以通过电子交易系统下载。</w:t>
      </w:r>
    </w:p>
    <w:p w14:paraId="61E2B5B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在第八章“投标文件格式”中要求盖单位章和（或）签字处，投标人应加盖投标人单位电子印章和（或）法定代表人的个人电子印章/电子签名章。联合体投标的，除联合体协议书外，投标文件由联合体牵头人按照上述规定加盖联合体牵头人单位电子印章和（或）法定代表人的个人电子印章/电子签名章。</w:t>
      </w:r>
    </w:p>
    <w:p w14:paraId="2827C7F4">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3）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14:paraId="08E48ED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（4）投标文件中的证明材料接受扫描件（包括电子证照等电子件）形式。</w:t>
      </w:r>
    </w:p>
    <w:p w14:paraId="35F8B43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5</w:t>
      </w:r>
      <w:r>
        <w:rPr>
          <w:rFonts w:hint="eastAsia" w:ascii="Times New Roman"/>
          <w:color w:val="auto"/>
          <w:sz w:val="24"/>
          <w:szCs w:val="24"/>
          <w:highlight w:val="none"/>
        </w:rPr>
        <w:t>）投标文件制作的具体方法见“投标文件制作工具”中的帮助文档。</w:t>
      </w:r>
    </w:p>
    <w:p w14:paraId="1EA5426A">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3.7.4 “投标文件制作工具”生成加密投标文件时，同时生成非加密投标文件，作为加密投标文件无法解密、导入时的补救措施。非加密投标文件递交要求见投标人须知前附表。</w:t>
      </w:r>
    </w:p>
    <w:p w14:paraId="28E028D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3.7.5 因投标人自身原因而导致投标文件（指解密后的投标文件或启用补救措施下的非加密投标文件）无法导入电子交易系统电子开标、评标系统，该投标视为无效投标，投标人自行承担由此导致的全部责任。</w:t>
      </w:r>
    </w:p>
    <w:p w14:paraId="532C7D05">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177" w:name="_Toc29307"/>
      <w:bookmarkStart w:id="178" w:name="_Toc14000"/>
      <w:bookmarkStart w:id="179" w:name="_Toc28777"/>
      <w:r>
        <w:rPr>
          <w:rFonts w:hint="eastAsia" w:ascii="Times New Roman" w:hAnsi="Times New Roman" w:eastAsia="黑体"/>
          <w:b w:val="0"/>
          <w:color w:val="auto"/>
          <w:sz w:val="32"/>
          <w:szCs w:val="32"/>
          <w:highlight w:val="none"/>
        </w:rPr>
        <w:t>4. 投标</w:t>
      </w:r>
      <w:bookmarkEnd w:id="172"/>
      <w:bookmarkEnd w:id="173"/>
      <w:bookmarkEnd w:id="174"/>
      <w:bookmarkEnd w:id="175"/>
      <w:bookmarkEnd w:id="176"/>
      <w:bookmarkEnd w:id="177"/>
      <w:bookmarkEnd w:id="178"/>
      <w:bookmarkEnd w:id="179"/>
    </w:p>
    <w:p w14:paraId="39143299">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80" w:name="_Toc152042332"/>
      <w:bookmarkStart w:id="181" w:name="_Toc179632574"/>
      <w:bookmarkStart w:id="182" w:name="_Toc144974524"/>
      <w:bookmarkStart w:id="183" w:name="_Toc152045556"/>
      <w:r>
        <w:rPr>
          <w:rFonts w:hint="eastAsia" w:ascii="Times New Roman" w:hAnsi="Times New Roman"/>
          <w:snapToGrid w:val="0"/>
          <w:color w:val="auto"/>
          <w:sz w:val="24"/>
          <w:szCs w:val="24"/>
          <w:highlight w:val="none"/>
          <w:shd w:val="clear" w:color="auto" w:fill="FFFFFF"/>
          <w:lang w:val="zh-CN"/>
        </w:rPr>
        <w:t>4.1 投标文件的加密（密封）和标记</w:t>
      </w:r>
      <w:bookmarkEnd w:id="180"/>
      <w:bookmarkEnd w:id="181"/>
      <w:bookmarkEnd w:id="182"/>
      <w:bookmarkEnd w:id="183"/>
    </w:p>
    <w:p w14:paraId="05D152D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4.1.1 投标文件应按照本章第3.7.3项要求制作并加密，未按照要求加密的投标文件将被拒绝接收。</w:t>
      </w:r>
    </w:p>
    <w:p w14:paraId="2F43DDD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4.1.2 非加密投标文件密封和标记要求见投标人须知前附表。非加密投标文件应在封口处加盖投标人单位章或由投标人的法定代表人或其授权的代理人签字，未按照规定封装或加写标记，招标人将不承担投标文件未被开启或提前开启的责任。</w:t>
      </w:r>
    </w:p>
    <w:p w14:paraId="7FF0633C">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184" w:name="_Toc152045557"/>
      <w:bookmarkStart w:id="185" w:name="_Toc179632575"/>
      <w:bookmarkStart w:id="186" w:name="_Toc144974525"/>
      <w:bookmarkStart w:id="187" w:name="_Toc152042333"/>
      <w:r>
        <w:rPr>
          <w:rFonts w:hint="eastAsia" w:ascii="Times New Roman" w:hAnsi="Times New Roman"/>
          <w:snapToGrid w:val="0"/>
          <w:color w:val="auto"/>
          <w:sz w:val="24"/>
          <w:szCs w:val="24"/>
          <w:highlight w:val="none"/>
          <w:shd w:val="clear" w:color="auto" w:fill="FFFFFF"/>
          <w:lang w:val="zh-CN"/>
        </w:rPr>
        <w:t>4.2 投标文件的递交</w:t>
      </w:r>
      <w:bookmarkEnd w:id="184"/>
      <w:bookmarkEnd w:id="185"/>
      <w:bookmarkEnd w:id="186"/>
      <w:bookmarkEnd w:id="187"/>
    </w:p>
    <w:p w14:paraId="6E285BFE">
      <w:pPr>
        <w:spacing w:beforeLines="0" w:afterLines="0" w:line="360" w:lineRule="auto"/>
        <w:ind w:firstLine="480" w:firstLineChars="200"/>
        <w:rPr>
          <w:rFonts w:hint="eastAsia" w:ascii="Times New Roman"/>
          <w:color w:val="auto"/>
          <w:sz w:val="24"/>
          <w:szCs w:val="24"/>
          <w:highlight w:val="none"/>
        </w:rPr>
      </w:pPr>
      <w:bookmarkStart w:id="188" w:name="_Toc179632576"/>
      <w:bookmarkStart w:id="189" w:name="_Toc144974526"/>
      <w:bookmarkStart w:id="190" w:name="_Toc152045558"/>
      <w:bookmarkStart w:id="191" w:name="_Toc152042334"/>
      <w:r>
        <w:rPr>
          <w:rFonts w:hint="eastAsia" w:ascii="Times New Roman"/>
          <w:color w:val="auto"/>
          <w:sz w:val="24"/>
          <w:szCs w:val="24"/>
          <w:highlight w:val="none"/>
        </w:rPr>
        <w:t>4.2.1 投标人应当在第一章“招标公告”规定的投标截止时间前，将加密投标文件在电子交易系统上传。</w:t>
      </w:r>
    </w:p>
    <w:p w14:paraId="3303969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4.2.2 投标人递交非加密投标文件的地点：见投标人须知前附表。招标人收到非加密投标文件后由投标人代表登记或向投标人出具签收凭证。</w:t>
      </w:r>
    </w:p>
    <w:p w14:paraId="521A678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4.2.3 除投标人须知前附表另有规定外，投标人所递交的投标文件不予退还。</w:t>
      </w:r>
    </w:p>
    <w:p w14:paraId="0B4BF1B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4.2.4 投标人应当在投标截止时间前完成投标文件的传输递交（以接收到电子签收凭证为准），并可以补充、修改或者撤回投标文件。投标截止时间前未完成投标文件传输的，视为撤回投标文件。未按照规定加密或投标截止时间后送达的投标文件，电子交易系统应当拒收。</w:t>
      </w:r>
    </w:p>
    <w:p w14:paraId="3CEFCD8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4.2.5 如投标人须知前附表允许递交非加密投标文件，投标人逾期送达的或者未送达指定地点的非加密投标文件，招标人不予接收，但不影响其已按照招标文件要求从电子交易系统递交的加密投标文件的有效性。未从电子交易系统递交加密投标文件的，投标人递交的非加密投标文件将被视为无效。</w:t>
      </w:r>
    </w:p>
    <w:p w14:paraId="6AE8444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4.2.6 投标人在本章第5.2款规定的解密开始规定时间（以电子交易系统解密倒计时为准）内完成投标文件的解密工作，未能成功解密的投标人，如投标人须知前附表允许使用非加密投标文件作为备份，并且投标人在投标截止时间之前到达开标现场并递交非加密投标文件，则可导入非加密投标文件继续开标。若电子交易系统识别出非加密投标文件和加密投标文件识别码不一致，电子交易系统将拒绝导入。</w:t>
      </w:r>
    </w:p>
    <w:p w14:paraId="013B7439">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4.3 投标文件的修改与撤回</w:t>
      </w:r>
      <w:bookmarkEnd w:id="188"/>
      <w:bookmarkEnd w:id="189"/>
      <w:bookmarkEnd w:id="190"/>
      <w:bookmarkEnd w:id="191"/>
    </w:p>
    <w:p w14:paraId="748A4246">
      <w:pPr>
        <w:spacing w:beforeLines="0" w:afterLines="0" w:line="360" w:lineRule="auto"/>
        <w:ind w:firstLine="480" w:firstLineChars="200"/>
        <w:rPr>
          <w:rFonts w:hint="eastAsia" w:ascii="Times New Roman"/>
          <w:color w:val="auto"/>
          <w:sz w:val="24"/>
          <w:szCs w:val="24"/>
          <w:highlight w:val="none"/>
        </w:rPr>
      </w:pPr>
      <w:bookmarkStart w:id="192" w:name="_Toc152045559"/>
      <w:bookmarkStart w:id="193" w:name="_Toc152042335"/>
      <w:bookmarkStart w:id="194" w:name="_Toc144974527"/>
      <w:bookmarkStart w:id="195" w:name="_Toc38879328"/>
      <w:bookmarkStart w:id="196" w:name="_Toc179632577"/>
      <w:r>
        <w:rPr>
          <w:rFonts w:hint="eastAsia" w:ascii="Times New Roman"/>
          <w:color w:val="auto"/>
          <w:sz w:val="24"/>
          <w:szCs w:val="24"/>
          <w:highlight w:val="none"/>
        </w:rPr>
        <w:t>4.3.1 在第一章“招标公告”规定的投标截止时间前，投标人可以修改或撤回已递交的投标文件。投标人对加密投标文件进行撤回的，应在电子交易系统直接进行撤回操作；投标人对加密投标文件进行修改的，应在投标截止时间前完成上传。投标人修改投标文件的，应使用“投标文件制作工具”制作成完整的投标文件，并按照本章第3条、第4条规定进行编制、加密和递交。</w:t>
      </w:r>
    </w:p>
    <w:p w14:paraId="0A12E93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4.3.2 投标人修改或撤回已递交的非加密投标文件的，应当以书面形式通知招标人，书面通知应由法定代表人（或代理人）签字或盖单位章。招标人收到书面通知后，向投标人出具签收凭证。</w:t>
      </w:r>
    </w:p>
    <w:p w14:paraId="08F0630A">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197" w:name="_Toc28500"/>
      <w:bookmarkStart w:id="198" w:name="_Toc31578"/>
      <w:bookmarkStart w:id="199" w:name="_Toc26824"/>
      <w:r>
        <w:rPr>
          <w:rFonts w:hint="eastAsia" w:ascii="Times New Roman" w:hAnsi="Times New Roman" w:eastAsia="黑体"/>
          <w:b w:val="0"/>
          <w:color w:val="auto"/>
          <w:sz w:val="32"/>
          <w:szCs w:val="32"/>
          <w:highlight w:val="none"/>
        </w:rPr>
        <w:t>5. 开标</w:t>
      </w:r>
      <w:bookmarkEnd w:id="192"/>
      <w:bookmarkEnd w:id="193"/>
      <w:bookmarkEnd w:id="194"/>
      <w:bookmarkEnd w:id="195"/>
      <w:bookmarkEnd w:id="196"/>
      <w:bookmarkEnd w:id="197"/>
      <w:bookmarkEnd w:id="198"/>
      <w:bookmarkEnd w:id="199"/>
    </w:p>
    <w:p w14:paraId="52DA4C13">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00" w:name="_Toc152042336"/>
      <w:bookmarkStart w:id="201" w:name="_Toc179632578"/>
      <w:bookmarkStart w:id="202" w:name="_Toc144974528"/>
      <w:bookmarkStart w:id="203" w:name="_Toc152045560"/>
      <w:r>
        <w:rPr>
          <w:rFonts w:hint="eastAsia" w:ascii="Times New Roman" w:hAnsi="Times New Roman"/>
          <w:snapToGrid w:val="0"/>
          <w:color w:val="auto"/>
          <w:sz w:val="24"/>
          <w:szCs w:val="24"/>
          <w:highlight w:val="none"/>
          <w:shd w:val="clear" w:color="auto" w:fill="FFFFFF"/>
          <w:lang w:val="zh-CN"/>
        </w:rPr>
        <w:t>5.1 开标时间和地点</w:t>
      </w:r>
      <w:bookmarkEnd w:id="200"/>
      <w:bookmarkEnd w:id="201"/>
      <w:bookmarkEnd w:id="202"/>
      <w:bookmarkEnd w:id="203"/>
    </w:p>
    <w:p w14:paraId="0C0B396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招标人在投标人须知前附表规定的开标时间和地点通过电子交易系统开标，所有投标人的法定代表人或其委托代理人应当准时参加。</w:t>
      </w:r>
    </w:p>
    <w:p w14:paraId="600104E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投标人若未派法定代表人或其委托代理人出席开标活动，视为该投标人默认开标结果。</w:t>
      </w:r>
    </w:p>
    <w:p w14:paraId="0119D8F8">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04" w:name="_Toc152045561"/>
      <w:bookmarkStart w:id="205" w:name="_Toc152042337"/>
      <w:bookmarkStart w:id="206" w:name="_Toc144974529"/>
      <w:bookmarkStart w:id="207" w:name="_Toc179632579"/>
      <w:r>
        <w:rPr>
          <w:rFonts w:hint="eastAsia" w:ascii="Times New Roman" w:hAnsi="Times New Roman"/>
          <w:snapToGrid w:val="0"/>
          <w:color w:val="auto"/>
          <w:sz w:val="24"/>
          <w:szCs w:val="24"/>
          <w:highlight w:val="none"/>
          <w:shd w:val="clear" w:color="auto" w:fill="FFFFFF"/>
          <w:lang w:val="zh-CN"/>
        </w:rPr>
        <w:t>5.2 开标程序</w:t>
      </w:r>
      <w:bookmarkEnd w:id="204"/>
      <w:bookmarkEnd w:id="205"/>
      <w:bookmarkEnd w:id="206"/>
      <w:bookmarkEnd w:id="207"/>
    </w:p>
    <w:p w14:paraId="1838D93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除投标人须知前附表另有规定外，主持人按照下列程序进行开标：</w:t>
      </w:r>
    </w:p>
    <w:p w14:paraId="7A22E1A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（1）公布在投标截止时间前通过电子交易系统完成投标文件递交的投标人名称；</w:t>
      </w:r>
    </w:p>
    <w:p w14:paraId="039F2D5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（2）由投标人推选的代表检查非加密投标文件的密封情况（如有）；</w:t>
      </w:r>
    </w:p>
    <w:p w14:paraId="37CB647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（3）投标人在投标截止时间后在投标人须知前附表规定的解密时间内完成投标文件的解密工作；</w:t>
      </w:r>
    </w:p>
    <w:p w14:paraId="10F1D8D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对在规定的投标截止时间前通过电子交易系统成功上传投标文件的投标人随机一次性发放签号（签号为1~A,A为对在规定的投标截止时间前通过电子交易系统成功上传投标文件的投标人数量），并公布给各投标人（无论投标人是否解密成功都将进行签号的发放）；（适用于动态合理价格法）</w:t>
      </w:r>
    </w:p>
    <w:p w14:paraId="3CBF69B0">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（5）招标人完成解密工作，导入并读取所有成功解密的投标文件，或招标人成功导入现场递交的非加密投标文件；</w:t>
      </w:r>
    </w:p>
    <w:p w14:paraId="06111B9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（6）按照投标人须知前附表规定公布投标人名称、标段名称、投标报价、质量标准、工期及其他内容；</w:t>
      </w:r>
    </w:p>
    <w:p w14:paraId="087E55EF">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（7）开标结束。</w:t>
      </w:r>
    </w:p>
    <w:p w14:paraId="6272F99A">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5.3 开标异议</w:t>
      </w:r>
    </w:p>
    <w:p w14:paraId="5E32171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投标人对开标有异议的，应当在开标过程中提出；招标人当场对异议作出答复，并记入开标记录。异议与答复应通过电子交易系统进行。</w:t>
      </w:r>
    </w:p>
    <w:p w14:paraId="7A3E9194">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208" w:name="_Toc38879329"/>
      <w:bookmarkStart w:id="209" w:name="_Toc179632580"/>
      <w:bookmarkStart w:id="210" w:name="_Toc28983"/>
      <w:bookmarkStart w:id="211" w:name="_Toc152045562"/>
      <w:bookmarkStart w:id="212" w:name="_Toc10587"/>
      <w:bookmarkStart w:id="213" w:name="_Toc25337"/>
      <w:bookmarkStart w:id="214" w:name="_Toc144974530"/>
      <w:bookmarkStart w:id="215" w:name="_Toc152042338"/>
      <w:r>
        <w:rPr>
          <w:rFonts w:hint="eastAsia" w:ascii="Times New Roman" w:hAnsi="Times New Roman" w:eastAsia="黑体"/>
          <w:b w:val="0"/>
          <w:color w:val="auto"/>
          <w:sz w:val="32"/>
          <w:szCs w:val="32"/>
          <w:highlight w:val="none"/>
        </w:rPr>
        <w:t>6. 评标</w:t>
      </w:r>
      <w:bookmarkEnd w:id="208"/>
      <w:bookmarkEnd w:id="209"/>
      <w:bookmarkEnd w:id="210"/>
      <w:bookmarkEnd w:id="211"/>
      <w:bookmarkEnd w:id="212"/>
      <w:bookmarkEnd w:id="213"/>
      <w:bookmarkEnd w:id="214"/>
      <w:bookmarkEnd w:id="215"/>
    </w:p>
    <w:p w14:paraId="6CB73CDA">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16" w:name="_Toc152042339"/>
      <w:bookmarkStart w:id="217" w:name="_Toc144974531"/>
      <w:bookmarkStart w:id="218" w:name="_Toc152045563"/>
      <w:bookmarkStart w:id="219" w:name="_Toc179632581"/>
      <w:r>
        <w:rPr>
          <w:rFonts w:hint="eastAsia" w:ascii="Times New Roman" w:hAnsi="Times New Roman"/>
          <w:snapToGrid w:val="0"/>
          <w:color w:val="auto"/>
          <w:sz w:val="24"/>
          <w:szCs w:val="24"/>
          <w:highlight w:val="none"/>
          <w:shd w:val="clear" w:color="auto" w:fill="FFFFFF"/>
          <w:lang w:val="zh-CN"/>
        </w:rPr>
        <w:t>6.1 评标委员会</w:t>
      </w:r>
      <w:bookmarkEnd w:id="216"/>
      <w:bookmarkEnd w:id="217"/>
      <w:bookmarkEnd w:id="218"/>
      <w:bookmarkEnd w:id="219"/>
    </w:p>
    <w:p w14:paraId="26D82CE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6.1.1 评标由招标人依法组建的评标委员会负责。评标委员会由招标人的代表，以及有关技术、经济等方面的专家组成。</w:t>
      </w:r>
    </w:p>
    <w:p w14:paraId="39D676B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6.1.2 评标委员会成员有下列情形之一的，应当主动提出回避：</w:t>
      </w:r>
    </w:p>
    <w:p w14:paraId="253234D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（1）投标人或投标人的主要负责人的近亲属；</w:t>
      </w:r>
    </w:p>
    <w:p w14:paraId="2BAB208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（2）项目主管部门或者行政监督部门的人员；</w:t>
      </w:r>
    </w:p>
    <w:p w14:paraId="7FC959F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（3）与投标人有经济利益关系，可能影响对投标公正评审的；</w:t>
      </w:r>
    </w:p>
    <w:p w14:paraId="0480175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（4）曾因在招标、评标以及其他与招标投标有关活动中从事违法行为而受过行政处罚或刑事处罚的；</w:t>
      </w:r>
    </w:p>
    <w:p w14:paraId="2C2F8CB3">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（5）与投标人有其他利害关系。</w:t>
      </w:r>
    </w:p>
    <w:p w14:paraId="22BE418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6.1.3 评标过程中，评标委员会成员有回避事由、擅离职守或因健康等原因不能继续评标的，招标人有权更换。被更换的评标委员会成员作出的评审结论无效，由更换后的评标委员会成员重新进行评审。</w:t>
      </w:r>
    </w:p>
    <w:p w14:paraId="350EF7C6">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20" w:name="_Toc179632582"/>
      <w:bookmarkStart w:id="221" w:name="_Toc144974532"/>
      <w:bookmarkStart w:id="222" w:name="_Toc152045564"/>
      <w:bookmarkStart w:id="223" w:name="_Toc152042340"/>
      <w:r>
        <w:rPr>
          <w:rFonts w:hint="eastAsia" w:ascii="Times New Roman" w:hAnsi="Times New Roman"/>
          <w:snapToGrid w:val="0"/>
          <w:color w:val="auto"/>
          <w:sz w:val="24"/>
          <w:szCs w:val="24"/>
          <w:highlight w:val="none"/>
          <w:shd w:val="clear" w:color="auto" w:fill="FFFFFF"/>
          <w:lang w:val="zh-CN"/>
        </w:rPr>
        <w:t>6.2 评标原则</w:t>
      </w:r>
      <w:bookmarkEnd w:id="220"/>
      <w:bookmarkEnd w:id="221"/>
      <w:bookmarkEnd w:id="222"/>
      <w:bookmarkEnd w:id="223"/>
    </w:p>
    <w:p w14:paraId="3996E15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评标活动遵循公平、公正、科学和择优的原则。</w:t>
      </w:r>
    </w:p>
    <w:p w14:paraId="39493798">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24" w:name="_Toc144974533"/>
      <w:bookmarkStart w:id="225" w:name="_Toc152042341"/>
      <w:bookmarkStart w:id="226" w:name="_Toc152045565"/>
      <w:bookmarkStart w:id="227" w:name="_Toc179632583"/>
      <w:r>
        <w:rPr>
          <w:rFonts w:hint="eastAsia" w:ascii="Times New Roman" w:hAnsi="Times New Roman"/>
          <w:snapToGrid w:val="0"/>
          <w:color w:val="auto"/>
          <w:sz w:val="24"/>
          <w:szCs w:val="24"/>
          <w:highlight w:val="none"/>
          <w:shd w:val="clear" w:color="auto" w:fill="FFFFFF"/>
          <w:lang w:val="zh-CN"/>
        </w:rPr>
        <w:t>6.3 评标</w:t>
      </w:r>
      <w:bookmarkEnd w:id="224"/>
      <w:bookmarkEnd w:id="225"/>
      <w:bookmarkEnd w:id="226"/>
      <w:bookmarkEnd w:id="227"/>
    </w:p>
    <w:p w14:paraId="2B77B4F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6.3.1 评标委员会按照第三章“评标办法”规定的方法、评审因素、标准和程序对投标文件进行评审。第三章“评标办法”没有规定的方法、评审因素和标准，不作为评标依据。</w:t>
      </w:r>
    </w:p>
    <w:p w14:paraId="257749E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6.3.2 评标完成后，评标委员会应向招标人提交书面评标报告和中标候选人名单。评标委员会推荐中标候选人的数量见投标人须知前附表。</w:t>
      </w:r>
    </w:p>
    <w:p w14:paraId="65D86059">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28" w:name="_Toc144974535"/>
      <w:bookmarkStart w:id="229" w:name="_Toc179632585"/>
      <w:bookmarkStart w:id="230" w:name="_Toc152042343"/>
      <w:bookmarkStart w:id="231" w:name="_Toc152045567"/>
      <w:r>
        <w:rPr>
          <w:rFonts w:hint="eastAsia" w:ascii="Times New Roman" w:hAnsi="Times New Roman"/>
          <w:snapToGrid w:val="0"/>
          <w:color w:val="auto"/>
          <w:sz w:val="24"/>
          <w:szCs w:val="24"/>
          <w:highlight w:val="none"/>
          <w:shd w:val="clear" w:color="auto" w:fill="FFFFFF"/>
        </w:rPr>
        <w:t>6</w:t>
      </w:r>
      <w:r>
        <w:rPr>
          <w:rFonts w:hint="eastAsia" w:ascii="Times New Roman" w:hAnsi="Times New Roman"/>
          <w:snapToGrid w:val="0"/>
          <w:color w:val="auto"/>
          <w:sz w:val="24"/>
          <w:szCs w:val="24"/>
          <w:highlight w:val="none"/>
          <w:shd w:val="clear" w:color="auto" w:fill="FFFFFF"/>
          <w:lang w:val="zh-CN"/>
        </w:rPr>
        <w:t>.</w:t>
      </w:r>
      <w:r>
        <w:rPr>
          <w:rFonts w:hint="eastAsia" w:ascii="Times New Roman" w:hAnsi="Times New Roman"/>
          <w:snapToGrid w:val="0"/>
          <w:color w:val="auto"/>
          <w:sz w:val="24"/>
          <w:szCs w:val="24"/>
          <w:highlight w:val="none"/>
          <w:shd w:val="clear" w:color="auto" w:fill="FFFFFF"/>
        </w:rPr>
        <w:t>4</w:t>
      </w:r>
      <w:r>
        <w:rPr>
          <w:rFonts w:hint="eastAsia" w:ascii="Times New Roman" w:hAnsi="Times New Roman"/>
          <w:snapToGrid w:val="0"/>
          <w:color w:val="auto"/>
          <w:sz w:val="24"/>
          <w:szCs w:val="24"/>
          <w:highlight w:val="none"/>
          <w:shd w:val="clear" w:color="auto" w:fill="FFFFFF"/>
          <w:lang w:val="zh-CN"/>
        </w:rPr>
        <w:t xml:space="preserve"> 中标候选人公示</w:t>
      </w:r>
    </w:p>
    <w:p w14:paraId="6B63B36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招标人在收到评标报告之日起3日内，按照投标人须知前附表规定的公示媒介和期限依法公示中标候选人，公示期不得少于3日。其他要求见投标人须知前附表。</w:t>
      </w:r>
    </w:p>
    <w:p w14:paraId="5554EAF6">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rPr>
        <w:t>6.5</w:t>
      </w:r>
      <w:r>
        <w:rPr>
          <w:rFonts w:hint="eastAsia" w:ascii="Times New Roman" w:hAnsi="Times New Roman"/>
          <w:snapToGrid w:val="0"/>
          <w:color w:val="auto"/>
          <w:sz w:val="24"/>
          <w:szCs w:val="24"/>
          <w:highlight w:val="none"/>
          <w:shd w:val="clear" w:color="auto" w:fill="FFFFFF"/>
          <w:lang w:val="zh-CN"/>
        </w:rPr>
        <w:t xml:space="preserve"> 评标结果异议</w:t>
      </w:r>
    </w:p>
    <w:p w14:paraId="3BC5F92E">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投标人或者其他利害关系人对评标结果有异议的，应在中标候选人公示期间通过电子交易系统在线提出或以其他书面形式提出。招标人将在收到异议之日起3日内作出答复；作出答复前，将暂停招标投标活动。</w:t>
      </w:r>
    </w:p>
    <w:p w14:paraId="786D5171">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rPr>
        <w:t>6.6</w:t>
      </w:r>
      <w:r>
        <w:rPr>
          <w:rFonts w:hint="eastAsia" w:ascii="Times New Roman" w:hAnsi="Times New Roman"/>
          <w:snapToGrid w:val="0"/>
          <w:color w:val="auto"/>
          <w:sz w:val="24"/>
          <w:szCs w:val="24"/>
          <w:highlight w:val="none"/>
          <w:shd w:val="clear" w:color="auto" w:fill="FFFFFF"/>
          <w:lang w:val="zh-CN"/>
        </w:rPr>
        <w:t xml:space="preserve"> 中标候选人履约能力审查</w:t>
      </w:r>
    </w:p>
    <w:p w14:paraId="071BDC19">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0294AB3B">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232" w:name="_Toc26440"/>
      <w:r>
        <w:rPr>
          <w:rFonts w:hint="eastAsia" w:ascii="Times New Roman" w:hAnsi="Times New Roman" w:eastAsia="黑体"/>
          <w:b w:val="0"/>
          <w:color w:val="auto"/>
          <w:sz w:val="32"/>
          <w:szCs w:val="32"/>
          <w:highlight w:val="none"/>
        </w:rPr>
        <w:t>7. 定标</w:t>
      </w:r>
      <w:bookmarkEnd w:id="228"/>
      <w:bookmarkEnd w:id="229"/>
      <w:bookmarkEnd w:id="230"/>
      <w:bookmarkEnd w:id="231"/>
      <w:bookmarkEnd w:id="232"/>
    </w:p>
    <w:p w14:paraId="407B9772">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rPr>
      </w:pPr>
      <w:r>
        <w:rPr>
          <w:rFonts w:hint="eastAsia" w:ascii="Times New Roman" w:hAnsi="Times New Roman"/>
          <w:snapToGrid w:val="0"/>
          <w:color w:val="auto"/>
          <w:sz w:val="24"/>
          <w:szCs w:val="24"/>
          <w:highlight w:val="none"/>
          <w:shd w:val="clear" w:color="auto" w:fill="FFFFFF"/>
        </w:rPr>
        <w:t>7.1 定标</w:t>
      </w:r>
    </w:p>
    <w:p w14:paraId="5441F306">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49F236C0">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7.</w:t>
      </w:r>
      <w:r>
        <w:rPr>
          <w:rFonts w:hint="eastAsia" w:ascii="Times New Roman" w:hAnsi="Times New Roman"/>
          <w:snapToGrid w:val="0"/>
          <w:color w:val="auto"/>
          <w:sz w:val="24"/>
          <w:szCs w:val="24"/>
          <w:highlight w:val="none"/>
          <w:shd w:val="clear" w:color="auto" w:fill="FFFFFF"/>
        </w:rPr>
        <w:t>2</w:t>
      </w:r>
      <w:r>
        <w:rPr>
          <w:rFonts w:hint="eastAsia" w:ascii="Times New Roman" w:hAnsi="Times New Roman"/>
          <w:snapToGrid w:val="0"/>
          <w:color w:val="auto"/>
          <w:sz w:val="24"/>
          <w:szCs w:val="24"/>
          <w:highlight w:val="none"/>
          <w:shd w:val="clear" w:color="auto" w:fill="FFFFFF"/>
          <w:lang w:val="zh-CN"/>
        </w:rPr>
        <w:t xml:space="preserve"> 中标结果公示</w:t>
      </w:r>
    </w:p>
    <w:p w14:paraId="573E72D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招标人在确定中标人之日起3日内，按照投标人须知前附表规定的公示媒介依法公示中标结果。</w:t>
      </w:r>
    </w:p>
    <w:p w14:paraId="33F93E3E">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lang w:val="zh-CN"/>
        </w:rPr>
        <w:t>7.</w:t>
      </w:r>
      <w:r>
        <w:rPr>
          <w:rFonts w:hint="eastAsia" w:ascii="Times New Roman" w:hAnsi="Times New Roman"/>
          <w:snapToGrid w:val="0"/>
          <w:color w:val="auto"/>
          <w:sz w:val="24"/>
          <w:szCs w:val="24"/>
          <w:highlight w:val="none"/>
          <w:shd w:val="clear" w:color="auto" w:fill="FFFFFF"/>
        </w:rPr>
        <w:t>3</w:t>
      </w:r>
      <w:r>
        <w:rPr>
          <w:rFonts w:hint="eastAsia" w:ascii="Times New Roman" w:hAnsi="Times New Roman"/>
          <w:snapToGrid w:val="0"/>
          <w:color w:val="auto"/>
          <w:sz w:val="24"/>
          <w:szCs w:val="24"/>
          <w:highlight w:val="none"/>
          <w:shd w:val="clear" w:color="auto" w:fill="FFFFFF"/>
          <w:lang w:val="zh-CN"/>
        </w:rPr>
        <w:t xml:space="preserve"> 中标通知</w:t>
      </w:r>
    </w:p>
    <w:p w14:paraId="29468C3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在本章第3.3款规定的投标有效期内，招标人按照投标人须知前附表规定的形式向中标人发出中标通知书，同时将中标结果通知未中标的投标人。</w:t>
      </w:r>
      <w:bookmarkStart w:id="233" w:name="_Toc152045569"/>
      <w:bookmarkStart w:id="234" w:name="_Toc144974537"/>
      <w:bookmarkStart w:id="235" w:name="_Toc179632587"/>
      <w:bookmarkStart w:id="236" w:name="_Toc152042345"/>
    </w:p>
    <w:p w14:paraId="47C65DAF">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237" w:name="_Toc22162"/>
      <w:r>
        <w:rPr>
          <w:rFonts w:hint="eastAsia" w:ascii="Times New Roman" w:hAnsi="Times New Roman" w:eastAsia="黑体"/>
          <w:b w:val="0"/>
          <w:color w:val="auto"/>
          <w:sz w:val="32"/>
          <w:szCs w:val="32"/>
          <w:highlight w:val="none"/>
        </w:rPr>
        <w:t>8. 合同授予</w:t>
      </w:r>
      <w:bookmarkEnd w:id="237"/>
    </w:p>
    <w:p w14:paraId="3D79B842">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r>
        <w:rPr>
          <w:rFonts w:hint="eastAsia" w:ascii="Times New Roman" w:hAnsi="Times New Roman"/>
          <w:snapToGrid w:val="0"/>
          <w:color w:val="auto"/>
          <w:sz w:val="24"/>
          <w:szCs w:val="24"/>
          <w:highlight w:val="none"/>
          <w:shd w:val="clear" w:color="auto" w:fill="FFFFFF"/>
        </w:rPr>
        <w:t>8.1</w:t>
      </w:r>
      <w:r>
        <w:rPr>
          <w:rFonts w:hint="eastAsia" w:ascii="Times New Roman" w:hAnsi="Times New Roman"/>
          <w:snapToGrid w:val="0"/>
          <w:color w:val="auto"/>
          <w:sz w:val="24"/>
          <w:szCs w:val="24"/>
          <w:highlight w:val="none"/>
          <w:shd w:val="clear" w:color="auto" w:fill="FFFFFF"/>
          <w:lang w:val="zh-CN"/>
        </w:rPr>
        <w:t xml:space="preserve"> 履约保证金</w:t>
      </w:r>
      <w:bookmarkEnd w:id="233"/>
      <w:bookmarkEnd w:id="234"/>
      <w:bookmarkEnd w:id="235"/>
      <w:bookmarkEnd w:id="236"/>
    </w:p>
    <w:p w14:paraId="01C24B41">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8.1.1 在签订合同前，中标人应按照投标人须知前附表规定的金额、形式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4EA1D08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8.1.2 中标人不能按照本章第8.1.1项要求提交履约保证金的，视为放弃中标，其投标保证金不予退还，给招标人造成的损失超过投标保证金数额的，中标人还应当对超过部分予以赔偿。</w:t>
      </w:r>
    </w:p>
    <w:p w14:paraId="315FCC74">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38" w:name="_Toc144974538"/>
      <w:bookmarkStart w:id="239" w:name="_Toc179632588"/>
      <w:bookmarkStart w:id="240" w:name="_Toc152042346"/>
      <w:bookmarkStart w:id="241" w:name="_Toc152045570"/>
      <w:r>
        <w:rPr>
          <w:rFonts w:hint="eastAsia" w:ascii="Times New Roman" w:hAnsi="Times New Roman"/>
          <w:snapToGrid w:val="0"/>
          <w:color w:val="auto"/>
          <w:sz w:val="24"/>
          <w:szCs w:val="24"/>
          <w:highlight w:val="none"/>
          <w:shd w:val="clear" w:color="auto" w:fill="FFFFFF"/>
        </w:rPr>
        <w:t>8.2</w:t>
      </w:r>
      <w:r>
        <w:rPr>
          <w:rFonts w:hint="eastAsia" w:ascii="Times New Roman" w:hAnsi="Times New Roman"/>
          <w:snapToGrid w:val="0"/>
          <w:color w:val="auto"/>
          <w:sz w:val="24"/>
          <w:szCs w:val="24"/>
          <w:highlight w:val="none"/>
          <w:shd w:val="clear" w:color="auto" w:fill="FFFFFF"/>
          <w:lang w:val="zh-CN"/>
        </w:rPr>
        <w:t xml:space="preserve"> 签订合同</w:t>
      </w:r>
      <w:bookmarkEnd w:id="238"/>
      <w:bookmarkEnd w:id="239"/>
      <w:bookmarkEnd w:id="240"/>
      <w:bookmarkEnd w:id="241"/>
    </w:p>
    <w:p w14:paraId="4478ED8A">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8.2.1 中标人和招标人应在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对超过部分予以赔偿。</w:t>
      </w:r>
    </w:p>
    <w:p w14:paraId="56C60BD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8.2.2 发出中标通知书后，招标人无正当理由拒签合同，或者在签订合同时向中标人提出附加条件的，招标人应退还中标人的投标保证金。招标人存在前述情形的，由公共资源交易监督管理部门责令改正，可以处中标项目金额10‰以下的罚款；给中标人造成损失的，依法承担赔偿责任。</w:t>
      </w:r>
    </w:p>
    <w:p w14:paraId="2ED59347">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8.2.3 联合体中标的，联合体各方应当共同与招标人签订合同，就中标项目向招标人承担连带责任。</w:t>
      </w:r>
    </w:p>
    <w:p w14:paraId="71604E8E">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8.2.4 招标人将及时主动公开合同订立信息，并积极推进合同履行及变更信息公开。</w:t>
      </w:r>
    </w:p>
    <w:p w14:paraId="4AAED59B">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242" w:name="_Toc152042350"/>
      <w:bookmarkStart w:id="243" w:name="_Toc20588"/>
      <w:bookmarkStart w:id="244" w:name="_Toc948"/>
      <w:bookmarkStart w:id="245" w:name="_Toc152045574"/>
      <w:bookmarkStart w:id="246" w:name="_Toc179632592"/>
      <w:bookmarkStart w:id="247" w:name="_Toc144974542"/>
      <w:bookmarkStart w:id="248" w:name="_Toc1601"/>
      <w:bookmarkStart w:id="249" w:name="_Toc38879332"/>
      <w:r>
        <w:rPr>
          <w:rFonts w:hint="eastAsia" w:ascii="Times New Roman" w:hAnsi="Times New Roman" w:eastAsia="黑体"/>
          <w:b w:val="0"/>
          <w:color w:val="auto"/>
          <w:sz w:val="32"/>
          <w:szCs w:val="32"/>
          <w:highlight w:val="none"/>
        </w:rPr>
        <w:t>9. 纪律和监督</w:t>
      </w:r>
      <w:bookmarkEnd w:id="242"/>
      <w:bookmarkEnd w:id="243"/>
      <w:bookmarkEnd w:id="244"/>
      <w:bookmarkEnd w:id="245"/>
      <w:bookmarkEnd w:id="246"/>
      <w:bookmarkEnd w:id="247"/>
      <w:bookmarkEnd w:id="248"/>
      <w:bookmarkEnd w:id="249"/>
    </w:p>
    <w:p w14:paraId="0CF4D458">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50" w:name="_Toc152042351"/>
      <w:bookmarkStart w:id="251" w:name="_Toc152045575"/>
      <w:bookmarkStart w:id="252" w:name="_Toc179632593"/>
      <w:bookmarkStart w:id="253" w:name="_Toc144974543"/>
      <w:r>
        <w:rPr>
          <w:rFonts w:hint="eastAsia" w:ascii="Times New Roman" w:hAnsi="Times New Roman"/>
          <w:snapToGrid w:val="0"/>
          <w:color w:val="auto"/>
          <w:sz w:val="24"/>
          <w:szCs w:val="24"/>
          <w:highlight w:val="none"/>
          <w:shd w:val="clear" w:color="auto" w:fill="FFFFFF"/>
          <w:lang w:val="zh-CN"/>
        </w:rPr>
        <w:t>9.1 对招标人的纪律要求</w:t>
      </w:r>
      <w:bookmarkEnd w:id="250"/>
      <w:bookmarkEnd w:id="251"/>
      <w:bookmarkEnd w:id="252"/>
      <w:bookmarkEnd w:id="253"/>
    </w:p>
    <w:p w14:paraId="00350F92">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招标人不得泄露招标投标活动中应当保密的情况和资料，不得与投标人串通损害国家利益、社会公共利益或者他人合法权益。</w:t>
      </w:r>
    </w:p>
    <w:p w14:paraId="1F28880D">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54" w:name="_Toc179632594"/>
      <w:bookmarkStart w:id="255" w:name="_Toc152042352"/>
      <w:bookmarkStart w:id="256" w:name="_Toc152045576"/>
      <w:bookmarkStart w:id="257" w:name="_Toc144974544"/>
      <w:r>
        <w:rPr>
          <w:rFonts w:hint="eastAsia" w:ascii="Times New Roman" w:hAnsi="Times New Roman"/>
          <w:snapToGrid w:val="0"/>
          <w:color w:val="auto"/>
          <w:sz w:val="24"/>
          <w:szCs w:val="24"/>
          <w:highlight w:val="none"/>
          <w:shd w:val="clear" w:color="auto" w:fill="FFFFFF"/>
          <w:lang w:val="zh-CN"/>
        </w:rPr>
        <w:t>9.2 对投标人的纪律要求</w:t>
      </w:r>
      <w:bookmarkEnd w:id="254"/>
      <w:bookmarkEnd w:id="255"/>
      <w:bookmarkEnd w:id="256"/>
      <w:bookmarkEnd w:id="257"/>
    </w:p>
    <w:p w14:paraId="30F07BCB">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79A36A7">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58" w:name="_Toc152045577"/>
      <w:bookmarkStart w:id="259" w:name="_Toc152042353"/>
      <w:bookmarkStart w:id="260" w:name="_Toc179632595"/>
      <w:bookmarkStart w:id="261" w:name="_Toc144974545"/>
      <w:r>
        <w:rPr>
          <w:rFonts w:hint="eastAsia" w:ascii="Times New Roman" w:hAnsi="Times New Roman"/>
          <w:snapToGrid w:val="0"/>
          <w:color w:val="auto"/>
          <w:sz w:val="24"/>
          <w:szCs w:val="24"/>
          <w:highlight w:val="none"/>
          <w:shd w:val="clear" w:color="auto" w:fill="FFFFFF"/>
          <w:lang w:val="zh-CN"/>
        </w:rPr>
        <w:t>9.3 对评标委员会成员的纪律要求</w:t>
      </w:r>
      <w:bookmarkEnd w:id="258"/>
      <w:bookmarkEnd w:id="259"/>
      <w:bookmarkEnd w:id="260"/>
      <w:bookmarkEnd w:id="261"/>
    </w:p>
    <w:p w14:paraId="3B3ECA9D">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5F0B8D17">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62" w:name="_Toc152045578"/>
      <w:bookmarkStart w:id="263" w:name="_Toc152042354"/>
      <w:bookmarkStart w:id="264" w:name="_Toc179632596"/>
      <w:bookmarkStart w:id="265" w:name="_Toc144974546"/>
      <w:r>
        <w:rPr>
          <w:rFonts w:hint="eastAsia" w:ascii="Times New Roman" w:hAnsi="Times New Roman"/>
          <w:snapToGrid w:val="0"/>
          <w:color w:val="auto"/>
          <w:sz w:val="24"/>
          <w:szCs w:val="24"/>
          <w:highlight w:val="none"/>
          <w:shd w:val="clear" w:color="auto" w:fill="FFFFFF"/>
          <w:lang w:val="zh-CN"/>
        </w:rPr>
        <w:t>9.4 对与评标活动有关的工作人员的纪律要求</w:t>
      </w:r>
      <w:bookmarkEnd w:id="262"/>
      <w:bookmarkEnd w:id="263"/>
      <w:bookmarkEnd w:id="264"/>
    </w:p>
    <w:p w14:paraId="552D263B">
      <w:pPr>
        <w:spacing w:beforeLines="0" w:afterLines="0" w:line="360" w:lineRule="auto"/>
        <w:ind w:firstLine="480" w:firstLineChars="200"/>
        <w:rPr>
          <w:rFonts w:hint="eastAsia" w:ascii="Times New Roman"/>
          <w:color w:val="auto"/>
          <w:sz w:val="24"/>
          <w:szCs w:val="24"/>
          <w:highlight w:val="none"/>
        </w:rPr>
      </w:pPr>
      <w:bookmarkStart w:id="266" w:name="_Toc152042355"/>
      <w:r>
        <w:rPr>
          <w:rFonts w:hint="eastAsia" w:ascii="Times New Roman"/>
          <w:color w:val="auto"/>
          <w:sz w:val="24"/>
          <w:szCs w:val="24"/>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bookmarkEnd w:id="266"/>
    </w:p>
    <w:p w14:paraId="42189ED7">
      <w:pPr>
        <w:pStyle w:val="4"/>
        <w:spacing w:before="240" w:beforeLines="100" w:after="240" w:afterLines="100" w:line="240" w:lineRule="auto"/>
        <w:rPr>
          <w:rFonts w:hint="eastAsia" w:ascii="Times New Roman" w:hAnsi="Times New Roman"/>
          <w:snapToGrid w:val="0"/>
          <w:color w:val="auto"/>
          <w:sz w:val="24"/>
          <w:szCs w:val="24"/>
          <w:highlight w:val="none"/>
          <w:shd w:val="clear" w:color="auto" w:fill="FFFFFF"/>
          <w:lang w:val="zh-CN"/>
        </w:rPr>
      </w:pPr>
      <w:bookmarkStart w:id="267" w:name="_Toc152045579"/>
      <w:bookmarkStart w:id="268" w:name="_Toc152042356"/>
      <w:bookmarkStart w:id="269" w:name="_Toc179632597"/>
      <w:r>
        <w:rPr>
          <w:rFonts w:hint="eastAsia" w:ascii="Times New Roman" w:hAnsi="Times New Roman"/>
          <w:snapToGrid w:val="0"/>
          <w:color w:val="auto"/>
          <w:sz w:val="24"/>
          <w:szCs w:val="24"/>
          <w:highlight w:val="none"/>
          <w:shd w:val="clear" w:color="auto" w:fill="FFFFFF"/>
          <w:lang w:val="zh-CN"/>
        </w:rPr>
        <w:t>9.5 投诉</w:t>
      </w:r>
      <w:bookmarkEnd w:id="265"/>
      <w:bookmarkEnd w:id="267"/>
      <w:bookmarkEnd w:id="268"/>
      <w:bookmarkEnd w:id="269"/>
    </w:p>
    <w:p w14:paraId="3C824438">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9.5.1 投标人或者其他利害关系人认为招标投标活动不符合法律、行政法规规定的，可以自知道或者应当知道之日起10日内通过网上投诉系统或以其他书面形式向有关行政监督部门投诉。投诉应当有明确的请求和必要的证明材料。</w:t>
      </w:r>
    </w:p>
    <w:p w14:paraId="63C36CBC">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9.5.2 投标人或者其他利害关系人对招标文件、开标和评标结果提出投诉的，应当按照投标人须知第2.4款、第5.3款和第6.5款的规定先向招标人提出异议。异议答复期间</w:t>
      </w:r>
      <w:bookmarkStart w:id="270" w:name="_Toc300834993"/>
      <w:bookmarkStart w:id="271" w:name="_Toc247513994"/>
      <w:bookmarkStart w:id="272" w:name="_Toc247527595"/>
      <w:bookmarkStart w:id="273" w:name="_Toc369531561"/>
      <w:bookmarkStart w:id="274" w:name="_Toc12776"/>
      <w:bookmarkStart w:id="275" w:name="_Toc384308255"/>
      <w:bookmarkStart w:id="276" w:name="_Toc361508630"/>
      <w:bookmarkStart w:id="277" w:name="_Toc352691517"/>
      <w:r>
        <w:rPr>
          <w:rFonts w:hint="eastAsia" w:ascii="Times New Roman"/>
          <w:color w:val="auto"/>
          <w:sz w:val="24"/>
          <w:szCs w:val="24"/>
          <w:highlight w:val="none"/>
        </w:rPr>
        <w:t>不计算在第9.5.</w:t>
      </w:r>
      <w:bookmarkEnd w:id="270"/>
      <w:bookmarkEnd w:id="271"/>
      <w:bookmarkEnd w:id="272"/>
      <w:bookmarkEnd w:id="273"/>
      <w:bookmarkEnd w:id="274"/>
      <w:bookmarkEnd w:id="275"/>
      <w:bookmarkEnd w:id="276"/>
      <w:bookmarkEnd w:id="277"/>
      <w:r>
        <w:rPr>
          <w:rFonts w:hint="eastAsia" w:ascii="Times New Roman"/>
          <w:color w:val="auto"/>
          <w:sz w:val="24"/>
          <w:szCs w:val="24"/>
          <w:highlight w:val="none"/>
        </w:rPr>
        <w:t>1项规定的期限内。</w:t>
      </w:r>
    </w:p>
    <w:p w14:paraId="7B36A843">
      <w:pPr>
        <w:pStyle w:val="3"/>
        <w:spacing w:before="240" w:beforeLines="100" w:after="240" w:afterLines="100" w:line="240" w:lineRule="auto"/>
        <w:rPr>
          <w:rFonts w:hint="eastAsia" w:ascii="Times New Roman" w:hAnsi="Times New Roman" w:eastAsia="黑体"/>
          <w:b w:val="0"/>
          <w:color w:val="auto"/>
          <w:sz w:val="32"/>
          <w:szCs w:val="32"/>
          <w:highlight w:val="none"/>
        </w:rPr>
      </w:pPr>
      <w:bookmarkStart w:id="278" w:name="_Toc26624"/>
      <w:bookmarkStart w:id="279" w:name="_Toc144974547"/>
      <w:bookmarkStart w:id="280" w:name="_Toc152042357"/>
      <w:bookmarkStart w:id="281" w:name="_Toc2315"/>
      <w:bookmarkStart w:id="282" w:name="_Toc179632598"/>
      <w:bookmarkStart w:id="283" w:name="_Toc152045580"/>
      <w:bookmarkStart w:id="284" w:name="_Toc38879333"/>
      <w:bookmarkStart w:id="285" w:name="_Toc3705"/>
      <w:r>
        <w:rPr>
          <w:rFonts w:hint="eastAsia" w:ascii="Times New Roman" w:hAnsi="Times New Roman" w:eastAsia="黑体"/>
          <w:b w:val="0"/>
          <w:color w:val="auto"/>
          <w:sz w:val="32"/>
          <w:szCs w:val="32"/>
          <w:highlight w:val="none"/>
        </w:rPr>
        <w:t>10. 需要补充的其他内容</w:t>
      </w:r>
      <w:bookmarkEnd w:id="278"/>
      <w:bookmarkEnd w:id="279"/>
      <w:bookmarkEnd w:id="280"/>
      <w:bookmarkEnd w:id="281"/>
      <w:bookmarkEnd w:id="282"/>
      <w:bookmarkEnd w:id="283"/>
      <w:bookmarkEnd w:id="284"/>
      <w:bookmarkEnd w:id="285"/>
    </w:p>
    <w:p w14:paraId="079E4A75">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需要补充的其他内容：见投标人须知前附表。</w:t>
      </w:r>
    </w:p>
    <w:p w14:paraId="1FB537B6">
      <w:pPr>
        <w:pStyle w:val="3"/>
        <w:spacing w:before="240" w:beforeLines="100" w:after="240" w:afterLines="100" w:line="240" w:lineRule="auto"/>
        <w:jc w:val="center"/>
        <w:rPr>
          <w:rFonts w:hint="eastAsia" w:ascii="Times New Roman" w:hAnsi="Times New Roman" w:eastAsia="黑体"/>
          <w:b w:val="0"/>
          <w:color w:val="auto"/>
          <w:sz w:val="32"/>
          <w:szCs w:val="32"/>
          <w:highlight w:val="none"/>
        </w:rPr>
      </w:pPr>
      <w:r>
        <w:rPr>
          <w:rFonts w:hint="eastAsia" w:ascii="Times New Roman" w:hAnsi="Times New Roman" w:eastAsia="Times New Roman"/>
          <w:color w:val="auto"/>
          <w:sz w:val="24"/>
          <w:szCs w:val="32"/>
          <w:highlight w:val="none"/>
        </w:rPr>
        <w:br w:type="page"/>
      </w:r>
      <w:bookmarkStart w:id="286" w:name="_Toc22334"/>
      <w:bookmarkStart w:id="287" w:name="_Toc8937"/>
      <w:bookmarkStart w:id="288" w:name="_Toc9893"/>
      <w:bookmarkStart w:id="289" w:name="_Toc24634"/>
      <w:bookmarkStart w:id="290" w:name="_Toc29709"/>
      <w:bookmarkStart w:id="291" w:name="_Toc10568"/>
      <w:bookmarkStart w:id="292" w:name="_Toc14838"/>
      <w:bookmarkStart w:id="293" w:name="_Toc4779"/>
      <w:bookmarkStart w:id="294" w:name="_Toc38879334"/>
      <w:bookmarkStart w:id="295" w:name="_Toc19524"/>
      <w:r>
        <w:rPr>
          <w:rFonts w:hint="eastAsia" w:ascii="Times New Roman" w:hAnsi="Times New Roman" w:eastAsia="黑体"/>
          <w:b w:val="0"/>
          <w:color w:val="auto"/>
          <w:sz w:val="32"/>
          <w:szCs w:val="32"/>
          <w:highlight w:val="none"/>
        </w:rPr>
        <w:t>附件：合肥市公共资源交易电子招标投标操作规程</w:t>
      </w:r>
      <w:bookmarkEnd w:id="286"/>
      <w:bookmarkEnd w:id="287"/>
      <w:bookmarkEnd w:id="288"/>
      <w:bookmarkEnd w:id="289"/>
      <w:bookmarkEnd w:id="290"/>
      <w:bookmarkEnd w:id="291"/>
      <w:bookmarkEnd w:id="292"/>
      <w:bookmarkEnd w:id="293"/>
      <w:bookmarkEnd w:id="294"/>
      <w:bookmarkEnd w:id="295"/>
    </w:p>
    <w:bookmarkEnd w:id="87"/>
    <w:bookmarkEnd w:id="88"/>
    <w:p w14:paraId="3D2E257D">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第一条</w:t>
      </w:r>
      <w:r>
        <w:rPr>
          <w:rFonts w:hint="eastAsia" w:hAnsi="宋体" w:cs="宋体"/>
          <w:color w:val="auto"/>
          <w:sz w:val="24"/>
          <w:szCs w:val="24"/>
          <w:highlight w:val="none"/>
        </w:rPr>
        <w:t xml:space="preserve">  为进一步规范招标投标行为，提高招标投标效率，充分利用信息网络技术，根据《中华人民共和国招标投标法》《中华人民共和国政府采购法》《中华人民共和国电子签名法》《合肥市公共资源交易管理条例》和《电子招标投标办法》（八部委20号令）等有关规定，结合工作实际，制定本规程。</w:t>
      </w:r>
    </w:p>
    <w:p w14:paraId="31085DC4">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第二条</w:t>
      </w:r>
      <w:r>
        <w:rPr>
          <w:rFonts w:hint="eastAsia" w:hAnsi="宋体" w:cs="宋体"/>
          <w:color w:val="auto"/>
          <w:sz w:val="24"/>
          <w:szCs w:val="24"/>
          <w:highlight w:val="none"/>
        </w:rPr>
        <w:t xml:space="preserve">  本规程适用于进入安徽合肥公共资源交易平台交易的项目。行业主管部门另有规定的，从其规定。</w:t>
      </w:r>
    </w:p>
    <w:p w14:paraId="499166EA">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第三条</w:t>
      </w:r>
      <w:r>
        <w:rPr>
          <w:rFonts w:hint="eastAsia" w:hAnsi="宋体" w:cs="宋体"/>
          <w:color w:val="auto"/>
          <w:sz w:val="24"/>
          <w:szCs w:val="24"/>
          <w:highlight w:val="none"/>
        </w:rPr>
        <w:t xml:space="preserve">  本规程所称的电子招标投标，是指以数据电文形式，依托电子交易系统和电子服务系统完成的全部或者部分招标投标交易活动。</w:t>
      </w:r>
    </w:p>
    <w:p w14:paraId="039A4F02">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第四条</w:t>
      </w:r>
      <w:r>
        <w:rPr>
          <w:rFonts w:hint="eastAsia" w:hAnsi="宋体" w:cs="宋体"/>
          <w:color w:val="auto"/>
          <w:sz w:val="24"/>
          <w:szCs w:val="24"/>
          <w:highlight w:val="none"/>
        </w:rPr>
        <w:t xml:space="preserve">  电子交易系统是招标投标当事人通过数据电文形式完成招标投标交易活动的系统。</w:t>
      </w:r>
    </w:p>
    <w:p w14:paraId="3AFEB0C7">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电子交易系统要具备在线完成招标投标全部交易过程，编辑、生成、对接、交换和发布有关招标投标数据信息的功能，并为行政监督部门依法实施监督和受理投诉提供所需的信息通道。</w:t>
      </w:r>
    </w:p>
    <w:p w14:paraId="30634FE5">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第五条</w:t>
      </w:r>
      <w:r>
        <w:rPr>
          <w:rFonts w:hint="eastAsia" w:hAnsi="宋体" w:cs="宋体"/>
          <w:color w:val="auto"/>
          <w:sz w:val="24"/>
          <w:szCs w:val="24"/>
          <w:highlight w:val="none"/>
        </w:rPr>
        <w:t xml:space="preserve">  电子服务系统是满足与各电子交易系统之间电子招标投标信息对接交换、资源共享需要，并为市场主体、行政监督部门和社会公众提供信息交换、整合和发布的系统。</w:t>
      </w:r>
    </w:p>
    <w:p w14:paraId="6E8A229B">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电子服务系统要具备与各电子交易系统之间招标投标相关信息对接、交换、发布、资格信誉和业绩公开、行业统计分析、连接评标专家库、提供行政监督通道等服务功能。</w:t>
      </w:r>
    </w:p>
    <w:p w14:paraId="3CB5D405">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第六条</w:t>
      </w:r>
      <w:r>
        <w:rPr>
          <w:rFonts w:hint="eastAsia" w:hAnsi="宋体" w:cs="宋体"/>
          <w:color w:val="auto"/>
          <w:sz w:val="24"/>
          <w:szCs w:val="24"/>
          <w:highlight w:val="none"/>
        </w:rPr>
        <w:t xml:space="preserve">  招标人或招标代理机构负责电子招标投标的组织实施，电子交易系统建设单位负责电子交易系统的服务保障，电子服务系统建设单位负责电子服务系统的服务保障。</w:t>
      </w:r>
    </w:p>
    <w:p w14:paraId="2ACA9386">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第七条</w:t>
      </w:r>
      <w:r>
        <w:rPr>
          <w:rFonts w:hint="eastAsia" w:hAnsi="宋体" w:cs="宋体"/>
          <w:color w:val="auto"/>
          <w:sz w:val="24"/>
          <w:szCs w:val="24"/>
          <w:highlight w:val="none"/>
        </w:rPr>
        <w:t xml:space="preserve">  电子招标投标各方主体（招标人、投标人、招标代理机构等）应当按照相关规定取得和使用数字证书及电子签章，通过数字证书登录电子交易系统或电子服务系统进行操作。各方主体在系统中所有操作都具有法律效力,并承担法律责任。</w:t>
      </w:r>
    </w:p>
    <w:p w14:paraId="1AE844E1">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投标人应妥善保管数字证书，由于数字证书遗失、损坏、更换、续期等情况导致投标文件无法上传或解密，由投标人自行承担责任。</w:t>
      </w:r>
    </w:p>
    <w:p w14:paraId="09E83C8F">
      <w:pPr>
        <w:spacing w:beforeLines="0" w:afterLines="0" w:line="360" w:lineRule="auto"/>
        <w:ind w:firstLine="482" w:firstLineChars="200"/>
        <w:jc w:val="left"/>
        <w:rPr>
          <w:rFonts w:hint="eastAsia" w:hAnsi="宋体" w:cs="宋体"/>
          <w:color w:val="auto"/>
          <w:sz w:val="24"/>
          <w:szCs w:val="24"/>
          <w:highlight w:val="none"/>
        </w:rPr>
      </w:pPr>
      <w:r>
        <w:rPr>
          <w:rFonts w:hint="eastAsia" w:hAnsi="宋体" w:cs="宋体"/>
          <w:b/>
          <w:color w:val="auto"/>
          <w:sz w:val="24"/>
          <w:szCs w:val="24"/>
          <w:highlight w:val="none"/>
        </w:rPr>
        <w:t>第八条</w:t>
      </w:r>
      <w:r>
        <w:rPr>
          <w:rFonts w:hint="eastAsia" w:hAnsi="宋体" w:cs="宋体"/>
          <w:color w:val="auto"/>
          <w:sz w:val="24"/>
          <w:szCs w:val="24"/>
          <w:highlight w:val="none"/>
        </w:rPr>
        <w:t xml:space="preserve">  招标人或招标代理机构应在招标公告和招标文件中明确招标项目采取电子招标投标方式，并按相关流程通过电子交易系统制作招标文件。 </w:t>
      </w:r>
    </w:p>
    <w:p w14:paraId="6DCD60EF">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第九条</w:t>
      </w:r>
      <w:r>
        <w:rPr>
          <w:rFonts w:hint="eastAsia" w:hAnsi="宋体" w:cs="宋体"/>
          <w:color w:val="auto"/>
          <w:sz w:val="24"/>
          <w:szCs w:val="24"/>
          <w:highlight w:val="none"/>
        </w:rPr>
        <w:t xml:space="preserve">  招标公告、招标文件应由招标人或招标代理机构通过电子服务系统在安徽合肥公共资源交易中心网站发布，其中招标文件须加盖电子签章。</w:t>
      </w:r>
    </w:p>
    <w:p w14:paraId="7CE7889F">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第十条</w:t>
      </w:r>
      <w:r>
        <w:rPr>
          <w:rFonts w:hint="eastAsia" w:hAnsi="宋体" w:cs="宋体"/>
          <w:color w:val="auto"/>
          <w:sz w:val="24"/>
          <w:szCs w:val="24"/>
          <w:highlight w:val="none"/>
        </w:rPr>
        <w:t xml:space="preserve">  投标人登录</w:t>
      </w:r>
      <w:r>
        <w:rPr>
          <w:rFonts w:hint="eastAsia" w:hAnsi="宋体" w:cs="宋体"/>
          <w:color w:val="auto"/>
          <w:sz w:val="24"/>
          <w:szCs w:val="24"/>
          <w:highlight w:val="none"/>
          <w:lang w:eastAsia="zh-CN"/>
        </w:rPr>
        <w:t>安徽合肥公共资源交易电子服务系统</w:t>
      </w:r>
      <w:r>
        <w:rPr>
          <w:rFonts w:hint="eastAsia" w:hAnsi="宋体" w:cs="宋体"/>
          <w:color w:val="auto"/>
          <w:sz w:val="24"/>
          <w:szCs w:val="24"/>
          <w:highlight w:val="none"/>
        </w:rPr>
        <w:t>获取招标文件。</w:t>
      </w:r>
    </w:p>
    <w:p w14:paraId="17759AF9">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第十一条</w:t>
      </w:r>
      <w:r>
        <w:rPr>
          <w:rFonts w:hint="eastAsia" w:hAnsi="宋体" w:cs="宋体"/>
          <w:color w:val="auto"/>
          <w:sz w:val="24"/>
          <w:szCs w:val="24"/>
          <w:highlight w:val="none"/>
        </w:rPr>
        <w:t xml:space="preserve">  澄清、修改文件应由招标人或招标代理机构通过电子服务系统在安徽合肥公共资源交易中心网站发布，投标人应及时查阅相关澄清、修改信息。</w:t>
      </w:r>
    </w:p>
    <w:p w14:paraId="40801EF1">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第十二条</w:t>
      </w:r>
      <w:r>
        <w:rPr>
          <w:rFonts w:hint="eastAsia" w:hAnsi="宋体" w:cs="宋体"/>
          <w:color w:val="auto"/>
          <w:sz w:val="24"/>
          <w:szCs w:val="24"/>
          <w:highlight w:val="none"/>
        </w:rPr>
        <w:t xml:space="preserve">  投标人应使用电子标书制作软件制作投标文件，电子标书制作软件应允许投标人离线制作投标文件，并且具备分段或整体加密、解密功能。</w:t>
      </w:r>
    </w:p>
    <w:p w14:paraId="0FA79CCE">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第十三条</w:t>
      </w:r>
      <w:r>
        <w:rPr>
          <w:rFonts w:hint="eastAsia" w:hAnsi="宋体" w:cs="宋体"/>
          <w:color w:val="auto"/>
          <w:sz w:val="24"/>
          <w:szCs w:val="24"/>
          <w:highlight w:val="none"/>
        </w:rPr>
        <w:t xml:space="preserve">  投标人必须对投标文件进行电子签章并使用数字证书加密，并于招标文件规定的投标截止时间前通过电子交易系统完成上传。</w:t>
      </w:r>
    </w:p>
    <w:p w14:paraId="5F09A89E">
      <w:pPr>
        <w:spacing w:beforeLines="0" w:afterLines="0" w:line="360" w:lineRule="auto"/>
        <w:ind w:firstLine="480" w:firstLineChars="200"/>
        <w:rPr>
          <w:rFonts w:hint="eastAsia" w:hAnsi="宋体" w:cs="宋体"/>
          <w:b/>
          <w:color w:val="auto"/>
          <w:sz w:val="24"/>
          <w:szCs w:val="24"/>
          <w:highlight w:val="none"/>
        </w:rPr>
      </w:pPr>
      <w:r>
        <w:rPr>
          <w:rFonts w:hint="eastAsia" w:hAnsi="宋体" w:cs="宋体"/>
          <w:color w:val="auto"/>
          <w:sz w:val="24"/>
          <w:szCs w:val="24"/>
          <w:highlight w:val="none"/>
        </w:rPr>
        <w:t>投标人对加密的投标文件进行撤回的，应通过电子交易系统在投标截止时间前进行撤回操作；投标人对加密的投标文件进行修改的，应在投标截止时间前完成上传。</w:t>
      </w:r>
    </w:p>
    <w:p w14:paraId="246761B1">
      <w:pPr>
        <w:spacing w:beforeLines="0" w:afterLines="0"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第十四条</w:t>
      </w:r>
      <w:r>
        <w:rPr>
          <w:rFonts w:hint="eastAsia" w:hAnsi="宋体" w:cs="宋体"/>
          <w:color w:val="auto"/>
          <w:sz w:val="24"/>
          <w:szCs w:val="24"/>
          <w:highlight w:val="none"/>
        </w:rPr>
        <w:t xml:space="preserve">  投标截止时间以电子交易系统显示的时间为准，逾期系统将自动关闭, 未完成上传的投标文件将被拒绝。</w:t>
      </w:r>
    </w:p>
    <w:p w14:paraId="64F8F875">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第十五条</w:t>
      </w:r>
      <w:r>
        <w:rPr>
          <w:rFonts w:hint="eastAsia" w:hAnsi="宋体" w:cs="宋体"/>
          <w:color w:val="auto"/>
          <w:sz w:val="24"/>
          <w:szCs w:val="24"/>
          <w:highlight w:val="none"/>
        </w:rPr>
        <w:t xml:space="preserve">  投标人在投标截止时间后按招标文件规定的解密时间完成投标文件解密，加密和解密须用同一数字证书。投标人未在招标文件规定的时间内完成解密的视为其放弃投标。</w:t>
      </w:r>
    </w:p>
    <w:p w14:paraId="6BA517B3">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招标人或招标代理机构完成解密，导入并读取所有成功解密的投标文件，电子交易系统应自动记录开标过程。</w:t>
      </w:r>
    </w:p>
    <w:p w14:paraId="5088D456">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招标文件约定须到达指定地点或线上进行演示、答辩、磋商、谈判等情形的，投标人应按照招标文件规定的时间到达指定地点或登录电子交易系统保持在线。</w:t>
      </w:r>
    </w:p>
    <w:p w14:paraId="4B3B352A">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第十六条</w:t>
      </w:r>
      <w:r>
        <w:rPr>
          <w:rFonts w:hint="eastAsia" w:hAnsi="宋体" w:cs="宋体"/>
          <w:color w:val="auto"/>
          <w:sz w:val="24"/>
          <w:szCs w:val="24"/>
          <w:highlight w:val="none"/>
        </w:rPr>
        <w:t xml:space="preserve">  未能成功解密的投标文件，如招标文件中允许使用电子光盘或U盘作为投标文件解密失败的补救方案，并且投标人在投标截止时间之前到达开标现场并成功递交，招标人或招标代理机构可导入电子光盘或U盘中非加密投标文件继续开标。若系统识别出电子光盘或U盘中未加密的投标文件和网上递交的加密投标文件识别码不一致，电子交易系统应拒绝导入。</w:t>
      </w:r>
    </w:p>
    <w:p w14:paraId="1AFED0D0">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第十七条</w:t>
      </w:r>
      <w:r>
        <w:rPr>
          <w:rFonts w:hint="eastAsia" w:hAnsi="宋体" w:cs="宋体"/>
          <w:color w:val="auto"/>
          <w:sz w:val="24"/>
          <w:szCs w:val="24"/>
          <w:highlight w:val="none"/>
        </w:rPr>
        <w:t xml:space="preserve">  招标人或招标代理机构组织评标，评标委员会依据招标文件规定的评标办法进行电子评标，并对评标结果签字或电子签名确认。</w:t>
      </w:r>
    </w:p>
    <w:p w14:paraId="2E6F36EF">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多次报价应按招标文件的要求提交。</w:t>
      </w:r>
    </w:p>
    <w:p w14:paraId="62CA8488">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第十八条</w:t>
      </w:r>
      <w:r>
        <w:rPr>
          <w:rFonts w:hint="eastAsia" w:hAnsi="宋体" w:cs="宋体"/>
          <w:color w:val="auto"/>
          <w:sz w:val="24"/>
          <w:szCs w:val="24"/>
          <w:highlight w:val="none"/>
        </w:rPr>
        <w:t xml:space="preserve">  评标委员会通过电子交易系统将需要澄清、说明或补正的内容以询标函的形式发送给投标人，投标人应登录电子交易系统并保持在线状态，以便及时接收评标委员会可能发出的询标函，并在规定时间内回复，若投标人未及时回复，视为放弃澄清、说明或补正。</w:t>
      </w:r>
    </w:p>
    <w:p w14:paraId="19A78B10">
      <w:pPr>
        <w:spacing w:beforeLines="0" w:afterLines="0"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第十九条</w:t>
      </w:r>
      <w:r>
        <w:rPr>
          <w:rFonts w:hint="eastAsia" w:hAnsi="宋体" w:cs="宋体"/>
          <w:color w:val="auto"/>
          <w:sz w:val="24"/>
          <w:szCs w:val="24"/>
          <w:highlight w:val="none"/>
        </w:rPr>
        <w:t xml:space="preserve">  评标委员会完成评标后，应通过电子交易系统提交评标报告。招标人或招标代理机构将评标报告及时交互至电子服务系统。</w:t>
      </w:r>
    </w:p>
    <w:p w14:paraId="63968155">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第二十条</w:t>
      </w:r>
      <w:r>
        <w:rPr>
          <w:rFonts w:hint="eastAsia" w:hAnsi="宋体" w:cs="宋体"/>
          <w:color w:val="auto"/>
          <w:sz w:val="24"/>
          <w:szCs w:val="24"/>
          <w:highlight w:val="none"/>
        </w:rPr>
        <w:t xml:space="preserve">  招标人或招标代理机构应通过电子服务系统在安徽合肥公共资源交易中心网站公示和公布中标候选人及中标结果。</w:t>
      </w:r>
    </w:p>
    <w:p w14:paraId="51E44883">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第二十一条</w:t>
      </w:r>
      <w:r>
        <w:rPr>
          <w:rFonts w:hint="eastAsia" w:hAnsi="宋体" w:cs="宋体"/>
          <w:color w:val="auto"/>
          <w:sz w:val="24"/>
          <w:szCs w:val="24"/>
          <w:highlight w:val="none"/>
        </w:rPr>
        <w:t xml:space="preserve">  投标人如对招标投标活动有异议（质疑），在规定时限内，可以通过电子交易系统在线提交异议（质疑）材料。投标人对招标人、招标代理机构异议（质疑）答复不满意或者招标人、招标代理机构未在规定时间内作出答复的，可以在规定时间内在线向行政监督部门提出投诉。</w:t>
      </w:r>
    </w:p>
    <w:p w14:paraId="3267EF0D">
      <w:pPr>
        <w:spacing w:beforeLines="0" w:afterLines="0"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 xml:space="preserve">第二十二条  </w:t>
      </w:r>
      <w:r>
        <w:rPr>
          <w:rFonts w:hint="eastAsia" w:hAnsi="宋体" w:cs="宋体"/>
          <w:color w:val="auto"/>
          <w:sz w:val="24"/>
          <w:szCs w:val="24"/>
          <w:highlight w:val="none"/>
        </w:rPr>
        <w:t>招标人确定中标人后，应通过电子交易系统向中标人发出中标通知书，中标通知书发出即视为送达。</w:t>
      </w:r>
      <w:r>
        <w:rPr>
          <w:rFonts w:hint="eastAsia" w:hAnsi="宋体" w:cs="宋体"/>
          <w:b/>
          <w:color w:val="auto"/>
          <w:sz w:val="24"/>
          <w:szCs w:val="24"/>
          <w:highlight w:val="none"/>
        </w:rPr>
        <w:t xml:space="preserve"> </w:t>
      </w:r>
    </w:p>
    <w:p w14:paraId="6A3435BA">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第二十三条</w:t>
      </w:r>
      <w:r>
        <w:rPr>
          <w:rFonts w:hint="eastAsia" w:hAnsi="宋体" w:cs="宋体"/>
          <w:color w:val="auto"/>
          <w:sz w:val="24"/>
          <w:szCs w:val="24"/>
          <w:highlight w:val="none"/>
        </w:rPr>
        <w:t xml:space="preserve">  出现下列情形导致电子服务系统或电子交易系统无法正常运行，影响招标投标过程的公平、公正和信息安全，经第三方机构认定后，各方当事人免责：</w:t>
      </w:r>
    </w:p>
    <w:p w14:paraId="231A3B5C">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（一）网络、服务器、数据库发生故障造成无法访问或使用的；</w:t>
      </w:r>
    </w:p>
    <w:p w14:paraId="33597B79">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（二）电力系统发生故障导致电子服务系统或电子交易系统无法运行的；</w:t>
      </w:r>
    </w:p>
    <w:p w14:paraId="5B9EAAD0">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（三）出现网络攻击、病毒入侵以及电子服务系统或电子交易系统安全漏洞导致无法正常提供服务的；</w:t>
      </w:r>
    </w:p>
    <w:p w14:paraId="50BE6C97">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（四）其他无法保证招标投标过程公平、公正和信息安全的情形。</w:t>
      </w:r>
    </w:p>
    <w:p w14:paraId="2028A14B">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第二十四条</w:t>
      </w:r>
      <w:r>
        <w:rPr>
          <w:rFonts w:hint="eastAsia" w:hAnsi="宋体" w:cs="宋体"/>
          <w:color w:val="auto"/>
          <w:sz w:val="24"/>
          <w:szCs w:val="24"/>
          <w:highlight w:val="none"/>
        </w:rPr>
        <w:t xml:space="preserve">  出现上述情形，系统建设方应及时组织相关方查明原因，排除故障。若能保证在开标前恢复系统运行的，招投标程序继续进行；若导致开评标程序无法按时开展，但能在原开标时间后1小时内恢复系统运行的，招投标程序继续进行；若导致开评标程序无法按时开展，在原开标时间后1小时内无法恢复系统运行的，按以下程序操作：</w:t>
      </w:r>
    </w:p>
    <w:p w14:paraId="16D258E3">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一）项目中止，中止期限由招标人或招标代理机构根据项目具体情况确定。中止期限届满后中止情形尚未消除的，招标人或招标代理机构可以根据实际情况决定延长中止期限。决定延长中止期限的，应向投标人发出延长中止期限通知，并在安徽合肥公共资源交易中心网站进行公布。</w:t>
      </w:r>
    </w:p>
    <w:p w14:paraId="1CCC1A9E">
      <w:pPr>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二）项目恢复，导致项目中止的情形消除后，招标人或招标代理机构应当尽快恢复招投标程序，向投标人发出恢复交易通知，并在安徽合肥公共资源交易中心网站进行公布；已发出延长中止期限通知的，按通知执行。</w:t>
      </w:r>
    </w:p>
    <w:p w14:paraId="6F3E048A">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第二十五条</w:t>
      </w:r>
      <w:r>
        <w:rPr>
          <w:rFonts w:hint="eastAsia" w:hAnsi="宋体" w:cs="宋体"/>
          <w:color w:val="auto"/>
          <w:sz w:val="24"/>
          <w:szCs w:val="24"/>
          <w:highlight w:val="none"/>
        </w:rPr>
        <w:t xml:space="preserve">  在招标文件规定的解密时间内出现第二十三条规定的意外情形时，如部分投标人未完成投标文件解密的，系统恢复后，允许投标人继续解密，解密时限重新计时；在规定的解密时间外出现上述情况的，系统恢复后，除原已解密文件无法恢复外，将不再允许未解密的投标人进行解密。</w:t>
      </w:r>
    </w:p>
    <w:p w14:paraId="5F2B9958">
      <w:pPr>
        <w:spacing w:beforeLines="0" w:afterLines="0" w:line="360" w:lineRule="auto"/>
        <w:ind w:firstLine="482" w:firstLineChars="200"/>
        <w:rPr>
          <w:rFonts w:hint="eastAsia" w:hAnsi="宋体" w:cs="宋体"/>
          <w:color w:val="auto"/>
          <w:sz w:val="24"/>
          <w:szCs w:val="24"/>
          <w:highlight w:val="none"/>
        </w:rPr>
      </w:pPr>
      <w:r>
        <w:rPr>
          <w:rFonts w:hint="eastAsia" w:hAnsi="宋体" w:cs="宋体"/>
          <w:b/>
          <w:color w:val="auto"/>
          <w:sz w:val="24"/>
          <w:szCs w:val="24"/>
          <w:highlight w:val="none"/>
        </w:rPr>
        <w:t>第二十六条</w:t>
      </w:r>
      <w:r>
        <w:rPr>
          <w:rFonts w:hint="eastAsia" w:hAnsi="宋体" w:cs="宋体"/>
          <w:color w:val="auto"/>
          <w:sz w:val="24"/>
          <w:szCs w:val="24"/>
          <w:highlight w:val="none"/>
        </w:rPr>
        <w:t xml:space="preserve">  本规程由合肥市公共资源交易监督管理局负责解释。</w:t>
      </w:r>
    </w:p>
    <w:p w14:paraId="487919CB">
      <w:pPr>
        <w:spacing w:beforeLines="0" w:afterLines="0"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第二十七条</w:t>
      </w:r>
      <w:r>
        <w:rPr>
          <w:rFonts w:hint="eastAsia" w:hAnsi="宋体" w:cs="宋体"/>
          <w:color w:val="auto"/>
          <w:sz w:val="24"/>
          <w:szCs w:val="24"/>
          <w:highlight w:val="none"/>
        </w:rPr>
        <w:t xml:space="preserve">  本规程自发布之日起施行，有效期2年。原《合肥市公共资源交易电子招标投标操作规程》（合公法〔2020〕16号）同时废止。</w:t>
      </w:r>
    </w:p>
    <w:p w14:paraId="5B38D1C4">
      <w:pPr>
        <w:pStyle w:val="2"/>
        <w:spacing w:before="240" w:beforeLines="100" w:after="240" w:afterLines="100" w:line="240" w:lineRule="auto"/>
        <w:jc w:val="center"/>
        <w:rPr>
          <w:rFonts w:hint="eastAsia" w:ascii="Times New Roman"/>
          <w:color w:val="auto"/>
          <w:sz w:val="32"/>
          <w:szCs w:val="44"/>
          <w:highlight w:val="none"/>
        </w:rPr>
      </w:pPr>
      <w:r>
        <w:rPr>
          <w:rFonts w:hint="eastAsia" w:ascii="Times New Roman"/>
          <w:color w:val="auto"/>
          <w:sz w:val="32"/>
          <w:szCs w:val="44"/>
          <w:highlight w:val="none"/>
        </w:rPr>
        <w:br w:type="page"/>
      </w:r>
      <w:bookmarkStart w:id="296" w:name="_Toc28924"/>
      <w:r>
        <w:rPr>
          <w:rFonts w:hint="eastAsia" w:ascii="Times New Roman"/>
          <w:color w:val="auto"/>
          <w:sz w:val="32"/>
          <w:szCs w:val="44"/>
          <w:highlight w:val="none"/>
        </w:rPr>
        <w:t>第三章  评标办法</w:t>
      </w:r>
      <w:bookmarkEnd w:id="296"/>
    </w:p>
    <w:p w14:paraId="5A7AE2BE">
      <w:pPr>
        <w:pStyle w:val="2"/>
        <w:spacing w:before="240" w:beforeLines="100" w:after="240" w:afterLines="100" w:line="240" w:lineRule="auto"/>
        <w:jc w:val="center"/>
        <w:rPr>
          <w:rFonts w:hint="eastAsia" w:ascii="Times New Roman"/>
          <w:color w:val="auto"/>
          <w:sz w:val="32"/>
          <w:szCs w:val="44"/>
          <w:highlight w:val="none"/>
        </w:rPr>
      </w:pPr>
      <w:bookmarkStart w:id="297" w:name="_Toc14364"/>
      <w:r>
        <w:rPr>
          <w:rFonts w:hint="eastAsia" w:ascii="Times New Roman"/>
          <w:color w:val="auto"/>
          <w:sz w:val="32"/>
          <w:szCs w:val="44"/>
          <w:highlight w:val="none"/>
        </w:rPr>
        <w:t>合理价格法（动态合理价格法I）</w:t>
      </w:r>
      <w:bookmarkEnd w:id="297"/>
    </w:p>
    <w:p w14:paraId="32A4D2B7">
      <w:pPr>
        <w:spacing w:before="240" w:beforeLines="100" w:after="240" w:afterLines="100"/>
        <w:jc w:val="center"/>
        <w:outlineLvl w:val="1"/>
        <w:rPr>
          <w:rFonts w:hint="eastAsia" w:ascii="Times New Roman" w:eastAsia="黑体"/>
          <w:color w:val="auto"/>
          <w:sz w:val="32"/>
          <w:szCs w:val="32"/>
          <w:highlight w:val="none"/>
        </w:rPr>
      </w:pPr>
      <w:bookmarkStart w:id="298" w:name="_Toc1381"/>
      <w:r>
        <w:rPr>
          <w:rFonts w:hint="eastAsia" w:ascii="Times New Roman" w:eastAsia="黑体"/>
          <w:color w:val="auto"/>
          <w:sz w:val="32"/>
          <w:szCs w:val="32"/>
          <w:highlight w:val="none"/>
        </w:rPr>
        <w:t>评标办法前附表</w:t>
      </w:r>
      <w:bookmarkEnd w:id="298"/>
    </w:p>
    <w:tbl>
      <w:tblPr>
        <w:tblStyle w:val="17"/>
        <w:tblW w:w="503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1"/>
        <w:gridCol w:w="1611"/>
        <w:gridCol w:w="5469"/>
      </w:tblGrid>
      <w:tr w14:paraId="24E7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7CE192">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b/>
                <w:color w:val="auto"/>
                <w:sz w:val="24"/>
                <w:szCs w:val="24"/>
                <w:highlight w:val="none"/>
              </w:rPr>
              <w:t>条款号</w:t>
            </w:r>
          </w:p>
        </w:tc>
        <w:tc>
          <w:tcPr>
            <w:tcW w:w="9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BAC185">
            <w:pPr>
              <w:widowControl/>
              <w:spacing w:beforeLines="0" w:afterLines="0" w:line="360" w:lineRule="auto"/>
              <w:ind w:firstLine="120" w:firstLineChars="50"/>
              <w:jc w:val="center"/>
              <w:rPr>
                <w:rFonts w:hint="eastAsia" w:ascii="Times New Roman" w:cs="宋体"/>
                <w:color w:val="auto"/>
                <w:sz w:val="24"/>
                <w:szCs w:val="24"/>
                <w:highlight w:val="none"/>
              </w:rPr>
            </w:pPr>
            <w:r>
              <w:rPr>
                <w:rFonts w:hint="eastAsia" w:ascii="Times New Roman" w:cs="宋体"/>
                <w:b/>
                <w:color w:val="auto"/>
                <w:sz w:val="24"/>
                <w:szCs w:val="24"/>
                <w:highlight w:val="none"/>
              </w:rPr>
              <w:t>评审因素</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8B8F67">
            <w:pPr>
              <w:widowControl/>
              <w:spacing w:beforeLines="0" w:afterLines="0" w:line="360" w:lineRule="auto"/>
              <w:ind w:firstLine="120" w:firstLineChars="50"/>
              <w:jc w:val="center"/>
              <w:rPr>
                <w:rFonts w:hint="eastAsia" w:ascii="Times New Roman" w:cs="宋体"/>
                <w:color w:val="auto"/>
                <w:sz w:val="24"/>
                <w:szCs w:val="24"/>
                <w:highlight w:val="none"/>
              </w:rPr>
            </w:pPr>
            <w:r>
              <w:rPr>
                <w:rFonts w:hint="eastAsia" w:ascii="Times New Roman" w:cs="宋体"/>
                <w:b/>
                <w:color w:val="auto"/>
                <w:sz w:val="24"/>
                <w:szCs w:val="24"/>
                <w:highlight w:val="none"/>
              </w:rPr>
              <w:t>评审标准</w:t>
            </w:r>
          </w:p>
        </w:tc>
      </w:tr>
      <w:tr w14:paraId="7941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9000C8">
            <w:pPr>
              <w:widowControl/>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eastAsia="Times New Roman" w:cs="宋体"/>
                <w:color w:val="auto"/>
                <w:sz w:val="24"/>
                <w:szCs w:val="24"/>
                <w:highlight w:val="none"/>
              </w:rPr>
              <w:t>1.3</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1B6E28A">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中标候选人排序方法</w:t>
            </w:r>
          </w:p>
        </w:tc>
        <w:tc>
          <w:tcPr>
            <w:tcW w:w="326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2E428B7">
            <w:pPr>
              <w:widowControl/>
              <w:adjustRightInd w:val="0"/>
              <w:snapToGrid w:val="0"/>
              <w:spacing w:beforeLines="0" w:afterLines="0" w:line="360" w:lineRule="auto"/>
              <w:ind w:firstLine="480" w:firstLineChars="200"/>
              <w:jc w:val="left"/>
              <w:rPr>
                <w:rFonts w:hint="eastAsia" w:ascii="Times New Roman" w:cs="宋体"/>
                <w:color w:val="auto"/>
                <w:sz w:val="24"/>
                <w:szCs w:val="24"/>
                <w:highlight w:val="none"/>
              </w:rPr>
            </w:pPr>
            <w:r>
              <w:rPr>
                <w:rFonts w:hint="eastAsia" w:ascii="Times New Roman" w:cs="宋体"/>
                <w:color w:val="auto"/>
                <w:sz w:val="24"/>
                <w:szCs w:val="24"/>
                <w:highlight w:val="none"/>
              </w:rPr>
              <w:t>最终总得分相等时，评标委员会应按照以下优先顺序确定中标候选人顺序：</w:t>
            </w:r>
          </w:p>
          <w:p w14:paraId="68FB1DB9">
            <w:pPr>
              <w:widowControl/>
              <w:adjustRightInd w:val="0"/>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（1）项目经理视频陈述</w:t>
            </w:r>
            <w:r>
              <w:rPr>
                <w:rFonts w:hint="eastAsia" w:hAnsi="宋体"/>
                <w:color w:val="auto"/>
                <w:kern w:val="1"/>
                <w:sz w:val="24"/>
                <w:szCs w:val="24"/>
                <w:highlight w:val="none"/>
                <w:lang w:bidi="ar"/>
              </w:rPr>
              <w:t>及答辩</w:t>
            </w:r>
            <w:r>
              <w:rPr>
                <w:rFonts w:hint="eastAsia" w:ascii="Times New Roman" w:cs="宋体"/>
                <w:color w:val="auto"/>
                <w:sz w:val="24"/>
                <w:szCs w:val="24"/>
                <w:highlight w:val="none"/>
              </w:rPr>
              <w:t>得分高的优先；</w:t>
            </w:r>
          </w:p>
          <w:p w14:paraId="65B16256">
            <w:pPr>
              <w:widowControl/>
              <w:adjustRightInd w:val="0"/>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（2）投标报价低的优先；</w:t>
            </w:r>
          </w:p>
          <w:p w14:paraId="271BEA54">
            <w:pPr>
              <w:widowControl/>
              <w:adjustRightInd w:val="0"/>
              <w:snapToGrid w:val="0"/>
              <w:spacing w:beforeLines="0" w:afterLines="0" w:line="360" w:lineRule="auto"/>
              <w:ind w:firstLine="480" w:firstLineChars="200"/>
              <w:jc w:val="left"/>
              <w:rPr>
                <w:rFonts w:hint="eastAsia" w:ascii="Times New Roman" w:cs="宋体"/>
                <w:color w:val="auto"/>
                <w:sz w:val="24"/>
                <w:szCs w:val="24"/>
                <w:highlight w:val="none"/>
              </w:rPr>
            </w:pPr>
            <w:r>
              <w:rPr>
                <w:rFonts w:hint="eastAsia" w:ascii="Calibri" w:hAnsi="Calibri"/>
                <w:color w:val="auto"/>
                <w:sz w:val="24"/>
                <w:szCs w:val="21"/>
                <w:highlight w:val="none"/>
              </w:rPr>
              <w:t>按照招标文件的评审方法确定中标候选人，如按照招标文件无法确定中标候选人，由评标委员会少数服从多数的原则投票确定中标候选人。</w:t>
            </w:r>
          </w:p>
        </w:tc>
      </w:tr>
      <w:tr w14:paraId="0D57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161A63">
            <w:pPr>
              <w:widowControl/>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1.4</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12E7C96">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推荐中标候选人先后顺序</w:t>
            </w:r>
          </w:p>
        </w:tc>
        <w:tc>
          <w:tcPr>
            <w:tcW w:w="326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4919381E">
            <w:pPr>
              <w:widowControl/>
              <w:spacing w:beforeLines="0" w:afterLines="0" w:line="360" w:lineRule="auto"/>
              <w:jc w:val="left"/>
              <w:rPr>
                <w:rFonts w:hint="eastAsia" w:ascii="Times New Roman" w:cs="宋体"/>
                <w:snapToGrid w:val="0"/>
                <w:color w:val="auto"/>
                <w:sz w:val="24"/>
                <w:szCs w:val="24"/>
                <w:highlight w:val="none"/>
              </w:rPr>
            </w:pPr>
            <w:r>
              <w:rPr>
                <w:rFonts w:hint="eastAsia" w:ascii="Times New Roman" w:cs="宋体"/>
                <w:color w:val="auto"/>
                <w:sz w:val="24"/>
                <w:szCs w:val="24"/>
                <w:highlight w:val="none"/>
                <w:u w:val="single"/>
              </w:rPr>
              <w:t xml:space="preserve">   /   </w:t>
            </w:r>
          </w:p>
        </w:tc>
      </w:tr>
      <w:tr w14:paraId="3F2A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CD1E58">
            <w:pPr>
              <w:widowControl/>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1.4</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4A8D1093">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最多可中标段数量</w:t>
            </w:r>
          </w:p>
        </w:tc>
        <w:tc>
          <w:tcPr>
            <w:tcW w:w="326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5908535">
            <w:pPr>
              <w:widowControl/>
              <w:spacing w:beforeLines="0" w:afterLines="0" w:line="360" w:lineRule="auto"/>
              <w:jc w:val="left"/>
              <w:rPr>
                <w:rFonts w:hint="eastAsia" w:ascii="Times New Roman" w:eastAsia="Times New Roman" w:cs="宋体"/>
                <w:color w:val="auto"/>
                <w:sz w:val="24"/>
                <w:szCs w:val="24"/>
                <w:highlight w:val="none"/>
              </w:rPr>
            </w:pPr>
            <w:r>
              <w:rPr>
                <w:rFonts w:hint="eastAsia" w:ascii="Times New Roman" w:cs="宋体"/>
                <w:color w:val="auto"/>
                <w:sz w:val="24"/>
                <w:szCs w:val="24"/>
                <w:highlight w:val="none"/>
                <w:u w:val="single"/>
              </w:rPr>
              <w:t>本项目不分多个标段</w:t>
            </w:r>
          </w:p>
        </w:tc>
      </w:tr>
      <w:tr w14:paraId="61EB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615D66">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2.1</w:t>
            </w:r>
          </w:p>
        </w:tc>
        <w:tc>
          <w:tcPr>
            <w:tcW w:w="1611" w:type="dxa"/>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0D6E05A">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初步评审标准</w:t>
            </w:r>
          </w:p>
        </w:tc>
        <w:tc>
          <w:tcPr>
            <w:tcW w:w="5469" w:type="dxa"/>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A2F80EB">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见“商务文件初步评审标准”表、“报价文件初步评审标准”表、“技术文件初步评审标准”表。</w:t>
            </w:r>
          </w:p>
        </w:tc>
      </w:tr>
      <w:tr w14:paraId="2403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2BB70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2.2.1</w:t>
            </w:r>
          </w:p>
        </w:tc>
        <w:tc>
          <w:tcPr>
            <w:tcW w:w="1611" w:type="dxa"/>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8E3660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分值构成</w:t>
            </w:r>
          </w:p>
          <w:p w14:paraId="46C63324">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w:t>
            </w:r>
            <w:r>
              <w:rPr>
                <w:rFonts w:hint="eastAsia" w:ascii="Times New Roman" w:cs="宋体"/>
                <w:color w:val="auto"/>
                <w:sz w:val="24"/>
                <w:szCs w:val="24"/>
                <w:highlight w:val="none"/>
                <w:u w:val="single"/>
              </w:rPr>
              <w:t>15</w:t>
            </w:r>
            <w:r>
              <w:rPr>
                <w:rFonts w:hint="eastAsia" w:ascii="Times New Roman" w:cs="宋体"/>
                <w:color w:val="auto"/>
                <w:sz w:val="24"/>
                <w:szCs w:val="24"/>
                <w:highlight w:val="none"/>
              </w:rPr>
              <w:t>分）</w:t>
            </w:r>
          </w:p>
        </w:tc>
        <w:tc>
          <w:tcPr>
            <w:tcW w:w="5469" w:type="dxa"/>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67182F7">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技术文件：</w:t>
            </w:r>
            <w:r>
              <w:rPr>
                <w:rFonts w:hint="eastAsia" w:ascii="Times New Roman" w:cs="宋体"/>
                <w:color w:val="auto"/>
                <w:sz w:val="24"/>
                <w:szCs w:val="24"/>
                <w:highlight w:val="none"/>
                <w:u w:val="single"/>
              </w:rPr>
              <w:t>10</w:t>
            </w:r>
            <w:r>
              <w:rPr>
                <w:rFonts w:hint="eastAsia" w:ascii="Times New Roman" w:cs="宋体"/>
                <w:color w:val="auto"/>
                <w:sz w:val="24"/>
                <w:szCs w:val="24"/>
                <w:highlight w:val="none"/>
              </w:rPr>
              <w:t>分</w:t>
            </w:r>
          </w:p>
          <w:p w14:paraId="25A3CC99">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报价文件：</w:t>
            </w:r>
            <w:r>
              <w:rPr>
                <w:rFonts w:hint="eastAsia" w:ascii="Times New Roman" w:cs="宋体"/>
                <w:color w:val="auto"/>
                <w:sz w:val="24"/>
                <w:szCs w:val="24"/>
                <w:highlight w:val="none"/>
                <w:u w:val="single"/>
              </w:rPr>
              <w:t>5</w:t>
            </w:r>
            <w:r>
              <w:rPr>
                <w:rFonts w:hint="eastAsia" w:ascii="Times New Roman" w:cs="宋体"/>
                <w:color w:val="auto"/>
                <w:sz w:val="24"/>
                <w:szCs w:val="24"/>
                <w:highlight w:val="none"/>
              </w:rPr>
              <w:t>分</w:t>
            </w:r>
          </w:p>
        </w:tc>
      </w:tr>
      <w:tr w14:paraId="29C2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C5B23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2.2</w:t>
            </w:r>
            <w:r>
              <w:rPr>
                <w:rFonts w:hint="eastAsia" w:ascii="Times New Roman" w:eastAsia="Times New Roman" w:cs="宋体"/>
                <w:color w:val="auto"/>
                <w:sz w:val="24"/>
                <w:szCs w:val="24"/>
                <w:highlight w:val="none"/>
              </w:rPr>
              <w:t>.2</w:t>
            </w:r>
          </w:p>
        </w:tc>
        <w:tc>
          <w:tcPr>
            <w:tcW w:w="1611" w:type="dxa"/>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FA93018">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详细评审标准</w:t>
            </w:r>
          </w:p>
        </w:tc>
        <w:tc>
          <w:tcPr>
            <w:tcW w:w="5469" w:type="dxa"/>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4996D562">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见“详细评审标准”表。</w:t>
            </w:r>
          </w:p>
        </w:tc>
      </w:tr>
      <w:tr w14:paraId="3FD0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9A3823">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3.1</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5CA2A0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有效值计算方法</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EAC91F">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规定降幅M值：</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18</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2031CCC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见附件1。</w:t>
            </w:r>
          </w:p>
        </w:tc>
      </w:tr>
      <w:tr w14:paraId="0562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3EA978">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3.2.2</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F9538BA">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商务文件初步评审选择规则</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941A8B">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见附件2。</w:t>
            </w:r>
          </w:p>
        </w:tc>
      </w:tr>
      <w:tr w14:paraId="6E2A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B5C86D">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w:t>
            </w:r>
            <w:r>
              <w:rPr>
                <w:rFonts w:hint="eastAsia" w:ascii="Times New Roman" w:eastAsia="Times New Roman" w:cs="宋体"/>
                <w:color w:val="auto"/>
                <w:sz w:val="24"/>
                <w:szCs w:val="24"/>
                <w:highlight w:val="none"/>
              </w:rPr>
              <w:t>.3.6</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4FC6D42">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报价文件初步评审选择规则</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119719">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见附件2。</w:t>
            </w:r>
          </w:p>
        </w:tc>
      </w:tr>
      <w:tr w14:paraId="0743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AC214D">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3.4.2</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4C01F79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技术文件初步评审选择规则</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2BA58">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见附件2。</w:t>
            </w:r>
          </w:p>
        </w:tc>
      </w:tr>
      <w:tr w14:paraId="330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67F441">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3.5.1</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33421AF">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技术文件详细评审选择规则</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6172FE">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见附件2。</w:t>
            </w:r>
          </w:p>
        </w:tc>
      </w:tr>
      <w:tr w14:paraId="140C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F8A57A">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3.7.2</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61EC59B">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否决投标的其他情形</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E98FA4">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见附件3。</w:t>
            </w:r>
          </w:p>
        </w:tc>
      </w:tr>
      <w:tr w14:paraId="33B7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AF5750">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3.7.3</w:t>
            </w:r>
          </w:p>
        </w:tc>
        <w:tc>
          <w:tcPr>
            <w:tcW w:w="962"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701A3D5">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异常低价评审</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917FDF">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A3"/>
            </w:r>
            <w:r>
              <w:rPr>
                <w:rFonts w:hint="eastAsia" w:ascii="Times New Roman" w:cs="宋体"/>
                <w:color w:val="auto"/>
                <w:sz w:val="24"/>
                <w:szCs w:val="24"/>
                <w:highlight w:val="none"/>
              </w:rPr>
              <w:t>不执行</w:t>
            </w:r>
          </w:p>
          <w:p w14:paraId="40A610E1">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sym w:font="Wingdings 2" w:char="0052"/>
            </w:r>
            <w:r>
              <w:rPr>
                <w:rFonts w:hint="eastAsia" w:ascii="Times New Roman" w:cs="宋体"/>
                <w:color w:val="auto"/>
                <w:sz w:val="24"/>
                <w:szCs w:val="24"/>
                <w:highlight w:val="none"/>
              </w:rPr>
              <w:t>执行，异常低价规定指标：</w:t>
            </w:r>
            <w:r>
              <w:rPr>
                <w:rFonts w:hint="eastAsia" w:ascii="Times New Roman" w:cs="宋体"/>
                <w:color w:val="auto"/>
                <w:sz w:val="24"/>
                <w:szCs w:val="24"/>
                <w:highlight w:val="none"/>
                <w:u w:val="single"/>
              </w:rPr>
              <w:t xml:space="preserve">   8</w:t>
            </w:r>
            <w:r>
              <w:rPr>
                <w:rFonts w:hint="eastAsia" w:ascii="Times New Roman" w:cs="宋体"/>
                <w:color w:val="auto"/>
                <w:sz w:val="24"/>
                <w:szCs w:val="24"/>
                <w:highlight w:val="none"/>
                <w:u w:val="single"/>
                <w:lang w:val="en-US" w:eastAsia="zh-CN"/>
              </w:rPr>
              <w:t>0</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，具体见附件4。</w:t>
            </w:r>
          </w:p>
        </w:tc>
      </w:tr>
      <w:tr w14:paraId="1ADD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291" w:type="dxa"/>
            <w:tcBorders>
              <w:top w:val="single" w:color="auto" w:sz="4" w:space="0"/>
              <w:left w:val="single" w:color="auto" w:sz="4" w:space="0"/>
              <w:bottom w:val="single" w:color="auto" w:sz="4" w:space="0"/>
              <w:right w:val="single" w:color="auto" w:sz="4" w:space="0"/>
              <w:tl2br w:val="nil"/>
              <w:tr2bl w:val="nil"/>
            </w:tcBorders>
            <w:noWrap w:val="0"/>
            <w:vAlign w:val="top"/>
          </w:tcPr>
          <w:p w14:paraId="20FF2338">
            <w:pPr>
              <w:keepNext w:val="0"/>
              <w:keepLines w:val="0"/>
              <w:widowControl/>
              <w:suppressLineNumbers w:val="0"/>
              <w:jc w:val="left"/>
              <w:rPr>
                <w:rFonts w:hint="eastAsia" w:ascii="Times New Roman" w:cs="宋体"/>
                <w:color w:val="auto"/>
                <w:sz w:val="24"/>
                <w:szCs w:val="24"/>
                <w:highlight w:val="none"/>
              </w:rPr>
            </w:pPr>
            <w:r>
              <w:rPr>
                <w:rFonts w:hint="eastAsia" w:ascii="宋体" w:hAnsi="宋体" w:cs="宋体"/>
                <w:b w:val="0"/>
                <w:bCs w:val="0"/>
                <w:i w:val="0"/>
                <w:iCs w:val="0"/>
                <w:caps w:val="0"/>
                <w:color w:val="auto"/>
                <w:spacing w:val="0"/>
                <w:sz w:val="24"/>
                <w:szCs w:val="24"/>
                <w:highlight w:val="none"/>
                <w:shd w:val="clear" w:color="auto" w:fill="FFFFFF"/>
                <w:vertAlign w:val="baseline"/>
                <w:lang w:val="en-US" w:eastAsia="zh-CN"/>
              </w:rPr>
              <w:t>3.8.2</w:t>
            </w:r>
          </w:p>
        </w:tc>
        <w:tc>
          <w:tcPr>
            <w:tcW w:w="1611" w:type="dxa"/>
            <w:tcBorders>
              <w:top w:val="single" w:color="auto" w:sz="4" w:space="0"/>
              <w:left w:val="single" w:color="auto" w:sz="4" w:space="0"/>
              <w:bottom w:val="single" w:color="auto" w:sz="4" w:space="0"/>
              <w:right w:val="single" w:color="auto" w:sz="4" w:space="0"/>
              <w:tl2br w:val="nil"/>
              <w:tr2bl w:val="nil"/>
            </w:tcBorders>
            <w:noWrap w:val="0"/>
            <w:tcMar>
              <w:left w:w="75" w:type="dxa"/>
            </w:tcMar>
            <w:vAlign w:val="top"/>
          </w:tcPr>
          <w:p w14:paraId="6D305531">
            <w:pPr>
              <w:keepNext w:val="0"/>
              <w:keepLines w:val="0"/>
              <w:widowControl/>
              <w:suppressLineNumbers w:val="0"/>
              <w:jc w:val="left"/>
              <w:rPr>
                <w:rFonts w:hint="eastAsia" w:ascii="Times New Roman" w:cs="宋体"/>
                <w:color w:val="auto"/>
                <w:sz w:val="24"/>
                <w:szCs w:val="24"/>
                <w:highlight w:val="none"/>
              </w:rPr>
            </w:pP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拟推荐中标候选人的注册建造师</w:t>
            </w:r>
          </w:p>
        </w:tc>
        <w:tc>
          <w:tcPr>
            <w:tcW w:w="3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590C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评标委员会仅通过“全国建筑市场监管公共服务平台(四库一平台)”(https://jzsc.mohurd.gov.cn)对拟推荐中标候选人的注册建造师专业、数量进行查询核对</w:t>
            </w:r>
            <w:r>
              <w:rPr>
                <w:rFonts w:hint="eastAsia" w:ascii="宋体" w:hAnsi="宋体" w:cs="宋体"/>
                <w:b w:val="0"/>
                <w:bCs w:val="0"/>
                <w:i w:val="0"/>
                <w:iCs w:val="0"/>
                <w:caps w:val="0"/>
                <w:color w:val="auto"/>
                <w:spacing w:val="0"/>
                <w:sz w:val="24"/>
                <w:szCs w:val="24"/>
                <w:highlight w:val="none"/>
                <w:shd w:val="clear" w:color="auto" w:fill="FFFFFF"/>
                <w:vertAlign w:val="baseline"/>
                <w:lang w:val="en-US" w:eastAsia="zh-CN"/>
              </w:rPr>
              <w:t>，</w:t>
            </w:r>
            <w:r>
              <w:rPr>
                <w:rFonts w:hint="default" w:ascii="宋体" w:hAnsi="宋体" w:eastAsia="宋体" w:cs="宋体"/>
                <w:b w:val="0"/>
                <w:bCs w:val="0"/>
                <w:i w:val="0"/>
                <w:iCs w:val="0"/>
                <w:caps w:val="0"/>
                <w:color w:val="auto"/>
                <w:spacing w:val="0"/>
                <w:sz w:val="24"/>
                <w:szCs w:val="24"/>
                <w:highlight w:val="none"/>
                <w:shd w:val="clear" w:color="auto" w:fill="FFFFFF"/>
                <w:vertAlign w:val="baseline"/>
                <w:lang w:val="en-US" w:eastAsia="zh-CN"/>
              </w:rPr>
              <w:t>并将查询截图及查询结果在评标报告中予以记录</w:t>
            </w:r>
            <w:r>
              <w:rPr>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。对应资质要求的</w:t>
            </w:r>
            <w:r>
              <w:rPr>
                <w:rFonts w:hint="eastAsia" w:ascii="宋体" w:hAnsi="宋体" w:cs="宋体"/>
                <w:b w:val="0"/>
                <w:bCs w:val="0"/>
                <w:i w:val="0"/>
                <w:iCs w:val="0"/>
                <w:caps w:val="0"/>
                <w:color w:val="auto"/>
                <w:spacing w:val="0"/>
                <w:sz w:val="24"/>
                <w:szCs w:val="24"/>
                <w:highlight w:val="none"/>
                <w:shd w:val="clear" w:color="auto" w:fill="FFFFFF"/>
                <w:vertAlign w:val="baseline"/>
                <w:lang w:val="en-US" w:eastAsia="zh-CN"/>
              </w:rPr>
              <w:t>注册</w:t>
            </w:r>
            <w:r>
              <w:rPr>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建造师专业、数量如下：</w:t>
            </w:r>
          </w:p>
          <w:p w14:paraId="017ABF32">
            <w:pPr>
              <w:keepNext w:val="0"/>
              <w:keepLines w:val="0"/>
              <w:widowControl/>
              <w:suppressLineNumbers w:val="0"/>
              <w:spacing w:line="360" w:lineRule="auto"/>
              <w:ind w:firstLine="482" w:firstLineChars="200"/>
              <w:jc w:val="left"/>
              <w:rPr>
                <w:rFonts w:hint="eastAsia" w:ascii="Times New Roman" w:hAnsi="Times New Roman" w:eastAsia="宋体"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建筑工程施工总承包资质对应资质要求的建造师数量如下：</w:t>
            </w:r>
          </w:p>
          <w:p w14:paraId="67361033">
            <w:pPr>
              <w:keepNext w:val="0"/>
              <w:keepLines w:val="0"/>
              <w:widowControl/>
              <w:numPr>
                <w:ilvl w:val="0"/>
                <w:numId w:val="4"/>
              </w:numPr>
              <w:suppressLineNumbers w:val="0"/>
              <w:spacing w:line="360" w:lineRule="auto"/>
              <w:ind w:left="0" w:leftChars="0" w:firstLine="482" w:firstLineChars="200"/>
              <w:jc w:val="left"/>
              <w:rPr>
                <w:rFonts w:hint="eastAsia" w:ascii="Times New Roman" w:hAnsi="Times New Roman" w:eastAsia="宋体"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建筑工程施工总承包特级资质企业：注册一级建造师50人以上。</w:t>
            </w:r>
          </w:p>
          <w:p w14:paraId="5699AD7A">
            <w:pPr>
              <w:keepNext w:val="0"/>
              <w:keepLines w:val="0"/>
              <w:widowControl/>
              <w:numPr>
                <w:ilvl w:val="0"/>
                <w:numId w:val="4"/>
              </w:numPr>
              <w:suppressLineNumbers w:val="0"/>
              <w:spacing w:line="360" w:lineRule="auto"/>
              <w:ind w:left="0" w:leftChars="0" w:firstLine="482" w:firstLineChars="200"/>
              <w:jc w:val="left"/>
              <w:rPr>
                <w:rFonts w:hint="eastAsia" w:ascii="Times New Roman" w:hAnsi="Times New Roman" w:eastAsia="宋体"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建筑工程施工总承包一级资质企业：建筑工程、机电工程专业一级注册建造师合计不少于12人，其中建筑工程专业一级注册建造师不少于9人。</w:t>
            </w:r>
          </w:p>
          <w:p w14:paraId="1AE86EF6">
            <w:pPr>
              <w:keepNext w:val="0"/>
              <w:keepLines w:val="0"/>
              <w:widowControl/>
              <w:numPr>
                <w:ilvl w:val="0"/>
                <w:numId w:val="4"/>
              </w:numPr>
              <w:suppressLineNumbers w:val="0"/>
              <w:spacing w:line="360" w:lineRule="auto"/>
              <w:ind w:left="0" w:leftChars="0" w:firstLine="482" w:firstLineChars="200"/>
              <w:jc w:val="left"/>
              <w:rPr>
                <w:rFonts w:hint="eastAsia" w:ascii="Times New Roman" w:hAnsi="Times New Roman" w:eastAsia="宋体"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建筑工程施工总承包二级、三级资质企业：建筑工程、机电工程专业注册建造师合计不少于5人，其中建筑工程专业注册建造师不少于4人。</w:t>
            </w:r>
          </w:p>
          <w:p w14:paraId="2BAB62BD">
            <w:pPr>
              <w:keepNext w:val="0"/>
              <w:keepLines w:val="0"/>
              <w:widowControl/>
              <w:suppressLineNumbers w:val="0"/>
              <w:spacing w:line="360" w:lineRule="auto"/>
              <w:ind w:firstLine="482" w:firstLineChars="200"/>
              <w:jc w:val="left"/>
              <w:rPr>
                <w:rFonts w:hint="eastAsia" w:ascii="Times New Roman"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市政公用工程施工总承包资质对应资质要求的建造师数量如下：</w:t>
            </w:r>
            <w:r>
              <w:rPr>
                <w:rFonts w:hint="eastAsia" w:ascii="Times New Roman" w:cs="宋体"/>
                <w:b/>
                <w:bCs w:val="0"/>
                <w:color w:val="auto"/>
                <w:sz w:val="24"/>
                <w:szCs w:val="24"/>
                <w:highlight w:val="none"/>
                <w:u w:val="none"/>
                <w:lang w:val="en-US" w:eastAsia="zh-CN"/>
              </w:rPr>
              <w:t xml:space="preserve"> </w:t>
            </w:r>
          </w:p>
          <w:p w14:paraId="7BA8F2E9">
            <w:pPr>
              <w:keepNext w:val="0"/>
              <w:keepLines w:val="0"/>
              <w:widowControl/>
              <w:numPr>
                <w:ilvl w:val="0"/>
                <w:numId w:val="5"/>
              </w:numPr>
              <w:suppressLineNumbers w:val="0"/>
              <w:spacing w:line="360" w:lineRule="auto"/>
              <w:ind w:left="0" w:leftChars="0" w:firstLine="400" w:firstLineChars="0"/>
              <w:jc w:val="left"/>
              <w:rPr>
                <w:rFonts w:hint="eastAsia" w:ascii="Times New Roman" w:hAnsi="Times New Roman" w:eastAsia="宋体"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市政公用工程施工总承包特级资质企业：注册一级建造师50人以上。</w:t>
            </w:r>
          </w:p>
          <w:p w14:paraId="2FBA9E76">
            <w:pPr>
              <w:keepNext w:val="0"/>
              <w:keepLines w:val="0"/>
              <w:widowControl/>
              <w:numPr>
                <w:ilvl w:val="0"/>
                <w:numId w:val="5"/>
              </w:numPr>
              <w:suppressLineNumbers w:val="0"/>
              <w:spacing w:line="360" w:lineRule="auto"/>
              <w:ind w:left="0" w:leftChars="0" w:firstLine="400" w:firstLineChars="0"/>
              <w:jc w:val="left"/>
              <w:rPr>
                <w:rFonts w:hint="eastAsia" w:ascii="Times New Roman" w:hAnsi="Times New Roman" w:eastAsia="宋体"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市政公用工程施工总承包壹级资质企业：市政公用工程专业一级注册建造师不少于12人。</w:t>
            </w:r>
          </w:p>
          <w:p w14:paraId="47F2A0F0">
            <w:pPr>
              <w:widowControl/>
              <w:numPr>
                <w:ilvl w:val="0"/>
                <w:numId w:val="5"/>
              </w:numPr>
              <w:snapToGrid w:val="0"/>
              <w:spacing w:beforeLines="0" w:afterLines="0" w:line="360" w:lineRule="auto"/>
              <w:ind w:left="0" w:leftChars="0" w:firstLine="400" w:firstLineChars="0"/>
              <w:jc w:val="left"/>
              <w:rPr>
                <w:rFonts w:hint="eastAsia" w:ascii="Times New Roman" w:hAnsi="Times New Roman" w:eastAsia="宋体" w:cs="宋体"/>
                <w:b/>
                <w:bCs w:val="0"/>
                <w:color w:val="auto"/>
                <w:sz w:val="24"/>
                <w:szCs w:val="24"/>
                <w:highlight w:val="none"/>
                <w:u w:val="none"/>
                <w:lang w:val="en-US" w:eastAsia="zh-CN"/>
              </w:rPr>
            </w:pPr>
            <w:r>
              <w:rPr>
                <w:rFonts w:hint="eastAsia" w:ascii="Times New Roman" w:hAnsi="Times New Roman" w:eastAsia="宋体" w:cs="宋体"/>
                <w:b/>
                <w:bCs w:val="0"/>
                <w:color w:val="auto"/>
                <w:sz w:val="24"/>
                <w:szCs w:val="24"/>
                <w:highlight w:val="none"/>
                <w:u w:val="none"/>
                <w:lang w:val="en-US" w:eastAsia="zh-CN"/>
              </w:rPr>
              <w:t>市政公用工程施工总承包贰级、叁级资质企业：市政公用工程专业注册建造师不少于5人。</w:t>
            </w:r>
          </w:p>
          <w:p w14:paraId="2B7A9E3D">
            <w:pPr>
              <w:widowControl/>
              <w:snapToGrid w:val="0"/>
              <w:spacing w:beforeLines="0" w:afterLines="0" w:line="360" w:lineRule="auto"/>
              <w:ind w:firstLine="480" w:firstLineChars="200"/>
              <w:jc w:val="left"/>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拟推荐中标候选人的注册建造师专业、数量不满足《建筑业企业资质标准》及有关文件中对应资质等级标准要求的，不得被推荐为中标候选人。</w:t>
            </w:r>
          </w:p>
          <w:p w14:paraId="5F54C00E">
            <w:pPr>
              <w:widowControl/>
              <w:snapToGrid w:val="0"/>
              <w:spacing w:beforeLines="0" w:afterLines="0" w:line="360" w:lineRule="auto"/>
              <w:ind w:firstLine="482" w:firstLineChars="200"/>
              <w:jc w:val="left"/>
              <w:rPr>
                <w:rFonts w:hint="default"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pPr>
            <w:r>
              <w:rPr>
                <w:rFonts w:hint="eastAsia" w:ascii="Times New Roman" w:hAnsi="Times New Roman" w:eastAsia="宋体" w:cs="宋体"/>
                <w:b/>
                <w:bCs w:val="0"/>
                <w:color w:val="auto"/>
                <w:sz w:val="24"/>
                <w:szCs w:val="24"/>
                <w:highlight w:val="none"/>
                <w:u w:val="none"/>
                <w:lang w:val="en-US" w:eastAsia="zh-CN"/>
              </w:rPr>
              <w:t>注：按照项目要求的施工总承包资质审查注册建造师专业、数量，本项目要求的施工总承包资质详见招标公告。</w:t>
            </w:r>
          </w:p>
        </w:tc>
      </w:tr>
    </w:tbl>
    <w:p w14:paraId="35AFA174">
      <w:pPr>
        <w:spacing w:before="240" w:beforeLines="100" w:after="240" w:afterLines="100"/>
        <w:jc w:val="center"/>
        <w:outlineLvl w:val="1"/>
        <w:rPr>
          <w:rFonts w:hint="eastAsia" w:ascii="Times New Roman" w:eastAsia="黑体"/>
          <w:color w:val="auto"/>
          <w:sz w:val="32"/>
          <w:szCs w:val="32"/>
          <w:highlight w:val="none"/>
        </w:rPr>
      </w:pPr>
      <w:r>
        <w:rPr>
          <w:rFonts w:hint="eastAsia" w:ascii="Times New Roman" w:eastAsia="黑体"/>
          <w:color w:val="auto"/>
          <w:sz w:val="32"/>
          <w:szCs w:val="32"/>
          <w:highlight w:val="none"/>
        </w:rPr>
        <w:br w:type="page"/>
      </w:r>
      <w:bookmarkStart w:id="299" w:name="_Toc1420"/>
      <w:bookmarkStart w:id="300" w:name="_Toc4867"/>
      <w:bookmarkStart w:id="301" w:name="_Toc29719"/>
      <w:bookmarkStart w:id="302" w:name="_Toc20351"/>
      <w:bookmarkStart w:id="303" w:name="_Toc8729"/>
      <w:bookmarkStart w:id="304" w:name="_Toc124283239"/>
      <w:bookmarkStart w:id="305" w:name="_Toc24636"/>
      <w:r>
        <w:rPr>
          <w:rFonts w:hint="eastAsia" w:ascii="Times New Roman" w:eastAsia="黑体"/>
          <w:color w:val="auto"/>
          <w:sz w:val="32"/>
          <w:szCs w:val="32"/>
          <w:highlight w:val="none"/>
        </w:rPr>
        <w:t>商务文件初步评审</w:t>
      </w:r>
      <w:bookmarkEnd w:id="299"/>
      <w:bookmarkEnd w:id="300"/>
      <w:bookmarkEnd w:id="301"/>
      <w:bookmarkEnd w:id="302"/>
      <w:bookmarkEnd w:id="303"/>
      <w:r>
        <w:rPr>
          <w:rFonts w:hint="eastAsia" w:ascii="Times New Roman" w:eastAsia="黑体"/>
          <w:color w:val="auto"/>
          <w:sz w:val="32"/>
          <w:szCs w:val="32"/>
          <w:highlight w:val="none"/>
        </w:rPr>
        <w:t>标准</w:t>
      </w:r>
      <w:bookmarkEnd w:id="304"/>
      <w:bookmarkEnd w:id="305"/>
    </w:p>
    <w:tbl>
      <w:tblPr>
        <w:tblStyle w:val="17"/>
        <w:tblW w:w="501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8"/>
        <w:gridCol w:w="808"/>
        <w:gridCol w:w="1377"/>
        <w:gridCol w:w="5512"/>
      </w:tblGrid>
      <w:tr w14:paraId="1EA3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86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CAFF65B">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b/>
                <w:color w:val="auto"/>
                <w:sz w:val="24"/>
                <w:szCs w:val="24"/>
                <w:highlight w:val="none"/>
              </w:rPr>
              <w:t>条款号</w:t>
            </w:r>
          </w:p>
        </w:tc>
        <w:tc>
          <w:tcPr>
            <w:tcW w:w="8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8E00E9">
            <w:pPr>
              <w:widowControl/>
              <w:spacing w:beforeLines="0" w:afterLines="0" w:line="360" w:lineRule="auto"/>
              <w:ind w:firstLine="120" w:firstLineChars="50"/>
              <w:jc w:val="center"/>
              <w:rPr>
                <w:rFonts w:hint="eastAsia" w:ascii="Times New Roman" w:cs="宋体"/>
                <w:color w:val="auto"/>
                <w:sz w:val="24"/>
                <w:szCs w:val="24"/>
                <w:highlight w:val="none"/>
              </w:rPr>
            </w:pPr>
            <w:bookmarkStart w:id="306" w:name="_Hlk129640869"/>
            <w:r>
              <w:rPr>
                <w:rFonts w:hint="eastAsia" w:ascii="Times New Roman" w:cs="宋体"/>
                <w:b/>
                <w:color w:val="auto"/>
                <w:sz w:val="24"/>
                <w:szCs w:val="24"/>
                <w:highlight w:val="none"/>
              </w:rPr>
              <w:t>评审因素</w:t>
            </w:r>
            <w:bookmarkEnd w:id="306"/>
          </w:p>
        </w:tc>
        <w:tc>
          <w:tcPr>
            <w:tcW w:w="33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61B00B">
            <w:pPr>
              <w:widowControl/>
              <w:spacing w:beforeLines="0" w:afterLines="0" w:line="360" w:lineRule="auto"/>
              <w:ind w:firstLine="120" w:firstLineChars="50"/>
              <w:jc w:val="center"/>
              <w:rPr>
                <w:rFonts w:hint="eastAsia" w:ascii="Times New Roman" w:cs="宋体"/>
                <w:color w:val="auto"/>
                <w:sz w:val="24"/>
                <w:szCs w:val="24"/>
                <w:highlight w:val="none"/>
              </w:rPr>
            </w:pPr>
            <w:r>
              <w:rPr>
                <w:rFonts w:hint="eastAsia" w:ascii="Times New Roman" w:cs="宋体"/>
                <w:b/>
                <w:color w:val="auto"/>
                <w:sz w:val="24"/>
                <w:szCs w:val="24"/>
                <w:highlight w:val="none"/>
              </w:rPr>
              <w:t>评审标准</w:t>
            </w:r>
          </w:p>
        </w:tc>
      </w:tr>
      <w:tr w14:paraId="009E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DBC1E2C">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2.1.1</w:t>
            </w:r>
          </w:p>
        </w:tc>
        <w:tc>
          <w:tcPr>
            <w:tcW w:w="48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7036CFA">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形式评审标准</w:t>
            </w: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870B70A">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投标人名称</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81BBEC8">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与营业执照、资质证书、安全生产许可证一致。</w:t>
            </w:r>
          </w:p>
        </w:tc>
      </w:tr>
      <w:tr w14:paraId="0F80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0E295B">
            <w:pPr>
              <w:widowControl/>
              <w:spacing w:beforeLines="0" w:afterLines="0" w:line="360" w:lineRule="auto"/>
              <w:jc w:val="center"/>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A5CF2C">
            <w:pPr>
              <w:widowControl/>
              <w:spacing w:beforeLines="0" w:afterLines="0" w:line="360" w:lineRule="auto"/>
              <w:jc w:val="center"/>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AC45823">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签字盖章</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E677F99">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符合第二章“投标人须知”第3.7.3项规定。</w:t>
            </w:r>
          </w:p>
        </w:tc>
      </w:tr>
      <w:tr w14:paraId="78D3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4D7522">
            <w:pPr>
              <w:widowControl/>
              <w:spacing w:beforeLines="0" w:afterLines="0" w:line="360" w:lineRule="auto"/>
              <w:jc w:val="center"/>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A29FFB1">
            <w:pPr>
              <w:widowControl/>
              <w:spacing w:beforeLines="0" w:afterLines="0" w:line="360" w:lineRule="auto"/>
              <w:jc w:val="center"/>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F7881A1">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投标文件格式</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72BBE1B">
            <w:pPr>
              <w:widowControl/>
              <w:adjustRightInd w:val="0"/>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符合第八章“投标文件格式”的规定。</w:t>
            </w:r>
          </w:p>
        </w:tc>
      </w:tr>
      <w:tr w14:paraId="0E97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EE615BF">
            <w:pPr>
              <w:widowControl/>
              <w:spacing w:beforeLines="0" w:afterLines="0" w:line="360" w:lineRule="auto"/>
              <w:jc w:val="center"/>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C1B8C6">
            <w:pPr>
              <w:widowControl/>
              <w:spacing w:beforeLines="0" w:afterLines="0" w:line="360" w:lineRule="auto"/>
              <w:jc w:val="center"/>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5AF6E70">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联合体投标人</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BCDC0B6">
            <w:pPr>
              <w:widowControl/>
              <w:adjustRightInd w:val="0"/>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提交符合招标文件要求的联合体协议书，明确各方承担连带责任，并明确联合体牵头人。</w:t>
            </w:r>
          </w:p>
        </w:tc>
      </w:tr>
      <w:tr w14:paraId="61A7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F7CA32">
            <w:pPr>
              <w:widowControl/>
              <w:spacing w:beforeLines="0" w:afterLines="0" w:line="360" w:lineRule="auto"/>
              <w:jc w:val="center"/>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8DA53E3">
            <w:pPr>
              <w:widowControl/>
              <w:spacing w:beforeLines="0" w:afterLines="0" w:line="360" w:lineRule="auto"/>
              <w:jc w:val="center"/>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1C33480">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未出现异常情形</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FC3795F">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不同投标人未出现使用相同的投标文件制作机器码进行投标的情形。</w:t>
            </w:r>
          </w:p>
        </w:tc>
      </w:tr>
      <w:tr w14:paraId="60D4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2BC8E7E">
            <w:pPr>
              <w:widowControl/>
              <w:spacing w:beforeLines="0" w:afterLines="0" w:line="360" w:lineRule="auto"/>
              <w:jc w:val="center"/>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FB454CF">
            <w:pPr>
              <w:widowControl/>
              <w:spacing w:beforeLines="0" w:afterLines="0" w:line="360" w:lineRule="auto"/>
              <w:jc w:val="center"/>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136BBAB">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未出现投标报价</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D60BBC3">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商务文件中未出现有关投标报价的内容。</w:t>
            </w:r>
          </w:p>
        </w:tc>
      </w:tr>
      <w:tr w14:paraId="0BFC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C36C9AE">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2.1.2</w:t>
            </w:r>
          </w:p>
        </w:tc>
        <w:tc>
          <w:tcPr>
            <w:tcW w:w="48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4ABB69A">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资格评审标准</w:t>
            </w: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7141790">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营业执照</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2D51E4A">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具备有效的营业执照，如为联合体投标，联合体各方均须提供。</w:t>
            </w:r>
          </w:p>
        </w:tc>
      </w:tr>
      <w:tr w14:paraId="764E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719B8C9">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DFA4DB">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C2E6B10">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资质等级</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0925BF1">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w:t>
            </w:r>
          </w:p>
        </w:tc>
      </w:tr>
      <w:tr w14:paraId="0CEC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F7AA5C0">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1806896">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DEDF173">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安全生产许可证</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46CA28A">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具备有效的安全生产许可证。</w:t>
            </w:r>
          </w:p>
        </w:tc>
      </w:tr>
      <w:tr w14:paraId="2901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1425349">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5409A49">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5F40BD0">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财务要求</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5E9AD4B">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w:t>
            </w:r>
          </w:p>
        </w:tc>
      </w:tr>
      <w:tr w14:paraId="1368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3AF2BD2">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56FC9B4">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956E7C5">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投标人业绩要求</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D93D10E">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w:t>
            </w:r>
          </w:p>
        </w:tc>
      </w:tr>
      <w:tr w14:paraId="33AB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A199DE1">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41F2A22">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5475A1E">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信誉要求</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4857747C">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w:t>
            </w:r>
          </w:p>
        </w:tc>
      </w:tr>
      <w:tr w14:paraId="5AE7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4B7BC96">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57A73CB">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BD3EF0C">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项目经理</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EEDB4A8">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w:t>
            </w:r>
          </w:p>
        </w:tc>
      </w:tr>
      <w:tr w14:paraId="7F45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60AEC27">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CC5AE84">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7090650">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项目经理业绩要求</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E9EB82C">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w:t>
            </w:r>
          </w:p>
        </w:tc>
      </w:tr>
      <w:tr w14:paraId="28AF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AEF90F7">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CA80D7A">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5632104">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其他主要管理人员和技术人员配备</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2715CCF">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w:t>
            </w:r>
          </w:p>
        </w:tc>
      </w:tr>
      <w:tr w14:paraId="41A5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B5149E6">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F95A61F">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346D1EF">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联合体投标人</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67DEE1C">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符合第二章“投标人须知”第1.4.2项规定。</w:t>
            </w:r>
          </w:p>
        </w:tc>
      </w:tr>
      <w:tr w14:paraId="53F8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0AFFA20">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C305F94">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57EB26E">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不存在禁止投标的情形</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A108485">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不存在第二章“投标人须知”第1.4.3项或第1.4.4项规定的任何一种情形。投标人应按照第八章“投标文件格式”的“诚信投标承诺书”承诺。</w:t>
            </w:r>
          </w:p>
        </w:tc>
      </w:tr>
      <w:tr w14:paraId="2F3F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81108CF">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2.1.3</w:t>
            </w:r>
          </w:p>
        </w:tc>
        <w:tc>
          <w:tcPr>
            <w:tcW w:w="48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AB329B8">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响应性评审标准</w:t>
            </w: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00AFBA5">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投标内容</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03E74BB">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符合第二章“投标人须知”第1.3.1项规定。</w:t>
            </w:r>
          </w:p>
        </w:tc>
      </w:tr>
      <w:tr w14:paraId="74B9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64806D">
            <w:pPr>
              <w:widowControl/>
              <w:spacing w:beforeLines="0" w:afterLines="0" w:line="360" w:lineRule="auto"/>
              <w:jc w:val="center"/>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A0F6FB">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5AECDFA">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工期</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5F19601">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符合第二章“投标人须知”第1.3.2项规定。</w:t>
            </w:r>
          </w:p>
        </w:tc>
      </w:tr>
      <w:tr w14:paraId="158F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FDB4037">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1ECAA9">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443C6DDF">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质量标准</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C0C83AD">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符合第二章“投标人须知”第1.3.3项规定。</w:t>
            </w:r>
          </w:p>
        </w:tc>
      </w:tr>
      <w:tr w14:paraId="4F13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512E572">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190FD81">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600F9D9">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投标有效期</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ACE291B">
            <w:pPr>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符合第二章“投标人须知”第3.3.1项规定。</w:t>
            </w:r>
          </w:p>
        </w:tc>
      </w:tr>
      <w:tr w14:paraId="370F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51658AD">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CC8195">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461B6F11">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投标保证金</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5289A74">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符合第二章“投标人须知”第3.4.1项规定（符合免缴投标保证金的须满足免缴条件且须进行相应承诺）。</w:t>
            </w:r>
          </w:p>
        </w:tc>
      </w:tr>
      <w:tr w14:paraId="5567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B2E0B44">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AAED551">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8EDFDCE">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项目经理承诺</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92BFD19">
            <w:pPr>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符合第二章“投标人须知”第1.4.1项规定。投标人应按照招标文件第八章“投标文件格式”的“项目经理承诺”提供承诺。</w:t>
            </w:r>
          </w:p>
        </w:tc>
      </w:tr>
      <w:tr w14:paraId="4D26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EABC62">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9288919">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AC790DF">
            <w:pPr>
              <w:widowControl/>
              <w:adjustRightInd w:val="0"/>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分包计划</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E804C0B">
            <w:pPr>
              <w:widowControl/>
              <w:adjustRightInd w:val="0"/>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投标人如有分包计划，符合招标文件第二章“投标人须知”第1.11款规定，且按照招标文件第八章“投标文件格式”的要求填写了“拟分包项目情况表”。</w:t>
            </w:r>
          </w:p>
        </w:tc>
      </w:tr>
      <w:tr w14:paraId="4222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8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FC09E8E">
            <w:pPr>
              <w:widowControl/>
              <w:spacing w:beforeLines="0" w:afterLines="0" w:line="360" w:lineRule="auto"/>
              <w:jc w:val="left"/>
              <w:rPr>
                <w:rFonts w:hint="eastAsia" w:ascii="Times New Roman" w:cs="宋体"/>
                <w:color w:val="auto"/>
                <w:sz w:val="24"/>
                <w:szCs w:val="24"/>
                <w:highlight w:val="none"/>
              </w:rPr>
            </w:pPr>
          </w:p>
        </w:tc>
        <w:tc>
          <w:tcPr>
            <w:tcW w:w="4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BC61061">
            <w:pPr>
              <w:widowControl/>
              <w:spacing w:beforeLines="0" w:afterLines="0" w:line="360" w:lineRule="auto"/>
              <w:jc w:val="left"/>
              <w:rPr>
                <w:rFonts w:hint="eastAsia" w:ascii="Times New Roman" w:cs="宋体"/>
                <w:color w:val="auto"/>
                <w:sz w:val="24"/>
                <w:szCs w:val="24"/>
                <w:highlight w:val="none"/>
              </w:rPr>
            </w:pPr>
          </w:p>
        </w:tc>
        <w:tc>
          <w:tcPr>
            <w:tcW w:w="82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4634240">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其他实质性要求</w:t>
            </w:r>
          </w:p>
        </w:tc>
        <w:tc>
          <w:tcPr>
            <w:tcW w:w="3306"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4AC7AE8">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符合招标文件的其他实质性要求和条件。</w:t>
            </w:r>
          </w:p>
        </w:tc>
      </w:tr>
    </w:tbl>
    <w:p w14:paraId="7681A3A2">
      <w:pPr>
        <w:widowControl/>
        <w:adjustRightInd w:val="0"/>
        <w:snapToGrid w:val="0"/>
        <w:spacing w:beforeLines="0" w:afterLines="0" w:line="360" w:lineRule="auto"/>
        <w:ind w:firstLine="480" w:firstLineChars="200"/>
        <w:jc w:val="left"/>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注：</w:t>
      </w:r>
    </w:p>
    <w:p w14:paraId="6EA34BAF">
      <w:pPr>
        <w:widowControl/>
        <w:adjustRightInd w:val="0"/>
        <w:snapToGrid w:val="0"/>
        <w:spacing w:beforeLines="0" w:afterLines="0" w:line="360" w:lineRule="auto"/>
        <w:ind w:firstLine="480" w:firstLineChars="200"/>
        <w:jc w:val="left"/>
        <w:rPr>
          <w:rFonts w:hint="eastAsia" w:ascii="Times New Roman" w:cs="宋体"/>
          <w:color w:val="auto"/>
          <w:sz w:val="24"/>
          <w:szCs w:val="24"/>
          <w:highlight w:val="none"/>
        </w:rPr>
      </w:pPr>
      <w:r>
        <w:rPr>
          <w:rFonts w:hint="eastAsia" w:ascii="Times New Roman" w:cs="宋体"/>
          <w:color w:val="auto"/>
          <w:sz w:val="24"/>
          <w:szCs w:val="24"/>
          <w:highlight w:val="none"/>
        </w:rPr>
        <w:t>1.评审因素“投标人业绩”和“项目经理业绩”，投标人应按照第八章“投标文件格式”的要求填写相应表格，并附相应业绩证明材料。</w:t>
      </w:r>
    </w:p>
    <w:p w14:paraId="4EBB7D54">
      <w:pPr>
        <w:widowControl/>
        <w:adjustRightInd w:val="0"/>
        <w:snapToGrid w:val="0"/>
        <w:spacing w:beforeLines="0" w:afterLines="0" w:line="360" w:lineRule="auto"/>
        <w:ind w:firstLine="480" w:firstLineChars="200"/>
        <w:jc w:val="left"/>
        <w:rPr>
          <w:rFonts w:hint="eastAsia" w:ascii="Times New Roman" w:cs="宋体"/>
          <w:color w:val="auto"/>
          <w:sz w:val="24"/>
          <w:szCs w:val="24"/>
          <w:highlight w:val="none"/>
        </w:rPr>
      </w:pPr>
      <w:r>
        <w:rPr>
          <w:rFonts w:hint="eastAsia" w:ascii="Times New Roman" w:cs="宋体"/>
          <w:color w:val="auto"/>
          <w:sz w:val="24"/>
          <w:szCs w:val="24"/>
          <w:highlight w:val="none"/>
        </w:rPr>
        <w:t>2</w:t>
      </w:r>
      <w:r>
        <w:rPr>
          <w:rFonts w:hint="eastAsia" w:ascii="Times New Roman" w:eastAsia="Times New Roman" w:cs="宋体"/>
          <w:color w:val="auto"/>
          <w:sz w:val="24"/>
          <w:szCs w:val="24"/>
          <w:highlight w:val="none"/>
        </w:rPr>
        <w:t>.</w:t>
      </w:r>
      <w:r>
        <w:rPr>
          <w:rFonts w:hint="eastAsia" w:ascii="Times New Roman" w:cs="宋体"/>
          <w:color w:val="auto"/>
          <w:sz w:val="24"/>
          <w:szCs w:val="24"/>
          <w:highlight w:val="none"/>
        </w:rPr>
        <w:t>评标委员会应按照第八章“投标文件格式”中“投标人业绩情况表（资格审查）”“项目经理业绩情况表（资格审查）”列明的业绩序号先后顺序依次进行评审，且仅评审“附录3  资格审查条件（业绩最低要求）”“附录5  资格审查条件（项目经理最低要求）”规定数量的业绩，超出规定数量部分或未在表中列明的业绩均不作为资格审查投标人业绩（或项目经理业绩）予以评审。</w:t>
      </w:r>
    </w:p>
    <w:p w14:paraId="31B62866">
      <w:pPr>
        <w:spacing w:before="240" w:beforeLines="100" w:after="240" w:afterLines="100"/>
        <w:jc w:val="center"/>
        <w:outlineLvl w:val="1"/>
        <w:rPr>
          <w:rFonts w:hint="eastAsia" w:ascii="Times New Roman" w:eastAsia="黑体"/>
          <w:color w:val="auto"/>
          <w:sz w:val="32"/>
          <w:szCs w:val="32"/>
          <w:highlight w:val="none"/>
        </w:rPr>
      </w:pPr>
      <w:r>
        <w:rPr>
          <w:rFonts w:hint="eastAsia" w:ascii="Times New Roman" w:eastAsia="黑体"/>
          <w:color w:val="auto"/>
          <w:sz w:val="32"/>
          <w:szCs w:val="32"/>
          <w:highlight w:val="none"/>
        </w:rPr>
        <w:br w:type="page"/>
      </w:r>
      <w:bookmarkStart w:id="307" w:name="_Toc11591"/>
      <w:bookmarkStart w:id="308" w:name="_Toc20377"/>
      <w:bookmarkStart w:id="309" w:name="_Toc28675"/>
      <w:bookmarkStart w:id="310" w:name="_Toc17392"/>
      <w:bookmarkStart w:id="311" w:name="_Toc16261"/>
      <w:bookmarkStart w:id="312" w:name="_Toc18329"/>
      <w:bookmarkStart w:id="313" w:name="_Toc124283240"/>
      <w:r>
        <w:rPr>
          <w:rFonts w:hint="eastAsia" w:ascii="Times New Roman" w:eastAsia="黑体"/>
          <w:color w:val="auto"/>
          <w:sz w:val="32"/>
          <w:szCs w:val="32"/>
          <w:highlight w:val="none"/>
        </w:rPr>
        <w:t>报价文件初步评审</w:t>
      </w:r>
      <w:bookmarkEnd w:id="307"/>
      <w:bookmarkEnd w:id="308"/>
      <w:bookmarkEnd w:id="309"/>
      <w:bookmarkEnd w:id="310"/>
      <w:bookmarkEnd w:id="311"/>
      <w:r>
        <w:rPr>
          <w:rFonts w:hint="eastAsia" w:ascii="Times New Roman" w:eastAsia="黑体"/>
          <w:color w:val="auto"/>
          <w:sz w:val="32"/>
          <w:szCs w:val="32"/>
          <w:highlight w:val="none"/>
        </w:rPr>
        <w:t>标准</w:t>
      </w:r>
      <w:bookmarkEnd w:id="312"/>
      <w:bookmarkEnd w:id="313"/>
    </w:p>
    <w:tbl>
      <w:tblPr>
        <w:tblStyle w:val="17"/>
        <w:tblW w:w="5021" w:type="pct"/>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908"/>
        <w:gridCol w:w="1778"/>
        <w:gridCol w:w="5088"/>
      </w:tblGrid>
      <w:tr w14:paraId="7CAF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blHeader/>
        </w:trPr>
        <w:tc>
          <w:tcPr>
            <w:tcW w:w="88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AD52F1A">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b/>
                <w:color w:val="auto"/>
                <w:sz w:val="24"/>
                <w:szCs w:val="24"/>
                <w:highlight w:val="none"/>
              </w:rPr>
              <w:t>条款号</w:t>
            </w:r>
          </w:p>
        </w:tc>
        <w:tc>
          <w:tcPr>
            <w:tcW w:w="10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153A7A">
            <w:pPr>
              <w:widowControl/>
              <w:spacing w:beforeLines="0" w:afterLines="0" w:line="360" w:lineRule="auto"/>
              <w:ind w:firstLine="120" w:firstLineChars="50"/>
              <w:jc w:val="center"/>
              <w:rPr>
                <w:rFonts w:hint="eastAsia" w:ascii="Times New Roman" w:cs="宋体"/>
                <w:color w:val="auto"/>
                <w:sz w:val="24"/>
                <w:szCs w:val="24"/>
                <w:highlight w:val="none"/>
              </w:rPr>
            </w:pPr>
            <w:r>
              <w:rPr>
                <w:rFonts w:hint="eastAsia" w:ascii="Times New Roman" w:cs="宋体"/>
                <w:b/>
                <w:color w:val="auto"/>
                <w:sz w:val="24"/>
                <w:szCs w:val="24"/>
                <w:highlight w:val="none"/>
              </w:rPr>
              <w:t>评审因素</w:t>
            </w:r>
          </w:p>
        </w:tc>
        <w:tc>
          <w:tcPr>
            <w:tcW w:w="304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EC15FB">
            <w:pPr>
              <w:widowControl/>
              <w:spacing w:beforeLines="0" w:afterLines="0" w:line="360" w:lineRule="auto"/>
              <w:ind w:firstLine="120" w:firstLineChars="50"/>
              <w:jc w:val="center"/>
              <w:rPr>
                <w:rFonts w:hint="eastAsia" w:ascii="Times New Roman" w:cs="宋体"/>
                <w:color w:val="auto"/>
                <w:sz w:val="24"/>
                <w:szCs w:val="24"/>
                <w:highlight w:val="none"/>
              </w:rPr>
            </w:pPr>
            <w:r>
              <w:rPr>
                <w:rFonts w:hint="eastAsia" w:ascii="Times New Roman" w:cs="宋体"/>
                <w:b/>
                <w:color w:val="auto"/>
                <w:sz w:val="24"/>
                <w:szCs w:val="24"/>
                <w:highlight w:val="none"/>
              </w:rPr>
              <w:t>评审标准</w:t>
            </w:r>
          </w:p>
        </w:tc>
      </w:tr>
      <w:tr w14:paraId="13EF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5DE17AA">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2.1.1</w:t>
            </w:r>
          </w:p>
        </w:tc>
        <w:tc>
          <w:tcPr>
            <w:tcW w:w="54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BC0EC87">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形式评审标准</w:t>
            </w: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6E08B5C">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投标人名称</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164FF4A">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与营业执照、资质证书、安全生产许可证一致。</w:t>
            </w:r>
          </w:p>
        </w:tc>
      </w:tr>
      <w:tr w14:paraId="0A9B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BA360B4">
            <w:pPr>
              <w:widowControl/>
              <w:spacing w:beforeLines="0" w:afterLines="0" w:line="360" w:lineRule="auto"/>
              <w:jc w:val="left"/>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5D7D69A">
            <w:pPr>
              <w:widowControl/>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79A25C4">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签字盖章</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BF9FC8C">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符合第二章“投标人须知”第3.7.3项规定。</w:t>
            </w:r>
          </w:p>
        </w:tc>
      </w:tr>
      <w:tr w14:paraId="7676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A8A430">
            <w:pPr>
              <w:widowControl/>
              <w:spacing w:beforeLines="0" w:afterLines="0" w:line="360" w:lineRule="auto"/>
              <w:jc w:val="left"/>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1AEA94">
            <w:pPr>
              <w:widowControl/>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809F23C">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投标文件格式</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B7D555E">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（1）报价文件电子文件可以正常读取；</w:t>
            </w:r>
          </w:p>
          <w:p w14:paraId="10F90764">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（2）符合第八章“投标文件格式”的规定，关键字迹清晰可辨。</w:t>
            </w:r>
          </w:p>
        </w:tc>
      </w:tr>
      <w:tr w14:paraId="2243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0929BCD">
            <w:pPr>
              <w:widowControl/>
              <w:spacing w:beforeLines="0" w:afterLines="0" w:line="360" w:lineRule="auto"/>
              <w:jc w:val="left"/>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43BDD5">
            <w:pPr>
              <w:widowControl/>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91E1555">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备选投标方案</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DDD34E6">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除招标文件明确允许备选投标方案外，投标人不得提交备选投标方案。</w:t>
            </w:r>
          </w:p>
        </w:tc>
      </w:tr>
      <w:tr w14:paraId="7BF3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AD0826B">
            <w:pPr>
              <w:widowControl/>
              <w:spacing w:beforeLines="0" w:afterLines="0" w:line="360" w:lineRule="auto"/>
              <w:jc w:val="left"/>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C6E93A">
            <w:pPr>
              <w:widowControl/>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23E2B34">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未出现异常情形</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top"/>
          </w:tcPr>
          <w:p w14:paraId="72CA8607">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不同投标人未出现使用相同的投标文件制作机器码进行投标或使用相同加密锁号的造价软件的情形。</w:t>
            </w:r>
          </w:p>
        </w:tc>
      </w:tr>
      <w:tr w14:paraId="5CC6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100FA90">
            <w:pPr>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2.1.3</w:t>
            </w:r>
          </w:p>
        </w:tc>
        <w:tc>
          <w:tcPr>
            <w:tcW w:w="54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823E807">
            <w:pPr>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响应性评审标准</w:t>
            </w: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94F1DCC">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投标内容</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DDBE8DB">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符合第二章“投标人须知”第1.3.1项规定。</w:t>
            </w:r>
          </w:p>
        </w:tc>
      </w:tr>
      <w:tr w14:paraId="5547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0B1B02F">
            <w:pPr>
              <w:spacing w:beforeLines="0" w:afterLines="0" w:line="360" w:lineRule="auto"/>
              <w:jc w:val="center"/>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D52E0D5">
            <w:pPr>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1136937">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投标报价</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36F545A">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（1）投标报价未超过招标文件设定的最高投标限价（如有）。</w:t>
            </w:r>
          </w:p>
          <w:p w14:paraId="1C6A68F0">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（2）投标报价的大写数值能确定具体数值，未出现数量级错误、报价金额单位错误。</w:t>
            </w:r>
          </w:p>
          <w:p w14:paraId="4A543DE1">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（3）同一投标人未递交两个以上不同的投标报价，但招标文件要求提交备选投标的除外。</w:t>
            </w:r>
          </w:p>
          <w:p w14:paraId="2006986B">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（4）已标价工程量清单的分部分项工程的项目编码、项目名称、项目特征描述、计量单位及工程量与招标人提供的工程量清单未出现实质性内容不一致。</w:t>
            </w:r>
          </w:p>
          <w:p w14:paraId="37EBB91F">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（5）按照清单计价规范要求不应为负值的，已标价工程量清单中的数据未出现该情形。</w:t>
            </w:r>
          </w:p>
        </w:tc>
      </w:tr>
      <w:tr w14:paraId="03ED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DB778F2">
            <w:pPr>
              <w:spacing w:beforeLines="0" w:afterLines="0" w:line="360" w:lineRule="auto"/>
              <w:jc w:val="center"/>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78E2F8">
            <w:pPr>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EBE4604">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投标报价不可竞争内容</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93CB7A3">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（1）安全文明施工费报价符合招标文件要求。</w:t>
            </w:r>
          </w:p>
          <w:p w14:paraId="6AC677BF">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（2）人工费工日单价不得低于工程所在地政府发布的最低工资标准折算的工日单价。</w:t>
            </w:r>
          </w:p>
          <w:p w14:paraId="4144F6DD">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（3）已标价工程量清单中未更改招标文件确定的暂列金额、暂估价。</w:t>
            </w:r>
          </w:p>
          <w:p w14:paraId="5F7F8F33">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（4）增值税报价符合招标文件规定。</w:t>
            </w:r>
          </w:p>
        </w:tc>
      </w:tr>
      <w:tr w14:paraId="6306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4641924">
            <w:pPr>
              <w:spacing w:beforeLines="0" w:afterLines="0" w:line="360" w:lineRule="auto"/>
              <w:jc w:val="center"/>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041CE8">
            <w:pPr>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02C036C">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总人工费</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D755865">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投标报价中的总人工费与技术文件中的劳动力安排计划相比，不得明显过低。</w:t>
            </w:r>
          </w:p>
        </w:tc>
      </w:tr>
      <w:tr w14:paraId="7F6E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F2441AB">
            <w:pPr>
              <w:spacing w:beforeLines="0" w:afterLines="0" w:line="360" w:lineRule="auto"/>
              <w:jc w:val="center"/>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07B6D84">
            <w:pPr>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0D6C386F">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投标报价偏差</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B9E1328">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（1）因投标人原因造成投标报价累计缺漏金额（多报金额不得抵销缺漏金额，缺漏金额计算时按照最高投标限价相应数据计算）占投标报价未超过3%，也未影响各投标人排序。</w:t>
            </w:r>
          </w:p>
          <w:p w14:paraId="2DADD47A">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凡招标文件要求或者工程量清单计价规范规定应计算的费用而投标人未报，且投标文件未阐明充分理由，并不能提供足够证据者，均视为缺漏金额。</w:t>
            </w:r>
          </w:p>
          <w:p w14:paraId="375F0CB3">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（2）对投标报价存在计算错误的，按照本章第3.3.4项规定的标准对投标报价进行修正，修正后的投标报价与修正前投标报价的偏差未超过3%，也未影响各投标人排序。</w:t>
            </w:r>
          </w:p>
          <w:p w14:paraId="5A2C78BA">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（3）投标报价中减少实体材料消耗量指标的，符合计量计价规范或实际情况。</w:t>
            </w:r>
          </w:p>
        </w:tc>
      </w:tr>
      <w:tr w14:paraId="727F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A5BE3B">
            <w:pPr>
              <w:spacing w:beforeLines="0" w:afterLines="0" w:line="360" w:lineRule="auto"/>
              <w:jc w:val="center"/>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C61E13">
            <w:pPr>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CAADAE8">
            <w:pPr>
              <w:widowControl/>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报价规范性评审</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2944097B">
            <w:pPr>
              <w:widowControl/>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对已标价的工程量清单报价书“分部分项工程量清单综合单价分析表”中的综合单价、主要材料价格、人工费（含工日数量及工日单价）、机械费，“措施项目清单与计价表”中的措施费及“不可竞争项目清单与计价表”的不可竞争费等进行规范性评审，对明显相互冲突或不合理的，或未按照工程量清单计价规范要求计价的，可否决其投标（如：“分部分项工程量清单综合单价分析表”中的综合单价低于主材价格等情况）。</w:t>
            </w:r>
          </w:p>
        </w:tc>
      </w:tr>
      <w:tr w14:paraId="0F71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24EA0F1">
            <w:pPr>
              <w:spacing w:beforeLines="0" w:afterLines="0" w:line="360" w:lineRule="auto"/>
              <w:jc w:val="center"/>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2DDCDC">
            <w:pPr>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0D9B5BF">
            <w:pPr>
              <w:widowControl/>
              <w:spacing w:beforeLines="0" w:afterLines="0" w:line="360" w:lineRule="auto"/>
              <w:ind w:left="120" w:hanging="120" w:hangingChars="50"/>
              <w:jc w:val="center"/>
              <w:rPr>
                <w:rFonts w:hint="eastAsia" w:ascii="Times New Roman" w:cs="宋体"/>
                <w:color w:val="auto"/>
                <w:sz w:val="24"/>
                <w:szCs w:val="24"/>
                <w:highlight w:val="none"/>
              </w:rPr>
            </w:pPr>
            <w:r>
              <w:rPr>
                <w:rFonts w:hint="eastAsia" w:ascii="Times New Roman" w:cs="宋体"/>
                <w:color w:val="auto"/>
                <w:sz w:val="24"/>
                <w:szCs w:val="24"/>
                <w:highlight w:val="none"/>
              </w:rPr>
              <w:t>不平衡报价评审</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50EEA4E">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对已标价的工程量清单报价书“分部分项工程量清单综合单价分析表”中的综合单价、主要材料价格、人工费（含工日数量及工日单价）、机械费，“措施项目清单与计价表”中的措施费明显高出最高投标限价对应部分，或与最高投标限价对应部分相比明显降幅过大的情况，并经评标委员会评审后，可认定为恶意不平衡报价，否决其投标。</w:t>
            </w:r>
          </w:p>
        </w:tc>
      </w:tr>
      <w:tr w14:paraId="7109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8F1AFE7">
            <w:pPr>
              <w:spacing w:beforeLines="0" w:afterLines="0" w:line="360" w:lineRule="auto"/>
              <w:jc w:val="center"/>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5A83644">
            <w:pPr>
              <w:spacing w:beforeLines="0" w:afterLines="0" w:line="360" w:lineRule="auto"/>
              <w:jc w:val="center"/>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95A3D3D">
            <w:pPr>
              <w:widowControl/>
              <w:spacing w:beforeLines="0" w:afterLines="0" w:line="360" w:lineRule="auto"/>
              <w:ind w:left="120" w:hanging="120" w:hangingChars="50"/>
              <w:jc w:val="center"/>
              <w:rPr>
                <w:rFonts w:hint="eastAsia" w:ascii="Times New Roman" w:cs="宋体"/>
                <w:color w:val="auto"/>
                <w:sz w:val="24"/>
                <w:szCs w:val="24"/>
                <w:highlight w:val="none"/>
              </w:rPr>
            </w:pPr>
            <w:r>
              <w:rPr>
                <w:rFonts w:hint="eastAsia" w:ascii="Times New Roman" w:cs="宋体"/>
                <w:color w:val="auto"/>
                <w:sz w:val="24"/>
                <w:szCs w:val="24"/>
                <w:highlight w:val="none"/>
              </w:rPr>
              <w:t>需评审人工和主要材料一览表评审（如有）</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775B8042">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投标人应响应招标人《可调整价差人工和主要材料一览表》的内容；对于招标人发放的《可调整价差人工和主要材料一览表》中第1列（序号）、第2列（名称、规格 、型号）、第3列（计量单位）、第4列（数量）内容不得修改，不得增删或改变顺序。投标人在投标报价时，其人工费工日单价不得低于工程所在地政府发布的最低工资标准折算的工日单价。</w:t>
            </w:r>
          </w:p>
        </w:tc>
      </w:tr>
      <w:tr w14:paraId="2D08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9F983DF">
            <w:pPr>
              <w:widowControl/>
              <w:spacing w:beforeLines="0" w:afterLines="0" w:line="360" w:lineRule="auto"/>
              <w:jc w:val="left"/>
              <w:rPr>
                <w:rFonts w:hint="eastAsia" w:ascii="Times New Roman" w:cs="宋体"/>
                <w:color w:val="auto"/>
                <w:sz w:val="24"/>
                <w:szCs w:val="24"/>
                <w:highlight w:val="none"/>
              </w:rPr>
            </w:pPr>
          </w:p>
        </w:tc>
        <w:tc>
          <w:tcPr>
            <w:tcW w:w="54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BEA4BB">
            <w:pPr>
              <w:widowControl/>
              <w:spacing w:beforeLines="0" w:afterLines="0" w:line="360" w:lineRule="auto"/>
              <w:jc w:val="left"/>
              <w:rPr>
                <w:rFonts w:hint="eastAsia" w:ascii="Times New Roman" w:cs="宋体"/>
                <w:color w:val="auto"/>
                <w:sz w:val="24"/>
                <w:szCs w:val="24"/>
                <w:highlight w:val="none"/>
              </w:rPr>
            </w:pPr>
          </w:p>
        </w:tc>
        <w:tc>
          <w:tcPr>
            <w:tcW w:w="106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5106BDAC">
            <w:pPr>
              <w:widowControl/>
              <w:spacing w:beforeLines="0" w:afterLines="0" w:line="360" w:lineRule="auto"/>
              <w:ind w:left="-65" w:leftChars="-27"/>
              <w:jc w:val="center"/>
              <w:rPr>
                <w:rFonts w:hint="eastAsia" w:ascii="Times New Roman" w:cs="宋体"/>
                <w:color w:val="auto"/>
                <w:sz w:val="24"/>
                <w:szCs w:val="24"/>
                <w:highlight w:val="none"/>
              </w:rPr>
            </w:pPr>
            <w:r>
              <w:rPr>
                <w:rFonts w:hint="eastAsia" w:ascii="Times New Roman" w:cs="宋体"/>
                <w:color w:val="auto"/>
                <w:sz w:val="24"/>
                <w:szCs w:val="24"/>
                <w:highlight w:val="none"/>
              </w:rPr>
              <w:t>其他情形</w:t>
            </w:r>
          </w:p>
        </w:tc>
        <w:tc>
          <w:tcPr>
            <w:tcW w:w="3047"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6D96983">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（1）清标结果未显示投标人的投标文件存在以下情形之一：</w:t>
            </w:r>
          </w:p>
          <w:p w14:paraId="72B0F9C5">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①不同投标人的投标文件存在异常一致的情形；</w:t>
            </w:r>
          </w:p>
          <w:p w14:paraId="61C0446C">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②投标报价呈规律性差异等招投标相关法律法规明确规定为串通投标的情形；</w:t>
            </w:r>
          </w:p>
          <w:p w14:paraId="3A517773">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③弄虚作假的情形；</w:t>
            </w:r>
          </w:p>
          <w:p w14:paraId="58F1FE09">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④有其他违法行为的情形。</w:t>
            </w:r>
          </w:p>
          <w:p w14:paraId="24B6A9DE">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2）项目评审中，多家投标人投标报价规律性集中出现在高价区域，明显与近期类似项目报价情况不一致，以致影响正常评审的，评标委员会应确定项目投标报价明显缺乏竞争性，宣布流标，同时将异常报价报公共资源交易监督管理部门。</w:t>
            </w:r>
          </w:p>
          <w:p w14:paraId="57354119">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（3）投标文件中不得存在招标人不能接受的其他实质性条件。</w:t>
            </w:r>
          </w:p>
          <w:p w14:paraId="564AAAC9">
            <w:pPr>
              <w:widowControl/>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rPr>
              <w:t>（4）法律、法规规定的其他情形。</w:t>
            </w:r>
          </w:p>
        </w:tc>
      </w:tr>
    </w:tbl>
    <w:p w14:paraId="5F382CB0">
      <w:pPr>
        <w:spacing w:before="240" w:beforeLines="100" w:after="240" w:afterLines="100"/>
        <w:jc w:val="center"/>
        <w:outlineLvl w:val="1"/>
        <w:rPr>
          <w:rFonts w:hint="eastAsia" w:ascii="Times New Roman" w:eastAsia="黑体"/>
          <w:color w:val="auto"/>
          <w:sz w:val="32"/>
          <w:szCs w:val="32"/>
          <w:highlight w:val="none"/>
        </w:rPr>
      </w:pPr>
      <w:r>
        <w:rPr>
          <w:rFonts w:hint="eastAsia" w:ascii="Times New Roman" w:eastAsia="黑体"/>
          <w:color w:val="auto"/>
          <w:sz w:val="32"/>
          <w:szCs w:val="32"/>
          <w:highlight w:val="none"/>
        </w:rPr>
        <w:br w:type="page"/>
      </w:r>
      <w:bookmarkStart w:id="314" w:name="_Toc18219"/>
      <w:bookmarkStart w:id="315" w:name="_Toc12854"/>
      <w:bookmarkStart w:id="316" w:name="_Toc6013"/>
      <w:bookmarkStart w:id="317" w:name="_Toc15087"/>
      <w:bookmarkStart w:id="318" w:name="_Toc16281"/>
      <w:bookmarkStart w:id="319" w:name="_Toc124283241"/>
      <w:bookmarkStart w:id="320" w:name="_Toc10763"/>
      <w:r>
        <w:rPr>
          <w:rFonts w:hint="eastAsia" w:ascii="Times New Roman" w:eastAsia="黑体"/>
          <w:color w:val="auto"/>
          <w:sz w:val="32"/>
          <w:szCs w:val="32"/>
          <w:highlight w:val="none"/>
        </w:rPr>
        <w:t>技术文件初步评审</w:t>
      </w:r>
      <w:bookmarkEnd w:id="314"/>
      <w:bookmarkEnd w:id="315"/>
      <w:bookmarkEnd w:id="316"/>
      <w:bookmarkEnd w:id="317"/>
      <w:bookmarkEnd w:id="318"/>
      <w:r>
        <w:rPr>
          <w:rFonts w:hint="eastAsia" w:ascii="Times New Roman" w:eastAsia="黑体"/>
          <w:color w:val="auto"/>
          <w:sz w:val="32"/>
          <w:szCs w:val="32"/>
          <w:highlight w:val="none"/>
        </w:rPr>
        <w:t>标准</w:t>
      </w:r>
      <w:bookmarkEnd w:id="319"/>
      <w:bookmarkEnd w:id="320"/>
    </w:p>
    <w:tbl>
      <w:tblPr>
        <w:tblStyle w:val="17"/>
        <w:tblW w:w="5034" w:type="pct"/>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0" w:type="dxa"/>
          <w:left w:w="0" w:type="dxa"/>
          <w:bottom w:w="0" w:type="dxa"/>
          <w:right w:w="0" w:type="dxa"/>
        </w:tblCellMar>
      </w:tblPr>
      <w:tblGrid>
        <w:gridCol w:w="702"/>
        <w:gridCol w:w="916"/>
        <w:gridCol w:w="1276"/>
        <w:gridCol w:w="5479"/>
      </w:tblGrid>
      <w:tr w14:paraId="2AD64FD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40" w:hRule="atLeast"/>
        </w:trPr>
        <w:tc>
          <w:tcPr>
            <w:tcW w:w="966" w:type="pct"/>
            <w:gridSpan w:val="2"/>
            <w:tcBorders>
              <w:top w:val="outset" w:color="auto" w:sz="6" w:space="0"/>
              <w:left w:val="outset" w:color="auto" w:sz="6" w:space="0"/>
              <w:bottom w:val="outset" w:color="auto" w:sz="6" w:space="0"/>
              <w:right w:val="single" w:color="auto" w:sz="4" w:space="0"/>
              <w:tl2br w:val="nil"/>
              <w:tr2bl w:val="nil"/>
            </w:tcBorders>
            <w:noWrap w:val="0"/>
            <w:vAlign w:val="center"/>
          </w:tcPr>
          <w:p w14:paraId="64471A2A">
            <w:pPr>
              <w:widowControl/>
              <w:snapToGrid w:val="0"/>
              <w:spacing w:beforeLines="0" w:afterLines="0" w:line="360" w:lineRule="auto"/>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条款号</w:t>
            </w:r>
          </w:p>
        </w:tc>
        <w:tc>
          <w:tcPr>
            <w:tcW w:w="762" w:type="pct"/>
            <w:tcBorders>
              <w:top w:val="outset" w:color="auto" w:sz="6" w:space="0"/>
              <w:left w:val="single" w:color="auto" w:sz="4" w:space="0"/>
              <w:bottom w:val="outset" w:color="auto" w:sz="6" w:space="0"/>
              <w:right w:val="single" w:color="auto" w:sz="4" w:space="0"/>
              <w:tl2br w:val="nil"/>
              <w:tr2bl w:val="nil"/>
            </w:tcBorders>
            <w:noWrap w:val="0"/>
            <w:vAlign w:val="center"/>
          </w:tcPr>
          <w:p w14:paraId="2939D0D1">
            <w:pPr>
              <w:widowControl/>
              <w:snapToGrid w:val="0"/>
              <w:spacing w:beforeLines="0" w:afterLines="0" w:line="360" w:lineRule="auto"/>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评审因素</w:t>
            </w:r>
          </w:p>
        </w:tc>
        <w:tc>
          <w:tcPr>
            <w:tcW w:w="3271" w:type="pct"/>
            <w:tcBorders>
              <w:top w:val="outset" w:color="auto" w:sz="6" w:space="0"/>
              <w:left w:val="single" w:color="auto" w:sz="4" w:space="0"/>
              <w:bottom w:val="outset" w:color="auto" w:sz="6" w:space="0"/>
              <w:right w:val="outset" w:color="auto" w:sz="6" w:space="0"/>
              <w:tl2br w:val="nil"/>
              <w:tr2bl w:val="nil"/>
            </w:tcBorders>
            <w:noWrap w:val="0"/>
            <w:vAlign w:val="center"/>
          </w:tcPr>
          <w:p w14:paraId="3932D967">
            <w:pPr>
              <w:widowControl/>
              <w:snapToGrid w:val="0"/>
              <w:spacing w:beforeLines="0" w:afterLines="0" w:line="360" w:lineRule="auto"/>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评审标准</w:t>
            </w:r>
          </w:p>
        </w:tc>
      </w:tr>
      <w:tr w14:paraId="3CE1778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trPr>
        <w:tc>
          <w:tcPr>
            <w:tcW w:w="419" w:type="pct"/>
            <w:vMerge w:val="restart"/>
            <w:tcBorders>
              <w:top w:val="outset" w:color="auto" w:sz="6" w:space="0"/>
              <w:left w:val="outset" w:color="auto" w:sz="6" w:space="0"/>
              <w:bottom w:val="outset" w:color="auto" w:sz="6" w:space="0"/>
              <w:right w:val="outset" w:color="auto" w:sz="6" w:space="0"/>
              <w:tl2br w:val="nil"/>
              <w:tr2bl w:val="nil"/>
            </w:tcBorders>
            <w:noWrap w:val="0"/>
            <w:vAlign w:val="center"/>
          </w:tcPr>
          <w:p w14:paraId="7A472E87">
            <w:pPr>
              <w:widowControl/>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2.1.</w:t>
            </w:r>
            <w:r>
              <w:rPr>
                <w:rFonts w:hint="eastAsia" w:ascii="Times New Roman"/>
                <w:color w:val="auto"/>
                <w:sz w:val="24"/>
                <w:szCs w:val="24"/>
                <w:highlight w:val="none"/>
              </w:rPr>
              <w:t>1</w:t>
            </w:r>
          </w:p>
        </w:tc>
        <w:tc>
          <w:tcPr>
            <w:tcW w:w="546" w:type="pct"/>
            <w:vMerge w:val="restart"/>
            <w:tcBorders>
              <w:top w:val="outset" w:color="auto" w:sz="6" w:space="0"/>
              <w:left w:val="outset" w:color="auto" w:sz="6" w:space="0"/>
              <w:bottom w:val="outset" w:color="auto" w:sz="6" w:space="0"/>
              <w:right w:val="single" w:color="auto" w:sz="4" w:space="0"/>
              <w:tl2br w:val="nil"/>
              <w:tr2bl w:val="nil"/>
            </w:tcBorders>
            <w:noWrap w:val="0"/>
            <w:vAlign w:val="center"/>
          </w:tcPr>
          <w:p w14:paraId="2B3039C3">
            <w:pPr>
              <w:widowControl/>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形式评审标准</w:t>
            </w:r>
          </w:p>
        </w:tc>
        <w:tc>
          <w:tcPr>
            <w:tcW w:w="762" w:type="pct"/>
            <w:tcBorders>
              <w:top w:val="outset" w:color="auto" w:sz="6" w:space="0"/>
              <w:left w:val="single" w:color="auto" w:sz="4" w:space="0"/>
              <w:bottom w:val="nil"/>
              <w:right w:val="single" w:color="auto" w:sz="4" w:space="0"/>
              <w:tl2br w:val="nil"/>
              <w:tr2bl w:val="nil"/>
            </w:tcBorders>
            <w:noWrap w:val="0"/>
            <w:tcMar>
              <w:left w:w="75" w:type="dxa"/>
            </w:tcMar>
            <w:vAlign w:val="center"/>
          </w:tcPr>
          <w:p w14:paraId="64066677">
            <w:pPr>
              <w:widowControl/>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投标人名称</w:t>
            </w:r>
          </w:p>
        </w:tc>
        <w:tc>
          <w:tcPr>
            <w:tcW w:w="3271" w:type="pct"/>
            <w:tcBorders>
              <w:top w:val="outset" w:color="auto" w:sz="6" w:space="0"/>
              <w:left w:val="single" w:color="auto" w:sz="4" w:space="0"/>
              <w:bottom w:val="nil"/>
              <w:right w:val="outset" w:color="auto" w:sz="6" w:space="0"/>
              <w:tl2br w:val="nil"/>
              <w:tr2bl w:val="nil"/>
            </w:tcBorders>
            <w:noWrap w:val="0"/>
            <w:vAlign w:val="center"/>
          </w:tcPr>
          <w:p w14:paraId="586A2968">
            <w:pPr>
              <w:widowControl/>
              <w:spacing w:beforeLines="0" w:afterLines="0" w:line="360" w:lineRule="auto"/>
              <w:jc w:val="left"/>
              <w:rPr>
                <w:rFonts w:hint="eastAsia" w:ascii="Times New Roman"/>
                <w:color w:val="auto"/>
                <w:sz w:val="24"/>
                <w:szCs w:val="24"/>
                <w:highlight w:val="none"/>
              </w:rPr>
            </w:pPr>
            <w:r>
              <w:rPr>
                <w:rFonts w:hint="eastAsia" w:ascii="Times New Roman"/>
                <w:color w:val="auto"/>
                <w:sz w:val="24"/>
                <w:szCs w:val="24"/>
                <w:highlight w:val="none"/>
              </w:rPr>
              <w:t>与营业执照、资质证书、安全生产许可证一致。</w:t>
            </w:r>
          </w:p>
        </w:tc>
      </w:tr>
      <w:tr w14:paraId="5E1620A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894" w:hRule="atLeast"/>
        </w:trPr>
        <w:tc>
          <w:tcPr>
            <w:tcW w:w="419" w:type="pct"/>
            <w:vMerge w:val="continue"/>
            <w:tcBorders>
              <w:top w:val="outset" w:color="auto" w:sz="6" w:space="0"/>
              <w:left w:val="outset" w:color="auto" w:sz="6" w:space="0"/>
              <w:bottom w:val="outset" w:color="auto" w:sz="6" w:space="0"/>
              <w:right w:val="outset" w:color="auto" w:sz="6" w:space="0"/>
              <w:tl2br w:val="nil"/>
              <w:tr2bl w:val="nil"/>
            </w:tcBorders>
            <w:noWrap w:val="0"/>
            <w:vAlign w:val="center"/>
          </w:tcPr>
          <w:p w14:paraId="6034A8B5">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546" w:type="pct"/>
            <w:vMerge w:val="continue"/>
            <w:tcBorders>
              <w:top w:val="outset" w:color="auto" w:sz="6" w:space="0"/>
              <w:left w:val="outset" w:color="auto" w:sz="6" w:space="0"/>
              <w:bottom w:val="outset" w:color="auto" w:sz="6" w:space="0"/>
              <w:right w:val="single" w:color="auto" w:sz="4" w:space="0"/>
              <w:tl2br w:val="nil"/>
              <w:tr2bl w:val="nil"/>
            </w:tcBorders>
            <w:noWrap w:val="0"/>
            <w:vAlign w:val="center"/>
          </w:tcPr>
          <w:p w14:paraId="563EFEF9">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762" w:type="pct"/>
            <w:tcBorders>
              <w:top w:val="outset" w:color="auto" w:sz="6" w:space="0"/>
              <w:left w:val="single" w:color="auto" w:sz="4" w:space="0"/>
              <w:bottom w:val="nil"/>
              <w:right w:val="single" w:color="auto" w:sz="4" w:space="0"/>
              <w:tl2br w:val="nil"/>
              <w:tr2bl w:val="nil"/>
            </w:tcBorders>
            <w:noWrap w:val="0"/>
            <w:tcMar>
              <w:left w:w="75" w:type="dxa"/>
            </w:tcMar>
            <w:vAlign w:val="center"/>
          </w:tcPr>
          <w:p w14:paraId="2E44B016">
            <w:pPr>
              <w:widowControl/>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签字盖章</w:t>
            </w:r>
          </w:p>
        </w:tc>
        <w:tc>
          <w:tcPr>
            <w:tcW w:w="3271" w:type="pct"/>
            <w:tcBorders>
              <w:top w:val="outset" w:color="auto" w:sz="6" w:space="0"/>
              <w:left w:val="single" w:color="auto" w:sz="4" w:space="0"/>
              <w:bottom w:val="nil"/>
              <w:right w:val="outset" w:color="auto" w:sz="6" w:space="0"/>
              <w:tl2br w:val="nil"/>
              <w:tr2bl w:val="nil"/>
            </w:tcBorders>
            <w:noWrap w:val="0"/>
            <w:vAlign w:val="center"/>
          </w:tcPr>
          <w:p w14:paraId="0B0579F0">
            <w:pPr>
              <w:widowControl/>
              <w:spacing w:beforeLines="0" w:afterLines="0" w:line="360" w:lineRule="auto"/>
              <w:jc w:val="left"/>
              <w:rPr>
                <w:rFonts w:hint="eastAsia" w:ascii="Times New Roman"/>
                <w:color w:val="auto"/>
                <w:sz w:val="24"/>
                <w:szCs w:val="24"/>
                <w:highlight w:val="none"/>
              </w:rPr>
            </w:pPr>
            <w:r>
              <w:rPr>
                <w:rFonts w:hint="eastAsia" w:ascii="Times New Roman"/>
                <w:color w:val="auto"/>
                <w:sz w:val="24"/>
                <w:szCs w:val="24"/>
                <w:highlight w:val="none"/>
              </w:rPr>
              <w:t>符合第二章“投标人须知”第</w:t>
            </w:r>
            <w:r>
              <w:rPr>
                <w:rFonts w:hint="eastAsia" w:ascii="Times New Roman" w:eastAsia="Times New Roman"/>
                <w:color w:val="auto"/>
                <w:sz w:val="24"/>
                <w:szCs w:val="24"/>
                <w:highlight w:val="none"/>
              </w:rPr>
              <w:t>3.7.3</w:t>
            </w:r>
            <w:r>
              <w:rPr>
                <w:rFonts w:hint="eastAsia" w:ascii="Times New Roman"/>
                <w:color w:val="auto"/>
                <w:sz w:val="24"/>
                <w:szCs w:val="24"/>
                <w:highlight w:val="none"/>
              </w:rPr>
              <w:t>项规定。</w:t>
            </w:r>
          </w:p>
        </w:tc>
      </w:tr>
      <w:tr w14:paraId="433736C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trPr>
        <w:tc>
          <w:tcPr>
            <w:tcW w:w="419" w:type="pct"/>
            <w:vMerge w:val="continue"/>
            <w:tcBorders>
              <w:top w:val="outset" w:color="auto" w:sz="6" w:space="0"/>
              <w:left w:val="outset" w:color="auto" w:sz="6" w:space="0"/>
              <w:bottom w:val="outset" w:color="auto" w:sz="6" w:space="0"/>
              <w:right w:val="outset" w:color="auto" w:sz="6" w:space="0"/>
              <w:tl2br w:val="nil"/>
              <w:tr2bl w:val="nil"/>
            </w:tcBorders>
            <w:noWrap w:val="0"/>
            <w:vAlign w:val="center"/>
          </w:tcPr>
          <w:p w14:paraId="1CA35B59">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546" w:type="pct"/>
            <w:vMerge w:val="continue"/>
            <w:tcBorders>
              <w:top w:val="outset" w:color="auto" w:sz="6" w:space="0"/>
              <w:left w:val="outset" w:color="auto" w:sz="6" w:space="0"/>
              <w:bottom w:val="outset" w:color="auto" w:sz="6" w:space="0"/>
              <w:right w:val="single" w:color="auto" w:sz="4" w:space="0"/>
              <w:tl2br w:val="nil"/>
              <w:tr2bl w:val="nil"/>
            </w:tcBorders>
            <w:noWrap w:val="0"/>
            <w:vAlign w:val="center"/>
          </w:tcPr>
          <w:p w14:paraId="2D0983FC">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762" w:type="pct"/>
            <w:tcBorders>
              <w:top w:val="outset" w:color="auto" w:sz="6" w:space="0"/>
              <w:left w:val="single" w:color="auto" w:sz="4" w:space="0"/>
              <w:bottom w:val="nil"/>
              <w:right w:val="single" w:color="auto" w:sz="4" w:space="0"/>
              <w:tl2br w:val="nil"/>
              <w:tr2bl w:val="nil"/>
            </w:tcBorders>
            <w:noWrap w:val="0"/>
            <w:tcMar>
              <w:left w:w="75" w:type="dxa"/>
            </w:tcMar>
            <w:vAlign w:val="center"/>
          </w:tcPr>
          <w:p w14:paraId="1F868C64">
            <w:pPr>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投标文件格式</w:t>
            </w:r>
          </w:p>
        </w:tc>
        <w:tc>
          <w:tcPr>
            <w:tcW w:w="3271" w:type="pct"/>
            <w:tcBorders>
              <w:top w:val="outset" w:color="auto" w:sz="6" w:space="0"/>
              <w:left w:val="single" w:color="auto" w:sz="4" w:space="0"/>
              <w:bottom w:val="nil"/>
              <w:right w:val="outset" w:color="auto" w:sz="6" w:space="0"/>
              <w:tl2br w:val="nil"/>
              <w:tr2bl w:val="nil"/>
            </w:tcBorders>
            <w:noWrap w:val="0"/>
            <w:vAlign w:val="center"/>
          </w:tcPr>
          <w:p w14:paraId="67B9FB93">
            <w:pPr>
              <w:snapToGrid w:val="0"/>
              <w:spacing w:beforeLines="0" w:afterLines="0" w:line="360" w:lineRule="auto"/>
              <w:rPr>
                <w:rFonts w:hint="eastAsia" w:ascii="Times New Roman"/>
                <w:color w:val="auto"/>
                <w:sz w:val="24"/>
                <w:szCs w:val="24"/>
                <w:highlight w:val="none"/>
              </w:rPr>
            </w:pPr>
            <w:r>
              <w:rPr>
                <w:rFonts w:hint="eastAsia" w:ascii="Times New Roman"/>
                <w:color w:val="auto"/>
                <w:sz w:val="24"/>
                <w:szCs w:val="24"/>
                <w:highlight w:val="none"/>
              </w:rPr>
              <w:t>符合第八章“投标文件格式”的规定，关键字迹清晰可辨。</w:t>
            </w:r>
          </w:p>
        </w:tc>
      </w:tr>
      <w:tr w14:paraId="1F58DCA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835" w:hRule="atLeast"/>
        </w:trPr>
        <w:tc>
          <w:tcPr>
            <w:tcW w:w="419" w:type="pct"/>
            <w:vMerge w:val="continue"/>
            <w:tcBorders>
              <w:top w:val="outset" w:color="auto" w:sz="6" w:space="0"/>
              <w:left w:val="outset" w:color="auto" w:sz="6" w:space="0"/>
              <w:bottom w:val="single" w:color="auto" w:sz="4" w:space="0"/>
              <w:right w:val="outset" w:color="auto" w:sz="6" w:space="0"/>
              <w:tl2br w:val="nil"/>
              <w:tr2bl w:val="nil"/>
            </w:tcBorders>
            <w:noWrap w:val="0"/>
            <w:vAlign w:val="center"/>
          </w:tcPr>
          <w:p w14:paraId="53C312CC">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546" w:type="pct"/>
            <w:vMerge w:val="continue"/>
            <w:tcBorders>
              <w:top w:val="outset" w:color="auto" w:sz="6" w:space="0"/>
              <w:left w:val="outset" w:color="auto" w:sz="6" w:space="0"/>
              <w:bottom w:val="single" w:color="auto" w:sz="4" w:space="0"/>
              <w:right w:val="single" w:color="auto" w:sz="4" w:space="0"/>
              <w:tl2br w:val="nil"/>
              <w:tr2bl w:val="nil"/>
            </w:tcBorders>
            <w:noWrap w:val="0"/>
            <w:vAlign w:val="center"/>
          </w:tcPr>
          <w:p w14:paraId="30312235">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762" w:type="pct"/>
            <w:tcBorders>
              <w:top w:val="outset" w:color="auto" w:sz="6" w:space="0"/>
              <w:left w:val="single" w:color="auto" w:sz="4" w:space="0"/>
              <w:bottom w:val="single" w:color="auto" w:sz="4" w:space="0"/>
              <w:right w:val="single" w:color="auto" w:sz="4" w:space="0"/>
              <w:tl2br w:val="nil"/>
              <w:tr2bl w:val="nil"/>
            </w:tcBorders>
            <w:noWrap w:val="0"/>
            <w:tcMar>
              <w:left w:w="75" w:type="dxa"/>
            </w:tcMar>
            <w:vAlign w:val="center"/>
          </w:tcPr>
          <w:p w14:paraId="06E3444D">
            <w:pPr>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备选投标方案</w:t>
            </w:r>
          </w:p>
        </w:tc>
        <w:tc>
          <w:tcPr>
            <w:tcW w:w="3271" w:type="pct"/>
            <w:tcBorders>
              <w:top w:val="outset" w:color="auto" w:sz="6" w:space="0"/>
              <w:left w:val="single" w:color="auto" w:sz="4" w:space="0"/>
              <w:bottom w:val="nil"/>
              <w:right w:val="outset" w:color="auto" w:sz="6" w:space="0"/>
              <w:tl2br w:val="nil"/>
              <w:tr2bl w:val="nil"/>
            </w:tcBorders>
            <w:noWrap w:val="0"/>
            <w:vAlign w:val="center"/>
          </w:tcPr>
          <w:p w14:paraId="5F686650">
            <w:pPr>
              <w:snapToGrid w:val="0"/>
              <w:spacing w:beforeLines="0" w:afterLines="0" w:line="360" w:lineRule="auto"/>
              <w:rPr>
                <w:rFonts w:hint="eastAsia" w:ascii="Times New Roman"/>
                <w:color w:val="auto"/>
                <w:sz w:val="24"/>
                <w:szCs w:val="24"/>
                <w:highlight w:val="none"/>
              </w:rPr>
            </w:pPr>
            <w:r>
              <w:rPr>
                <w:rFonts w:hint="eastAsia" w:ascii="Times New Roman"/>
                <w:color w:val="auto"/>
                <w:sz w:val="24"/>
                <w:szCs w:val="24"/>
                <w:highlight w:val="none"/>
              </w:rPr>
              <w:t>除招标文件明确允许备选投标方案外，投标人不得提交备选投标方案。</w:t>
            </w:r>
          </w:p>
        </w:tc>
      </w:tr>
      <w:tr w14:paraId="06081EA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trPr>
        <w:tc>
          <w:tcPr>
            <w:tcW w:w="419" w:type="pct"/>
            <w:vMerge w:val="restart"/>
            <w:tcBorders>
              <w:top w:val="single" w:color="auto" w:sz="4" w:space="0"/>
              <w:left w:val="outset" w:color="auto" w:sz="6" w:space="0"/>
              <w:bottom w:val="outset" w:color="auto" w:sz="6" w:space="0"/>
              <w:right w:val="outset" w:color="auto" w:sz="6" w:space="0"/>
              <w:tl2br w:val="nil"/>
              <w:tr2bl w:val="nil"/>
            </w:tcBorders>
            <w:noWrap w:val="0"/>
            <w:vAlign w:val="center"/>
          </w:tcPr>
          <w:p w14:paraId="57B96510">
            <w:pPr>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2.1.3</w:t>
            </w:r>
          </w:p>
        </w:tc>
        <w:tc>
          <w:tcPr>
            <w:tcW w:w="546" w:type="pct"/>
            <w:vMerge w:val="restart"/>
            <w:tcBorders>
              <w:top w:val="single" w:color="auto" w:sz="4" w:space="0"/>
              <w:left w:val="outset" w:color="auto" w:sz="6" w:space="0"/>
              <w:bottom w:val="outset" w:color="auto" w:sz="6" w:space="0"/>
              <w:right w:val="single" w:color="auto" w:sz="4" w:space="0"/>
              <w:tl2br w:val="nil"/>
              <w:tr2bl w:val="nil"/>
            </w:tcBorders>
            <w:noWrap w:val="0"/>
            <w:vAlign w:val="center"/>
          </w:tcPr>
          <w:p w14:paraId="238732C8">
            <w:pPr>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响应性评审标准</w:t>
            </w:r>
          </w:p>
        </w:tc>
        <w:tc>
          <w:tcPr>
            <w:tcW w:w="762" w:type="pct"/>
            <w:tcBorders>
              <w:top w:val="single" w:color="auto" w:sz="4" w:space="0"/>
              <w:left w:val="single" w:color="auto" w:sz="4" w:space="0"/>
              <w:bottom w:val="nil"/>
              <w:right w:val="single" w:color="auto" w:sz="4" w:space="0"/>
              <w:tl2br w:val="nil"/>
              <w:tr2bl w:val="nil"/>
            </w:tcBorders>
            <w:noWrap w:val="0"/>
            <w:tcMar>
              <w:left w:w="75" w:type="dxa"/>
            </w:tcMar>
            <w:vAlign w:val="center"/>
          </w:tcPr>
          <w:p w14:paraId="68C2754D">
            <w:pPr>
              <w:widowControl/>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投标内容</w:t>
            </w:r>
          </w:p>
        </w:tc>
        <w:tc>
          <w:tcPr>
            <w:tcW w:w="3271" w:type="pct"/>
            <w:tcBorders>
              <w:top w:val="outset" w:color="auto" w:sz="6" w:space="0"/>
              <w:left w:val="single" w:color="auto" w:sz="4" w:space="0"/>
              <w:bottom w:val="nil"/>
              <w:right w:val="outset" w:color="auto" w:sz="6" w:space="0"/>
              <w:tl2br w:val="nil"/>
              <w:tr2bl w:val="nil"/>
            </w:tcBorders>
            <w:noWrap w:val="0"/>
            <w:vAlign w:val="center"/>
          </w:tcPr>
          <w:p w14:paraId="64F9FD77">
            <w:pPr>
              <w:widowControl/>
              <w:spacing w:beforeLines="0" w:afterLines="0" w:line="360" w:lineRule="auto"/>
              <w:jc w:val="left"/>
              <w:rPr>
                <w:rFonts w:hint="eastAsia" w:ascii="Times New Roman"/>
                <w:color w:val="auto"/>
                <w:sz w:val="24"/>
                <w:szCs w:val="24"/>
                <w:highlight w:val="none"/>
              </w:rPr>
            </w:pPr>
            <w:r>
              <w:rPr>
                <w:rFonts w:hint="eastAsia" w:ascii="Times New Roman"/>
                <w:color w:val="auto"/>
                <w:sz w:val="24"/>
                <w:szCs w:val="24"/>
                <w:highlight w:val="none"/>
              </w:rPr>
              <w:t>符合第二章“投标人须知”第1.3.1项规定。</w:t>
            </w:r>
          </w:p>
        </w:tc>
      </w:tr>
      <w:tr w14:paraId="53B2C8B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trPr>
        <w:tc>
          <w:tcPr>
            <w:tcW w:w="419" w:type="pct"/>
            <w:vMerge w:val="continue"/>
            <w:tcBorders>
              <w:top w:val="single" w:color="auto" w:sz="4" w:space="0"/>
              <w:left w:val="outset" w:color="auto" w:sz="6" w:space="0"/>
              <w:bottom w:val="outset" w:color="auto" w:sz="6" w:space="0"/>
              <w:right w:val="outset" w:color="auto" w:sz="6" w:space="0"/>
              <w:tl2br w:val="nil"/>
              <w:tr2bl w:val="nil"/>
            </w:tcBorders>
            <w:noWrap w:val="0"/>
            <w:vAlign w:val="center"/>
          </w:tcPr>
          <w:p w14:paraId="0148F841">
            <w:pPr>
              <w:snapToGrid w:val="0"/>
              <w:spacing w:beforeLines="0" w:afterLines="0" w:line="360" w:lineRule="auto"/>
              <w:jc w:val="center"/>
              <w:rPr>
                <w:rFonts w:hint="eastAsia" w:ascii="Times New Roman" w:eastAsia="Times New Roman"/>
                <w:color w:val="auto"/>
                <w:sz w:val="24"/>
                <w:szCs w:val="24"/>
                <w:highlight w:val="none"/>
              </w:rPr>
            </w:pPr>
          </w:p>
        </w:tc>
        <w:tc>
          <w:tcPr>
            <w:tcW w:w="546" w:type="pct"/>
            <w:vMerge w:val="continue"/>
            <w:tcBorders>
              <w:top w:val="single" w:color="auto" w:sz="4" w:space="0"/>
              <w:left w:val="outset" w:color="auto" w:sz="6" w:space="0"/>
              <w:bottom w:val="outset" w:color="auto" w:sz="6" w:space="0"/>
              <w:right w:val="single" w:color="auto" w:sz="4" w:space="0"/>
              <w:tl2br w:val="nil"/>
              <w:tr2bl w:val="nil"/>
            </w:tcBorders>
            <w:noWrap w:val="0"/>
            <w:vAlign w:val="center"/>
          </w:tcPr>
          <w:p w14:paraId="327318E7">
            <w:pPr>
              <w:snapToGrid w:val="0"/>
              <w:spacing w:beforeLines="0" w:afterLines="0" w:line="360" w:lineRule="auto"/>
              <w:jc w:val="center"/>
              <w:rPr>
                <w:rFonts w:hint="eastAsia" w:ascii="Times New Roman" w:eastAsia="Times New Roman"/>
                <w:color w:val="auto"/>
                <w:sz w:val="24"/>
                <w:szCs w:val="24"/>
                <w:highlight w:val="none"/>
              </w:rPr>
            </w:pPr>
          </w:p>
        </w:tc>
        <w:tc>
          <w:tcPr>
            <w:tcW w:w="762" w:type="pct"/>
            <w:tcBorders>
              <w:top w:val="single" w:color="auto" w:sz="4" w:space="0"/>
              <w:left w:val="single" w:color="auto" w:sz="4" w:space="0"/>
              <w:bottom w:val="nil"/>
              <w:right w:val="single" w:color="auto" w:sz="4" w:space="0"/>
              <w:tl2br w:val="nil"/>
              <w:tr2bl w:val="nil"/>
            </w:tcBorders>
            <w:noWrap w:val="0"/>
            <w:tcMar>
              <w:left w:w="75" w:type="dxa"/>
            </w:tcMar>
            <w:vAlign w:val="center"/>
          </w:tcPr>
          <w:p w14:paraId="226858DA">
            <w:pPr>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偏差</w:t>
            </w:r>
          </w:p>
        </w:tc>
        <w:tc>
          <w:tcPr>
            <w:tcW w:w="3271" w:type="pct"/>
            <w:tcBorders>
              <w:top w:val="outset" w:color="auto" w:sz="6" w:space="0"/>
              <w:left w:val="single" w:color="auto" w:sz="4" w:space="0"/>
              <w:bottom w:val="nil"/>
              <w:right w:val="outset" w:color="auto" w:sz="6" w:space="0"/>
              <w:tl2br w:val="nil"/>
              <w:tr2bl w:val="nil"/>
            </w:tcBorders>
            <w:noWrap w:val="0"/>
            <w:vAlign w:val="center"/>
          </w:tcPr>
          <w:p w14:paraId="54A3DCA0">
            <w:pPr>
              <w:snapToGrid w:val="0"/>
              <w:spacing w:beforeLines="0" w:afterLines="0" w:line="360" w:lineRule="auto"/>
              <w:rPr>
                <w:rFonts w:hint="eastAsia" w:ascii="Times New Roman"/>
                <w:color w:val="auto"/>
                <w:sz w:val="24"/>
                <w:szCs w:val="24"/>
                <w:highlight w:val="none"/>
              </w:rPr>
            </w:pPr>
            <w:r>
              <w:rPr>
                <w:rFonts w:hint="eastAsia" w:ascii="Times New Roman"/>
                <w:color w:val="auto"/>
                <w:sz w:val="24"/>
                <w:szCs w:val="24"/>
                <w:highlight w:val="none"/>
              </w:rPr>
              <w:t>符合第二章“投标人须知”第1.12.1项规定，投标文件中没有招标人不能接受的条件。</w:t>
            </w:r>
          </w:p>
        </w:tc>
      </w:tr>
      <w:tr w14:paraId="5C2BFBD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61" w:hRule="atLeast"/>
        </w:trPr>
        <w:tc>
          <w:tcPr>
            <w:tcW w:w="419" w:type="pct"/>
            <w:vMerge w:val="continue"/>
            <w:tcBorders>
              <w:top w:val="outset" w:color="auto" w:sz="6" w:space="0"/>
              <w:left w:val="outset" w:color="auto" w:sz="6" w:space="0"/>
              <w:bottom w:val="single" w:color="auto" w:sz="4" w:space="0"/>
              <w:right w:val="outset" w:color="auto" w:sz="6" w:space="0"/>
              <w:tl2br w:val="nil"/>
              <w:tr2bl w:val="nil"/>
            </w:tcBorders>
            <w:noWrap w:val="0"/>
            <w:vAlign w:val="center"/>
          </w:tcPr>
          <w:p w14:paraId="23E62533">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546" w:type="pct"/>
            <w:vMerge w:val="continue"/>
            <w:tcBorders>
              <w:top w:val="outset" w:color="auto" w:sz="6" w:space="0"/>
              <w:left w:val="outset" w:color="auto" w:sz="6" w:space="0"/>
              <w:bottom w:val="single" w:color="auto" w:sz="4" w:space="0"/>
              <w:right w:val="single" w:color="auto" w:sz="4" w:space="0"/>
              <w:tl2br w:val="nil"/>
              <w:tr2bl w:val="nil"/>
            </w:tcBorders>
            <w:noWrap w:val="0"/>
            <w:vAlign w:val="center"/>
          </w:tcPr>
          <w:p w14:paraId="75024A0C">
            <w:pPr>
              <w:widowControl/>
              <w:snapToGrid w:val="0"/>
              <w:spacing w:beforeLines="0" w:afterLines="0" w:line="360" w:lineRule="auto"/>
              <w:jc w:val="center"/>
              <w:rPr>
                <w:rFonts w:hint="eastAsia" w:ascii="Times New Roman" w:eastAsia="Times New Roman"/>
                <w:color w:val="auto"/>
                <w:sz w:val="24"/>
                <w:szCs w:val="24"/>
                <w:highlight w:val="none"/>
              </w:rPr>
            </w:pPr>
          </w:p>
        </w:tc>
        <w:tc>
          <w:tcPr>
            <w:tcW w:w="762" w:type="pct"/>
            <w:tcBorders>
              <w:top w:val="outset" w:color="auto" w:sz="6" w:space="0"/>
              <w:left w:val="single" w:color="auto" w:sz="4" w:space="0"/>
              <w:bottom w:val="single" w:color="auto" w:sz="4" w:space="0"/>
              <w:right w:val="single" w:color="auto" w:sz="4" w:space="0"/>
              <w:tl2br w:val="nil"/>
              <w:tr2bl w:val="nil"/>
            </w:tcBorders>
            <w:noWrap w:val="0"/>
            <w:tcMar>
              <w:left w:w="75" w:type="dxa"/>
            </w:tcMar>
            <w:vAlign w:val="center"/>
          </w:tcPr>
          <w:p w14:paraId="543D8FA5">
            <w:pPr>
              <w:widowControl/>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其他实质性要求</w:t>
            </w:r>
          </w:p>
        </w:tc>
        <w:tc>
          <w:tcPr>
            <w:tcW w:w="3271" w:type="pct"/>
            <w:tcBorders>
              <w:top w:val="outset" w:color="auto" w:sz="6" w:space="0"/>
              <w:left w:val="single" w:color="auto" w:sz="4" w:space="0"/>
              <w:bottom w:val="single" w:color="auto" w:sz="4" w:space="0"/>
              <w:right w:val="outset" w:color="auto" w:sz="6" w:space="0"/>
              <w:tl2br w:val="nil"/>
              <w:tr2bl w:val="nil"/>
            </w:tcBorders>
            <w:noWrap w:val="0"/>
            <w:vAlign w:val="center"/>
          </w:tcPr>
          <w:p w14:paraId="02AA2498">
            <w:pPr>
              <w:widowControl/>
              <w:spacing w:beforeLines="0" w:afterLines="0" w:line="360" w:lineRule="auto"/>
              <w:jc w:val="left"/>
              <w:rPr>
                <w:rFonts w:hint="eastAsia" w:ascii="Times New Roman"/>
                <w:color w:val="auto"/>
                <w:sz w:val="24"/>
                <w:szCs w:val="24"/>
                <w:highlight w:val="none"/>
              </w:rPr>
            </w:pPr>
            <w:r>
              <w:rPr>
                <w:rFonts w:hint="eastAsia" w:ascii="Times New Roman"/>
                <w:color w:val="auto"/>
                <w:sz w:val="24"/>
                <w:szCs w:val="24"/>
                <w:highlight w:val="none"/>
              </w:rPr>
              <w:t>符合招标文件的其他实质性要求和条件。</w:t>
            </w:r>
          </w:p>
        </w:tc>
      </w:tr>
    </w:tbl>
    <w:p w14:paraId="0C06F6B7">
      <w:pPr>
        <w:spacing w:before="240" w:beforeLines="100" w:after="240" w:afterLines="100"/>
        <w:jc w:val="center"/>
        <w:outlineLvl w:val="1"/>
        <w:rPr>
          <w:rFonts w:hint="eastAsia" w:ascii="Times New Roman" w:eastAsia="Times New Roman"/>
          <w:color w:val="auto"/>
          <w:sz w:val="32"/>
          <w:szCs w:val="32"/>
          <w:highlight w:val="none"/>
        </w:rPr>
      </w:pPr>
      <w:r>
        <w:rPr>
          <w:rFonts w:hint="eastAsia" w:ascii="Times New Roman" w:eastAsia="黑体"/>
          <w:color w:val="auto"/>
          <w:sz w:val="32"/>
          <w:szCs w:val="32"/>
          <w:highlight w:val="none"/>
        </w:rPr>
        <w:br w:type="page"/>
      </w:r>
      <w:bookmarkStart w:id="321" w:name="_Toc22600"/>
      <w:bookmarkEnd w:id="321"/>
      <w:bookmarkStart w:id="322" w:name="_Toc30357"/>
      <w:bookmarkEnd w:id="322"/>
      <w:bookmarkStart w:id="323" w:name="_Toc22785"/>
      <w:bookmarkStart w:id="324" w:name="_Toc124283242"/>
      <w:bookmarkStart w:id="325" w:name="_Toc22043"/>
      <w:bookmarkStart w:id="326" w:name="_Toc30857"/>
      <w:bookmarkStart w:id="327" w:name="_Toc12519"/>
      <w:r>
        <w:rPr>
          <w:rFonts w:hint="eastAsia" w:ascii="Times New Roman" w:eastAsia="黑体"/>
          <w:color w:val="auto"/>
          <w:sz w:val="32"/>
          <w:szCs w:val="32"/>
          <w:highlight w:val="none"/>
        </w:rPr>
        <w:t>详细评审标准</w:t>
      </w:r>
      <w:bookmarkEnd w:id="323"/>
      <w:r>
        <w:rPr>
          <w:rFonts w:hint="default" w:ascii="Times New Roman"/>
          <w:color w:val="auto"/>
          <w:sz w:val="24"/>
          <w:szCs w:val="24"/>
          <w:highlight w:val="none"/>
          <w:vertAlign w:val="superscript"/>
        </w:rPr>
        <w:footnoteReference w:id="0"/>
      </w:r>
      <w:bookmarkEnd w:id="324"/>
      <w:bookmarkEnd w:id="325"/>
      <w:bookmarkEnd w:id="326"/>
      <w:bookmarkEnd w:id="327"/>
    </w:p>
    <w:tbl>
      <w:tblPr>
        <w:tblStyle w:val="17"/>
        <w:tblW w:w="5089"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1"/>
        <w:gridCol w:w="1000"/>
        <w:gridCol w:w="1260"/>
        <w:gridCol w:w="1003"/>
        <w:gridCol w:w="4584"/>
      </w:tblGrid>
      <w:tr w14:paraId="6D5E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5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AC7C9B1">
            <w:pPr>
              <w:snapToGrid w:val="0"/>
              <w:spacing w:beforeLines="0" w:afterLines="0" w:line="360" w:lineRule="auto"/>
              <w:jc w:val="center"/>
              <w:rPr>
                <w:rFonts w:hint="eastAsia" w:ascii="Times New Roman" w:cs="宋体"/>
                <w:b/>
                <w:color w:val="auto"/>
                <w:sz w:val="24"/>
                <w:szCs w:val="24"/>
                <w:highlight w:val="none"/>
              </w:rPr>
            </w:pPr>
            <w:r>
              <w:rPr>
                <w:rFonts w:hint="eastAsia" w:ascii="Times New Roman" w:cs="宋体"/>
                <w:b/>
                <w:color w:val="auto"/>
                <w:sz w:val="24"/>
                <w:szCs w:val="24"/>
                <w:highlight w:val="none"/>
              </w:rPr>
              <w:t>条款号</w:t>
            </w:r>
          </w:p>
        </w:tc>
        <w:tc>
          <w:tcPr>
            <w:tcW w:w="74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3C4A6A3E">
            <w:pPr>
              <w:snapToGrid w:val="0"/>
              <w:spacing w:beforeLines="0" w:afterLines="0" w:line="360" w:lineRule="auto"/>
              <w:jc w:val="center"/>
              <w:rPr>
                <w:rFonts w:hint="eastAsia" w:ascii="Times New Roman" w:cs="宋体"/>
                <w:b/>
                <w:color w:val="auto"/>
                <w:sz w:val="24"/>
                <w:szCs w:val="24"/>
                <w:highlight w:val="none"/>
              </w:rPr>
            </w:pPr>
            <w:r>
              <w:rPr>
                <w:rFonts w:hint="eastAsia" w:ascii="Times New Roman" w:cs="宋体"/>
                <w:b/>
                <w:color w:val="auto"/>
                <w:sz w:val="24"/>
                <w:szCs w:val="24"/>
                <w:highlight w:val="none"/>
              </w:rPr>
              <w:t>评审因素</w:t>
            </w:r>
          </w:p>
        </w:tc>
        <w:tc>
          <w:tcPr>
            <w:tcW w:w="5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CCF641">
            <w:pPr>
              <w:widowControl/>
              <w:snapToGrid w:val="0"/>
              <w:spacing w:beforeLines="0" w:afterLines="0" w:line="360" w:lineRule="auto"/>
              <w:jc w:val="center"/>
              <w:rPr>
                <w:rFonts w:hint="eastAsia" w:ascii="Times New Roman" w:cs="宋体"/>
                <w:b/>
                <w:color w:val="auto"/>
                <w:sz w:val="24"/>
                <w:szCs w:val="24"/>
                <w:highlight w:val="none"/>
              </w:rPr>
            </w:pPr>
            <w:r>
              <w:rPr>
                <w:rFonts w:hint="eastAsia" w:ascii="Times New Roman" w:cs="宋体"/>
                <w:b/>
                <w:color w:val="auto"/>
                <w:sz w:val="24"/>
                <w:szCs w:val="24"/>
                <w:highlight w:val="none"/>
              </w:rPr>
              <w:t>分值</w:t>
            </w:r>
          </w:p>
        </w:tc>
        <w:tc>
          <w:tcPr>
            <w:tcW w:w="2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9F4383">
            <w:pPr>
              <w:snapToGrid w:val="0"/>
              <w:spacing w:beforeLines="0" w:afterLines="0" w:line="360" w:lineRule="auto"/>
              <w:jc w:val="center"/>
              <w:rPr>
                <w:rFonts w:hint="eastAsia" w:ascii="Times New Roman" w:cs="宋体"/>
                <w:b/>
                <w:color w:val="auto"/>
                <w:sz w:val="24"/>
                <w:szCs w:val="24"/>
                <w:highlight w:val="none"/>
              </w:rPr>
            </w:pPr>
            <w:r>
              <w:rPr>
                <w:rFonts w:hint="eastAsia" w:ascii="Times New Roman" w:cs="宋体"/>
                <w:b/>
                <w:color w:val="auto"/>
                <w:sz w:val="24"/>
                <w:szCs w:val="24"/>
                <w:highlight w:val="none"/>
              </w:rPr>
              <w:t>评审标准</w:t>
            </w:r>
          </w:p>
        </w:tc>
      </w:tr>
      <w:tr w14:paraId="05A7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A4189E0">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2.2.2（1）</w:t>
            </w:r>
          </w:p>
        </w:tc>
        <w:tc>
          <w:tcPr>
            <w:tcW w:w="59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8AB3A9E">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技术文件评分标准</w:t>
            </w:r>
          </w:p>
        </w:tc>
        <w:tc>
          <w:tcPr>
            <w:tcW w:w="74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AAEDA82">
            <w:pPr>
              <w:suppressAutoHyphens/>
              <w:adjustRightInd w:val="0"/>
              <w:snapToGrid w:val="0"/>
              <w:spacing w:beforeLines="0" w:afterLines="0" w:line="360" w:lineRule="auto"/>
              <w:ind w:left="-35" w:right="-38"/>
              <w:jc w:val="center"/>
              <w:rPr>
                <w:rFonts w:hint="eastAsia" w:ascii="Times New Roman" w:cs="宋体"/>
                <w:color w:val="auto"/>
                <w:kern w:val="1"/>
                <w:sz w:val="24"/>
                <w:szCs w:val="24"/>
                <w:highlight w:val="none"/>
              </w:rPr>
            </w:pPr>
            <w:r>
              <w:rPr>
                <w:rFonts w:hint="eastAsia" w:ascii="Times New Roman" w:cs="宋体"/>
                <w:color w:val="auto"/>
                <w:kern w:val="1"/>
                <w:sz w:val="24"/>
                <w:szCs w:val="24"/>
                <w:highlight w:val="none"/>
              </w:rPr>
              <w:t>项目经理视频陈述</w:t>
            </w:r>
            <w:r>
              <w:rPr>
                <w:rFonts w:hint="eastAsia" w:hAnsi="宋体"/>
                <w:color w:val="auto"/>
                <w:kern w:val="1"/>
                <w:sz w:val="24"/>
                <w:szCs w:val="24"/>
                <w:highlight w:val="none"/>
                <w:lang w:bidi="ar"/>
              </w:rPr>
              <w:t>及答辩</w:t>
            </w:r>
          </w:p>
        </w:tc>
        <w:tc>
          <w:tcPr>
            <w:tcW w:w="5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B2037C">
            <w:pPr>
              <w:widowControl/>
              <w:snapToGrid w:val="0"/>
              <w:spacing w:beforeLines="0" w:afterLines="0" w:line="360" w:lineRule="auto"/>
              <w:jc w:val="left"/>
              <w:rPr>
                <w:rFonts w:hint="eastAsia" w:ascii="Times New Roman" w:cs="宋体"/>
                <w:color w:val="auto"/>
                <w:sz w:val="24"/>
                <w:szCs w:val="24"/>
                <w:highlight w:val="none"/>
              </w:rPr>
            </w:pPr>
            <w:r>
              <w:rPr>
                <w:rFonts w:hint="eastAsia" w:ascii="Times New Roman" w:cs="宋体"/>
                <w:color w:val="auto"/>
                <w:sz w:val="24"/>
                <w:szCs w:val="24"/>
                <w:highlight w:val="none"/>
                <w:u w:val="single"/>
              </w:rPr>
              <w:t xml:space="preserve"> 50</w:t>
            </w:r>
            <w:r>
              <w:rPr>
                <w:rFonts w:hint="eastAsia" w:ascii="Times New Roman" w:cs="宋体"/>
                <w:color w:val="auto"/>
                <w:sz w:val="24"/>
                <w:szCs w:val="24"/>
                <w:highlight w:val="none"/>
              </w:rPr>
              <w:t>分</w:t>
            </w:r>
          </w:p>
        </w:tc>
        <w:tc>
          <w:tcPr>
            <w:tcW w:w="2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F9ED90">
            <w:pPr>
              <w:widowControl/>
              <w:snapToGrid w:val="0"/>
              <w:spacing w:beforeLines="0" w:afterLines="0" w:line="360" w:lineRule="auto"/>
              <w:rPr>
                <w:rFonts w:hint="eastAsia" w:hAnsi="宋体"/>
                <w:color w:val="auto"/>
                <w:kern w:val="1"/>
                <w:sz w:val="24"/>
                <w:szCs w:val="24"/>
                <w:highlight w:val="none"/>
              </w:rPr>
            </w:pPr>
            <w:r>
              <w:rPr>
                <w:rFonts w:hint="eastAsia" w:hAnsi="宋体"/>
                <w:color w:val="auto"/>
                <w:kern w:val="1"/>
                <w:sz w:val="24"/>
                <w:szCs w:val="24"/>
                <w:highlight w:val="none"/>
                <w:lang w:bidi="ar"/>
              </w:rPr>
              <w:t>1.项目经理</w:t>
            </w:r>
            <w:r>
              <w:rPr>
                <w:rFonts w:hint="eastAsia" w:hAnsi="宋体"/>
                <w:b/>
                <w:color w:val="auto"/>
                <w:kern w:val="1"/>
                <w:sz w:val="24"/>
                <w:szCs w:val="24"/>
                <w:highlight w:val="none"/>
                <w:lang w:bidi="ar"/>
              </w:rPr>
              <w:t>根据施工组织设计有针对性的进行视频陈述</w:t>
            </w:r>
            <w:r>
              <w:rPr>
                <w:rFonts w:hint="eastAsia" w:hAnsi="宋体"/>
                <w:color w:val="auto"/>
                <w:kern w:val="1"/>
                <w:sz w:val="24"/>
                <w:szCs w:val="24"/>
                <w:highlight w:val="none"/>
                <w:lang w:bidi="ar"/>
              </w:rPr>
              <w:t>，评委会根据项目经理视频陈述情况综合评定打分：优良得30分≥F≥27分，一般得27分＞F＞18分，差的得18分≥F≥0分。未陈述的，不得分。</w:t>
            </w:r>
          </w:p>
          <w:p w14:paraId="73E92655">
            <w:pPr>
              <w:widowControl/>
              <w:snapToGrid w:val="0"/>
              <w:spacing w:beforeLines="0" w:afterLines="0" w:line="360" w:lineRule="auto"/>
              <w:rPr>
                <w:rFonts w:hint="eastAsia" w:hAnsi="宋体"/>
                <w:color w:val="auto"/>
                <w:kern w:val="1"/>
                <w:sz w:val="24"/>
                <w:szCs w:val="24"/>
                <w:highlight w:val="none"/>
              </w:rPr>
            </w:pPr>
            <w:r>
              <w:rPr>
                <w:rFonts w:hint="eastAsia" w:hAnsi="宋体"/>
                <w:color w:val="auto"/>
                <w:kern w:val="1"/>
                <w:sz w:val="24"/>
                <w:szCs w:val="24"/>
                <w:highlight w:val="none"/>
                <w:lang w:bidi="ar"/>
              </w:rPr>
              <w:t>2.项目经理</w:t>
            </w:r>
            <w:r>
              <w:rPr>
                <w:rFonts w:hint="eastAsia" w:hAnsi="宋体"/>
                <w:b/>
                <w:color w:val="auto"/>
                <w:kern w:val="1"/>
                <w:sz w:val="24"/>
                <w:szCs w:val="24"/>
                <w:highlight w:val="none"/>
                <w:lang w:bidi="ar"/>
              </w:rPr>
              <w:t>根据评标委员会所提出问题进行针对性答辩</w:t>
            </w:r>
            <w:r>
              <w:rPr>
                <w:rFonts w:hint="eastAsia" w:hAnsi="宋体"/>
                <w:color w:val="auto"/>
                <w:kern w:val="1"/>
                <w:sz w:val="24"/>
                <w:szCs w:val="24"/>
                <w:highlight w:val="none"/>
                <w:lang w:bidi="ar"/>
              </w:rPr>
              <w:t>（由评标委员会全体成员结合本项目实际情况，现场共同商讨后提出答辩题目，由评标委员会组长提问，原则上答辩问题保持一致，验证项目经理身份后</w:t>
            </w:r>
            <w:r>
              <w:rPr>
                <w:rFonts w:hint="eastAsia" w:hAnsi="宋体"/>
                <w:b/>
                <w:color w:val="auto"/>
                <w:kern w:val="1"/>
                <w:sz w:val="24"/>
                <w:szCs w:val="24"/>
                <w:highlight w:val="none"/>
                <w:lang w:bidi="ar"/>
              </w:rPr>
              <w:t>陈述答辩及准备的时间不超过10分钟</w:t>
            </w:r>
            <w:r>
              <w:rPr>
                <w:rFonts w:hint="eastAsia" w:hAnsi="宋体"/>
                <w:color w:val="auto"/>
                <w:kern w:val="1"/>
                <w:sz w:val="24"/>
                <w:szCs w:val="24"/>
                <w:highlight w:val="none"/>
                <w:lang w:bidi="ar"/>
              </w:rPr>
              <w:t>，投标人合理计划好时间）：优良得20分≥F≥18分，一般得18分＞F＞12分，差的得12分≥F≥0分。未答辩的，不得分。</w:t>
            </w:r>
          </w:p>
          <w:p w14:paraId="726C6473">
            <w:pPr>
              <w:widowControl/>
              <w:snapToGrid w:val="0"/>
              <w:spacing w:beforeLines="0" w:afterLines="0" w:line="360" w:lineRule="auto"/>
              <w:rPr>
                <w:rFonts w:hint="eastAsia" w:hAnsi="宋体"/>
                <w:color w:val="auto"/>
                <w:kern w:val="1"/>
                <w:sz w:val="24"/>
                <w:szCs w:val="24"/>
                <w:highlight w:val="none"/>
              </w:rPr>
            </w:pPr>
            <w:r>
              <w:rPr>
                <w:rFonts w:hint="eastAsia" w:hAnsi="宋体"/>
                <w:color w:val="auto"/>
                <w:kern w:val="1"/>
                <w:sz w:val="24"/>
                <w:szCs w:val="24"/>
                <w:highlight w:val="none"/>
                <w:lang w:bidi="ar"/>
              </w:rPr>
              <w:t>注：</w:t>
            </w:r>
          </w:p>
          <w:p w14:paraId="31BA44A0">
            <w:pPr>
              <w:widowControl/>
              <w:snapToGrid w:val="0"/>
              <w:spacing w:beforeLines="0" w:afterLines="0" w:line="360" w:lineRule="auto"/>
              <w:rPr>
                <w:rFonts w:hint="eastAsia" w:hAnsi="宋体"/>
                <w:color w:val="auto"/>
                <w:kern w:val="1"/>
                <w:sz w:val="24"/>
                <w:szCs w:val="24"/>
                <w:highlight w:val="none"/>
              </w:rPr>
            </w:pPr>
            <w:r>
              <w:rPr>
                <w:rFonts w:hint="eastAsia" w:hAnsi="宋体"/>
                <w:color w:val="auto"/>
                <w:kern w:val="1"/>
                <w:sz w:val="24"/>
                <w:szCs w:val="24"/>
                <w:highlight w:val="none"/>
                <w:lang w:bidi="ar"/>
              </w:rPr>
              <w:t>1.项目经理视频陈述及答辩相关程序及要求详见技术文件详细评审3.5.3款；</w:t>
            </w:r>
          </w:p>
          <w:p w14:paraId="0D3D71A2">
            <w:pPr>
              <w:widowControl/>
              <w:snapToGrid w:val="0"/>
              <w:spacing w:beforeLines="0" w:afterLines="0" w:line="360" w:lineRule="auto"/>
              <w:rPr>
                <w:rFonts w:hint="eastAsia" w:hAnsi="宋体"/>
                <w:color w:val="auto"/>
                <w:kern w:val="1"/>
                <w:sz w:val="24"/>
                <w:szCs w:val="24"/>
                <w:highlight w:val="none"/>
              </w:rPr>
            </w:pPr>
            <w:r>
              <w:rPr>
                <w:rFonts w:hint="eastAsia" w:hAnsi="宋体"/>
                <w:color w:val="auto"/>
                <w:kern w:val="1"/>
                <w:sz w:val="24"/>
                <w:szCs w:val="24"/>
                <w:highlight w:val="none"/>
                <w:lang w:bidi="ar"/>
              </w:rPr>
              <w:t>2.因投标人没有及时登录视频会议系统等自身原因而导致无法进行视频陈述及答辩等情形的，由投标人自行承担，</w:t>
            </w:r>
            <w:r>
              <w:rPr>
                <w:rFonts w:hint="eastAsia" w:hAnsi="宋体"/>
                <w:b/>
                <w:color w:val="auto"/>
                <w:kern w:val="1"/>
                <w:sz w:val="24"/>
                <w:szCs w:val="24"/>
                <w:highlight w:val="none"/>
                <w:lang w:bidi="ar"/>
              </w:rPr>
              <w:t>不得进入评分环节</w:t>
            </w:r>
            <w:r>
              <w:rPr>
                <w:rFonts w:hint="eastAsia" w:hAnsi="宋体"/>
                <w:color w:val="auto"/>
                <w:kern w:val="1"/>
                <w:sz w:val="24"/>
                <w:szCs w:val="24"/>
                <w:highlight w:val="none"/>
                <w:lang w:bidi="ar"/>
              </w:rPr>
              <w:t>；</w:t>
            </w:r>
          </w:p>
          <w:p w14:paraId="38009579">
            <w:pPr>
              <w:adjustRightInd w:val="0"/>
              <w:snapToGrid w:val="0"/>
              <w:spacing w:beforeLines="0" w:afterLines="0" w:line="360" w:lineRule="auto"/>
              <w:jc w:val="left"/>
              <w:rPr>
                <w:rFonts w:hint="eastAsia" w:ascii="Times New Roman" w:cs="宋体"/>
                <w:color w:val="auto"/>
                <w:sz w:val="24"/>
                <w:szCs w:val="24"/>
                <w:highlight w:val="none"/>
              </w:rPr>
            </w:pPr>
            <w:r>
              <w:rPr>
                <w:rFonts w:hint="eastAsia" w:hAnsi="宋体"/>
                <w:color w:val="auto"/>
                <w:kern w:val="1"/>
                <w:sz w:val="24"/>
                <w:szCs w:val="24"/>
                <w:highlight w:val="none"/>
                <w:lang w:bidi="ar"/>
              </w:rPr>
              <w:t>3.在拟派项目经理自我陈述及答辩前，评标委员会将核实视频陈述及答辩人是否为本项目拟任项目经理本人，如经评标委员会评审认为投标人拟派项目经理视频陈述及答辩人员不是投标文件中拟任的项目经理本人，将不允许其进行视频陈述及答辩，</w:t>
            </w:r>
            <w:r>
              <w:rPr>
                <w:rFonts w:hint="eastAsia" w:hAnsi="宋体"/>
                <w:b/>
                <w:color w:val="auto"/>
                <w:kern w:val="1"/>
                <w:sz w:val="24"/>
                <w:szCs w:val="24"/>
                <w:highlight w:val="none"/>
                <w:lang w:bidi="ar"/>
              </w:rPr>
              <w:t>不得进入评分环节</w:t>
            </w:r>
            <w:r>
              <w:rPr>
                <w:rFonts w:hint="eastAsia" w:hAnsi="宋体"/>
                <w:color w:val="auto"/>
                <w:kern w:val="1"/>
                <w:sz w:val="24"/>
                <w:szCs w:val="24"/>
                <w:highlight w:val="none"/>
                <w:lang w:bidi="ar"/>
              </w:rPr>
              <w:t>。</w:t>
            </w:r>
          </w:p>
        </w:tc>
      </w:tr>
      <w:tr w14:paraId="54F3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69D8AB">
            <w:pPr>
              <w:snapToGrid w:val="0"/>
              <w:spacing w:beforeLines="0" w:afterLines="0" w:line="360" w:lineRule="auto"/>
              <w:jc w:val="center"/>
              <w:rPr>
                <w:rFonts w:hint="eastAsia" w:ascii="Times New Roman" w:cs="宋体"/>
                <w:color w:val="auto"/>
                <w:sz w:val="24"/>
                <w:szCs w:val="24"/>
                <w:highlight w:val="none"/>
              </w:rPr>
            </w:pPr>
          </w:p>
        </w:tc>
        <w:tc>
          <w:tcPr>
            <w:tcW w:w="5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CDCDE63">
            <w:pPr>
              <w:snapToGrid w:val="0"/>
              <w:spacing w:beforeLines="0" w:afterLines="0" w:line="360" w:lineRule="auto"/>
              <w:jc w:val="center"/>
              <w:rPr>
                <w:rFonts w:hint="eastAsia" w:ascii="Times New Roman" w:cs="宋体"/>
                <w:color w:val="auto"/>
                <w:sz w:val="24"/>
                <w:szCs w:val="24"/>
                <w:highlight w:val="none"/>
              </w:rPr>
            </w:pPr>
          </w:p>
        </w:tc>
        <w:tc>
          <w:tcPr>
            <w:tcW w:w="74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19FFFD8C">
            <w:pPr>
              <w:suppressAutoHyphens/>
              <w:adjustRightInd w:val="0"/>
              <w:snapToGrid w:val="0"/>
              <w:spacing w:beforeLines="0" w:afterLines="0" w:line="360" w:lineRule="auto"/>
              <w:ind w:left="-35" w:right="-38"/>
              <w:jc w:val="center"/>
              <w:rPr>
                <w:rFonts w:hint="eastAsia" w:ascii="Times New Roman" w:cs="宋体"/>
                <w:color w:val="auto"/>
                <w:kern w:val="1"/>
                <w:sz w:val="24"/>
                <w:szCs w:val="24"/>
                <w:highlight w:val="none"/>
              </w:rPr>
            </w:pPr>
            <w:r>
              <w:rPr>
                <w:rFonts w:hint="eastAsia" w:ascii="Times New Roman" w:cs="宋体"/>
                <w:color w:val="auto"/>
                <w:kern w:val="1"/>
                <w:sz w:val="24"/>
                <w:szCs w:val="24"/>
                <w:highlight w:val="none"/>
              </w:rPr>
              <w:t>施工组织设计</w:t>
            </w:r>
          </w:p>
        </w:tc>
        <w:tc>
          <w:tcPr>
            <w:tcW w:w="5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0404FD">
            <w:pPr>
              <w:widowControl/>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50分</w:t>
            </w:r>
          </w:p>
        </w:tc>
        <w:tc>
          <w:tcPr>
            <w:tcW w:w="2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929DE2">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评标委员会对在规定时间内进行项目经理视频陈述及答辩的投标人进行施工组织设计打分。依据投标人提供的施工组织设计进行评审，包括但不限于以下内容：</w:t>
            </w:r>
          </w:p>
          <w:p w14:paraId="42D39044">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1）工程概况</w:t>
            </w:r>
          </w:p>
          <w:p w14:paraId="32D7C6E3">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2）主要施工方法</w:t>
            </w:r>
          </w:p>
          <w:p w14:paraId="38FEF34A">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3）拟投入的主要物资计划</w:t>
            </w:r>
          </w:p>
          <w:p w14:paraId="1B0B49BB">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4）拟投入的主要施工机械、设备计划</w:t>
            </w:r>
          </w:p>
          <w:p w14:paraId="4E2A247B">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5）劳动力安排计划</w:t>
            </w:r>
          </w:p>
          <w:p w14:paraId="2FFF859C">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6）确保工程质量的技术组织措施</w:t>
            </w:r>
          </w:p>
          <w:p w14:paraId="2C3C6534">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7）确保安全生产的技术组织措施</w:t>
            </w:r>
          </w:p>
          <w:p w14:paraId="15F9CD55">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8）确保工期的技术组织措施</w:t>
            </w:r>
          </w:p>
          <w:p w14:paraId="2B6A8EB5">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9）确保文明施工的技术组织措施</w:t>
            </w:r>
          </w:p>
          <w:p w14:paraId="112A4001">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10）施工总平面布置图</w:t>
            </w:r>
          </w:p>
          <w:p w14:paraId="4F647F45">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11）重点、难点</w:t>
            </w:r>
          </w:p>
          <w:p w14:paraId="0D772321">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优良得45分≤F≤50分，一般得30分＜F＜45分，差的得0分≤F≤30分。未提供的，不得分。</w:t>
            </w:r>
          </w:p>
          <w:p w14:paraId="2E645879">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注：评标委员会各成员将依据投标人提供的施工组织设计的针对性、可行性、语言精练度进行评审，施工组织设计编制建议：</w:t>
            </w:r>
          </w:p>
          <w:p w14:paraId="417A9180">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①页面排版要求：纸张：A4;行距：固定值22磅；页边距：上2.5厘米，其余均为2.0厘米；</w:t>
            </w:r>
          </w:p>
          <w:p w14:paraId="0541FD9D">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②字体图片要求：字体：宋体；标题：三号；其他为四号；图表图片大小由投标人自行决定；</w:t>
            </w:r>
          </w:p>
          <w:p w14:paraId="62A74AE4">
            <w:pPr>
              <w:widowControl/>
              <w:snapToGrid w:val="0"/>
              <w:spacing w:beforeLines="0" w:afterLines="0" w:line="360" w:lineRule="auto"/>
              <w:jc w:val="left"/>
              <w:rPr>
                <w:rFonts w:hint="eastAsia" w:hAnsi="宋体"/>
                <w:color w:val="auto"/>
                <w:kern w:val="1"/>
                <w:sz w:val="24"/>
                <w:szCs w:val="24"/>
                <w:highlight w:val="none"/>
              </w:rPr>
            </w:pPr>
            <w:r>
              <w:rPr>
                <w:rFonts w:hint="eastAsia" w:hAnsi="宋体"/>
                <w:color w:val="auto"/>
                <w:kern w:val="1"/>
                <w:sz w:val="24"/>
                <w:szCs w:val="24"/>
                <w:highlight w:val="none"/>
              </w:rPr>
              <w:t>③编制篇幅:施工组织设计的最多不超过100页</w:t>
            </w:r>
          </w:p>
          <w:p w14:paraId="0B71BD70">
            <w:pPr>
              <w:adjustRightInd w:val="0"/>
              <w:snapToGrid w:val="0"/>
              <w:spacing w:beforeLines="0" w:afterLines="0" w:line="360" w:lineRule="auto"/>
              <w:jc w:val="left"/>
              <w:rPr>
                <w:rFonts w:hint="eastAsia" w:ascii="Times New Roman" w:cs="宋体"/>
                <w:color w:val="auto"/>
                <w:sz w:val="24"/>
                <w:szCs w:val="24"/>
                <w:highlight w:val="none"/>
              </w:rPr>
            </w:pPr>
            <w:r>
              <w:rPr>
                <w:rFonts w:hint="eastAsia" w:hAnsi="宋体"/>
                <w:color w:val="auto"/>
                <w:kern w:val="1"/>
                <w:sz w:val="24"/>
                <w:szCs w:val="24"/>
                <w:highlight w:val="none"/>
              </w:rPr>
              <w:t>④投标结合工程实际特点及需要，国家及地方现有工法规范已有的内容无需重复编制。</w:t>
            </w:r>
          </w:p>
        </w:tc>
      </w:tr>
      <w:tr w14:paraId="5AF9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FB51E9">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2.2.2（2）</w:t>
            </w:r>
          </w:p>
        </w:tc>
        <w:tc>
          <w:tcPr>
            <w:tcW w:w="5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2159FB">
            <w:pPr>
              <w:widowControl/>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报价文件评分标准</w:t>
            </w:r>
          </w:p>
        </w:tc>
        <w:tc>
          <w:tcPr>
            <w:tcW w:w="745" w:type="pct"/>
            <w:tcBorders>
              <w:top w:val="single" w:color="auto" w:sz="4" w:space="0"/>
              <w:left w:val="single" w:color="auto" w:sz="4" w:space="0"/>
              <w:bottom w:val="single" w:color="auto" w:sz="4" w:space="0"/>
              <w:right w:val="single" w:color="auto" w:sz="4" w:space="0"/>
              <w:tl2br w:val="nil"/>
              <w:tr2bl w:val="nil"/>
            </w:tcBorders>
            <w:noWrap w:val="0"/>
            <w:tcMar>
              <w:left w:w="75" w:type="dxa"/>
            </w:tcMar>
            <w:vAlign w:val="center"/>
          </w:tcPr>
          <w:p w14:paraId="64D876A8">
            <w:pPr>
              <w:suppressAutoHyphens/>
              <w:adjustRightInd w:val="0"/>
              <w:snapToGrid w:val="0"/>
              <w:spacing w:beforeLines="0" w:afterLines="0" w:line="360" w:lineRule="auto"/>
              <w:ind w:left="-35" w:right="-38"/>
              <w:jc w:val="center"/>
              <w:rPr>
                <w:rFonts w:hint="eastAsia" w:ascii="Times New Roman" w:cs="宋体"/>
                <w:color w:val="auto"/>
                <w:kern w:val="1"/>
                <w:sz w:val="24"/>
                <w:szCs w:val="24"/>
                <w:highlight w:val="none"/>
              </w:rPr>
            </w:pPr>
            <w:r>
              <w:rPr>
                <w:rFonts w:hint="eastAsia" w:ascii="Times New Roman" w:cs="宋体"/>
                <w:color w:val="auto"/>
                <w:kern w:val="1"/>
                <w:sz w:val="24"/>
                <w:szCs w:val="24"/>
                <w:highlight w:val="none"/>
              </w:rPr>
              <w:t>投标报价</w:t>
            </w:r>
          </w:p>
        </w:tc>
        <w:tc>
          <w:tcPr>
            <w:tcW w:w="5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1F067C">
            <w:pPr>
              <w:widowControl/>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u w:val="single"/>
              </w:rPr>
              <w:t xml:space="preserve"> 5  </w:t>
            </w:r>
            <w:r>
              <w:rPr>
                <w:rFonts w:hint="eastAsia" w:ascii="Times New Roman" w:cs="宋体"/>
                <w:color w:val="auto"/>
                <w:sz w:val="24"/>
                <w:szCs w:val="24"/>
                <w:highlight w:val="none"/>
              </w:rPr>
              <w:t>分</w:t>
            </w:r>
          </w:p>
        </w:tc>
        <w:tc>
          <w:tcPr>
            <w:tcW w:w="27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0568ED">
            <w:pPr>
              <w:widowControl/>
              <w:spacing w:beforeLines="0" w:afterLines="0" w:line="360" w:lineRule="auto"/>
              <w:ind w:left="120" w:hanging="120" w:hangingChars="50"/>
              <w:rPr>
                <w:rFonts w:hint="eastAsia" w:hAnsi="宋体"/>
                <w:b/>
                <w:color w:val="auto"/>
                <w:sz w:val="24"/>
                <w:szCs w:val="24"/>
                <w:highlight w:val="none"/>
              </w:rPr>
            </w:pPr>
            <w:r>
              <w:rPr>
                <w:rFonts w:hint="eastAsia" w:hAnsi="宋体"/>
                <w:b/>
                <w:color w:val="auto"/>
                <w:sz w:val="24"/>
                <w:szCs w:val="24"/>
                <w:highlight w:val="none"/>
                <w:lang w:bidi="ar"/>
              </w:rPr>
              <w:t>报价排名得分：</w:t>
            </w:r>
          </w:p>
          <w:p w14:paraId="594F1E78">
            <w:pPr>
              <w:widowControl/>
              <w:snapToGrid w:val="0"/>
              <w:spacing w:beforeLines="0" w:afterLines="0" w:line="360" w:lineRule="auto"/>
              <w:jc w:val="left"/>
              <w:rPr>
                <w:rFonts w:hint="eastAsia" w:hAnsi="宋体"/>
                <w:color w:val="auto"/>
                <w:sz w:val="24"/>
                <w:szCs w:val="24"/>
                <w:highlight w:val="none"/>
                <w:lang w:bidi="ar"/>
              </w:rPr>
            </w:pPr>
            <w:r>
              <w:rPr>
                <w:rFonts w:hint="eastAsia" w:hAnsi="宋体"/>
                <w:color w:val="auto"/>
                <w:sz w:val="24"/>
                <w:szCs w:val="24"/>
                <w:highlight w:val="none"/>
                <w:lang w:bidi="ar"/>
              </w:rPr>
              <w:t>通过报价文件评审的投标人投标函文字报价由低到高顺序排名（报价相同的，得分并列且占排序）；</w:t>
            </w:r>
          </w:p>
          <w:p w14:paraId="0549F9B9">
            <w:pPr>
              <w:widowControl/>
              <w:snapToGrid w:val="0"/>
              <w:spacing w:beforeLines="0" w:afterLines="0" w:line="360" w:lineRule="auto"/>
              <w:jc w:val="left"/>
              <w:rPr>
                <w:rFonts w:hint="eastAsia" w:ascii="Times New Roman" w:cs="宋体"/>
                <w:color w:val="auto"/>
                <w:sz w:val="24"/>
                <w:szCs w:val="24"/>
                <w:highlight w:val="none"/>
              </w:rPr>
            </w:pPr>
            <w:r>
              <w:rPr>
                <w:rFonts w:hint="eastAsia" w:hAnsi="宋体"/>
                <w:color w:val="auto"/>
                <w:sz w:val="24"/>
                <w:szCs w:val="24"/>
                <w:highlight w:val="none"/>
                <w:lang w:bidi="ar"/>
              </w:rPr>
              <w:t>排名得分：第一名：5分；第二名：4分；第三名：3分；第四名：2分；第五名1分；后续评审中，在规定时间内未进行项目经理视频陈述</w:t>
            </w:r>
            <w:r>
              <w:rPr>
                <w:rFonts w:hint="eastAsia" w:hAnsi="宋体"/>
                <w:color w:val="auto"/>
                <w:kern w:val="1"/>
                <w:sz w:val="24"/>
                <w:szCs w:val="24"/>
                <w:highlight w:val="none"/>
                <w:lang w:bidi="ar"/>
              </w:rPr>
              <w:t>及答辩</w:t>
            </w:r>
            <w:r>
              <w:rPr>
                <w:rFonts w:hint="eastAsia" w:hAnsi="宋体"/>
                <w:color w:val="auto"/>
                <w:sz w:val="24"/>
                <w:szCs w:val="24"/>
                <w:highlight w:val="none"/>
                <w:lang w:bidi="ar"/>
              </w:rPr>
              <w:t>的投标人，其报价不进入评分环节。</w:t>
            </w:r>
          </w:p>
        </w:tc>
      </w:tr>
      <w:tr w14:paraId="3930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2AABB148">
            <w:pPr>
              <w:widowControl/>
              <w:snapToGrid w:val="0"/>
              <w:spacing w:beforeLines="0" w:afterLines="0" w:line="360" w:lineRule="auto"/>
              <w:jc w:val="left"/>
              <w:rPr>
                <w:rFonts w:hint="eastAsia" w:ascii="Times New Roman" w:cs="宋体"/>
                <w:b/>
                <w:color w:val="auto"/>
                <w:sz w:val="24"/>
                <w:szCs w:val="24"/>
                <w:highlight w:val="none"/>
              </w:rPr>
            </w:pPr>
            <w:r>
              <w:rPr>
                <w:rFonts w:hint="eastAsia" w:ascii="Times New Roman" w:cs="宋体"/>
                <w:b/>
                <w:color w:val="auto"/>
                <w:sz w:val="24"/>
                <w:szCs w:val="24"/>
                <w:highlight w:val="none"/>
              </w:rPr>
              <w:t>需要补充的其他内容</w:t>
            </w:r>
          </w:p>
        </w:tc>
      </w:tr>
      <w:tr w14:paraId="41AF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97"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F53FD33">
            <w:pPr>
              <w:widowControl/>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技术文件评分要求</w:t>
            </w:r>
          </w:p>
        </w:tc>
        <w:tc>
          <w:tcPr>
            <w:tcW w:w="330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1D63E3C">
            <w:pPr>
              <w:snapToGrid w:val="0"/>
              <w:spacing w:beforeLines="0" w:afterLines="0" w:line="360" w:lineRule="auto"/>
              <w:rPr>
                <w:rFonts w:hint="eastAsia" w:ascii="Times New Roman" w:eastAsia="Times New Roman" w:cs="宋体"/>
                <w:snapToGrid w:val="0"/>
                <w:color w:val="auto"/>
                <w:sz w:val="24"/>
                <w:szCs w:val="24"/>
                <w:highlight w:val="none"/>
              </w:rPr>
            </w:pP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1</w:t>
            </w:r>
            <w:r>
              <w:rPr>
                <w:rFonts w:hint="eastAsia" w:ascii="Times New Roman" w:cs="宋体"/>
                <w:snapToGrid w:val="0"/>
                <w:color w:val="auto"/>
                <w:sz w:val="24"/>
                <w:szCs w:val="24"/>
                <w:highlight w:val="none"/>
                <w:lang w:bidi="ar"/>
              </w:rPr>
              <w:t>）对于技术文件评分项，以</w:t>
            </w:r>
            <w:r>
              <w:rPr>
                <w:rFonts w:hint="eastAsia" w:ascii="Times New Roman" w:eastAsia="Times New Roman" w:cs="宋体"/>
                <w:snapToGrid w:val="0"/>
                <w:color w:val="auto"/>
                <w:sz w:val="24"/>
                <w:szCs w:val="24"/>
                <w:highlight w:val="none"/>
                <w:lang w:bidi="ar"/>
              </w:rPr>
              <w:t>0.1</w:t>
            </w:r>
            <w:r>
              <w:rPr>
                <w:rFonts w:hint="eastAsia" w:ascii="Times New Roman" w:cs="宋体"/>
                <w:snapToGrid w:val="0"/>
                <w:color w:val="auto"/>
                <w:sz w:val="24"/>
                <w:szCs w:val="24"/>
                <w:highlight w:val="none"/>
                <w:lang w:bidi="ar"/>
              </w:rPr>
              <w:t>分为分割点，即评分依次为</w:t>
            </w:r>
            <w:r>
              <w:rPr>
                <w:rFonts w:hint="eastAsia" w:ascii="Times New Roman" w:eastAsia="Times New Roman" w:cs="宋体"/>
                <w:snapToGrid w:val="0"/>
                <w:color w:val="auto"/>
                <w:sz w:val="24"/>
                <w:szCs w:val="24"/>
                <w:highlight w:val="none"/>
                <w:lang w:bidi="ar"/>
              </w:rPr>
              <w:t>0</w:t>
            </w: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0.1</w:t>
            </w: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0.2</w:t>
            </w: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0.3</w:t>
            </w: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0.4</w:t>
            </w:r>
            <w:r>
              <w:rPr>
                <w:rFonts w:hint="eastAsia" w:ascii="Times New Roman" w:cs="宋体"/>
                <w:snapToGrid w:val="0"/>
                <w:color w:val="auto"/>
                <w:sz w:val="24"/>
                <w:szCs w:val="24"/>
                <w:highlight w:val="none"/>
                <w:lang w:bidi="ar"/>
              </w:rPr>
              <w:t>等。评审内容缺项的该项得</w:t>
            </w:r>
            <w:r>
              <w:rPr>
                <w:rFonts w:hint="eastAsia" w:ascii="Times New Roman" w:eastAsia="Times New Roman" w:cs="宋体"/>
                <w:snapToGrid w:val="0"/>
                <w:color w:val="auto"/>
                <w:sz w:val="24"/>
                <w:szCs w:val="24"/>
                <w:highlight w:val="none"/>
                <w:lang w:bidi="ar"/>
              </w:rPr>
              <w:t>0</w:t>
            </w:r>
            <w:r>
              <w:rPr>
                <w:rFonts w:hint="eastAsia" w:ascii="Times New Roman" w:cs="宋体"/>
                <w:snapToGrid w:val="0"/>
                <w:color w:val="auto"/>
                <w:sz w:val="24"/>
                <w:szCs w:val="24"/>
                <w:highlight w:val="none"/>
                <w:lang w:bidi="ar"/>
              </w:rPr>
              <w:t>分。</w:t>
            </w:r>
          </w:p>
          <w:p w14:paraId="0B816872">
            <w:pPr>
              <w:snapToGrid w:val="0"/>
              <w:spacing w:beforeLines="0" w:afterLines="0" w:line="360" w:lineRule="auto"/>
              <w:rPr>
                <w:rFonts w:hint="eastAsia" w:ascii="Times New Roman" w:eastAsia="Times New Roman" w:cs="宋体"/>
                <w:snapToGrid w:val="0"/>
                <w:color w:val="auto"/>
                <w:sz w:val="24"/>
                <w:szCs w:val="24"/>
                <w:highlight w:val="none"/>
              </w:rPr>
            </w:pP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2</w:t>
            </w:r>
            <w:r>
              <w:rPr>
                <w:rFonts w:hint="eastAsia" w:ascii="Times New Roman" w:cs="宋体"/>
                <w:snapToGrid w:val="0"/>
                <w:color w:val="auto"/>
                <w:sz w:val="24"/>
                <w:szCs w:val="24"/>
                <w:highlight w:val="none"/>
                <w:lang w:bidi="ar"/>
              </w:rPr>
              <w:t>）技术文件评分标准分为两项评审因素，分别为项目经理视频陈述</w:t>
            </w:r>
            <w:r>
              <w:rPr>
                <w:rFonts w:hint="eastAsia" w:hAnsi="宋体"/>
                <w:color w:val="auto"/>
                <w:kern w:val="1"/>
                <w:sz w:val="24"/>
                <w:szCs w:val="24"/>
                <w:highlight w:val="none"/>
                <w:lang w:bidi="ar"/>
              </w:rPr>
              <w:t>及答辩</w:t>
            </w:r>
            <w:r>
              <w:rPr>
                <w:rFonts w:hint="eastAsia" w:ascii="Times New Roman" w:cs="宋体"/>
                <w:snapToGrid w:val="0"/>
                <w:color w:val="auto"/>
                <w:sz w:val="24"/>
                <w:szCs w:val="24"/>
                <w:highlight w:val="none"/>
                <w:lang w:bidi="ar"/>
              </w:rPr>
              <w:t>评审因素；施工组织设计评审因素，每项评审因素得分均以去掉一个最高分和一个最低分后的打分平均值确定（打分平均值保留小数点后两位，小数点后第三位四舍五入）。</w:t>
            </w:r>
          </w:p>
          <w:p w14:paraId="6C25F71E">
            <w:pPr>
              <w:snapToGrid w:val="0"/>
              <w:spacing w:beforeLines="0" w:afterLines="0" w:line="360" w:lineRule="auto"/>
              <w:rPr>
                <w:rFonts w:hint="eastAsia" w:ascii="Times New Roman" w:eastAsia="Times New Roman" w:cs="宋体"/>
                <w:snapToGrid w:val="0"/>
                <w:color w:val="auto"/>
                <w:sz w:val="24"/>
                <w:szCs w:val="24"/>
                <w:highlight w:val="none"/>
              </w:rPr>
            </w:pP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3</w:t>
            </w:r>
            <w:r>
              <w:rPr>
                <w:rFonts w:hint="eastAsia" w:ascii="Times New Roman" w:cs="宋体"/>
                <w:snapToGrid w:val="0"/>
                <w:color w:val="auto"/>
                <w:sz w:val="24"/>
                <w:szCs w:val="24"/>
                <w:highlight w:val="none"/>
                <w:lang w:bidi="ar"/>
              </w:rPr>
              <w:t>）技术文件得分（</w:t>
            </w:r>
            <w:r>
              <w:rPr>
                <w:rFonts w:hint="eastAsia" w:ascii="Times New Roman" w:eastAsia="Times New Roman" w:cs="宋体"/>
                <w:snapToGrid w:val="0"/>
                <w:color w:val="auto"/>
                <w:sz w:val="24"/>
                <w:szCs w:val="24"/>
                <w:highlight w:val="none"/>
                <w:lang w:bidi="ar"/>
              </w:rPr>
              <w:t>A</w:t>
            </w:r>
            <w:r>
              <w:rPr>
                <w:rFonts w:hint="eastAsia" w:ascii="Times New Roman" w:cs="宋体"/>
                <w:snapToGrid w:val="0"/>
                <w:color w:val="auto"/>
                <w:sz w:val="24"/>
                <w:szCs w:val="24"/>
                <w:highlight w:val="none"/>
                <w:lang w:bidi="ar"/>
              </w:rPr>
              <w:t>）按照以下规定确定：</w:t>
            </w:r>
          </w:p>
          <w:p w14:paraId="38BC6323">
            <w:pPr>
              <w:snapToGrid w:val="0"/>
              <w:spacing w:beforeLines="0" w:afterLines="0" w:line="360" w:lineRule="auto"/>
              <w:rPr>
                <w:rFonts w:hint="eastAsia" w:ascii="Times New Roman" w:eastAsia="Times New Roman" w:cs="宋体"/>
                <w:snapToGrid w:val="0"/>
                <w:color w:val="auto"/>
                <w:sz w:val="24"/>
                <w:szCs w:val="24"/>
                <w:highlight w:val="none"/>
              </w:rPr>
            </w:pPr>
            <w:r>
              <w:rPr>
                <w:rFonts w:hint="eastAsia" w:ascii="Times New Roman" w:cs="宋体"/>
                <w:snapToGrid w:val="0"/>
                <w:color w:val="auto"/>
                <w:sz w:val="24"/>
                <w:szCs w:val="24"/>
                <w:highlight w:val="none"/>
                <w:lang w:bidi="ar"/>
              </w:rPr>
              <w:t>项目经理视频陈述</w:t>
            </w:r>
            <w:r>
              <w:rPr>
                <w:rFonts w:hint="eastAsia" w:hAnsi="宋体"/>
                <w:color w:val="auto"/>
                <w:kern w:val="1"/>
                <w:sz w:val="24"/>
                <w:szCs w:val="24"/>
                <w:highlight w:val="none"/>
                <w:lang w:bidi="ar"/>
              </w:rPr>
              <w:t>及答辩</w:t>
            </w:r>
            <w:r>
              <w:rPr>
                <w:rFonts w:hint="eastAsia" w:ascii="Times New Roman" w:cs="宋体"/>
                <w:snapToGrid w:val="0"/>
                <w:color w:val="auto"/>
                <w:sz w:val="24"/>
                <w:szCs w:val="24"/>
                <w:highlight w:val="none"/>
                <w:lang w:bidi="ar"/>
              </w:rPr>
              <w:t>（满分</w:t>
            </w:r>
            <w:r>
              <w:rPr>
                <w:rFonts w:hint="eastAsia" w:ascii="Times New Roman" w:eastAsia="Times New Roman" w:cs="宋体"/>
                <w:snapToGrid w:val="0"/>
                <w:color w:val="auto"/>
                <w:sz w:val="24"/>
                <w:szCs w:val="24"/>
                <w:highlight w:val="none"/>
                <w:lang w:bidi="ar"/>
              </w:rPr>
              <w:t>50</w:t>
            </w:r>
            <w:r>
              <w:rPr>
                <w:rFonts w:hint="eastAsia" w:ascii="Times New Roman" w:cs="宋体"/>
                <w:snapToGrid w:val="0"/>
                <w:color w:val="auto"/>
                <w:sz w:val="24"/>
                <w:szCs w:val="24"/>
                <w:highlight w:val="none"/>
                <w:lang w:bidi="ar"/>
              </w:rPr>
              <w:t>分）及施工组织设计（满分</w:t>
            </w:r>
            <w:r>
              <w:rPr>
                <w:rFonts w:hint="eastAsia" w:ascii="Times New Roman" w:eastAsia="Times New Roman" w:cs="宋体"/>
                <w:snapToGrid w:val="0"/>
                <w:color w:val="auto"/>
                <w:sz w:val="24"/>
                <w:szCs w:val="24"/>
                <w:highlight w:val="none"/>
                <w:lang w:bidi="ar"/>
              </w:rPr>
              <w:t>50</w:t>
            </w:r>
            <w:r>
              <w:rPr>
                <w:rFonts w:hint="eastAsia" w:ascii="Times New Roman" w:cs="宋体"/>
                <w:snapToGrid w:val="0"/>
                <w:color w:val="auto"/>
                <w:sz w:val="24"/>
                <w:szCs w:val="24"/>
                <w:highlight w:val="none"/>
                <w:lang w:bidi="ar"/>
              </w:rPr>
              <w:t>分）评审完成后，评标委员会对投标人项目经理视频陈述</w:t>
            </w:r>
            <w:r>
              <w:rPr>
                <w:rFonts w:hint="eastAsia" w:hAnsi="宋体"/>
                <w:color w:val="auto"/>
                <w:kern w:val="1"/>
                <w:sz w:val="24"/>
                <w:szCs w:val="24"/>
                <w:highlight w:val="none"/>
                <w:lang w:bidi="ar"/>
              </w:rPr>
              <w:t>及答辩；</w:t>
            </w:r>
            <w:r>
              <w:rPr>
                <w:rFonts w:hint="eastAsia" w:ascii="Times New Roman" w:cs="宋体"/>
                <w:snapToGrid w:val="0"/>
                <w:color w:val="auto"/>
                <w:sz w:val="24"/>
                <w:szCs w:val="24"/>
                <w:highlight w:val="none"/>
                <w:lang w:bidi="ar"/>
              </w:rPr>
              <w:t>施工组织设计汇总得分按照由高到低的顺序依次确定排名，按照排名先后顺序确定最终得分如下：第一名：</w:t>
            </w:r>
            <w:r>
              <w:rPr>
                <w:rFonts w:hint="eastAsia" w:ascii="Times New Roman" w:eastAsia="Times New Roman" w:cs="宋体"/>
                <w:snapToGrid w:val="0"/>
                <w:color w:val="auto"/>
                <w:sz w:val="24"/>
                <w:szCs w:val="24"/>
                <w:highlight w:val="none"/>
                <w:lang w:bidi="ar"/>
              </w:rPr>
              <w:t>10</w:t>
            </w:r>
            <w:r>
              <w:rPr>
                <w:rFonts w:hint="eastAsia" w:ascii="Times New Roman" w:cs="宋体"/>
                <w:snapToGrid w:val="0"/>
                <w:color w:val="auto"/>
                <w:sz w:val="24"/>
                <w:szCs w:val="24"/>
                <w:highlight w:val="none"/>
                <w:lang w:bidi="ar"/>
              </w:rPr>
              <w:t>分，第二名：</w:t>
            </w:r>
            <w:r>
              <w:rPr>
                <w:rFonts w:hint="eastAsia" w:ascii="Times New Roman" w:eastAsia="Times New Roman" w:cs="宋体"/>
                <w:snapToGrid w:val="0"/>
                <w:color w:val="auto"/>
                <w:sz w:val="24"/>
                <w:szCs w:val="24"/>
                <w:highlight w:val="none"/>
                <w:lang w:bidi="ar"/>
              </w:rPr>
              <w:t>8</w:t>
            </w:r>
            <w:r>
              <w:rPr>
                <w:rFonts w:hint="eastAsia" w:ascii="Times New Roman" w:cs="宋体"/>
                <w:snapToGrid w:val="0"/>
                <w:color w:val="auto"/>
                <w:sz w:val="24"/>
                <w:szCs w:val="24"/>
                <w:highlight w:val="none"/>
                <w:lang w:bidi="ar"/>
              </w:rPr>
              <w:t>分，第三名：</w:t>
            </w:r>
            <w:r>
              <w:rPr>
                <w:rFonts w:hint="eastAsia" w:ascii="Times New Roman" w:eastAsia="Times New Roman" w:cs="宋体"/>
                <w:snapToGrid w:val="0"/>
                <w:color w:val="auto"/>
                <w:sz w:val="24"/>
                <w:szCs w:val="24"/>
                <w:highlight w:val="none"/>
                <w:lang w:bidi="ar"/>
              </w:rPr>
              <w:t>6</w:t>
            </w:r>
            <w:r>
              <w:rPr>
                <w:rFonts w:hint="eastAsia" w:ascii="Times New Roman" w:cs="宋体"/>
                <w:snapToGrid w:val="0"/>
                <w:color w:val="auto"/>
                <w:sz w:val="24"/>
                <w:szCs w:val="24"/>
                <w:highlight w:val="none"/>
                <w:lang w:bidi="ar"/>
              </w:rPr>
              <w:t>分，第四名：</w:t>
            </w:r>
            <w:r>
              <w:rPr>
                <w:rFonts w:hint="eastAsia" w:ascii="Times New Roman" w:eastAsia="Times New Roman" w:cs="宋体"/>
                <w:snapToGrid w:val="0"/>
                <w:color w:val="auto"/>
                <w:sz w:val="24"/>
                <w:szCs w:val="24"/>
                <w:highlight w:val="none"/>
                <w:lang w:bidi="ar"/>
              </w:rPr>
              <w:t>4</w:t>
            </w:r>
            <w:r>
              <w:rPr>
                <w:rFonts w:hint="eastAsia" w:ascii="Times New Roman" w:cs="宋体"/>
                <w:snapToGrid w:val="0"/>
                <w:color w:val="auto"/>
                <w:sz w:val="24"/>
                <w:szCs w:val="24"/>
                <w:highlight w:val="none"/>
                <w:lang w:bidi="ar"/>
              </w:rPr>
              <w:t>分，第五名：</w:t>
            </w:r>
            <w:r>
              <w:rPr>
                <w:rFonts w:hint="eastAsia" w:ascii="Times New Roman" w:eastAsia="Times New Roman" w:cs="宋体"/>
                <w:snapToGrid w:val="0"/>
                <w:color w:val="auto"/>
                <w:sz w:val="24"/>
                <w:szCs w:val="24"/>
                <w:highlight w:val="none"/>
                <w:lang w:bidi="ar"/>
              </w:rPr>
              <w:t>2</w:t>
            </w:r>
            <w:r>
              <w:rPr>
                <w:rFonts w:hint="eastAsia" w:ascii="Times New Roman" w:cs="宋体"/>
                <w:snapToGrid w:val="0"/>
                <w:color w:val="auto"/>
                <w:sz w:val="24"/>
                <w:szCs w:val="24"/>
                <w:highlight w:val="none"/>
                <w:lang w:bidi="ar"/>
              </w:rPr>
              <w:t>分。排名相同的，得分并列且占排序。</w:t>
            </w:r>
          </w:p>
          <w:p w14:paraId="4A30451C">
            <w:pPr>
              <w:snapToGrid w:val="0"/>
              <w:spacing w:beforeLines="0" w:afterLines="0" w:line="360" w:lineRule="auto"/>
              <w:rPr>
                <w:rFonts w:hint="eastAsia" w:ascii="Times New Roman" w:cs="宋体"/>
                <w:color w:val="auto"/>
                <w:kern w:val="1"/>
                <w:sz w:val="24"/>
                <w:szCs w:val="24"/>
                <w:highlight w:val="none"/>
              </w:rPr>
            </w:pPr>
            <w:r>
              <w:rPr>
                <w:rFonts w:hint="eastAsia" w:ascii="Times New Roman" w:cs="宋体"/>
                <w:snapToGrid w:val="0"/>
                <w:color w:val="auto"/>
                <w:sz w:val="24"/>
                <w:szCs w:val="24"/>
                <w:highlight w:val="none"/>
                <w:lang w:bidi="ar"/>
              </w:rPr>
              <w:t>（</w:t>
            </w:r>
            <w:r>
              <w:rPr>
                <w:rFonts w:hint="eastAsia" w:ascii="Times New Roman" w:eastAsia="Times New Roman" w:cs="宋体"/>
                <w:snapToGrid w:val="0"/>
                <w:color w:val="auto"/>
                <w:sz w:val="24"/>
                <w:szCs w:val="24"/>
                <w:highlight w:val="none"/>
                <w:lang w:bidi="ar"/>
              </w:rPr>
              <w:t>4</w:t>
            </w:r>
            <w:r>
              <w:rPr>
                <w:rFonts w:hint="eastAsia" w:ascii="Times New Roman" w:cs="宋体"/>
                <w:snapToGrid w:val="0"/>
                <w:color w:val="auto"/>
                <w:sz w:val="24"/>
                <w:szCs w:val="24"/>
                <w:highlight w:val="none"/>
                <w:lang w:bidi="ar"/>
              </w:rPr>
              <w:t>）评标委员会各成员对项目经理视频陈述</w:t>
            </w:r>
            <w:r>
              <w:rPr>
                <w:rFonts w:hint="eastAsia" w:hAnsi="宋体"/>
                <w:color w:val="auto"/>
                <w:kern w:val="1"/>
                <w:sz w:val="24"/>
                <w:szCs w:val="24"/>
                <w:highlight w:val="none"/>
                <w:lang w:bidi="ar"/>
              </w:rPr>
              <w:t>及答辩；</w:t>
            </w:r>
            <w:r>
              <w:rPr>
                <w:rFonts w:hint="eastAsia" w:ascii="Times New Roman" w:cs="宋体"/>
                <w:snapToGrid w:val="0"/>
                <w:color w:val="auto"/>
                <w:sz w:val="24"/>
                <w:szCs w:val="24"/>
                <w:highlight w:val="none"/>
                <w:lang w:bidi="ar"/>
              </w:rPr>
              <w:t>施工组织设计评审汇总得分在招标文件规定评审总分的</w:t>
            </w:r>
            <w:r>
              <w:rPr>
                <w:rFonts w:hint="eastAsia" w:ascii="Times New Roman" w:eastAsia="Times New Roman" w:cs="宋体"/>
                <w:b/>
                <w:snapToGrid w:val="0"/>
                <w:color w:val="auto"/>
                <w:sz w:val="24"/>
                <w:szCs w:val="24"/>
                <w:highlight w:val="none"/>
                <w:lang w:bidi="ar"/>
              </w:rPr>
              <w:t>90%</w:t>
            </w:r>
            <w:r>
              <w:rPr>
                <w:rFonts w:hint="eastAsia" w:ascii="Times New Roman" w:cs="宋体"/>
                <w:b/>
                <w:snapToGrid w:val="0"/>
                <w:color w:val="auto"/>
                <w:sz w:val="24"/>
                <w:szCs w:val="24"/>
                <w:highlight w:val="none"/>
                <w:lang w:bidi="ar"/>
              </w:rPr>
              <w:t>以上（含）、</w:t>
            </w:r>
            <w:r>
              <w:rPr>
                <w:rFonts w:hint="eastAsia" w:ascii="Times New Roman" w:eastAsia="Times New Roman" w:cs="宋体"/>
                <w:b/>
                <w:snapToGrid w:val="0"/>
                <w:color w:val="auto"/>
                <w:sz w:val="24"/>
                <w:szCs w:val="24"/>
                <w:highlight w:val="none"/>
                <w:lang w:bidi="ar"/>
              </w:rPr>
              <w:t>60%</w:t>
            </w:r>
            <w:r>
              <w:rPr>
                <w:rFonts w:hint="eastAsia" w:ascii="Times New Roman" w:cs="宋体"/>
                <w:b/>
                <w:snapToGrid w:val="0"/>
                <w:color w:val="auto"/>
                <w:sz w:val="24"/>
                <w:szCs w:val="24"/>
                <w:highlight w:val="none"/>
                <w:lang w:bidi="ar"/>
              </w:rPr>
              <w:t>以下（含）</w:t>
            </w:r>
            <w:r>
              <w:rPr>
                <w:rFonts w:hint="eastAsia" w:ascii="Times New Roman" w:cs="宋体"/>
                <w:snapToGrid w:val="0"/>
                <w:color w:val="auto"/>
                <w:sz w:val="24"/>
                <w:szCs w:val="24"/>
                <w:highlight w:val="none"/>
                <w:lang w:bidi="ar"/>
              </w:rPr>
              <w:t>的投标人，该评委应提出充足的理由，该理由在评标委员会集体讨论并确认后记入评标报告，否则该评委应当且仅就评分理由重新提出充足的理由。</w:t>
            </w:r>
          </w:p>
        </w:tc>
      </w:tr>
      <w:tr w14:paraId="761A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97"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A4CDFF2">
            <w:pPr>
              <w:widowControl/>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视频陈述操作手册</w:t>
            </w:r>
          </w:p>
        </w:tc>
        <w:tc>
          <w:tcPr>
            <w:tcW w:w="330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8536808">
            <w:pPr>
              <w:pStyle w:val="4"/>
              <w:spacing w:beforeLines="0" w:afterLines="0"/>
              <w:rPr>
                <w:rFonts w:hint="eastAsia" w:ascii="Times New Roman" w:hAnsi="Times New Roman" w:eastAsia="宋体" w:cs="宋体"/>
                <w:snapToGrid w:val="0"/>
                <w:color w:val="auto"/>
                <w:sz w:val="24"/>
                <w:szCs w:val="24"/>
                <w:highlight w:val="none"/>
              </w:rPr>
            </w:pPr>
            <w:r>
              <w:rPr>
                <w:rFonts w:hint="eastAsia" w:ascii="Times New Roman" w:hAnsi="Times New Roman" w:eastAsia="宋体" w:cs="宋体"/>
                <w:snapToGrid w:val="0"/>
                <w:color w:val="auto"/>
                <w:sz w:val="24"/>
                <w:szCs w:val="24"/>
                <w:highlight w:val="none"/>
              </w:rPr>
              <w:t>见附件5。</w:t>
            </w:r>
          </w:p>
        </w:tc>
      </w:tr>
      <w:tr w14:paraId="2901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97"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75E5F6ED">
            <w:pPr>
              <w:widowControl/>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w:t>
            </w:r>
          </w:p>
        </w:tc>
        <w:tc>
          <w:tcPr>
            <w:tcW w:w="330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C18FA73">
            <w:pPr>
              <w:pStyle w:val="4"/>
              <w:spacing w:beforeLines="0" w:afterLines="0"/>
              <w:rPr>
                <w:rFonts w:hint="eastAsia" w:ascii="Times New Roman" w:hAnsi="Times New Roman" w:eastAsia="宋体" w:cs="宋体"/>
                <w:snapToGrid w:val="0"/>
                <w:color w:val="auto"/>
                <w:sz w:val="24"/>
                <w:szCs w:val="24"/>
                <w:highlight w:val="none"/>
              </w:rPr>
            </w:pPr>
            <w:r>
              <w:rPr>
                <w:rFonts w:hint="eastAsia" w:ascii="Times New Roman" w:hAnsi="Times New Roman" w:eastAsia="宋体" w:cs="宋体"/>
                <w:color w:val="auto"/>
                <w:sz w:val="24"/>
                <w:szCs w:val="24"/>
                <w:highlight w:val="none"/>
              </w:rPr>
              <w:t>……</w:t>
            </w:r>
          </w:p>
        </w:tc>
      </w:tr>
    </w:tbl>
    <w:p w14:paraId="7806F183">
      <w:pPr>
        <w:pStyle w:val="4"/>
        <w:widowControl/>
        <w:spacing w:before="240" w:beforeLines="100" w:after="240" w:afterLines="100" w:line="240" w:lineRule="auto"/>
        <w:jc w:val="center"/>
        <w:rPr>
          <w:rFonts w:hint="eastAsia" w:ascii="Times New Roman" w:hAnsi="Times New Roman" w:eastAsia="Times New Roman"/>
          <w:color w:val="auto"/>
          <w:sz w:val="24"/>
          <w:szCs w:val="24"/>
          <w:highlight w:val="none"/>
        </w:rPr>
      </w:pPr>
      <w:r>
        <w:rPr>
          <w:rFonts w:hint="eastAsia"/>
          <w:color w:val="auto"/>
          <w:sz w:val="24"/>
          <w:szCs w:val="24"/>
          <w:highlight w:val="none"/>
        </w:rPr>
        <w:br w:type="page"/>
      </w:r>
      <w:r>
        <w:rPr>
          <w:rFonts w:hint="eastAsia" w:ascii="Times New Roman"/>
          <w:color w:val="auto"/>
          <w:sz w:val="24"/>
          <w:szCs w:val="24"/>
          <w:highlight w:val="none"/>
        </w:rPr>
        <w:t>附件</w:t>
      </w:r>
      <w:r>
        <w:rPr>
          <w:rFonts w:hint="eastAsia" w:ascii="Times New Roman" w:hAnsi="Times New Roman" w:eastAsia="Times New Roman"/>
          <w:color w:val="auto"/>
          <w:sz w:val="24"/>
          <w:szCs w:val="24"/>
          <w:highlight w:val="none"/>
        </w:rPr>
        <w:t>1</w:t>
      </w:r>
      <w:r>
        <w:rPr>
          <w:rFonts w:hint="eastAsia" w:ascii="Times New Roman"/>
          <w:color w:val="auto"/>
          <w:sz w:val="24"/>
          <w:szCs w:val="24"/>
          <w:highlight w:val="none"/>
        </w:rPr>
        <w:t>：有效值计算方法</w:t>
      </w:r>
      <w:r>
        <w:rPr>
          <w:rFonts w:hint="default" w:ascii="Times New Roman" w:eastAsia="黑体"/>
          <w:color w:val="auto"/>
          <w:sz w:val="24"/>
          <w:szCs w:val="24"/>
          <w:highlight w:val="none"/>
          <w:vertAlign w:val="superscript"/>
        </w:rPr>
        <w:footnoteReference w:id="1"/>
      </w:r>
    </w:p>
    <w:p w14:paraId="5741116A">
      <w:pPr>
        <w:snapToGrid w:val="0"/>
        <w:spacing w:beforeLines="0" w:afterLines="0" w:line="360" w:lineRule="auto"/>
        <w:ind w:firstLine="482" w:firstLineChars="200"/>
        <w:rPr>
          <w:rFonts w:hint="eastAsia" w:hAnsi="宋体"/>
          <w:b/>
          <w:color w:val="auto"/>
          <w:sz w:val="24"/>
          <w:szCs w:val="24"/>
          <w:highlight w:val="none"/>
        </w:rPr>
      </w:pPr>
      <w:r>
        <w:rPr>
          <w:rFonts w:hint="eastAsia" w:hAnsi="宋体"/>
          <w:b/>
          <w:color w:val="auto"/>
          <w:sz w:val="24"/>
          <w:szCs w:val="24"/>
          <w:highlight w:val="none"/>
          <w:lang w:bidi="ar"/>
        </w:rPr>
        <w:t>1、</w:t>
      </w:r>
      <w:r>
        <w:rPr>
          <w:rFonts w:hint="eastAsia" w:hAnsi="宋体" w:cs="仿宋_GB2312"/>
          <w:b/>
          <w:color w:val="auto"/>
          <w:sz w:val="24"/>
          <w:szCs w:val="24"/>
          <w:highlight w:val="none"/>
          <w:lang w:bidi="ar"/>
        </w:rPr>
        <w:t>初步筛查和有效值计算规则、范围</w:t>
      </w:r>
    </w:p>
    <w:p w14:paraId="72FC7D95">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（1）对在规定的投标截止时间前通过电子交易系统成功上传投标文件的投标人随机发放签号。</w:t>
      </w:r>
    </w:p>
    <w:p w14:paraId="04D587F0">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（2）纳入初步筛查范围的投标文件</w:t>
      </w:r>
    </w:p>
    <w:p w14:paraId="37FDCCD5">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①纳入条件：已发签号且成功解密并导入电子交易系统的。</w:t>
      </w:r>
    </w:p>
    <w:p w14:paraId="3889CEA8">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②数量：符合纳入条件的投标文件全部纳入初步筛查。</w:t>
      </w:r>
    </w:p>
    <w:p w14:paraId="1AF5C10A">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（3）初步筛查内容：</w:t>
      </w:r>
    </w:p>
    <w:p w14:paraId="22ADB054">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①投标函文字报价</w:t>
      </w:r>
      <w:r>
        <w:rPr>
          <w:rFonts w:hint="eastAsia" w:hAnsi="宋体"/>
          <w:color w:val="auto"/>
          <w:sz w:val="24"/>
          <w:szCs w:val="24"/>
          <w:highlight w:val="none"/>
          <w:lang w:bidi="ar"/>
        </w:rPr>
        <w:t>≤</w:t>
      </w:r>
      <w:r>
        <w:rPr>
          <w:rFonts w:hint="eastAsia" w:hAnsi="宋体" w:cs="仿宋_GB2312"/>
          <w:color w:val="auto"/>
          <w:sz w:val="24"/>
          <w:szCs w:val="24"/>
          <w:highlight w:val="none"/>
          <w:lang w:bidi="ar"/>
        </w:rPr>
        <w:t>最高投标限价(招标控制价)*（1-M值），其中投标函文字报价</w:t>
      </w:r>
      <w:r>
        <w:rPr>
          <w:rFonts w:hint="eastAsia" w:hAnsi="宋体"/>
          <w:color w:val="auto"/>
          <w:sz w:val="24"/>
          <w:szCs w:val="24"/>
          <w:highlight w:val="none"/>
          <w:lang w:bidi="ar"/>
        </w:rPr>
        <w:t>＜</w:t>
      </w:r>
      <w:r>
        <w:rPr>
          <w:rFonts w:hint="eastAsia" w:hAnsi="宋体" w:cs="仿宋_GB2312"/>
          <w:color w:val="auto"/>
          <w:sz w:val="24"/>
          <w:szCs w:val="24"/>
          <w:highlight w:val="none"/>
          <w:lang w:bidi="ar"/>
        </w:rPr>
        <w:t>最高投标限价(招标控制价)*异常低价规定指标的，须通过异常低价评审（异常低价评审见附件4；如无异常低价评审指标的，无需进行异常低价评审）(单位：元，计算结果均精确到小数点后两位，第三位四舍五入)；规定降幅M值见评标办法前附表。</w:t>
      </w:r>
    </w:p>
    <w:p w14:paraId="0A670204">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②投标文件制作机器码不同；</w:t>
      </w:r>
    </w:p>
    <w:p w14:paraId="7DB59E20">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③投标总报价未出现明显失误，如数量级错误、金额单位错误等；</w:t>
      </w:r>
    </w:p>
    <w:p w14:paraId="4311EDBE">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备注：</w:t>
      </w:r>
    </w:p>
    <w:p w14:paraId="6A57A2BD">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①初步筛查符合的投标函文字报价纳入有效值计算，初步筛查不符合的投标函文字报价不纳入有效值计算；</w:t>
      </w:r>
    </w:p>
    <w:p w14:paraId="3A1F9E5F">
      <w:pPr>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②如出现符合初步筛查投标人数量不足三家的，评标委员会将否决所有投标。</w:t>
      </w:r>
    </w:p>
    <w:p w14:paraId="0EA90117">
      <w:pPr>
        <w:snapToGrid w:val="0"/>
        <w:spacing w:beforeLines="0" w:afterLines="0" w:line="360" w:lineRule="auto"/>
        <w:ind w:firstLine="482" w:firstLineChars="200"/>
        <w:rPr>
          <w:rFonts w:hint="eastAsia" w:hAnsi="宋体" w:cs="仿宋_GB2312"/>
          <w:b/>
          <w:color w:val="auto"/>
          <w:sz w:val="24"/>
          <w:szCs w:val="24"/>
          <w:highlight w:val="none"/>
        </w:rPr>
      </w:pPr>
      <w:r>
        <w:rPr>
          <w:rFonts w:hint="eastAsia" w:hAnsi="宋体" w:cs="仿宋_GB2312"/>
          <w:b/>
          <w:color w:val="auto"/>
          <w:sz w:val="24"/>
          <w:szCs w:val="24"/>
          <w:highlight w:val="none"/>
          <w:lang w:bidi="ar"/>
        </w:rPr>
        <w:t>2、有效值计算方式</w:t>
      </w:r>
    </w:p>
    <w:p w14:paraId="4FD007C9">
      <w:pPr>
        <w:snapToGrid w:val="0"/>
        <w:spacing w:beforeLines="0" w:afterLines="0" w:line="360" w:lineRule="auto"/>
        <w:ind w:firstLine="482" w:firstLineChars="200"/>
        <w:rPr>
          <w:rFonts w:hint="eastAsia" w:hAnsi="宋体" w:cs="仿宋_GB2312"/>
          <w:b/>
          <w:color w:val="auto"/>
          <w:sz w:val="24"/>
          <w:szCs w:val="24"/>
          <w:highlight w:val="none"/>
        </w:rPr>
      </w:pPr>
      <w:r>
        <w:rPr>
          <w:rFonts w:hint="eastAsia" w:hAnsi="宋体" w:cs="仿宋_GB2312"/>
          <w:b/>
          <w:color w:val="auto"/>
          <w:sz w:val="24"/>
          <w:szCs w:val="24"/>
          <w:highlight w:val="none"/>
          <w:lang w:bidi="ar"/>
        </w:rPr>
        <w:t>若初步筛查符合的投标人数量大于100家，采用以下第一种方式计算有效值，否则采用第二种方式计算有效值。</w:t>
      </w:r>
    </w:p>
    <w:p w14:paraId="5443AB27">
      <w:pPr>
        <w:snapToGrid w:val="0"/>
        <w:spacing w:beforeLines="0" w:afterLines="0" w:line="360" w:lineRule="auto"/>
        <w:ind w:firstLine="482" w:firstLineChars="200"/>
        <w:rPr>
          <w:rFonts w:hint="eastAsia" w:hAnsi="宋体" w:cs="仿宋_GB2312"/>
          <w:b/>
          <w:color w:val="auto"/>
          <w:sz w:val="24"/>
          <w:szCs w:val="24"/>
          <w:highlight w:val="none"/>
        </w:rPr>
      </w:pPr>
    </w:p>
    <w:p w14:paraId="030E7832">
      <w:pPr>
        <w:snapToGrid w:val="0"/>
        <w:spacing w:beforeLines="0" w:afterLines="0" w:line="360" w:lineRule="auto"/>
        <w:ind w:firstLine="482" w:firstLineChars="200"/>
        <w:rPr>
          <w:rFonts w:hint="eastAsia" w:hAnsi="宋体" w:cs="仿宋_GB2312"/>
          <w:b/>
          <w:color w:val="auto"/>
          <w:sz w:val="24"/>
          <w:szCs w:val="24"/>
          <w:highlight w:val="none"/>
        </w:rPr>
      </w:pPr>
      <w:r>
        <w:rPr>
          <w:rFonts w:hint="eastAsia" w:hAnsi="宋体" w:cs="仿宋_GB2312"/>
          <w:b/>
          <w:color w:val="auto"/>
          <w:sz w:val="24"/>
          <w:szCs w:val="24"/>
          <w:highlight w:val="none"/>
          <w:lang w:bidi="ar"/>
        </w:rPr>
        <w:t>第一种方式：在初步筛查通过的投标人中，按签号由小到大顺序选取20家投标人进行商务文件初步评审，初步评审通过的投标人报价纳入有效值计算（初步评审通过的投标人不足 20 家的不递补，以实际评审通过的投标人纳入有效值计算）。</w:t>
      </w:r>
    </w:p>
    <w:p w14:paraId="0C0256A9">
      <w:pPr>
        <w:snapToGrid w:val="0"/>
        <w:spacing w:beforeLines="0" w:afterLines="0" w:line="360" w:lineRule="auto"/>
        <w:ind w:firstLine="482" w:firstLineChars="200"/>
        <w:rPr>
          <w:rFonts w:hint="eastAsia" w:hAnsi="宋体"/>
          <w:b/>
          <w:color w:val="auto"/>
          <w:sz w:val="24"/>
          <w:szCs w:val="24"/>
          <w:highlight w:val="none"/>
        </w:rPr>
      </w:pPr>
      <w:r>
        <w:rPr>
          <w:rFonts w:hint="eastAsia" w:hAnsi="宋体"/>
          <w:b/>
          <w:color w:val="auto"/>
          <w:sz w:val="24"/>
          <w:szCs w:val="24"/>
          <w:highlight w:val="none"/>
          <w:lang w:bidi="ar"/>
        </w:rPr>
        <w:t>2.1计算组距</w:t>
      </w:r>
    </w:p>
    <w:p w14:paraId="6068852E">
      <w:pPr>
        <w:snapToGrid w:val="0"/>
        <w:spacing w:beforeLines="0" w:afterLines="0" w:line="360" w:lineRule="auto"/>
        <w:ind w:firstLine="480" w:firstLineChars="200"/>
        <w:rPr>
          <w:rFonts w:hint="eastAsia" w:hAnsi="宋体" w:cs="仿宋_GB2312"/>
          <w:color w:val="auto"/>
          <w:sz w:val="24"/>
          <w:szCs w:val="24"/>
          <w:highlight w:val="none"/>
        </w:rPr>
      </w:pPr>
      <w:r>
        <w:rPr>
          <w:rFonts w:hint="eastAsia" w:hAnsi="宋体" w:cs="仿宋_GB2312"/>
          <w:color w:val="auto"/>
          <w:sz w:val="24"/>
          <w:szCs w:val="24"/>
          <w:highlight w:val="none"/>
          <w:lang w:bidi="ar"/>
        </w:rPr>
        <w:t>将所有纳入有效值计算范围的报价由高到低进行排序（即</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1</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2</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3</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n-2、</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n-1</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n</w:t>
      </w:r>
      <w:r>
        <w:rPr>
          <w:rFonts w:hint="eastAsia" w:hAnsi="宋体"/>
          <w:color w:val="auto"/>
          <w:sz w:val="24"/>
          <w:szCs w:val="24"/>
          <w:highlight w:val="none"/>
          <w:lang w:bidi="ar"/>
        </w:rPr>
        <w:t>），</w:t>
      </w:r>
      <w:r>
        <w:rPr>
          <w:rFonts w:hint="eastAsia" w:hAnsi="宋体" w:cs="仿宋_GB2312"/>
          <w:color w:val="auto"/>
          <w:sz w:val="24"/>
          <w:szCs w:val="24"/>
          <w:highlight w:val="none"/>
          <w:lang w:bidi="ar"/>
        </w:rPr>
        <w:t>相同报价均占排序，从最高报价起，计算每一个报价与它的后一个报价相减得出差值（即</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1</w:t>
      </w:r>
      <w:r>
        <w:rPr>
          <w:rFonts w:hint="eastAsia" w:hAnsi="宋体" w:cs="宋体"/>
          <w:color w:val="auto"/>
          <w:sz w:val="24"/>
          <w:szCs w:val="24"/>
          <w:highlight w:val="none"/>
          <w:lang w:bidi="ar"/>
        </w:rPr>
        <w:t>–</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2、</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2</w:t>
      </w:r>
      <w:r>
        <w:rPr>
          <w:rFonts w:hint="eastAsia" w:hAnsi="宋体" w:cs="宋体"/>
          <w:color w:val="auto"/>
          <w:sz w:val="24"/>
          <w:szCs w:val="24"/>
          <w:highlight w:val="none"/>
          <w:lang w:bidi="ar"/>
        </w:rPr>
        <w:t>–</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3</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n-2</w:t>
      </w:r>
      <w:r>
        <w:rPr>
          <w:rFonts w:hint="eastAsia" w:hAnsi="宋体" w:cs="宋体"/>
          <w:color w:val="auto"/>
          <w:sz w:val="24"/>
          <w:szCs w:val="24"/>
          <w:highlight w:val="none"/>
          <w:lang w:bidi="ar"/>
        </w:rPr>
        <w:t>–</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n-1</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n-1</w:t>
      </w:r>
      <w:r>
        <w:rPr>
          <w:rFonts w:hint="eastAsia" w:hAnsi="宋体" w:cs="宋体"/>
          <w:color w:val="auto"/>
          <w:sz w:val="24"/>
          <w:szCs w:val="24"/>
          <w:highlight w:val="none"/>
          <w:lang w:bidi="ar"/>
        </w:rPr>
        <w:t>–</w:t>
      </w:r>
      <w:r>
        <w:rPr>
          <w:rFonts w:hint="eastAsia" w:hAnsi="宋体"/>
          <w:color w:val="auto"/>
          <w:sz w:val="24"/>
          <w:szCs w:val="24"/>
          <w:highlight w:val="none"/>
          <w:lang w:bidi="ar"/>
        </w:rPr>
        <w:t>a</w:t>
      </w:r>
      <w:r>
        <w:rPr>
          <w:rFonts w:hint="eastAsia" w:hAnsi="宋体"/>
          <w:color w:val="auto"/>
          <w:sz w:val="24"/>
          <w:szCs w:val="24"/>
          <w:highlight w:val="none"/>
          <w:vertAlign w:val="subscript"/>
          <w:lang w:bidi="ar"/>
        </w:rPr>
        <w:t>n</w:t>
      </w:r>
      <w:r>
        <w:rPr>
          <w:rFonts w:hint="eastAsia" w:hAnsi="宋体"/>
          <w:color w:val="auto"/>
          <w:sz w:val="24"/>
          <w:szCs w:val="24"/>
          <w:highlight w:val="none"/>
          <w:lang w:bidi="ar"/>
        </w:rPr>
        <w:t>）</w:t>
      </w:r>
      <w:r>
        <w:rPr>
          <w:rFonts w:hint="eastAsia" w:hAnsi="宋体" w:cs="仿宋_GB2312"/>
          <w:color w:val="auto"/>
          <w:sz w:val="24"/>
          <w:szCs w:val="24"/>
          <w:highlight w:val="none"/>
          <w:lang w:bidi="ar"/>
        </w:rPr>
        <w:t>。所有差值算术平均值作为组距 D 值（精确到小数点后两位，第三位四舍五入）。若 D值无法计算，评标委员会可否决所有投标。</w:t>
      </w:r>
    </w:p>
    <w:p w14:paraId="23D1DAD7">
      <w:pPr>
        <w:snapToGrid w:val="0"/>
        <w:spacing w:beforeLines="0" w:afterLines="0" w:line="360" w:lineRule="auto"/>
        <w:ind w:firstLine="482" w:firstLineChars="200"/>
        <w:rPr>
          <w:rFonts w:hint="eastAsia" w:hAnsi="宋体"/>
          <w:b/>
          <w:color w:val="auto"/>
          <w:sz w:val="24"/>
          <w:szCs w:val="24"/>
          <w:highlight w:val="none"/>
        </w:rPr>
      </w:pPr>
      <w:r>
        <w:rPr>
          <w:rFonts w:hint="eastAsia" w:hAnsi="宋体"/>
          <w:b/>
          <w:color w:val="auto"/>
          <w:sz w:val="24"/>
          <w:szCs w:val="24"/>
          <w:highlight w:val="none"/>
          <w:lang w:bidi="ar"/>
        </w:rPr>
        <w:t>2.2数据分组</w:t>
      </w:r>
    </w:p>
    <w:p w14:paraId="4099A723">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将所有满足纳入组距计算范围投标人的报价由高到低进行排序，从最高报价（含最高报价）开始，按照组距 D 值向低价端依次对报价进行分组，等于各组上限值的报价列入本组，等于各组下限值的报价，列入下一组，至最低报价（含最低报价）不足一个组距的，单独作为一组。</w:t>
      </w:r>
    </w:p>
    <w:p w14:paraId="2A6582AA">
      <w:pPr>
        <w:snapToGrid w:val="0"/>
        <w:spacing w:beforeLines="0" w:afterLines="0" w:line="360" w:lineRule="auto"/>
        <w:ind w:firstLine="482" w:firstLineChars="200"/>
        <w:rPr>
          <w:rFonts w:hint="eastAsia" w:hAnsi="宋体"/>
          <w:b/>
          <w:color w:val="auto"/>
          <w:sz w:val="24"/>
          <w:szCs w:val="24"/>
          <w:highlight w:val="none"/>
        </w:rPr>
      </w:pPr>
      <w:r>
        <w:rPr>
          <w:rFonts w:hint="eastAsia" w:hAnsi="宋体"/>
          <w:b/>
          <w:color w:val="auto"/>
          <w:sz w:val="24"/>
          <w:szCs w:val="24"/>
          <w:highlight w:val="none"/>
          <w:lang w:bidi="ar"/>
        </w:rPr>
        <w:t>2.3确定有效值</w:t>
      </w:r>
    </w:p>
    <w:p w14:paraId="3E73FA9F">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对分组后各组内的数据按照报价由高到低进行排序，组内无数据的，不参与组数计算。总组数确定后，各组组号按其组内最低报价由高到低顺序进行排序。设总组数为 S，取排序倒数第 K 组最低值为有效值：</w:t>
      </w:r>
    </w:p>
    <w:p w14:paraId="585C6D1C">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①当 S≤3，K=2，取排序倒数第 2 组中最低值为有效值；</w:t>
      </w:r>
    </w:p>
    <w:p w14:paraId="33D8149F">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②当 3＜S≤5，K=3，取排序倒数第 3 组中最低值为有效值；</w:t>
      </w:r>
    </w:p>
    <w:p w14:paraId="628ACC18">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③当 5＜S≤7，K=4，取排序倒数第 4 组中最低值为有效值；</w:t>
      </w:r>
    </w:p>
    <w:p w14:paraId="3F21EA08">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④当 7＜S≤9，K=5，取排序倒数第 5 组中最低值为有效值；</w:t>
      </w:r>
    </w:p>
    <w:p w14:paraId="280544B0">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⑤当 9＜S≤11，K=6，取排序倒数第 6 组中最低值为有效值；</w:t>
      </w:r>
    </w:p>
    <w:p w14:paraId="65C5A186">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……以此类推。</w:t>
      </w:r>
    </w:p>
    <w:p w14:paraId="05E88041">
      <w:pPr>
        <w:snapToGrid w:val="0"/>
        <w:spacing w:beforeLines="0" w:afterLines="0" w:line="360" w:lineRule="auto"/>
        <w:ind w:firstLine="482" w:firstLineChars="200"/>
        <w:rPr>
          <w:rFonts w:hint="eastAsia" w:hAnsi="宋体"/>
          <w:b/>
          <w:color w:val="auto"/>
          <w:sz w:val="24"/>
          <w:szCs w:val="24"/>
          <w:highlight w:val="none"/>
        </w:rPr>
      </w:pPr>
      <w:r>
        <w:rPr>
          <w:rFonts w:hint="eastAsia" w:hAnsi="宋体"/>
          <w:b/>
          <w:color w:val="auto"/>
          <w:sz w:val="24"/>
          <w:szCs w:val="24"/>
          <w:highlight w:val="none"/>
          <w:lang w:bidi="ar"/>
        </w:rPr>
        <w:t>注：有效值除存在计算错误之外，不随任何因素发生变化。</w:t>
      </w:r>
    </w:p>
    <w:p w14:paraId="46E85D62">
      <w:pPr>
        <w:snapToGrid w:val="0"/>
        <w:spacing w:beforeLines="0" w:afterLines="0" w:line="360" w:lineRule="auto"/>
        <w:ind w:firstLine="482" w:firstLineChars="200"/>
        <w:rPr>
          <w:rFonts w:hint="eastAsia" w:hAnsi="宋体"/>
          <w:b/>
          <w:color w:val="auto"/>
          <w:sz w:val="24"/>
          <w:szCs w:val="24"/>
          <w:highlight w:val="none"/>
        </w:rPr>
      </w:pPr>
    </w:p>
    <w:p w14:paraId="6A58B0AE">
      <w:pPr>
        <w:snapToGrid w:val="0"/>
        <w:spacing w:beforeLines="0" w:afterLines="0" w:line="360" w:lineRule="auto"/>
        <w:ind w:firstLine="482" w:firstLineChars="200"/>
        <w:rPr>
          <w:rFonts w:hint="eastAsia" w:hAnsi="宋体"/>
          <w:b/>
          <w:color w:val="auto"/>
          <w:sz w:val="24"/>
          <w:szCs w:val="24"/>
          <w:highlight w:val="none"/>
        </w:rPr>
      </w:pPr>
      <w:r>
        <w:rPr>
          <w:rFonts w:hint="eastAsia" w:hAnsi="宋体"/>
          <w:b/>
          <w:color w:val="auto"/>
          <w:sz w:val="24"/>
          <w:szCs w:val="24"/>
          <w:highlight w:val="none"/>
          <w:lang w:bidi="ar"/>
        </w:rPr>
        <w:t>第二种方式：</w:t>
      </w:r>
    </w:p>
    <w:p w14:paraId="0296AFF5">
      <w:pPr>
        <w:snapToGrid w:val="0"/>
        <w:spacing w:beforeLines="0" w:afterLines="0" w:line="360" w:lineRule="auto"/>
        <w:ind w:firstLine="482" w:firstLineChars="200"/>
        <w:rPr>
          <w:rFonts w:hint="eastAsia" w:hAnsi="宋体"/>
          <w:b/>
          <w:color w:val="auto"/>
          <w:sz w:val="24"/>
          <w:szCs w:val="24"/>
          <w:highlight w:val="none"/>
        </w:rPr>
      </w:pPr>
      <w:r>
        <w:rPr>
          <w:rFonts w:hint="eastAsia" w:hAnsi="宋体"/>
          <w:b/>
          <w:color w:val="auto"/>
          <w:sz w:val="24"/>
          <w:szCs w:val="24"/>
          <w:highlight w:val="none"/>
          <w:lang w:bidi="ar"/>
        </w:rPr>
        <w:t>2.1 计算组距</w:t>
      </w:r>
    </w:p>
    <w:p w14:paraId="0C2F4BAA">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将所有初步筛查通过的投标人报价由高到低进行排序（即 a1、a2、a3……an-2、an-1、an），相同报价均占排序，从最高报价起，计算每一个报价与它的后一个报价相减得出差值（即 a1–a2、a2–a3……an-2–an-1、an-1–an）。对所有差值按照由高到低进行排序，相同差值均占排序，从最高差值开始，按照由高到低的顺序取规定数量个差值计算算术平均值作为组距 D 值（精确到小数点后两位，第三位四舍五入）。</w:t>
      </w:r>
    </w:p>
    <w:p w14:paraId="7AB277FA">
      <w:pPr>
        <w:snapToGrid w:val="0"/>
        <w:spacing w:beforeLines="0" w:afterLines="0" w:line="360" w:lineRule="auto"/>
        <w:ind w:firstLine="480" w:firstLineChars="200"/>
        <w:rPr>
          <w:rFonts w:hint="eastAsia" w:hAnsi="宋体"/>
          <w:color w:val="auto"/>
          <w:sz w:val="24"/>
          <w:szCs w:val="24"/>
          <w:highlight w:val="none"/>
        </w:rPr>
      </w:pPr>
      <w:r>
        <w:rPr>
          <w:rFonts w:hint="eastAsia" w:hAnsi="宋体"/>
          <w:color w:val="auto"/>
          <w:sz w:val="24"/>
          <w:szCs w:val="24"/>
          <w:highlight w:val="none"/>
          <w:lang w:bidi="ar"/>
        </w:rPr>
        <w:t>规定数量的确定：初步筛查通过的投标人数量不足 2 个，评标委员会将否决所有投标，当通过初步筛查的投标人数量超过 1 家且不足 5 家时，规定数量为：1 个；当通过初步筛查的投标人数量不少于 5 家时，以已发签号的所有投标人总数除以 5，其余数所对应值乘以所有差值数量得出规定数量（小数点后第一位四舍五入后取整数），见下表：</w:t>
      </w:r>
    </w:p>
    <w:tbl>
      <w:tblPr>
        <w:tblStyle w:val="17"/>
        <w:tblW w:w="46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1"/>
        <w:gridCol w:w="4162"/>
      </w:tblGrid>
      <w:tr w14:paraId="0836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CA491E">
            <w:pPr>
              <w:spacing w:beforeLines="0" w:afterLines="0" w:line="360" w:lineRule="auto"/>
              <w:jc w:val="center"/>
              <w:rPr>
                <w:rFonts w:hint="eastAsia" w:hAnsi="宋体"/>
                <w:b/>
                <w:color w:val="auto"/>
                <w:sz w:val="24"/>
                <w:szCs w:val="24"/>
                <w:highlight w:val="none"/>
              </w:rPr>
            </w:pPr>
            <w:r>
              <w:rPr>
                <w:rFonts w:hint="eastAsia" w:hAnsi="宋体"/>
                <w:b/>
                <w:color w:val="auto"/>
                <w:sz w:val="24"/>
                <w:szCs w:val="24"/>
                <w:highlight w:val="none"/>
                <w:lang w:bidi="ar"/>
              </w:rPr>
              <w:t>余数</w:t>
            </w:r>
          </w:p>
        </w:tc>
        <w:tc>
          <w:tcPr>
            <w:tcW w:w="2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1DEBB">
            <w:pPr>
              <w:spacing w:beforeLines="0" w:afterLines="0" w:line="360" w:lineRule="auto"/>
              <w:jc w:val="center"/>
              <w:rPr>
                <w:rFonts w:hint="eastAsia" w:hAnsi="宋体"/>
                <w:b/>
                <w:color w:val="auto"/>
                <w:sz w:val="24"/>
                <w:szCs w:val="24"/>
                <w:highlight w:val="none"/>
              </w:rPr>
            </w:pPr>
            <w:r>
              <w:rPr>
                <w:rFonts w:hint="eastAsia" w:hAnsi="宋体"/>
                <w:b/>
                <w:color w:val="auto"/>
                <w:sz w:val="24"/>
                <w:szCs w:val="24"/>
                <w:highlight w:val="none"/>
                <w:lang w:bidi="ar"/>
              </w:rPr>
              <w:t>对应值</w:t>
            </w:r>
          </w:p>
        </w:tc>
      </w:tr>
      <w:tr w14:paraId="709A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3BFF32">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0</w:t>
            </w:r>
          </w:p>
        </w:tc>
        <w:tc>
          <w:tcPr>
            <w:tcW w:w="2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C1DB7C">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15%</w:t>
            </w:r>
          </w:p>
        </w:tc>
      </w:tr>
      <w:tr w14:paraId="0A14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A694B9">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1</w:t>
            </w:r>
          </w:p>
        </w:tc>
        <w:tc>
          <w:tcPr>
            <w:tcW w:w="2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3ABE19">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20%</w:t>
            </w:r>
          </w:p>
        </w:tc>
      </w:tr>
      <w:tr w14:paraId="6495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878260">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2</w:t>
            </w:r>
          </w:p>
        </w:tc>
        <w:tc>
          <w:tcPr>
            <w:tcW w:w="2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62C02D">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25%</w:t>
            </w:r>
          </w:p>
        </w:tc>
      </w:tr>
      <w:tr w14:paraId="0E0B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E08418">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3</w:t>
            </w:r>
          </w:p>
        </w:tc>
        <w:tc>
          <w:tcPr>
            <w:tcW w:w="2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2BA729">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30%</w:t>
            </w:r>
          </w:p>
        </w:tc>
      </w:tr>
      <w:tr w14:paraId="2736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C139F1">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4</w:t>
            </w:r>
          </w:p>
        </w:tc>
        <w:tc>
          <w:tcPr>
            <w:tcW w:w="2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BE2643">
            <w:pPr>
              <w:spacing w:beforeLines="0" w:afterLines="0" w:line="360" w:lineRule="auto"/>
              <w:jc w:val="center"/>
              <w:rPr>
                <w:rFonts w:hint="eastAsia" w:hAnsi="宋体"/>
                <w:color w:val="auto"/>
                <w:sz w:val="24"/>
                <w:szCs w:val="24"/>
                <w:highlight w:val="none"/>
              </w:rPr>
            </w:pPr>
            <w:r>
              <w:rPr>
                <w:rFonts w:hint="eastAsia" w:hAnsi="宋体"/>
                <w:color w:val="auto"/>
                <w:sz w:val="24"/>
                <w:szCs w:val="24"/>
                <w:highlight w:val="none"/>
                <w:lang w:bidi="ar"/>
              </w:rPr>
              <w:t>35%</w:t>
            </w:r>
          </w:p>
        </w:tc>
      </w:tr>
    </w:tbl>
    <w:p w14:paraId="146C6BD9">
      <w:pPr>
        <w:snapToGrid w:val="0"/>
        <w:spacing w:beforeLines="0" w:afterLines="0" w:line="360" w:lineRule="auto"/>
        <w:ind w:firstLine="482" w:firstLineChars="200"/>
        <w:rPr>
          <w:rFonts w:hint="eastAsia" w:hAnsi="宋体" w:cs="仿宋"/>
          <w:b/>
          <w:color w:val="auto"/>
          <w:sz w:val="24"/>
          <w:szCs w:val="24"/>
          <w:highlight w:val="none"/>
        </w:rPr>
      </w:pPr>
      <w:r>
        <w:rPr>
          <w:rFonts w:hint="eastAsia" w:hAnsi="宋体" w:cs="仿宋"/>
          <w:b/>
          <w:color w:val="auto"/>
          <w:sz w:val="24"/>
          <w:szCs w:val="24"/>
          <w:highlight w:val="none"/>
          <w:lang w:bidi="ar"/>
        </w:rPr>
        <w:t>2.2 数据分组</w:t>
      </w:r>
    </w:p>
    <w:p w14:paraId="46CA3291">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符合初步筛查条件的投标人报价中最高报价（含最高报价）开始，按照组距D 值向投标人报价中低价端依次对报价进行分组。等于各组上限值的报价列入本组，等于各组下限值的报价，列入下一组，至最低报价（含最低报价）不足一个组距的，单独作为一组。</w:t>
      </w:r>
    </w:p>
    <w:p w14:paraId="5687A7AC">
      <w:pPr>
        <w:snapToGrid w:val="0"/>
        <w:spacing w:beforeLines="0" w:afterLines="0" w:line="360" w:lineRule="auto"/>
        <w:ind w:firstLine="482" w:firstLineChars="200"/>
        <w:rPr>
          <w:rFonts w:hint="eastAsia" w:hAnsi="宋体" w:cs="仿宋"/>
          <w:b/>
          <w:color w:val="auto"/>
          <w:sz w:val="24"/>
          <w:szCs w:val="24"/>
          <w:highlight w:val="none"/>
        </w:rPr>
      </w:pPr>
      <w:r>
        <w:rPr>
          <w:rFonts w:hint="eastAsia" w:hAnsi="宋体" w:cs="仿宋"/>
          <w:b/>
          <w:color w:val="auto"/>
          <w:sz w:val="24"/>
          <w:szCs w:val="24"/>
          <w:highlight w:val="none"/>
          <w:lang w:bidi="ar"/>
        </w:rPr>
        <w:t>2.3 确定有效值</w:t>
      </w:r>
    </w:p>
    <w:p w14:paraId="329D920B">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对分组后各组内的数据按照报价由高到低进行排序，组内无数据的，不参与组数计算。设总组数为 S，取排序倒数第 K 组中最低值为有效值：</w:t>
      </w:r>
    </w:p>
    <w:p w14:paraId="08324E97">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①当 S≤5，K=2，取排序倒数第 2 组中最低值为有效值；</w:t>
      </w:r>
    </w:p>
    <w:p w14:paraId="5D1F1EE6">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②当 5＜S≤10，K=3，取排序倒数第 3 组中最低值为有效值；</w:t>
      </w:r>
    </w:p>
    <w:p w14:paraId="039D0685">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③当 10＜S≤15，K=4，取排序倒数第 4 组中最低值为有效值；</w:t>
      </w:r>
    </w:p>
    <w:p w14:paraId="0095074F">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④当 15＜S≤20，K=5，取排序倒数第 5 组中最低值为有效值；</w:t>
      </w:r>
    </w:p>
    <w:p w14:paraId="16591F38">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⑤当 20＜S≤25，K=6，取排序倒数第 6 组中最低值为有效值；</w:t>
      </w:r>
    </w:p>
    <w:p w14:paraId="6B7DB9AB">
      <w:pPr>
        <w:snapToGrid w:val="0"/>
        <w:spacing w:beforeLines="0" w:afterLines="0" w:line="360" w:lineRule="auto"/>
        <w:ind w:firstLine="480" w:firstLineChars="200"/>
        <w:rPr>
          <w:rFonts w:hint="eastAsia" w:hAnsi="宋体" w:cs="仿宋"/>
          <w:color w:val="auto"/>
          <w:sz w:val="24"/>
          <w:szCs w:val="24"/>
          <w:highlight w:val="none"/>
        </w:rPr>
      </w:pPr>
      <w:r>
        <w:rPr>
          <w:rFonts w:hint="eastAsia" w:hAnsi="宋体" w:cs="仿宋"/>
          <w:color w:val="auto"/>
          <w:sz w:val="24"/>
          <w:szCs w:val="24"/>
          <w:highlight w:val="none"/>
          <w:lang w:bidi="ar"/>
        </w:rPr>
        <w:t>……以此类推。</w:t>
      </w:r>
    </w:p>
    <w:p w14:paraId="2EDD686E">
      <w:pPr>
        <w:snapToGrid w:val="0"/>
        <w:spacing w:beforeLines="0" w:afterLines="0" w:line="360" w:lineRule="auto"/>
        <w:ind w:firstLine="482" w:firstLineChars="200"/>
        <w:rPr>
          <w:rFonts w:hint="eastAsia" w:hAnsi="宋体" w:cs="仿宋"/>
          <w:b/>
          <w:color w:val="auto"/>
          <w:sz w:val="24"/>
          <w:szCs w:val="24"/>
          <w:highlight w:val="none"/>
        </w:rPr>
      </w:pPr>
      <w:r>
        <w:rPr>
          <w:rFonts w:hint="eastAsia" w:hAnsi="宋体" w:cs="仿宋"/>
          <w:b/>
          <w:color w:val="auto"/>
          <w:sz w:val="24"/>
          <w:szCs w:val="24"/>
          <w:highlight w:val="none"/>
          <w:lang w:bidi="ar"/>
        </w:rPr>
        <w:t>注：有效值除存在计算错误之外，不随任何因素发生变化。</w:t>
      </w:r>
    </w:p>
    <w:p w14:paraId="5176DC38">
      <w:pPr>
        <w:pStyle w:val="4"/>
        <w:widowControl/>
        <w:spacing w:before="240" w:beforeLines="100" w:after="240" w:afterLines="100" w:line="240" w:lineRule="auto"/>
        <w:jc w:val="center"/>
        <w:rPr>
          <w:rFonts w:hint="eastAsia" w:ascii="Times New Roman" w:hAnsi="Times New Roman" w:eastAsia="Times New Roman"/>
          <w:color w:val="auto"/>
          <w:sz w:val="24"/>
          <w:szCs w:val="24"/>
          <w:highlight w:val="none"/>
        </w:rPr>
      </w:pPr>
      <w:r>
        <w:rPr>
          <w:rFonts w:hint="eastAsia" w:ascii="Times New Roman" w:hAnsi="Times New Roman" w:eastAsia="Times New Roman"/>
          <w:b/>
          <w:color w:val="auto"/>
          <w:sz w:val="32"/>
          <w:szCs w:val="32"/>
          <w:highlight w:val="none"/>
          <w:lang w:bidi="ar"/>
        </w:rPr>
        <w:br w:type="page"/>
      </w:r>
      <w:r>
        <w:rPr>
          <w:rFonts w:hint="eastAsia" w:ascii="Times New Roman"/>
          <w:color w:val="auto"/>
          <w:sz w:val="24"/>
          <w:szCs w:val="24"/>
          <w:highlight w:val="none"/>
        </w:rPr>
        <w:t>附件</w:t>
      </w:r>
      <w:r>
        <w:rPr>
          <w:rFonts w:hint="eastAsia" w:ascii="Times New Roman" w:hAnsi="Times New Roman" w:eastAsia="Times New Roman"/>
          <w:color w:val="auto"/>
          <w:sz w:val="24"/>
          <w:szCs w:val="24"/>
          <w:highlight w:val="none"/>
        </w:rPr>
        <w:t>2</w:t>
      </w:r>
      <w:r>
        <w:rPr>
          <w:rFonts w:hint="eastAsia" w:ascii="Times New Roman"/>
          <w:color w:val="auto"/>
          <w:sz w:val="24"/>
          <w:szCs w:val="24"/>
          <w:highlight w:val="none"/>
        </w:rPr>
        <w:t>：评审选择规则</w:t>
      </w:r>
      <w:r>
        <w:rPr>
          <w:rFonts w:hint="default" w:ascii="Times New Roman" w:eastAsia="黑体"/>
          <w:color w:val="auto"/>
          <w:sz w:val="24"/>
          <w:szCs w:val="24"/>
          <w:highlight w:val="none"/>
          <w:vertAlign w:val="superscript"/>
        </w:rPr>
        <w:footnoteReference w:id="2"/>
      </w:r>
    </w:p>
    <w:p w14:paraId="48238F8E">
      <w:pPr>
        <w:spacing w:beforeLines="0" w:afterLines="0" w:line="460" w:lineRule="exact"/>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评标委员会对投标函文字报价不低于有效值的投标人按照由低到高的顺序确定前</w:t>
      </w:r>
      <w:r>
        <w:rPr>
          <w:rFonts w:hint="eastAsia" w:ascii="Times New Roman" w:eastAsia="Times New Roman"/>
          <w:color w:val="auto"/>
          <w:sz w:val="24"/>
          <w:szCs w:val="24"/>
          <w:highlight w:val="none"/>
          <w:lang w:bidi="ar"/>
        </w:rPr>
        <w:t>5</w:t>
      </w:r>
      <w:r>
        <w:rPr>
          <w:rFonts w:hint="eastAsia" w:ascii="Times New Roman"/>
          <w:color w:val="auto"/>
          <w:sz w:val="24"/>
          <w:szCs w:val="24"/>
          <w:highlight w:val="none"/>
          <w:lang w:bidi="ar"/>
        </w:rPr>
        <w:t>家依次进行商务、报价和技术文件初步评审，如任一环节未通过评审，则按照投标函文字报价由低到高的顺序依次进行递补，直到通过初步评审的投标人满足</w:t>
      </w:r>
      <w:r>
        <w:rPr>
          <w:rFonts w:hint="eastAsia" w:ascii="Times New Roman" w:eastAsia="Times New Roman"/>
          <w:color w:val="auto"/>
          <w:sz w:val="24"/>
          <w:szCs w:val="24"/>
          <w:highlight w:val="none"/>
          <w:lang w:bidi="ar"/>
        </w:rPr>
        <w:t>5</w:t>
      </w:r>
      <w:r>
        <w:rPr>
          <w:rFonts w:hint="eastAsia" w:ascii="Times New Roman"/>
          <w:color w:val="auto"/>
          <w:sz w:val="24"/>
          <w:szCs w:val="24"/>
          <w:highlight w:val="none"/>
          <w:lang w:bidi="ar"/>
        </w:rPr>
        <w:t>家。如按投标函文字报价由低到高的顺序递补，通过初步评审的投标人无法满足</w:t>
      </w:r>
      <w:r>
        <w:rPr>
          <w:rFonts w:hint="eastAsia" w:ascii="Times New Roman" w:eastAsia="Times New Roman"/>
          <w:color w:val="auto"/>
          <w:sz w:val="24"/>
          <w:szCs w:val="24"/>
          <w:highlight w:val="none"/>
          <w:lang w:bidi="ar"/>
        </w:rPr>
        <w:t>5</w:t>
      </w:r>
      <w:r>
        <w:rPr>
          <w:rFonts w:hint="eastAsia" w:ascii="Times New Roman"/>
          <w:color w:val="auto"/>
          <w:sz w:val="24"/>
          <w:szCs w:val="24"/>
          <w:highlight w:val="none"/>
          <w:lang w:bidi="ar"/>
        </w:rPr>
        <w:t>家时，则通过初步评审的投标人全部进入项目经理视频陈述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w:t>
      </w:r>
    </w:p>
    <w:p w14:paraId="0D3B28F4">
      <w:pPr>
        <w:spacing w:beforeLines="0" w:afterLines="0" w:line="460" w:lineRule="exact"/>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拟派项目经理未在规定时间内参与视频陈述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的投标人不进入详细评审环节。当参与项目经理视频陈述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的投标人数量≥</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家，不进行递补</w:t>
      </w:r>
      <w:r>
        <w:rPr>
          <w:rFonts w:hint="eastAsia" w:ascii="Times New Roman" w:eastAsia="Times New Roman"/>
          <w:color w:val="auto"/>
          <w:sz w:val="24"/>
          <w:szCs w:val="24"/>
          <w:highlight w:val="none"/>
          <w:lang w:bidi="ar"/>
        </w:rPr>
        <w:t>,</w:t>
      </w:r>
      <w:r>
        <w:rPr>
          <w:rFonts w:hint="eastAsia" w:ascii="Times New Roman"/>
          <w:color w:val="auto"/>
          <w:sz w:val="24"/>
          <w:szCs w:val="24"/>
          <w:highlight w:val="none"/>
          <w:lang w:bidi="ar"/>
        </w:rPr>
        <w:t>全部进入详细评审环节；当参与项目经理视频陈述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的投标人数量＜</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家，对投标函文字报价不低于有效值的投标人按照由低到高的顺序依次递补，进行商务、报价和技术文件初步评审，直到参与项目经理视频陈述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的投标人数量满足</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家。按照上述程序依次递补后，参与项目经理视频陈述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的投标人数量仍不足</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家，则对投标函文字报价低于有效值的投标人按照由高到低的顺序依次递补，进行商务、报价和技术文件初步评审，直到参与项目经理视频陈述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的投标人满足</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家。如仍不足</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家，评标委员会可否决所有投标。</w:t>
      </w:r>
    </w:p>
    <w:p w14:paraId="738A93AF">
      <w:pPr>
        <w:spacing w:beforeLines="0" w:afterLines="0" w:line="460" w:lineRule="exact"/>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详细评审环节依次进行项目经理视频陈述</w:t>
      </w:r>
      <w:r>
        <w:rPr>
          <w:rFonts w:hint="eastAsia" w:hAnsi="宋体"/>
          <w:color w:val="auto"/>
          <w:kern w:val="1"/>
          <w:sz w:val="24"/>
          <w:szCs w:val="21"/>
          <w:highlight w:val="none"/>
          <w:lang w:bidi="ar"/>
        </w:rPr>
        <w:t>及答辩</w:t>
      </w:r>
      <w:r>
        <w:rPr>
          <w:rFonts w:hint="eastAsia" w:ascii="Times New Roman"/>
          <w:color w:val="auto"/>
          <w:sz w:val="24"/>
          <w:szCs w:val="24"/>
          <w:highlight w:val="none"/>
          <w:lang w:bidi="ar"/>
        </w:rPr>
        <w:t>、施工组织设计及报价评分。</w:t>
      </w:r>
    </w:p>
    <w:p w14:paraId="57FC2AB5">
      <w:pPr>
        <w:spacing w:beforeLines="0" w:afterLines="0" w:line="460" w:lineRule="exact"/>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注：出现报价相同的投标人均占排序，排序先后按照已发签号从小到大的顺序确定。</w:t>
      </w:r>
    </w:p>
    <w:p w14:paraId="66F553D4">
      <w:pPr>
        <w:pStyle w:val="4"/>
        <w:widowControl/>
        <w:spacing w:before="240" w:beforeLines="100" w:after="240" w:afterLines="100" w:line="240" w:lineRule="auto"/>
        <w:jc w:val="center"/>
        <w:rPr>
          <w:rFonts w:hint="eastAsia" w:ascii="Times New Roman" w:hAnsi="Times New Roman" w:eastAsia="Times New Roman"/>
          <w:color w:val="auto"/>
          <w:sz w:val="24"/>
          <w:szCs w:val="24"/>
          <w:highlight w:val="none"/>
        </w:rPr>
      </w:pPr>
      <w:r>
        <w:rPr>
          <w:rFonts w:hint="eastAsia" w:ascii="Times New Roman" w:hAnsi="Times New Roman" w:eastAsia="Times New Roman"/>
          <w:b/>
          <w:color w:val="auto"/>
          <w:sz w:val="32"/>
          <w:szCs w:val="32"/>
          <w:highlight w:val="none"/>
          <w:lang w:bidi="ar"/>
        </w:rPr>
        <w:br w:type="page"/>
      </w:r>
      <w:r>
        <w:rPr>
          <w:rFonts w:hint="eastAsia" w:ascii="Times New Roman"/>
          <w:color w:val="auto"/>
          <w:sz w:val="24"/>
          <w:szCs w:val="24"/>
          <w:highlight w:val="none"/>
        </w:rPr>
        <w:t>附件</w:t>
      </w:r>
      <w:r>
        <w:rPr>
          <w:rFonts w:hint="eastAsia" w:ascii="Times New Roman" w:hAnsi="Times New Roman" w:eastAsia="Times New Roman"/>
          <w:color w:val="auto"/>
          <w:sz w:val="24"/>
          <w:szCs w:val="24"/>
          <w:highlight w:val="none"/>
        </w:rPr>
        <w:t>3</w:t>
      </w:r>
      <w:r>
        <w:rPr>
          <w:rFonts w:hint="eastAsia" w:ascii="Times New Roman"/>
          <w:color w:val="auto"/>
          <w:sz w:val="24"/>
          <w:szCs w:val="24"/>
          <w:highlight w:val="none"/>
        </w:rPr>
        <w:t>：否决投标的其他情形</w:t>
      </w:r>
    </w:p>
    <w:p w14:paraId="5FE3F539">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1.</w:t>
      </w:r>
      <w:r>
        <w:rPr>
          <w:rFonts w:hint="eastAsia" w:ascii="Times New Roman"/>
          <w:color w:val="auto"/>
          <w:sz w:val="24"/>
          <w:szCs w:val="24"/>
          <w:highlight w:val="none"/>
          <w:lang w:bidi="ar"/>
        </w:rPr>
        <w:t>评标委员会应对在评标过程中发现的投标人与投标人之间、投标人与招标人之间存在的串通投标的情形进行评审和认定。投标人存在串通投标、弄虚作假、行贿等违法行为的，评标委员会应否决其投标。</w:t>
      </w:r>
    </w:p>
    <w:p w14:paraId="39046C28">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1</w:t>
      </w:r>
      <w:r>
        <w:rPr>
          <w:rFonts w:hint="eastAsia" w:ascii="Times New Roman"/>
          <w:color w:val="auto"/>
          <w:sz w:val="24"/>
          <w:szCs w:val="24"/>
          <w:highlight w:val="none"/>
          <w:lang w:bidi="ar"/>
        </w:rPr>
        <w:t>）有下列情形之一的，属于投标人相互串通投标：</w:t>
      </w:r>
    </w:p>
    <w:p w14:paraId="64E94264">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①投标人之间协商投标报价等投标文件的实质性内容；</w:t>
      </w:r>
    </w:p>
    <w:p w14:paraId="37ADE534">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②投标人之间约定中标人；</w:t>
      </w:r>
    </w:p>
    <w:p w14:paraId="1E4250A8">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③投标人之间约定部分投标人放弃投标或中标；</w:t>
      </w:r>
    </w:p>
    <w:p w14:paraId="06D6FC7B">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④属于同一集团、协会、商会等组织成员的投标人按照该组织要求协同投标；</w:t>
      </w:r>
    </w:p>
    <w:p w14:paraId="3622C527">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⑤投标人之间为谋取中标或排斥特定投标人而采取的其他联合行动。</w:t>
      </w:r>
    </w:p>
    <w:p w14:paraId="62803DCB">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2</w:t>
      </w:r>
      <w:r>
        <w:rPr>
          <w:rFonts w:hint="eastAsia" w:ascii="Times New Roman"/>
          <w:color w:val="auto"/>
          <w:sz w:val="24"/>
          <w:szCs w:val="24"/>
          <w:highlight w:val="none"/>
          <w:lang w:bidi="ar"/>
        </w:rPr>
        <w:t>）有下列情形之一的，视为投标人相互串通投标：</w:t>
      </w:r>
    </w:p>
    <w:p w14:paraId="782E02B0">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①不同投标人的投标文件由同一单位或个人编制；</w:t>
      </w:r>
    </w:p>
    <w:p w14:paraId="63BC2DD9">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②不同投标人委托同一单位或个人办理投标事宜；</w:t>
      </w:r>
    </w:p>
    <w:p w14:paraId="2890185C">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③不同投标人的投标文件载明的项目管理成员为同一人；</w:t>
      </w:r>
    </w:p>
    <w:p w14:paraId="0C81103B">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④不同投标人的投标文件异常一致或投标报价呈规律性差异；</w:t>
      </w:r>
    </w:p>
    <w:p w14:paraId="371AEC5C">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⑤不同投标人的投标文件相互混装；</w:t>
      </w:r>
    </w:p>
    <w:p w14:paraId="11FF790E">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⑥不同投标人的投标保证金从同一单位或个人的账户转出。</w:t>
      </w:r>
    </w:p>
    <w:p w14:paraId="2190693E">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）有下列情形之一的，属于招标人与投标人串通投标：</w:t>
      </w:r>
    </w:p>
    <w:p w14:paraId="43B85A91">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①招标人在开标前开启投标文件并将有关信息泄露给其他投标人；</w:t>
      </w:r>
    </w:p>
    <w:p w14:paraId="0D1D3AEC">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②招标人直接或间接向投标人泄露标底、评标委员会成员等信息；</w:t>
      </w:r>
    </w:p>
    <w:p w14:paraId="3A96724E">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③招标人明示或暗示投标人压低或抬高投标报价；</w:t>
      </w:r>
    </w:p>
    <w:p w14:paraId="76140E2E">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④招标人授意投标人撤换、修改投标文件；</w:t>
      </w:r>
    </w:p>
    <w:p w14:paraId="6CA088D2">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⑤招标人明示或暗示投标人为特定投标人中标提供方便；</w:t>
      </w:r>
    </w:p>
    <w:p w14:paraId="7386639C">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⑥招标人与投标人为谋求特定投标人中标而采取的其他串通行为。</w:t>
      </w:r>
    </w:p>
    <w:p w14:paraId="6E8733D2">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4</w:t>
      </w:r>
      <w:r>
        <w:rPr>
          <w:rFonts w:hint="eastAsia" w:ascii="Times New Roman"/>
          <w:color w:val="auto"/>
          <w:sz w:val="24"/>
          <w:szCs w:val="24"/>
          <w:highlight w:val="none"/>
          <w:lang w:bidi="ar"/>
        </w:rPr>
        <w:t>）投标人有下列情形之一的，属于弄虚作假的行为：</w:t>
      </w:r>
    </w:p>
    <w:p w14:paraId="350597A0">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①使用通过受让或租借等方式获取的资格、资质证书投标；</w:t>
      </w:r>
    </w:p>
    <w:p w14:paraId="59DAB5D5">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②使用伪造、变造的许可证件；</w:t>
      </w:r>
    </w:p>
    <w:p w14:paraId="4CE02D98">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③提供虚假的财务状况或业绩；</w:t>
      </w:r>
    </w:p>
    <w:p w14:paraId="2B6809E1">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④提供虚假的项目经理或主要技术人员简历、劳动关系证明；</w:t>
      </w:r>
    </w:p>
    <w:p w14:paraId="28A4BA04">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⑤提供虚假的信用状况；</w:t>
      </w:r>
    </w:p>
    <w:p w14:paraId="3FA050D1">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⑥其他弄虚作假的行为。</w:t>
      </w:r>
    </w:p>
    <w:p w14:paraId="7D941E1F">
      <w:pPr>
        <w:pStyle w:val="4"/>
        <w:widowControl/>
        <w:spacing w:before="240" w:beforeLines="100" w:after="240" w:afterLines="100" w:line="240" w:lineRule="auto"/>
        <w:jc w:val="center"/>
        <w:rPr>
          <w:rFonts w:hint="eastAsia" w:ascii="Times New Roman" w:hAnsi="Times New Roman" w:eastAsia="Times New Roman"/>
          <w:color w:val="auto"/>
          <w:sz w:val="24"/>
          <w:szCs w:val="24"/>
          <w:highlight w:val="none"/>
        </w:rPr>
      </w:pPr>
      <w:r>
        <w:rPr>
          <w:rFonts w:hint="eastAsia" w:ascii="Times New Roman" w:hAnsi="Times New Roman" w:eastAsia="Times New Roman"/>
          <w:b/>
          <w:color w:val="auto"/>
          <w:sz w:val="32"/>
          <w:szCs w:val="32"/>
          <w:highlight w:val="none"/>
          <w:lang w:bidi="ar"/>
        </w:rPr>
        <w:br w:type="page"/>
      </w:r>
      <w:r>
        <w:rPr>
          <w:rFonts w:hint="eastAsia" w:ascii="Times New Roman"/>
          <w:color w:val="auto"/>
          <w:sz w:val="24"/>
          <w:szCs w:val="24"/>
          <w:highlight w:val="none"/>
        </w:rPr>
        <w:t>附件</w:t>
      </w:r>
      <w:r>
        <w:rPr>
          <w:rFonts w:hint="eastAsia" w:ascii="Times New Roman" w:hAnsi="Times New Roman" w:eastAsia="Times New Roman"/>
          <w:color w:val="auto"/>
          <w:sz w:val="24"/>
          <w:szCs w:val="24"/>
          <w:highlight w:val="none"/>
        </w:rPr>
        <w:t>4</w:t>
      </w:r>
      <w:r>
        <w:rPr>
          <w:rFonts w:hint="eastAsia" w:ascii="Times New Roman"/>
          <w:color w:val="auto"/>
          <w:sz w:val="24"/>
          <w:szCs w:val="24"/>
          <w:highlight w:val="none"/>
        </w:rPr>
        <w:t>：异常低价评审</w:t>
      </w:r>
    </w:p>
    <w:p w14:paraId="05999686">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异常低价评审具体要求如下：</w:t>
      </w:r>
    </w:p>
    <w:p w14:paraId="47F45AE2">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1</w:t>
      </w:r>
      <w:r>
        <w:rPr>
          <w:rFonts w:hint="eastAsia" w:ascii="Times New Roman"/>
          <w:color w:val="auto"/>
          <w:sz w:val="24"/>
          <w:szCs w:val="24"/>
          <w:highlight w:val="none"/>
          <w:lang w:bidi="ar"/>
        </w:rPr>
        <w:t>）评审要求：投标人投标总报价低于最高投标限价的异常低价规定指标（见评标办法前附表）的，评标委员会将进行异常低价评审。</w:t>
      </w:r>
    </w:p>
    <w:p w14:paraId="7A698573">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2</w:t>
      </w:r>
      <w:r>
        <w:rPr>
          <w:rFonts w:hint="eastAsia" w:ascii="Times New Roman"/>
          <w:color w:val="auto"/>
          <w:sz w:val="24"/>
          <w:szCs w:val="24"/>
          <w:highlight w:val="none"/>
          <w:lang w:bidi="ar"/>
        </w:rPr>
        <w:t>）证明材料要求：投标人填报的单位工程投标报价金额低于该招标项目最高投标限价（控制价）中对应单位工程最高投标限价金额规定比例（见评标办法前附表异常低价规定指标）的，对该单位工程投标报价进行异常低价评审；投标人须在投标文件报价文件中作出澄清或者说明，并提供降低工程造价的相关证明材料（不限于在人工、材料、机械消耗量、价格、施工措施、方案及其他方面）；同时提供关于合同履行能力及工程质量安全控制的承诺。</w:t>
      </w:r>
    </w:p>
    <w:p w14:paraId="751D157B">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）以下情形不得作为异常低价投标说明的依据：</w:t>
      </w:r>
    </w:p>
    <w:p w14:paraId="0F13F516">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①机械、材料自有或闲置；</w:t>
      </w:r>
    </w:p>
    <w:p w14:paraId="30A0C0C4">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②自有弃土场土源或与邻近项目签订的土方倒运协议；</w:t>
      </w:r>
    </w:p>
    <w:p w14:paraId="4F2E88A5">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③人员闲置；</w:t>
      </w:r>
    </w:p>
    <w:p w14:paraId="76E3857C">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④亏本让利；</w:t>
      </w:r>
    </w:p>
    <w:p w14:paraId="49054FE7">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⑤企业市场拓展或品牌宣传；</w:t>
      </w:r>
    </w:p>
    <w:p w14:paraId="46AACB89">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⑥降低或改变原设计方案、技术工艺、施工标准的；</w:t>
      </w:r>
    </w:p>
    <w:p w14:paraId="299CA130">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⑦类似项目业绩；</w:t>
      </w:r>
    </w:p>
    <w:p w14:paraId="4B94E5A5">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⑧评标委员会认为不得作为降低投标报价依据的情形。</w:t>
      </w:r>
    </w:p>
    <w:p w14:paraId="52F9B8F4">
      <w:pPr>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4</w:t>
      </w:r>
      <w:r>
        <w:rPr>
          <w:rFonts w:hint="eastAsia" w:ascii="Times New Roman"/>
          <w:color w:val="auto"/>
          <w:sz w:val="24"/>
          <w:szCs w:val="24"/>
          <w:highlight w:val="none"/>
          <w:lang w:bidi="ar"/>
        </w:rPr>
        <w:t>）评审标准：评标委员会对通过评审的异常低价中标候选人合同履行能力及工程质量安全等风险进行全面评估，并作为评标结果的附件提交给招标人。投标人在投标文件中未作出有效澄清、说明或评标委员会认定（按照少数服从多数的原则）其存在履约及质量安全风险的，评标委员会应否决其投标，不推荐其为中标候选人。</w:t>
      </w:r>
    </w:p>
    <w:p w14:paraId="3C47AEF3">
      <w:pPr>
        <w:pStyle w:val="4"/>
        <w:spacing w:before="240" w:beforeLines="100" w:after="240" w:afterLines="100" w:line="240" w:lineRule="auto"/>
        <w:jc w:val="center"/>
        <w:rPr>
          <w:rFonts w:hint="eastAsia" w:ascii="Times New Roman" w:hAnsi="Times New Roman" w:eastAsia="Times New Roman"/>
          <w:color w:val="auto"/>
          <w:sz w:val="24"/>
          <w:szCs w:val="24"/>
          <w:highlight w:val="none"/>
        </w:rPr>
      </w:pPr>
      <w:r>
        <w:rPr>
          <w:rFonts w:hint="eastAsia" w:ascii="Times New Roman" w:hAnsi="Times New Roman"/>
          <w:color w:val="auto"/>
          <w:sz w:val="24"/>
          <w:szCs w:val="24"/>
          <w:highlight w:val="none"/>
        </w:rPr>
        <w:br w:type="page"/>
      </w:r>
      <w:r>
        <w:rPr>
          <w:rFonts w:hint="eastAsia" w:ascii="Times New Roman" w:hAnsi="Times New Roman"/>
          <w:color w:val="auto"/>
          <w:sz w:val="24"/>
          <w:szCs w:val="24"/>
          <w:highlight w:val="none"/>
        </w:rPr>
        <w:t>附件5：视频陈述操作手册</w:t>
      </w:r>
      <w:r>
        <w:rPr>
          <w:rFonts w:hint="default" w:ascii="Times New Roman" w:hAnsi="黑体" w:eastAsia="黑体"/>
          <w:color w:val="auto"/>
          <w:sz w:val="24"/>
          <w:szCs w:val="24"/>
          <w:highlight w:val="none"/>
          <w:vertAlign w:val="superscript"/>
        </w:rPr>
        <w:footnoteReference w:id="3"/>
      </w:r>
    </w:p>
    <w:p w14:paraId="10F0825E">
      <w:pPr>
        <w:keepNext w:val="0"/>
        <w:keepLines w:val="0"/>
        <w:widowControl w:val="0"/>
        <w:suppressLineNumbers w:val="0"/>
        <w:spacing w:before="0" w:beforeAutospacing="0" w:after="0" w:afterAutospacing="0"/>
        <w:ind w:left="0" w:right="0"/>
        <w:jc w:val="center"/>
        <w:outlineLvl w:val="0"/>
        <w:rPr>
          <w:rFonts w:hAnsi="宋体"/>
          <w:b/>
          <w:bCs w:val="0"/>
          <w:color w:val="auto"/>
          <w:sz w:val="48"/>
          <w:szCs w:val="36"/>
          <w:highlight w:val="none"/>
          <w:lang w:val="en-US"/>
        </w:rPr>
      </w:pPr>
      <w:bookmarkStart w:id="328" w:name="_Toc21210"/>
      <w:bookmarkStart w:id="329" w:name="_Toc26866"/>
      <w:bookmarkStart w:id="330" w:name="_Toc24964"/>
      <w:bookmarkStart w:id="331" w:name="_Toc11585"/>
      <w:r>
        <w:rPr>
          <w:rFonts w:hint="eastAsia" w:ascii="宋体" w:hAnsi="宋体" w:eastAsia="宋体" w:cs="Times New Roman"/>
          <w:b/>
          <w:bCs w:val="0"/>
          <w:color w:val="auto"/>
          <w:kern w:val="0"/>
          <w:sz w:val="48"/>
          <w:szCs w:val="36"/>
          <w:highlight w:val="none"/>
          <w:lang w:val="en-US" w:eastAsia="zh-CN" w:bidi="ar"/>
        </w:rPr>
        <w:t>安徽合肥公共资源交易中心</w:t>
      </w:r>
      <w:bookmarkEnd w:id="328"/>
      <w:bookmarkEnd w:id="329"/>
      <w:bookmarkEnd w:id="330"/>
      <w:bookmarkEnd w:id="331"/>
    </w:p>
    <w:p w14:paraId="1E734844">
      <w:pPr>
        <w:keepNext w:val="0"/>
        <w:keepLines w:val="0"/>
        <w:widowControl w:val="0"/>
        <w:suppressLineNumbers w:val="0"/>
        <w:spacing w:before="0" w:beforeAutospacing="0" w:after="0" w:afterAutospacing="0"/>
        <w:ind w:left="0" w:right="0"/>
        <w:jc w:val="center"/>
        <w:rPr>
          <w:rFonts w:hAnsi="宋体"/>
          <w:b/>
          <w:bCs w:val="0"/>
          <w:color w:val="auto"/>
          <w:sz w:val="48"/>
          <w:szCs w:val="36"/>
          <w:highlight w:val="none"/>
          <w:lang w:val="en-US"/>
        </w:rPr>
      </w:pPr>
      <w:r>
        <w:rPr>
          <w:rFonts w:hint="eastAsia" w:ascii="宋体" w:hAnsi="宋体" w:eastAsia="宋体" w:cs="Times New Roman"/>
          <w:b/>
          <w:bCs w:val="0"/>
          <w:color w:val="auto"/>
          <w:kern w:val="0"/>
          <w:sz w:val="48"/>
          <w:szCs w:val="36"/>
          <w:highlight w:val="none"/>
          <w:lang w:val="en-US" w:eastAsia="zh-CN" w:bidi="ar"/>
        </w:rPr>
        <w:t>项目经理视频陈述操作手册</w:t>
      </w:r>
    </w:p>
    <w:p w14:paraId="71C0308C">
      <w:pPr>
        <w:keepNext w:val="0"/>
        <w:keepLines w:val="0"/>
        <w:widowControl w:val="0"/>
        <w:suppressLineNumbers w:val="0"/>
        <w:spacing w:before="0" w:beforeAutospacing="0" w:after="0" w:afterAutospacing="0"/>
        <w:ind w:left="0" w:right="0"/>
        <w:jc w:val="center"/>
        <w:rPr>
          <w:color w:val="auto"/>
          <w:highlight w:val="none"/>
          <w:lang w:val="en-US"/>
        </w:rPr>
      </w:pPr>
    </w:p>
    <w:p w14:paraId="24C12E66">
      <w:pPr>
        <w:keepNext w:val="0"/>
        <w:keepLines w:val="0"/>
        <w:widowControl w:val="0"/>
        <w:suppressLineNumbers w:val="0"/>
        <w:spacing w:before="0" w:beforeAutospacing="0" w:after="0" w:afterAutospacing="0"/>
        <w:ind w:left="0" w:right="0"/>
        <w:jc w:val="center"/>
        <w:rPr>
          <w:color w:val="auto"/>
          <w:highlight w:val="none"/>
          <w:lang w:val="en-US"/>
        </w:rPr>
      </w:pPr>
      <w:r>
        <w:rPr>
          <w:color w:val="auto"/>
          <w:highlight w:val="none"/>
        </w:rPr>
        <w:drawing>
          <wp:inline distT="0" distB="0" distL="114300" distR="114300">
            <wp:extent cx="5263515" cy="2738755"/>
            <wp:effectExtent l="0" t="0" r="9525" b="44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8"/>
                    <a:stretch>
                      <a:fillRect/>
                    </a:stretch>
                  </pic:blipFill>
                  <pic:spPr>
                    <a:xfrm>
                      <a:off x="0" y="0"/>
                      <a:ext cx="5263515" cy="2738755"/>
                    </a:xfrm>
                    <a:prstGeom prst="rect">
                      <a:avLst/>
                    </a:prstGeom>
                    <a:noFill/>
                    <a:ln>
                      <a:noFill/>
                    </a:ln>
                  </pic:spPr>
                </pic:pic>
              </a:graphicData>
            </a:graphic>
          </wp:inline>
        </w:drawing>
      </w:r>
    </w:p>
    <w:p w14:paraId="1D14902E">
      <w:pPr>
        <w:keepNext w:val="0"/>
        <w:keepLines w:val="0"/>
        <w:widowControl w:val="0"/>
        <w:suppressLineNumbers w:val="0"/>
        <w:spacing w:before="0" w:beforeAutospacing="0" w:after="0" w:afterAutospacing="0"/>
        <w:ind w:left="0" w:right="0"/>
        <w:jc w:val="center"/>
        <w:rPr>
          <w:color w:val="auto"/>
          <w:highlight w:val="none"/>
          <w:lang w:val="en-US"/>
        </w:rPr>
      </w:pPr>
    </w:p>
    <w:p w14:paraId="5B25D300">
      <w:pPr>
        <w:keepNext w:val="0"/>
        <w:keepLines w:val="0"/>
        <w:widowControl w:val="0"/>
        <w:suppressLineNumbers w:val="0"/>
        <w:spacing w:before="0" w:beforeAutospacing="0" w:after="0" w:afterAutospacing="0" w:line="360" w:lineRule="auto"/>
        <w:ind w:left="0" w:right="0" w:firstLine="482" w:firstLineChars="200"/>
        <w:jc w:val="both"/>
        <w:rPr>
          <w:rFonts w:hint="eastAsia" w:ascii="Times New Roman" w:hAnsi="Times New Roman" w:eastAsia="宋体" w:cs="Times New Roman"/>
          <w:b/>
          <w:bCs/>
          <w:color w:val="auto"/>
          <w:kern w:val="0"/>
          <w:sz w:val="24"/>
          <w:szCs w:val="24"/>
          <w:highlight w:val="none"/>
          <w:lang w:val="en-US" w:eastAsia="zh-CN" w:bidi="ar"/>
        </w:rPr>
      </w:pPr>
    </w:p>
    <w:p w14:paraId="6C1D675F">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《新版交易系统操作帮助（投标人端）》请在新版交易系统登录页面https://jyxt.hfztb.cn/sso/查看</w:t>
      </w:r>
    </w:p>
    <w:p w14:paraId="0848CC78">
      <w:pPr>
        <w:spacing w:beforeLines="0" w:afterLines="0"/>
        <w:jc w:val="center"/>
        <w:rPr>
          <w:rFonts w:hint="eastAsia"/>
          <w:color w:val="auto"/>
          <w:sz w:val="24"/>
          <w:szCs w:val="24"/>
          <w:highlight w:val="none"/>
        </w:rPr>
      </w:pPr>
    </w:p>
    <w:p w14:paraId="4D502882">
      <w:pPr>
        <w:spacing w:beforeLines="0" w:afterLines="0"/>
        <w:jc w:val="center"/>
        <w:rPr>
          <w:rFonts w:hint="eastAsia"/>
          <w:color w:val="auto"/>
          <w:sz w:val="24"/>
          <w:szCs w:val="24"/>
          <w:highlight w:val="none"/>
        </w:rPr>
      </w:pPr>
    </w:p>
    <w:p w14:paraId="56CC48C8">
      <w:pPr>
        <w:spacing w:beforeLines="0" w:afterLines="0"/>
        <w:jc w:val="center"/>
        <w:rPr>
          <w:rFonts w:hint="eastAsia"/>
          <w:color w:val="auto"/>
          <w:sz w:val="24"/>
          <w:szCs w:val="24"/>
          <w:highlight w:val="none"/>
        </w:rPr>
      </w:pPr>
    </w:p>
    <w:p w14:paraId="30E9C8DF">
      <w:pPr>
        <w:spacing w:beforeLines="0" w:afterLines="0"/>
        <w:jc w:val="center"/>
        <w:rPr>
          <w:rFonts w:hint="eastAsia"/>
          <w:color w:val="auto"/>
          <w:sz w:val="24"/>
          <w:szCs w:val="24"/>
          <w:highlight w:val="none"/>
        </w:rPr>
      </w:pPr>
    </w:p>
    <w:p w14:paraId="65CB880A">
      <w:pPr>
        <w:spacing w:beforeLines="0" w:afterLines="0"/>
        <w:jc w:val="center"/>
        <w:rPr>
          <w:rFonts w:hint="eastAsia"/>
          <w:color w:val="auto"/>
          <w:sz w:val="24"/>
          <w:szCs w:val="24"/>
          <w:highlight w:val="none"/>
        </w:rPr>
      </w:pPr>
    </w:p>
    <w:p w14:paraId="4E9BB167">
      <w:pPr>
        <w:spacing w:beforeLines="0" w:afterLines="0"/>
        <w:jc w:val="center"/>
        <w:rPr>
          <w:rFonts w:hint="eastAsia"/>
          <w:color w:val="auto"/>
          <w:sz w:val="24"/>
          <w:szCs w:val="24"/>
          <w:highlight w:val="none"/>
        </w:rPr>
      </w:pPr>
    </w:p>
    <w:p w14:paraId="0AED3F06">
      <w:pPr>
        <w:spacing w:beforeLines="0" w:afterLines="0"/>
        <w:jc w:val="center"/>
        <w:rPr>
          <w:rFonts w:hint="eastAsia"/>
          <w:color w:val="auto"/>
          <w:sz w:val="24"/>
          <w:szCs w:val="24"/>
          <w:highlight w:val="none"/>
        </w:rPr>
      </w:pPr>
    </w:p>
    <w:p w14:paraId="7C8FDCEA">
      <w:pPr>
        <w:spacing w:beforeLines="0" w:afterLines="0"/>
        <w:jc w:val="center"/>
        <w:rPr>
          <w:rFonts w:hint="eastAsia"/>
          <w:color w:val="auto"/>
          <w:sz w:val="24"/>
          <w:szCs w:val="24"/>
          <w:highlight w:val="none"/>
        </w:rPr>
      </w:pPr>
    </w:p>
    <w:p w14:paraId="6C44020B">
      <w:pPr>
        <w:spacing w:beforeLines="0" w:afterLines="0"/>
        <w:jc w:val="center"/>
        <w:rPr>
          <w:rFonts w:hint="eastAsia"/>
          <w:color w:val="auto"/>
          <w:sz w:val="24"/>
          <w:szCs w:val="24"/>
          <w:highlight w:val="none"/>
        </w:rPr>
      </w:pPr>
    </w:p>
    <w:p w14:paraId="16965171">
      <w:pPr>
        <w:spacing w:beforeLines="0" w:afterLines="0"/>
        <w:jc w:val="center"/>
        <w:rPr>
          <w:rFonts w:hint="eastAsia"/>
          <w:color w:val="auto"/>
          <w:sz w:val="24"/>
          <w:szCs w:val="24"/>
          <w:highlight w:val="none"/>
        </w:rPr>
      </w:pPr>
    </w:p>
    <w:p w14:paraId="794DC82D">
      <w:pPr>
        <w:spacing w:beforeLines="0" w:afterLines="0"/>
        <w:jc w:val="center"/>
        <w:rPr>
          <w:rFonts w:hint="eastAsia"/>
          <w:color w:val="auto"/>
          <w:sz w:val="24"/>
          <w:szCs w:val="24"/>
          <w:highlight w:val="none"/>
        </w:rPr>
      </w:pPr>
    </w:p>
    <w:p w14:paraId="044B6B0B">
      <w:pPr>
        <w:spacing w:beforeLines="0" w:afterLines="0"/>
        <w:jc w:val="center"/>
        <w:rPr>
          <w:rFonts w:hint="eastAsia"/>
          <w:color w:val="auto"/>
          <w:sz w:val="24"/>
          <w:szCs w:val="24"/>
          <w:highlight w:val="none"/>
        </w:rPr>
      </w:pPr>
    </w:p>
    <w:p w14:paraId="28B19D80">
      <w:pPr>
        <w:spacing w:beforeLines="0" w:afterLines="0"/>
        <w:jc w:val="center"/>
        <w:rPr>
          <w:rFonts w:hint="eastAsia"/>
          <w:color w:val="auto"/>
          <w:sz w:val="24"/>
          <w:szCs w:val="24"/>
          <w:highlight w:val="none"/>
        </w:rPr>
      </w:pPr>
    </w:p>
    <w:p w14:paraId="3C09F6B1">
      <w:pPr>
        <w:pStyle w:val="3"/>
        <w:widowControl/>
        <w:spacing w:before="240" w:beforeLines="100" w:after="240" w:afterLines="100" w:line="240" w:lineRule="auto"/>
        <w:rPr>
          <w:rFonts w:hint="eastAsia" w:ascii="Times New Roman" w:hAnsi="Times New Roman" w:eastAsia="Times New Roman"/>
          <w:b w:val="0"/>
          <w:color w:val="auto"/>
          <w:sz w:val="32"/>
          <w:szCs w:val="32"/>
          <w:highlight w:val="none"/>
        </w:rPr>
      </w:pPr>
      <w:r>
        <w:rPr>
          <w:rFonts w:hint="eastAsia" w:ascii="Times New Roman" w:hAnsi="Times New Roman" w:eastAsia="黑体"/>
          <w:b w:val="0"/>
          <w:color w:val="auto"/>
          <w:sz w:val="32"/>
          <w:szCs w:val="32"/>
          <w:highlight w:val="none"/>
        </w:rPr>
        <w:br w:type="page"/>
      </w:r>
      <w:bookmarkStart w:id="332" w:name="_Toc130919107"/>
      <w:bookmarkStart w:id="333" w:name="_Toc28380"/>
      <w:r>
        <w:rPr>
          <w:rFonts w:hint="eastAsia" w:ascii="Times New Roman" w:hAnsi="Times New Roman" w:eastAsia="Times New Roman"/>
          <w:b w:val="0"/>
          <w:color w:val="auto"/>
          <w:sz w:val="32"/>
          <w:szCs w:val="32"/>
          <w:highlight w:val="none"/>
        </w:rPr>
        <w:t xml:space="preserve">1. </w:t>
      </w:r>
      <w:r>
        <w:rPr>
          <w:rFonts w:hint="eastAsia" w:ascii="Times New Roman" w:hAnsi="Times New Roman" w:eastAsia="黑体" w:cs="黑体"/>
          <w:b w:val="0"/>
          <w:color w:val="auto"/>
          <w:sz w:val="32"/>
          <w:szCs w:val="32"/>
          <w:highlight w:val="none"/>
        </w:rPr>
        <w:t>评标方法</w:t>
      </w:r>
      <w:bookmarkEnd w:id="332"/>
      <w:bookmarkEnd w:id="333"/>
    </w:p>
    <w:p w14:paraId="61E92D55">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1.1 </w:t>
      </w:r>
      <w:r>
        <w:rPr>
          <w:rFonts w:hint="eastAsia" w:ascii="Times New Roman"/>
          <w:color w:val="auto"/>
          <w:sz w:val="24"/>
          <w:szCs w:val="20"/>
          <w:highlight w:val="none"/>
          <w:lang w:bidi="ar"/>
        </w:rPr>
        <w:t>本次评标采用动态合理价格法</w:t>
      </w:r>
      <w:r>
        <w:rPr>
          <w:rFonts w:hint="eastAsia" w:ascii="Times New Roman" w:eastAsia="Times New Roman"/>
          <w:color w:val="auto"/>
          <w:sz w:val="24"/>
          <w:szCs w:val="20"/>
          <w:highlight w:val="none"/>
          <w:lang w:bidi="ar"/>
        </w:rPr>
        <w:t>I</w:t>
      </w:r>
      <w:r>
        <w:rPr>
          <w:rFonts w:hint="eastAsia" w:ascii="Times New Roman"/>
          <w:color w:val="auto"/>
          <w:sz w:val="24"/>
          <w:szCs w:val="20"/>
          <w:highlight w:val="none"/>
          <w:lang w:bidi="ar"/>
        </w:rPr>
        <w:t>。</w:t>
      </w:r>
    </w:p>
    <w:p w14:paraId="082E1692">
      <w:pPr>
        <w:snapToGrid w:val="0"/>
        <w:spacing w:beforeLines="0" w:afterLines="0" w:line="360" w:lineRule="auto"/>
        <w:ind w:firstLine="480" w:firstLineChars="200"/>
        <w:rPr>
          <w:rFonts w:hint="eastAsia" w:ascii="Times New Roman" w:eastAsia="Times New Roman" w:cs="宋体"/>
          <w:color w:val="auto"/>
          <w:sz w:val="24"/>
          <w:szCs w:val="24"/>
          <w:highlight w:val="none"/>
        </w:rPr>
      </w:pPr>
      <w:r>
        <w:rPr>
          <w:rFonts w:hint="eastAsia" w:ascii="Times New Roman" w:eastAsia="Times New Roman" w:cs="宋体"/>
          <w:color w:val="auto"/>
          <w:sz w:val="24"/>
          <w:szCs w:val="20"/>
          <w:highlight w:val="none"/>
          <w:lang w:bidi="ar"/>
        </w:rPr>
        <w:t xml:space="preserve">1.2 </w:t>
      </w:r>
      <w:r>
        <w:rPr>
          <w:rFonts w:hint="eastAsia" w:ascii="Times New Roman" w:cs="宋体"/>
          <w:color w:val="auto"/>
          <w:sz w:val="24"/>
          <w:szCs w:val="20"/>
          <w:highlight w:val="none"/>
          <w:lang w:bidi="ar"/>
        </w:rPr>
        <w:t>评标委员会对符合招标文件初步筛查要求并纳入有效值计算范围的投标函文字报价进行有效值计算，对不低于有效值的投标函文字报价按照由低到高顺序依次进行商务文件初步评审、报价文件初步评审及技术文件初步评审并选择规定数量评审通过的投标人进行项目经理视频陈述</w:t>
      </w:r>
      <w:r>
        <w:rPr>
          <w:rFonts w:hint="eastAsia" w:ascii="Times New Roman"/>
          <w:color w:val="auto"/>
          <w:sz w:val="24"/>
          <w:szCs w:val="20"/>
          <w:highlight w:val="none"/>
          <w:lang w:bidi="ar"/>
        </w:rPr>
        <w:t>及答辩</w:t>
      </w:r>
      <w:r>
        <w:rPr>
          <w:rFonts w:hint="eastAsia" w:ascii="Times New Roman" w:cs="宋体"/>
          <w:color w:val="auto"/>
          <w:sz w:val="24"/>
          <w:szCs w:val="20"/>
          <w:highlight w:val="none"/>
          <w:lang w:bidi="ar"/>
        </w:rPr>
        <w:t>。</w:t>
      </w:r>
    </w:p>
    <w:p w14:paraId="3914A0F6">
      <w:pPr>
        <w:snapToGrid w:val="0"/>
        <w:spacing w:beforeLines="0" w:afterLines="0" w:line="360" w:lineRule="auto"/>
        <w:ind w:firstLine="480" w:firstLineChars="200"/>
        <w:rPr>
          <w:rFonts w:hint="eastAsia" w:ascii="Times New Roman" w:eastAsia="Times New Roman" w:cs="宋体"/>
          <w:color w:val="auto"/>
          <w:sz w:val="24"/>
          <w:szCs w:val="24"/>
          <w:highlight w:val="none"/>
        </w:rPr>
      </w:pPr>
      <w:r>
        <w:rPr>
          <w:rFonts w:hint="eastAsia" w:ascii="Times New Roman" w:cs="宋体"/>
          <w:color w:val="auto"/>
          <w:sz w:val="24"/>
          <w:szCs w:val="20"/>
          <w:highlight w:val="none"/>
          <w:lang w:bidi="ar"/>
        </w:rPr>
        <w:t>按照上述规定顺序依次进行评审，参与项目经理视频陈述</w:t>
      </w:r>
      <w:r>
        <w:rPr>
          <w:rFonts w:hint="eastAsia" w:ascii="Times New Roman"/>
          <w:color w:val="auto"/>
          <w:sz w:val="24"/>
          <w:szCs w:val="20"/>
          <w:highlight w:val="none"/>
          <w:lang w:bidi="ar"/>
        </w:rPr>
        <w:t>及答辩</w:t>
      </w:r>
      <w:r>
        <w:rPr>
          <w:rFonts w:hint="eastAsia" w:ascii="Times New Roman" w:cs="宋体"/>
          <w:color w:val="auto"/>
          <w:sz w:val="24"/>
          <w:szCs w:val="20"/>
          <w:highlight w:val="none"/>
          <w:lang w:bidi="ar"/>
        </w:rPr>
        <w:t>的投标人不足规定数量时，则对报价不低于有效值的投标人按照报价由低到高的顺序依次进行递补并按照评标程序进行评审，直至参与项目经理视频陈述</w:t>
      </w:r>
      <w:r>
        <w:rPr>
          <w:rFonts w:hint="eastAsia" w:ascii="Times New Roman"/>
          <w:color w:val="auto"/>
          <w:sz w:val="24"/>
          <w:szCs w:val="20"/>
          <w:highlight w:val="none"/>
          <w:lang w:bidi="ar"/>
        </w:rPr>
        <w:t>及答辩</w:t>
      </w:r>
      <w:r>
        <w:rPr>
          <w:rFonts w:hint="eastAsia" w:ascii="Times New Roman" w:cs="宋体"/>
          <w:color w:val="auto"/>
          <w:sz w:val="24"/>
          <w:szCs w:val="20"/>
          <w:highlight w:val="none"/>
          <w:lang w:bidi="ar"/>
        </w:rPr>
        <w:t>的投标人数量满足要求；如参与项目经理视频陈述</w:t>
      </w:r>
      <w:r>
        <w:rPr>
          <w:rFonts w:hint="eastAsia" w:ascii="Times New Roman"/>
          <w:color w:val="auto"/>
          <w:sz w:val="24"/>
          <w:szCs w:val="20"/>
          <w:highlight w:val="none"/>
          <w:lang w:bidi="ar"/>
        </w:rPr>
        <w:t>及答辩</w:t>
      </w:r>
      <w:r>
        <w:rPr>
          <w:rFonts w:hint="eastAsia" w:ascii="Times New Roman" w:cs="宋体"/>
          <w:color w:val="auto"/>
          <w:sz w:val="24"/>
          <w:szCs w:val="20"/>
          <w:highlight w:val="none"/>
          <w:lang w:bidi="ar"/>
        </w:rPr>
        <w:t>的投标人数量仍无法满足要求，则对报价低于有效值的投标人按照报价由高到低的顺序依次进行递补并按照评标程序进行评审，直至参与项目经理视频陈述</w:t>
      </w:r>
      <w:r>
        <w:rPr>
          <w:rFonts w:hint="eastAsia" w:ascii="Times New Roman"/>
          <w:color w:val="auto"/>
          <w:sz w:val="24"/>
          <w:szCs w:val="20"/>
          <w:highlight w:val="none"/>
          <w:lang w:bidi="ar"/>
        </w:rPr>
        <w:t>及答辩</w:t>
      </w:r>
      <w:r>
        <w:rPr>
          <w:rFonts w:hint="eastAsia" w:ascii="Times New Roman" w:cs="宋体"/>
          <w:color w:val="auto"/>
          <w:sz w:val="24"/>
          <w:szCs w:val="20"/>
          <w:highlight w:val="none"/>
          <w:lang w:bidi="ar"/>
        </w:rPr>
        <w:t>的投标人数量满足要求，否则评标委员会可否决所有投标。</w:t>
      </w:r>
    </w:p>
    <w:p w14:paraId="60F03F5D">
      <w:pPr>
        <w:snapToGrid w:val="0"/>
        <w:spacing w:beforeLines="0" w:afterLines="0" w:line="360" w:lineRule="auto"/>
        <w:ind w:firstLine="480" w:firstLineChars="200"/>
        <w:rPr>
          <w:rFonts w:hint="eastAsia" w:ascii="Times New Roman" w:eastAsia="Times New Roman" w:cs="宋体"/>
          <w:color w:val="auto"/>
          <w:sz w:val="24"/>
          <w:szCs w:val="24"/>
          <w:highlight w:val="none"/>
        </w:rPr>
      </w:pPr>
      <w:r>
        <w:rPr>
          <w:rFonts w:hint="eastAsia" w:ascii="Times New Roman" w:cs="宋体"/>
          <w:color w:val="auto"/>
          <w:sz w:val="24"/>
          <w:szCs w:val="20"/>
          <w:highlight w:val="none"/>
          <w:lang w:bidi="ar"/>
        </w:rPr>
        <w:t>评标委员会对在规定时间内进行项目经理视频陈述</w:t>
      </w:r>
      <w:r>
        <w:rPr>
          <w:rFonts w:hint="eastAsia" w:ascii="Times New Roman"/>
          <w:color w:val="auto"/>
          <w:sz w:val="24"/>
          <w:szCs w:val="20"/>
          <w:highlight w:val="none"/>
          <w:lang w:bidi="ar"/>
        </w:rPr>
        <w:t>及答辩</w:t>
      </w:r>
      <w:r>
        <w:rPr>
          <w:rFonts w:hint="eastAsia" w:ascii="Times New Roman" w:cs="宋体"/>
          <w:color w:val="auto"/>
          <w:sz w:val="24"/>
          <w:szCs w:val="20"/>
          <w:highlight w:val="none"/>
          <w:lang w:bidi="ar"/>
        </w:rPr>
        <w:t>的投标人进行详细评审，计算得出最终总得分。</w:t>
      </w:r>
    </w:p>
    <w:p w14:paraId="5A395562">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1.3 </w:t>
      </w:r>
      <w:r>
        <w:rPr>
          <w:rFonts w:hint="eastAsia" w:ascii="Times New Roman"/>
          <w:color w:val="auto"/>
          <w:sz w:val="24"/>
          <w:szCs w:val="24"/>
          <w:highlight w:val="none"/>
          <w:lang w:bidi="ar"/>
        </w:rPr>
        <w:t>评标委员会按照最终总得分由高到低顺序推荐中标候选人，</w:t>
      </w:r>
      <w:r>
        <w:rPr>
          <w:rFonts w:hint="eastAsia" w:ascii="Times New Roman" w:cs="宋体"/>
          <w:color w:val="auto"/>
          <w:sz w:val="24"/>
          <w:szCs w:val="24"/>
          <w:highlight w:val="none"/>
          <w:lang w:bidi="ar"/>
        </w:rPr>
        <w:t>最终总得分相等时，</w:t>
      </w:r>
      <w:r>
        <w:rPr>
          <w:rFonts w:hint="eastAsia" w:ascii="Times New Roman"/>
          <w:color w:val="auto"/>
          <w:sz w:val="24"/>
          <w:szCs w:val="24"/>
          <w:highlight w:val="none"/>
          <w:lang w:bidi="ar"/>
        </w:rPr>
        <w:t>中标候选人排序方法见评标办法前附表；或根据招标人授权直接确定中标人。不得推荐为中标候选人、确定为中标人的情形见本章第</w:t>
      </w:r>
      <w:r>
        <w:rPr>
          <w:rFonts w:hint="eastAsia" w:ascii="Times New Roman" w:eastAsia="Times New Roman"/>
          <w:color w:val="auto"/>
          <w:sz w:val="24"/>
          <w:szCs w:val="24"/>
          <w:highlight w:val="none"/>
          <w:lang w:bidi="ar"/>
        </w:rPr>
        <w:t>3.7</w:t>
      </w:r>
      <w:r>
        <w:rPr>
          <w:rFonts w:hint="eastAsia" w:ascii="Times New Roman"/>
          <w:color w:val="auto"/>
          <w:sz w:val="24"/>
          <w:szCs w:val="24"/>
          <w:highlight w:val="none"/>
          <w:lang w:bidi="ar"/>
        </w:rPr>
        <w:t>款、第</w:t>
      </w:r>
      <w:r>
        <w:rPr>
          <w:rFonts w:hint="eastAsia" w:ascii="Times New Roman" w:eastAsia="Times New Roman"/>
          <w:color w:val="auto"/>
          <w:sz w:val="24"/>
          <w:szCs w:val="24"/>
          <w:highlight w:val="none"/>
          <w:lang w:bidi="ar"/>
        </w:rPr>
        <w:t>3.8.1</w:t>
      </w:r>
      <w:r>
        <w:rPr>
          <w:rFonts w:hint="eastAsia" w:ascii="Times New Roman"/>
          <w:color w:val="auto"/>
          <w:sz w:val="24"/>
          <w:szCs w:val="24"/>
          <w:highlight w:val="none"/>
          <w:lang w:bidi="ar"/>
        </w:rPr>
        <w:t>项。</w:t>
      </w:r>
    </w:p>
    <w:p w14:paraId="08C16212">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1.4 </w:t>
      </w:r>
      <w:r>
        <w:rPr>
          <w:rFonts w:hint="eastAsia" w:ascii="Times New Roman"/>
          <w:color w:val="auto"/>
          <w:sz w:val="24"/>
          <w:szCs w:val="24"/>
          <w:highlight w:val="none"/>
          <w:lang w:bidi="ar"/>
        </w:rPr>
        <w:t>本次推荐中标候选人的先后顺序及最多可中标段数量见评标办法前附表。</w:t>
      </w:r>
      <w:r>
        <w:rPr>
          <w:rFonts w:hint="eastAsia" w:ascii="Times New Roman"/>
          <w:color w:val="auto"/>
          <w:sz w:val="24"/>
          <w:szCs w:val="20"/>
          <w:highlight w:val="none"/>
          <w:lang w:bidi="ar"/>
        </w:rPr>
        <w:t>被推荐为第一中标候选人的标段个数已达到最多允许中标的标段个数的投标人，在后续标段不再被推荐为中标候选人，但仍参与评审。</w:t>
      </w:r>
    </w:p>
    <w:p w14:paraId="01BC593F">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1.5 </w:t>
      </w:r>
      <w:r>
        <w:rPr>
          <w:rFonts w:hint="eastAsia" w:ascii="Times New Roman"/>
          <w:color w:val="auto"/>
          <w:sz w:val="24"/>
          <w:szCs w:val="20"/>
          <w:highlight w:val="none"/>
          <w:lang w:bidi="ar"/>
        </w:rPr>
        <w:t>评标结束后如有某标段的第一中标候选人发生变化的情况，不影响其他标段排序。</w:t>
      </w:r>
    </w:p>
    <w:p w14:paraId="368060F3">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1.6 </w:t>
      </w:r>
      <w:r>
        <w:rPr>
          <w:rFonts w:hint="eastAsia" w:ascii="Times New Roman"/>
          <w:color w:val="auto"/>
          <w:sz w:val="24"/>
          <w:szCs w:val="20"/>
          <w:highlight w:val="none"/>
          <w:lang w:bidi="ar"/>
        </w:rPr>
        <w:t>招标人应当根据项目的实际情况，在评标办法正文及前附表中列明所有否决投标的情形；第三章“评标办法”没有列明的否决投标的情形，一律不得作为评审依据。</w:t>
      </w:r>
    </w:p>
    <w:p w14:paraId="37001CCA">
      <w:pPr>
        <w:pStyle w:val="3"/>
        <w:widowControl/>
        <w:spacing w:before="240" w:beforeLines="100" w:after="240" w:afterLines="100" w:line="240" w:lineRule="auto"/>
        <w:rPr>
          <w:rFonts w:hint="eastAsia" w:ascii="Times New Roman" w:hAnsi="Times New Roman" w:eastAsia="Times New Roman"/>
          <w:b w:val="0"/>
          <w:color w:val="auto"/>
          <w:sz w:val="32"/>
          <w:szCs w:val="32"/>
          <w:highlight w:val="none"/>
        </w:rPr>
      </w:pPr>
      <w:bookmarkStart w:id="334" w:name="_Toc18936"/>
      <w:bookmarkStart w:id="335" w:name="_Toc130919108"/>
      <w:r>
        <w:rPr>
          <w:rFonts w:hint="eastAsia" w:ascii="Times New Roman" w:hAnsi="Times New Roman" w:eastAsia="Times New Roman"/>
          <w:b w:val="0"/>
          <w:color w:val="auto"/>
          <w:sz w:val="32"/>
          <w:szCs w:val="32"/>
          <w:highlight w:val="none"/>
        </w:rPr>
        <w:t xml:space="preserve">2. </w:t>
      </w:r>
      <w:r>
        <w:rPr>
          <w:rFonts w:hint="eastAsia" w:ascii="Times New Roman" w:hAnsi="Times New Roman" w:eastAsia="黑体" w:cs="黑体"/>
          <w:b w:val="0"/>
          <w:color w:val="auto"/>
          <w:sz w:val="32"/>
          <w:szCs w:val="32"/>
          <w:highlight w:val="none"/>
        </w:rPr>
        <w:t>评审标准</w:t>
      </w:r>
      <w:bookmarkEnd w:id="334"/>
      <w:bookmarkEnd w:id="335"/>
    </w:p>
    <w:p w14:paraId="2B23729D">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2.1 </w:t>
      </w:r>
      <w:r>
        <w:rPr>
          <w:rFonts w:hint="eastAsia" w:ascii="Times New Roman" w:eastAsia="黑体" w:cs="黑体"/>
          <w:color w:val="auto"/>
          <w:sz w:val="24"/>
          <w:szCs w:val="20"/>
          <w:highlight w:val="none"/>
          <w:lang w:bidi="ar"/>
        </w:rPr>
        <w:t>初步评审标准</w:t>
      </w:r>
    </w:p>
    <w:p w14:paraId="7988C893">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2.1.1 </w:t>
      </w:r>
      <w:r>
        <w:rPr>
          <w:rFonts w:hint="eastAsia" w:ascii="Times New Roman"/>
          <w:color w:val="auto"/>
          <w:sz w:val="24"/>
          <w:szCs w:val="20"/>
          <w:highlight w:val="none"/>
          <w:lang w:bidi="ar"/>
        </w:rPr>
        <w:t>形式评审标准：见评标办法前附表。</w:t>
      </w:r>
    </w:p>
    <w:p w14:paraId="10B31B93">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2.1.2 </w:t>
      </w:r>
      <w:r>
        <w:rPr>
          <w:rFonts w:hint="eastAsia" w:ascii="Times New Roman"/>
          <w:color w:val="auto"/>
          <w:sz w:val="24"/>
          <w:szCs w:val="20"/>
          <w:highlight w:val="none"/>
          <w:lang w:bidi="ar"/>
        </w:rPr>
        <w:t>资格评审标准：见评标办法前附表。</w:t>
      </w:r>
    </w:p>
    <w:p w14:paraId="1B1681DB">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2.1.3 </w:t>
      </w:r>
      <w:r>
        <w:rPr>
          <w:rFonts w:hint="eastAsia" w:ascii="Times New Roman"/>
          <w:color w:val="auto"/>
          <w:sz w:val="24"/>
          <w:szCs w:val="20"/>
          <w:highlight w:val="none"/>
          <w:lang w:bidi="ar"/>
        </w:rPr>
        <w:t>响应性评审标准：见评标办法前附表。</w:t>
      </w:r>
    </w:p>
    <w:p w14:paraId="38C160EF">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2.2 </w:t>
      </w:r>
      <w:r>
        <w:rPr>
          <w:rFonts w:hint="eastAsia" w:ascii="Times New Roman" w:eastAsia="黑体" w:cs="黑体"/>
          <w:color w:val="auto"/>
          <w:sz w:val="24"/>
          <w:szCs w:val="20"/>
          <w:highlight w:val="none"/>
          <w:lang w:bidi="ar"/>
        </w:rPr>
        <w:t>详细评审标准</w:t>
      </w:r>
    </w:p>
    <w:p w14:paraId="64928283">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2.2.1 </w:t>
      </w:r>
      <w:r>
        <w:rPr>
          <w:rFonts w:hint="eastAsia" w:ascii="Times New Roman"/>
          <w:color w:val="auto"/>
          <w:sz w:val="24"/>
          <w:szCs w:val="20"/>
          <w:highlight w:val="none"/>
          <w:lang w:bidi="ar"/>
        </w:rPr>
        <w:t>技术文件和报价文件分值构成：见评标办法前附表。</w:t>
      </w:r>
    </w:p>
    <w:p w14:paraId="4BB0939F">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2.2.2</w:t>
      </w:r>
      <w:r>
        <w:rPr>
          <w:rFonts w:hint="eastAsia" w:ascii="Times New Roman"/>
          <w:color w:val="auto"/>
          <w:sz w:val="24"/>
          <w:szCs w:val="20"/>
          <w:highlight w:val="none"/>
          <w:lang w:bidi="ar"/>
        </w:rPr>
        <w:t>技术文件和报价文件评分标准</w:t>
      </w:r>
    </w:p>
    <w:p w14:paraId="0DC8AF2E">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1</w:t>
      </w:r>
      <w:r>
        <w:rPr>
          <w:rFonts w:hint="eastAsia" w:ascii="Times New Roman"/>
          <w:color w:val="auto"/>
          <w:sz w:val="24"/>
          <w:szCs w:val="20"/>
          <w:highlight w:val="none"/>
          <w:lang w:bidi="ar"/>
        </w:rPr>
        <w:t>）技术文件评分标准：见评标办法前附表；</w:t>
      </w:r>
    </w:p>
    <w:p w14:paraId="661E745B">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2</w:t>
      </w:r>
      <w:r>
        <w:rPr>
          <w:rFonts w:hint="eastAsia" w:ascii="Times New Roman"/>
          <w:color w:val="auto"/>
          <w:sz w:val="24"/>
          <w:szCs w:val="20"/>
          <w:highlight w:val="none"/>
          <w:lang w:bidi="ar"/>
        </w:rPr>
        <w:t>）报价文件评分标准：见评标办法前附表。</w:t>
      </w:r>
    </w:p>
    <w:p w14:paraId="3F1F167C">
      <w:pPr>
        <w:pStyle w:val="3"/>
        <w:widowControl/>
        <w:spacing w:before="240" w:beforeLines="100" w:after="240" w:afterLines="100" w:line="240" w:lineRule="auto"/>
        <w:rPr>
          <w:rFonts w:hint="eastAsia" w:ascii="Times New Roman" w:hAnsi="Times New Roman" w:eastAsia="Times New Roman"/>
          <w:b w:val="0"/>
          <w:color w:val="auto"/>
          <w:sz w:val="32"/>
          <w:szCs w:val="32"/>
          <w:highlight w:val="none"/>
        </w:rPr>
      </w:pPr>
      <w:bookmarkStart w:id="336" w:name="_Toc130919109"/>
      <w:bookmarkStart w:id="337" w:name="_Toc1514"/>
      <w:r>
        <w:rPr>
          <w:rFonts w:hint="eastAsia" w:ascii="Times New Roman" w:hAnsi="Times New Roman" w:eastAsia="Times New Roman"/>
          <w:b w:val="0"/>
          <w:color w:val="auto"/>
          <w:sz w:val="32"/>
          <w:szCs w:val="32"/>
          <w:highlight w:val="none"/>
        </w:rPr>
        <w:t xml:space="preserve">3. </w:t>
      </w:r>
      <w:r>
        <w:rPr>
          <w:rFonts w:hint="eastAsia" w:ascii="Times New Roman" w:hAnsi="Times New Roman" w:eastAsia="黑体" w:cs="黑体"/>
          <w:b w:val="0"/>
          <w:color w:val="auto"/>
          <w:sz w:val="32"/>
          <w:szCs w:val="32"/>
          <w:highlight w:val="none"/>
        </w:rPr>
        <w:t>评标程序</w:t>
      </w:r>
      <w:bookmarkEnd w:id="336"/>
      <w:bookmarkEnd w:id="337"/>
    </w:p>
    <w:p w14:paraId="40EC0975">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3.1 </w:t>
      </w:r>
      <w:r>
        <w:rPr>
          <w:rFonts w:hint="eastAsia" w:ascii="Times New Roman" w:eastAsia="黑体" w:cs="黑体"/>
          <w:color w:val="auto"/>
          <w:sz w:val="24"/>
          <w:szCs w:val="20"/>
          <w:highlight w:val="none"/>
          <w:lang w:bidi="ar"/>
        </w:rPr>
        <w:t>确定有效值</w:t>
      </w:r>
    </w:p>
    <w:p w14:paraId="12BE84F3">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有效值计算方法见评标办法前附表。</w:t>
      </w:r>
    </w:p>
    <w:p w14:paraId="71D26195">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3.2 </w:t>
      </w:r>
      <w:r>
        <w:rPr>
          <w:rFonts w:hint="eastAsia" w:ascii="Times New Roman" w:eastAsia="黑体" w:cs="黑体"/>
          <w:color w:val="auto"/>
          <w:sz w:val="24"/>
          <w:szCs w:val="20"/>
          <w:highlight w:val="none"/>
          <w:lang w:bidi="ar"/>
        </w:rPr>
        <w:t>商务文件初步评审</w:t>
      </w:r>
    </w:p>
    <w:p w14:paraId="7F5154D2">
      <w:pPr>
        <w:spacing w:beforeLines="0" w:afterLines="0" w:line="400" w:lineRule="exact"/>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3.2.1 </w:t>
      </w:r>
      <w:r>
        <w:rPr>
          <w:rFonts w:hint="eastAsia" w:ascii="Times New Roman"/>
          <w:color w:val="auto"/>
          <w:sz w:val="24"/>
          <w:szCs w:val="20"/>
          <w:highlight w:val="none"/>
          <w:lang w:bidi="ar"/>
        </w:rPr>
        <w:t>评标委员会依据本章第</w:t>
      </w:r>
      <w:r>
        <w:rPr>
          <w:rFonts w:hint="eastAsia" w:ascii="Times New Roman" w:eastAsia="Times New Roman"/>
          <w:color w:val="auto"/>
          <w:sz w:val="24"/>
          <w:szCs w:val="20"/>
          <w:highlight w:val="none"/>
          <w:lang w:bidi="ar"/>
        </w:rPr>
        <w:t>2.1.1</w:t>
      </w:r>
      <w:r>
        <w:rPr>
          <w:rFonts w:hint="eastAsia" w:ascii="Times New Roman"/>
          <w:color w:val="auto"/>
          <w:sz w:val="24"/>
          <w:szCs w:val="20"/>
          <w:highlight w:val="none"/>
          <w:lang w:bidi="ar"/>
        </w:rPr>
        <w:t>项、第</w:t>
      </w:r>
      <w:r>
        <w:rPr>
          <w:rFonts w:hint="eastAsia" w:ascii="Times New Roman" w:eastAsia="Times New Roman"/>
          <w:color w:val="auto"/>
          <w:sz w:val="24"/>
          <w:szCs w:val="20"/>
          <w:highlight w:val="none"/>
          <w:lang w:bidi="ar"/>
        </w:rPr>
        <w:t>2.1.2</w:t>
      </w:r>
      <w:r>
        <w:rPr>
          <w:rFonts w:hint="eastAsia" w:ascii="Times New Roman"/>
          <w:color w:val="auto"/>
          <w:sz w:val="24"/>
          <w:szCs w:val="20"/>
          <w:highlight w:val="none"/>
          <w:lang w:bidi="ar"/>
        </w:rPr>
        <w:t>项、第</w:t>
      </w:r>
      <w:r>
        <w:rPr>
          <w:rFonts w:hint="eastAsia" w:ascii="Times New Roman" w:eastAsia="Times New Roman"/>
          <w:color w:val="auto"/>
          <w:sz w:val="24"/>
          <w:szCs w:val="20"/>
          <w:highlight w:val="none"/>
          <w:lang w:bidi="ar"/>
        </w:rPr>
        <w:t>2.1.3</w:t>
      </w:r>
      <w:r>
        <w:rPr>
          <w:rFonts w:hint="eastAsia" w:ascii="Times New Roman"/>
          <w:color w:val="auto"/>
          <w:sz w:val="24"/>
          <w:szCs w:val="20"/>
          <w:highlight w:val="none"/>
          <w:lang w:bidi="ar"/>
        </w:rPr>
        <w:t>项规定的评审标准对商务文件进行初步评审。有一项不符合评审标准的，评标委员会应否决其投标。</w:t>
      </w:r>
    </w:p>
    <w:p w14:paraId="64669118">
      <w:pPr>
        <w:spacing w:beforeLines="0" w:afterLines="0" w:line="400" w:lineRule="exact"/>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3.2.2 </w:t>
      </w:r>
      <w:r>
        <w:rPr>
          <w:rFonts w:hint="eastAsia" w:ascii="Times New Roman"/>
          <w:color w:val="auto"/>
          <w:sz w:val="24"/>
          <w:szCs w:val="20"/>
          <w:highlight w:val="none"/>
          <w:lang w:bidi="ar"/>
        </w:rPr>
        <w:t>商务文件初步评审选择规则见评标办法前附表。</w:t>
      </w:r>
    </w:p>
    <w:p w14:paraId="7B51A945">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3.3 </w:t>
      </w:r>
      <w:r>
        <w:rPr>
          <w:rFonts w:hint="eastAsia" w:ascii="Times New Roman" w:eastAsia="黑体" w:cs="黑体"/>
          <w:color w:val="auto"/>
          <w:sz w:val="24"/>
          <w:szCs w:val="20"/>
          <w:highlight w:val="none"/>
          <w:lang w:bidi="ar"/>
        </w:rPr>
        <w:t>报价文件初步评审</w:t>
      </w:r>
    </w:p>
    <w:p w14:paraId="79B0D02A">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3.3.1 </w:t>
      </w:r>
      <w:r>
        <w:rPr>
          <w:rFonts w:hint="eastAsia" w:ascii="Times New Roman"/>
          <w:color w:val="auto"/>
          <w:sz w:val="24"/>
          <w:szCs w:val="20"/>
          <w:highlight w:val="none"/>
          <w:lang w:bidi="ar"/>
        </w:rPr>
        <w:t>评标委员会依据本章第</w:t>
      </w:r>
      <w:r>
        <w:rPr>
          <w:rFonts w:hint="eastAsia" w:ascii="Times New Roman" w:eastAsia="Times New Roman"/>
          <w:color w:val="auto"/>
          <w:sz w:val="24"/>
          <w:szCs w:val="20"/>
          <w:highlight w:val="none"/>
          <w:lang w:bidi="ar"/>
        </w:rPr>
        <w:t>2.1.1</w:t>
      </w:r>
      <w:r>
        <w:rPr>
          <w:rFonts w:hint="eastAsia" w:ascii="Times New Roman"/>
          <w:color w:val="auto"/>
          <w:sz w:val="24"/>
          <w:szCs w:val="20"/>
          <w:highlight w:val="none"/>
          <w:lang w:bidi="ar"/>
        </w:rPr>
        <w:t>项、第</w:t>
      </w:r>
      <w:r>
        <w:rPr>
          <w:rFonts w:hint="eastAsia" w:ascii="Times New Roman" w:eastAsia="Times New Roman"/>
          <w:color w:val="auto"/>
          <w:sz w:val="24"/>
          <w:szCs w:val="20"/>
          <w:highlight w:val="none"/>
          <w:lang w:bidi="ar"/>
        </w:rPr>
        <w:t>2.1.3</w:t>
      </w:r>
      <w:r>
        <w:rPr>
          <w:rFonts w:hint="eastAsia" w:ascii="Times New Roman"/>
          <w:color w:val="auto"/>
          <w:sz w:val="24"/>
          <w:szCs w:val="20"/>
          <w:highlight w:val="none"/>
          <w:lang w:bidi="ar"/>
        </w:rPr>
        <w:t>项规定的评审标准对报价文件进行初步评审。有一项不符合评审标准的，评标委员会应否决其投标。</w:t>
      </w:r>
    </w:p>
    <w:p w14:paraId="49E2F8D6">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3.3.2 </w:t>
      </w:r>
      <w:r>
        <w:rPr>
          <w:rFonts w:hint="eastAsia" w:ascii="Times New Roman"/>
          <w:color w:val="auto"/>
          <w:sz w:val="24"/>
          <w:szCs w:val="20"/>
          <w:highlight w:val="none"/>
          <w:lang w:bidi="ar"/>
        </w:rPr>
        <w:t>初步评审时，评标委员会应对报价文件进行分析和整理工作（简称“清标”），从而发现并提取其中可能存在的对招标范围理解的偏差、投标报价的算术性错误、缺漏项、投标报价构成不合理、不平衡报价等存在明显异常的问题，并就这些问题整理形成清标成果。评标委员会对清标成果审议后，决定需要投标人进行澄清、说明的问题，向投标人发出问题澄清通知。清标工作可以使用计算机评标系统辅助评标委员会完成。</w:t>
      </w:r>
    </w:p>
    <w:p w14:paraId="541FDB26">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3.3.3 </w:t>
      </w:r>
      <w:r>
        <w:rPr>
          <w:rFonts w:hint="eastAsia" w:ascii="Times New Roman"/>
          <w:color w:val="auto"/>
          <w:sz w:val="24"/>
          <w:szCs w:val="20"/>
          <w:highlight w:val="none"/>
          <w:lang w:bidi="ar"/>
        </w:rPr>
        <w:t>清标的内容和步骤：</w:t>
      </w:r>
    </w:p>
    <w:p w14:paraId="0CDB74BC">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1</w:t>
      </w:r>
      <w:r>
        <w:rPr>
          <w:rFonts w:hint="eastAsia" w:ascii="Times New Roman"/>
          <w:color w:val="auto"/>
          <w:sz w:val="24"/>
          <w:szCs w:val="20"/>
          <w:highlight w:val="none"/>
          <w:lang w:bidi="ar"/>
        </w:rPr>
        <w:t>）投标文件在符合性、响应性等方面存在的偏差；</w:t>
      </w:r>
    </w:p>
    <w:p w14:paraId="5FEDDD52">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2</w:t>
      </w:r>
      <w:r>
        <w:rPr>
          <w:rFonts w:hint="eastAsia" w:ascii="Times New Roman"/>
          <w:color w:val="auto"/>
          <w:sz w:val="24"/>
          <w:szCs w:val="20"/>
          <w:highlight w:val="none"/>
          <w:lang w:bidi="ar"/>
        </w:rPr>
        <w:t>）投标文件存在的算术计算错误和修正结果；</w:t>
      </w:r>
    </w:p>
    <w:p w14:paraId="1F4F4B96">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3</w:t>
      </w:r>
      <w:r>
        <w:rPr>
          <w:rFonts w:hint="eastAsia" w:ascii="Times New Roman"/>
          <w:color w:val="auto"/>
          <w:sz w:val="24"/>
          <w:szCs w:val="20"/>
          <w:highlight w:val="none"/>
          <w:lang w:bidi="ar"/>
        </w:rPr>
        <w:t>）在列出的所有偏差中，属于重大偏差的情形和相关依据；在列出的所有偏差中，属于细微偏差的情形；</w:t>
      </w:r>
    </w:p>
    <w:p w14:paraId="64E3EBF2">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4</w:t>
      </w:r>
      <w:r>
        <w:rPr>
          <w:rFonts w:hint="eastAsia" w:ascii="Times New Roman"/>
          <w:color w:val="auto"/>
          <w:sz w:val="24"/>
          <w:szCs w:val="20"/>
          <w:highlight w:val="none"/>
          <w:lang w:bidi="ar"/>
        </w:rPr>
        <w:t>）评标委员会审核确认清标结果。</w:t>
      </w:r>
    </w:p>
    <w:p w14:paraId="441615C6">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3.3.4 </w:t>
      </w:r>
      <w:r>
        <w:rPr>
          <w:rFonts w:hint="eastAsia" w:ascii="Times New Roman"/>
          <w:color w:val="auto"/>
          <w:sz w:val="24"/>
          <w:szCs w:val="20"/>
          <w:highlight w:val="none"/>
          <w:lang w:bidi="ar"/>
        </w:rPr>
        <w:t>除按照第二章“投标人须知”第</w:t>
      </w:r>
      <w:r>
        <w:rPr>
          <w:rFonts w:hint="eastAsia" w:ascii="Times New Roman" w:eastAsia="Times New Roman"/>
          <w:color w:val="auto"/>
          <w:sz w:val="24"/>
          <w:szCs w:val="20"/>
          <w:highlight w:val="none"/>
          <w:lang w:bidi="ar"/>
        </w:rPr>
        <w:t>1.12.3</w:t>
      </w:r>
      <w:r>
        <w:rPr>
          <w:rFonts w:hint="eastAsia" w:ascii="Times New Roman"/>
          <w:color w:val="auto"/>
          <w:sz w:val="24"/>
          <w:szCs w:val="20"/>
          <w:highlight w:val="none"/>
          <w:lang w:bidi="ar"/>
        </w:rPr>
        <w:t>项、第</w:t>
      </w:r>
      <w:r>
        <w:rPr>
          <w:rFonts w:hint="eastAsia" w:ascii="Times New Roman" w:eastAsia="Times New Roman"/>
          <w:color w:val="auto"/>
          <w:sz w:val="24"/>
          <w:szCs w:val="20"/>
          <w:highlight w:val="none"/>
          <w:lang w:bidi="ar"/>
        </w:rPr>
        <w:t>1.12.4</w:t>
      </w:r>
      <w:r>
        <w:rPr>
          <w:rFonts w:hint="eastAsia" w:ascii="Times New Roman"/>
          <w:color w:val="auto"/>
          <w:sz w:val="24"/>
          <w:szCs w:val="20"/>
          <w:highlight w:val="none"/>
          <w:lang w:bidi="ar"/>
        </w:rPr>
        <w:t>项对细微偏差进行处理外，对于其他细微偏差按照以下规定处理：</w:t>
      </w:r>
    </w:p>
    <w:p w14:paraId="47281E6B">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1</w:t>
      </w:r>
      <w:r>
        <w:rPr>
          <w:rFonts w:hint="eastAsia" w:ascii="Times New Roman"/>
          <w:color w:val="auto"/>
          <w:sz w:val="24"/>
          <w:szCs w:val="20"/>
          <w:highlight w:val="none"/>
          <w:lang w:bidi="ar"/>
        </w:rPr>
        <w:t>）投标文件中填报的工程量清单报价书中的分部分项工程量清单项目名称、</w:t>
      </w:r>
      <w:r>
        <w:rPr>
          <w:rFonts w:hint="eastAsia"/>
          <w:color w:val="auto"/>
          <w:sz w:val="24"/>
          <w:szCs w:val="24"/>
          <w:highlight w:val="none"/>
          <w:lang w:bidi="ar"/>
        </w:rPr>
        <w:t>项目特征描述、</w:t>
      </w:r>
      <w:r>
        <w:rPr>
          <w:rFonts w:hint="eastAsia" w:ascii="Times New Roman"/>
          <w:color w:val="auto"/>
          <w:sz w:val="24"/>
          <w:szCs w:val="20"/>
          <w:highlight w:val="none"/>
          <w:lang w:bidi="ar"/>
        </w:rPr>
        <w:t>计量单位及工程量等与招标人构提供的工程量清单相应内容存在细微偏差的，以招标人提供的内容为准；</w:t>
      </w:r>
    </w:p>
    <w:p w14:paraId="5A2B9B3F">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2</w:t>
      </w:r>
      <w:r>
        <w:rPr>
          <w:rFonts w:hint="eastAsia" w:ascii="Times New Roman"/>
          <w:color w:val="auto"/>
          <w:sz w:val="24"/>
          <w:szCs w:val="20"/>
          <w:highlight w:val="none"/>
          <w:lang w:bidi="ar"/>
        </w:rPr>
        <w:t>）投标文件中填报的投标报价前后不一致时，以投标函填报的为准；</w:t>
      </w:r>
    </w:p>
    <w:p w14:paraId="73BCE7A0">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3</w:t>
      </w:r>
      <w:r>
        <w:rPr>
          <w:rFonts w:hint="eastAsia" w:ascii="Times New Roman"/>
          <w:color w:val="auto"/>
          <w:sz w:val="24"/>
          <w:szCs w:val="20"/>
          <w:highlight w:val="none"/>
          <w:lang w:bidi="ar"/>
        </w:rPr>
        <w:t>）投标报价计算错误的修正：</w:t>
      </w:r>
    </w:p>
    <w:p w14:paraId="1F221A68">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①投标文件中的大写金额与小写金额不一致的，以大写金额为准；</w:t>
      </w:r>
    </w:p>
    <w:p w14:paraId="4CE0D81B">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②总价金额与依据单价计算出的结果不一致的，以单价金额为准修正总价，但单价金额小数点有明显错误的除外；</w:t>
      </w:r>
    </w:p>
    <w:p w14:paraId="03059110">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③当单价与数量相乘不等于合价时，以单价计算为准，如果单价有明显的小数点位置差错，应以标出的合价为准，同时对单价予以修正；</w:t>
      </w:r>
    </w:p>
    <w:p w14:paraId="414F9D54">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④当各子目的合价累计不等于总价时，应以各子目合价累计数为准，修正总价；</w:t>
      </w:r>
    </w:p>
    <w:p w14:paraId="2A56E44E">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⑤工程量清单报价表中综合单价与工程量清单项目综合单价分析表相对应综合单价不一致时，以工程量清单项目综合单价分析表中标出的综合单价为准。</w:t>
      </w:r>
    </w:p>
    <w:p w14:paraId="6409EA9C">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4</w:t>
      </w:r>
      <w:r>
        <w:rPr>
          <w:rFonts w:hint="eastAsia" w:ascii="Times New Roman"/>
          <w:color w:val="auto"/>
          <w:sz w:val="24"/>
          <w:szCs w:val="20"/>
          <w:highlight w:val="none"/>
          <w:lang w:bidi="ar"/>
        </w:rPr>
        <w:t>）投标报价存在细微偏差的，评标委员会按照以上原则对投标报价进行处理，并要求投标人澄清确认，投标人拒不澄清确认的，评标委员会应当否决其投标。</w:t>
      </w:r>
    </w:p>
    <w:p w14:paraId="01254B31">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3.3.5 </w:t>
      </w:r>
      <w:r>
        <w:rPr>
          <w:rFonts w:hint="eastAsia" w:ascii="Times New Roman"/>
          <w:color w:val="auto"/>
          <w:sz w:val="24"/>
          <w:szCs w:val="20"/>
          <w:highlight w:val="none"/>
          <w:lang w:bidi="ar"/>
        </w:rPr>
        <w:t>评标委员会发现投标人的报价明显低于其他投标报价，使得其投标报价可能低于其个别成本的，应当要求该投标人作出说明并提供相应的证明材料。投标人不能合理说明或者不能提供相应证明材料的，评标委员会应当认定该投标人以低于成本报价竞标，否决其投标。</w:t>
      </w:r>
    </w:p>
    <w:p w14:paraId="03A6DDE0">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3.3.6 </w:t>
      </w:r>
      <w:r>
        <w:rPr>
          <w:rFonts w:hint="eastAsia" w:ascii="Times New Roman"/>
          <w:color w:val="auto"/>
          <w:sz w:val="24"/>
          <w:szCs w:val="20"/>
          <w:highlight w:val="none"/>
          <w:lang w:bidi="ar"/>
        </w:rPr>
        <w:t>报价文件初步评审选择规则见评标办法前附表。</w:t>
      </w:r>
    </w:p>
    <w:p w14:paraId="43E42655">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3.4 </w:t>
      </w:r>
      <w:r>
        <w:rPr>
          <w:rFonts w:hint="eastAsia" w:ascii="Times New Roman" w:eastAsia="黑体" w:cs="黑体"/>
          <w:color w:val="auto"/>
          <w:sz w:val="24"/>
          <w:szCs w:val="20"/>
          <w:highlight w:val="none"/>
          <w:lang w:bidi="ar"/>
        </w:rPr>
        <w:t>技术文件初步评审</w:t>
      </w:r>
    </w:p>
    <w:p w14:paraId="61CF6E88">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3.4.1</w:t>
      </w:r>
      <w:r>
        <w:rPr>
          <w:rFonts w:hint="eastAsia" w:ascii="Times New Roman"/>
          <w:color w:val="auto"/>
          <w:sz w:val="24"/>
          <w:szCs w:val="20"/>
          <w:highlight w:val="none"/>
          <w:lang w:bidi="ar"/>
        </w:rPr>
        <w:t>评标委员会依据本章第</w:t>
      </w:r>
      <w:r>
        <w:rPr>
          <w:rFonts w:hint="eastAsia" w:ascii="Times New Roman" w:eastAsia="Times New Roman"/>
          <w:color w:val="auto"/>
          <w:sz w:val="24"/>
          <w:szCs w:val="20"/>
          <w:highlight w:val="none"/>
          <w:lang w:bidi="ar"/>
        </w:rPr>
        <w:t>2.1.1</w:t>
      </w:r>
      <w:r>
        <w:rPr>
          <w:rFonts w:hint="eastAsia" w:ascii="Times New Roman"/>
          <w:color w:val="auto"/>
          <w:sz w:val="24"/>
          <w:szCs w:val="20"/>
          <w:highlight w:val="none"/>
          <w:lang w:bidi="ar"/>
        </w:rPr>
        <w:t>项、第</w:t>
      </w:r>
      <w:r>
        <w:rPr>
          <w:rFonts w:hint="eastAsia" w:ascii="Times New Roman" w:eastAsia="Times New Roman"/>
          <w:color w:val="auto"/>
          <w:sz w:val="24"/>
          <w:szCs w:val="20"/>
          <w:highlight w:val="none"/>
          <w:lang w:bidi="ar"/>
        </w:rPr>
        <w:t>2.1.3</w:t>
      </w:r>
      <w:r>
        <w:rPr>
          <w:rFonts w:hint="eastAsia" w:ascii="Times New Roman"/>
          <w:color w:val="auto"/>
          <w:sz w:val="24"/>
          <w:szCs w:val="20"/>
          <w:highlight w:val="none"/>
          <w:lang w:bidi="ar"/>
        </w:rPr>
        <w:t>项规定的评审标准对技术文件进行初步评审。有一项不符合评审标准的，评标委员会应否决其投标。</w:t>
      </w:r>
    </w:p>
    <w:p w14:paraId="7E9FCA28">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3.4.2 </w:t>
      </w:r>
      <w:r>
        <w:rPr>
          <w:rFonts w:hint="eastAsia" w:ascii="Times New Roman"/>
          <w:color w:val="auto"/>
          <w:sz w:val="24"/>
          <w:szCs w:val="20"/>
          <w:highlight w:val="none"/>
          <w:lang w:bidi="ar"/>
        </w:rPr>
        <w:t>技术文件初步评审选择规则见评标办法前附表</w:t>
      </w:r>
    </w:p>
    <w:p w14:paraId="1FBCE11D">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3.5 </w:t>
      </w:r>
      <w:r>
        <w:rPr>
          <w:rFonts w:hint="eastAsia" w:ascii="Times New Roman" w:eastAsia="黑体" w:cs="黑体"/>
          <w:color w:val="auto"/>
          <w:sz w:val="24"/>
          <w:szCs w:val="20"/>
          <w:highlight w:val="none"/>
          <w:lang w:bidi="ar"/>
        </w:rPr>
        <w:t>详细评审</w:t>
      </w:r>
    </w:p>
    <w:p w14:paraId="7641AFAA">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3.5.1 </w:t>
      </w:r>
      <w:r>
        <w:rPr>
          <w:rFonts w:hint="eastAsia" w:ascii="Times New Roman"/>
          <w:color w:val="auto"/>
          <w:sz w:val="24"/>
          <w:szCs w:val="20"/>
          <w:highlight w:val="none"/>
          <w:lang w:bidi="ar"/>
        </w:rPr>
        <w:t>评标委员会按照本章第</w:t>
      </w:r>
      <w:r>
        <w:rPr>
          <w:rFonts w:hint="eastAsia" w:ascii="Times New Roman" w:eastAsia="Times New Roman"/>
          <w:color w:val="auto"/>
          <w:sz w:val="24"/>
          <w:szCs w:val="20"/>
          <w:highlight w:val="none"/>
          <w:lang w:bidi="ar"/>
        </w:rPr>
        <w:t>2.2</w:t>
      </w:r>
      <w:r>
        <w:rPr>
          <w:rFonts w:hint="eastAsia" w:ascii="Times New Roman"/>
          <w:color w:val="auto"/>
          <w:sz w:val="24"/>
          <w:szCs w:val="20"/>
          <w:highlight w:val="none"/>
          <w:lang w:bidi="ar"/>
        </w:rPr>
        <w:t>款规定的量化因素和分值进行打分，并计算出各投标人的技术及报价文件得分。</w:t>
      </w:r>
    </w:p>
    <w:p w14:paraId="3F3637D3">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1</w:t>
      </w:r>
      <w:r>
        <w:rPr>
          <w:rFonts w:hint="eastAsia" w:ascii="Times New Roman"/>
          <w:color w:val="auto"/>
          <w:sz w:val="24"/>
          <w:szCs w:val="20"/>
          <w:highlight w:val="none"/>
          <w:lang w:bidi="ar"/>
        </w:rPr>
        <w:t>）按照本章第</w:t>
      </w:r>
      <w:r>
        <w:rPr>
          <w:rFonts w:hint="eastAsia" w:ascii="Times New Roman" w:eastAsia="Times New Roman"/>
          <w:color w:val="auto"/>
          <w:sz w:val="24"/>
          <w:szCs w:val="20"/>
          <w:highlight w:val="none"/>
          <w:lang w:bidi="ar"/>
        </w:rPr>
        <w:t>2.2.2</w:t>
      </w: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1</w:t>
      </w:r>
      <w:r>
        <w:rPr>
          <w:rFonts w:hint="eastAsia" w:ascii="Times New Roman"/>
          <w:color w:val="auto"/>
          <w:sz w:val="24"/>
          <w:szCs w:val="20"/>
          <w:highlight w:val="none"/>
          <w:lang w:bidi="ar"/>
        </w:rPr>
        <w:t>）目规定的评审因素和分值计算出技术文件得分（</w:t>
      </w:r>
      <w:r>
        <w:rPr>
          <w:rFonts w:hint="eastAsia" w:ascii="Times New Roman" w:eastAsia="Times New Roman"/>
          <w:color w:val="auto"/>
          <w:sz w:val="24"/>
          <w:szCs w:val="20"/>
          <w:highlight w:val="none"/>
          <w:lang w:bidi="ar"/>
        </w:rPr>
        <w:t>A</w:t>
      </w:r>
      <w:r>
        <w:rPr>
          <w:rFonts w:hint="eastAsia" w:ascii="Times New Roman"/>
          <w:color w:val="auto"/>
          <w:sz w:val="24"/>
          <w:szCs w:val="20"/>
          <w:highlight w:val="none"/>
          <w:lang w:bidi="ar"/>
        </w:rPr>
        <w:t>）。技术文件详细评审选择规则见评标办法前附表。</w:t>
      </w:r>
    </w:p>
    <w:p w14:paraId="7B99A8E2">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2</w:t>
      </w:r>
      <w:r>
        <w:rPr>
          <w:rFonts w:hint="eastAsia" w:ascii="Times New Roman"/>
          <w:color w:val="auto"/>
          <w:sz w:val="24"/>
          <w:szCs w:val="20"/>
          <w:highlight w:val="none"/>
          <w:lang w:bidi="ar"/>
        </w:rPr>
        <w:t>）按照本章第</w:t>
      </w:r>
      <w:r>
        <w:rPr>
          <w:rFonts w:hint="eastAsia" w:ascii="Times New Roman" w:eastAsia="Times New Roman"/>
          <w:color w:val="auto"/>
          <w:sz w:val="24"/>
          <w:szCs w:val="20"/>
          <w:highlight w:val="none"/>
          <w:lang w:bidi="ar"/>
        </w:rPr>
        <w:t>2.2.2</w:t>
      </w:r>
      <w:r>
        <w:rPr>
          <w:rFonts w:hint="eastAsia" w:ascii="Times New Roman"/>
          <w:color w:val="auto"/>
          <w:sz w:val="24"/>
          <w:szCs w:val="20"/>
          <w:highlight w:val="none"/>
          <w:lang w:bidi="ar"/>
        </w:rPr>
        <w:t>（</w:t>
      </w:r>
      <w:r>
        <w:rPr>
          <w:rFonts w:hint="eastAsia" w:ascii="Times New Roman" w:eastAsia="Times New Roman"/>
          <w:color w:val="auto"/>
          <w:sz w:val="24"/>
          <w:szCs w:val="20"/>
          <w:highlight w:val="none"/>
          <w:lang w:bidi="ar"/>
        </w:rPr>
        <w:t>2</w:t>
      </w:r>
      <w:r>
        <w:rPr>
          <w:rFonts w:hint="eastAsia" w:ascii="Times New Roman"/>
          <w:color w:val="auto"/>
          <w:sz w:val="24"/>
          <w:szCs w:val="20"/>
          <w:highlight w:val="none"/>
          <w:lang w:bidi="ar"/>
        </w:rPr>
        <w:t>）目规定的评审因素和分值计算出报价文件得分（</w:t>
      </w:r>
      <w:r>
        <w:rPr>
          <w:rFonts w:hint="eastAsia" w:ascii="Times New Roman" w:eastAsia="Times New Roman"/>
          <w:color w:val="auto"/>
          <w:sz w:val="24"/>
          <w:szCs w:val="20"/>
          <w:highlight w:val="none"/>
          <w:lang w:bidi="ar"/>
        </w:rPr>
        <w:t>B</w:t>
      </w:r>
      <w:r>
        <w:rPr>
          <w:rFonts w:hint="eastAsia" w:ascii="Times New Roman"/>
          <w:color w:val="auto"/>
          <w:sz w:val="24"/>
          <w:szCs w:val="20"/>
          <w:highlight w:val="none"/>
          <w:lang w:bidi="ar"/>
        </w:rPr>
        <w:t>）。</w:t>
      </w:r>
    </w:p>
    <w:p w14:paraId="3BBEF30E">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3.5.2 </w:t>
      </w:r>
      <w:r>
        <w:rPr>
          <w:rFonts w:hint="eastAsia" w:ascii="Times New Roman"/>
          <w:color w:val="auto"/>
          <w:sz w:val="24"/>
          <w:szCs w:val="20"/>
          <w:highlight w:val="none"/>
          <w:lang w:bidi="ar"/>
        </w:rPr>
        <w:t>投标人</w:t>
      </w:r>
      <w:r>
        <w:rPr>
          <w:rFonts w:hint="eastAsia" w:ascii="Times New Roman" w:cs="宋体"/>
          <w:color w:val="auto"/>
          <w:sz w:val="24"/>
          <w:szCs w:val="20"/>
          <w:highlight w:val="none"/>
          <w:lang w:bidi="ar"/>
        </w:rPr>
        <w:t>最终总得分</w:t>
      </w:r>
      <w:r>
        <w:rPr>
          <w:rFonts w:hint="eastAsia" w:ascii="Times New Roman" w:eastAsia="Times New Roman"/>
          <w:color w:val="auto"/>
          <w:sz w:val="24"/>
          <w:szCs w:val="20"/>
          <w:highlight w:val="none"/>
          <w:lang w:bidi="ar"/>
        </w:rPr>
        <w:t>=A+B</w:t>
      </w:r>
      <w:r>
        <w:rPr>
          <w:rFonts w:hint="eastAsia" w:ascii="Times New Roman"/>
          <w:color w:val="auto"/>
          <w:sz w:val="24"/>
          <w:szCs w:val="20"/>
          <w:highlight w:val="none"/>
          <w:lang w:bidi="ar"/>
        </w:rPr>
        <w:t>。</w:t>
      </w:r>
    </w:p>
    <w:p w14:paraId="7BBA8DA1">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3.5.3 </w:t>
      </w:r>
      <w:r>
        <w:rPr>
          <w:rFonts w:hint="eastAsia" w:ascii="Times New Roman"/>
          <w:color w:val="auto"/>
          <w:sz w:val="24"/>
          <w:szCs w:val="20"/>
          <w:highlight w:val="none"/>
          <w:lang w:bidi="ar"/>
        </w:rPr>
        <w:t>拟派项目经理视频陈述及答辩要求：</w:t>
      </w:r>
    </w:p>
    <w:p w14:paraId="39A8E095">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3.5.3.1 </w:t>
      </w:r>
      <w:r>
        <w:rPr>
          <w:rFonts w:hint="eastAsia" w:ascii="Times New Roman"/>
          <w:color w:val="auto"/>
          <w:sz w:val="24"/>
          <w:szCs w:val="20"/>
          <w:highlight w:val="none"/>
          <w:lang w:bidi="ar"/>
        </w:rPr>
        <w:t>本项目设置投标人拟派项目经理视频陈述及答辩环节（视频陈述及答辩具体操作手册见</w:t>
      </w:r>
      <w:r>
        <w:rPr>
          <w:rFonts w:hint="eastAsia" w:ascii="Times New Roman" w:cs="宋体"/>
          <w:snapToGrid w:val="0"/>
          <w:color w:val="auto"/>
          <w:sz w:val="24"/>
          <w:szCs w:val="24"/>
          <w:highlight w:val="none"/>
          <w:lang w:bidi="ar"/>
        </w:rPr>
        <w:t>附件</w:t>
      </w:r>
      <w:r>
        <w:rPr>
          <w:rFonts w:hint="eastAsia" w:ascii="Times New Roman" w:eastAsia="Times New Roman" w:cs="宋体"/>
          <w:snapToGrid w:val="0"/>
          <w:color w:val="auto"/>
          <w:sz w:val="24"/>
          <w:szCs w:val="24"/>
          <w:highlight w:val="none"/>
          <w:lang w:bidi="ar"/>
        </w:rPr>
        <w:t>5</w:t>
      </w:r>
      <w:r>
        <w:rPr>
          <w:rFonts w:hint="eastAsia" w:ascii="Times New Roman" w:cs="宋体"/>
          <w:snapToGrid w:val="0"/>
          <w:color w:val="auto"/>
          <w:sz w:val="24"/>
          <w:szCs w:val="24"/>
          <w:highlight w:val="none"/>
          <w:lang w:bidi="ar"/>
        </w:rPr>
        <w:t>）</w:t>
      </w:r>
      <w:r>
        <w:rPr>
          <w:rFonts w:hint="eastAsia" w:ascii="Times New Roman"/>
          <w:color w:val="auto"/>
          <w:sz w:val="24"/>
          <w:szCs w:val="20"/>
          <w:highlight w:val="none"/>
          <w:lang w:bidi="ar"/>
        </w:rPr>
        <w:t>，请投标人应提前做好视频陈述及答辩准备工作。</w:t>
      </w:r>
    </w:p>
    <w:p w14:paraId="06F8F1B3">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3.5.3.2 </w:t>
      </w:r>
      <w:r>
        <w:rPr>
          <w:rFonts w:hint="eastAsia" w:ascii="Times New Roman"/>
          <w:color w:val="auto"/>
          <w:sz w:val="24"/>
          <w:szCs w:val="20"/>
          <w:highlight w:val="none"/>
          <w:lang w:bidi="ar"/>
        </w:rPr>
        <w:t>视频陈述前，评标委员会将发起询标（该询标函旨在告诉投标人进行登录视频会议系统），投标人拟派项目经理原则上需在评标委员会发起网上询标时起</w:t>
      </w:r>
      <w:r>
        <w:rPr>
          <w:rFonts w:hint="eastAsia" w:ascii="Times New Roman" w:eastAsia="Times New Roman"/>
          <w:color w:val="auto"/>
          <w:sz w:val="24"/>
          <w:szCs w:val="20"/>
          <w:highlight w:val="none"/>
          <w:lang w:bidi="ar"/>
        </w:rPr>
        <w:t>10</w:t>
      </w:r>
      <w:r>
        <w:rPr>
          <w:rFonts w:hint="eastAsia" w:ascii="Times New Roman"/>
          <w:color w:val="auto"/>
          <w:sz w:val="24"/>
          <w:szCs w:val="20"/>
          <w:highlight w:val="none"/>
          <w:lang w:bidi="ar"/>
        </w:rPr>
        <w:t>分钟内登录视频会议系统并保持在线状态，因投标人没有及时登录视频会议系统等自身原因而导致无法进行视频陈述及答辩等情形的风险，由投标人自行承担，不得进入评分环节；如报价相同的，视频陈述顺序按照电子交易系统随机发放的签号从小到大的顺序依次进行陈述。</w:t>
      </w:r>
    </w:p>
    <w:p w14:paraId="15A4A45B">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3.5.3.3 </w:t>
      </w:r>
      <w:r>
        <w:rPr>
          <w:rFonts w:hint="eastAsia" w:ascii="Times New Roman"/>
          <w:color w:val="auto"/>
          <w:sz w:val="24"/>
          <w:szCs w:val="20"/>
          <w:highlight w:val="none"/>
          <w:lang w:bidi="ar"/>
        </w:rPr>
        <w:t>拟派项目经理视频陈述及答辩须结合本项目概况、特点以及重难点并对施工组织设计主要内容进行陈述，陈述及答辩内容应具有针对性和可行性，视频陈述及答辩应脱稿自行阐述，陈述及答辩时间原则上不超过</w:t>
      </w:r>
      <w:r>
        <w:rPr>
          <w:rFonts w:hint="eastAsia" w:ascii="Times New Roman" w:eastAsia="Times New Roman"/>
          <w:color w:val="auto"/>
          <w:sz w:val="24"/>
          <w:szCs w:val="20"/>
          <w:highlight w:val="none"/>
          <w:lang w:bidi="ar"/>
        </w:rPr>
        <w:t>10</w:t>
      </w:r>
      <w:r>
        <w:rPr>
          <w:rFonts w:hint="eastAsia" w:ascii="Times New Roman"/>
          <w:color w:val="auto"/>
          <w:sz w:val="24"/>
          <w:szCs w:val="20"/>
          <w:highlight w:val="none"/>
          <w:lang w:bidi="ar"/>
        </w:rPr>
        <w:t>分钟。</w:t>
      </w:r>
    </w:p>
    <w:p w14:paraId="36AB014E">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3.6 </w:t>
      </w:r>
      <w:r>
        <w:rPr>
          <w:rFonts w:hint="eastAsia" w:ascii="Times New Roman" w:eastAsia="黑体" w:cs="黑体"/>
          <w:color w:val="auto"/>
          <w:sz w:val="24"/>
          <w:szCs w:val="20"/>
          <w:highlight w:val="none"/>
          <w:lang w:bidi="ar"/>
        </w:rPr>
        <w:t>投标文件的澄清、说明或补正</w:t>
      </w:r>
    </w:p>
    <w:p w14:paraId="57EAB06D">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3.6.1 </w:t>
      </w:r>
      <w:r>
        <w:rPr>
          <w:rFonts w:hint="eastAsia" w:ascii="Times New Roman"/>
          <w:color w:val="auto"/>
          <w:sz w:val="24"/>
          <w:szCs w:val="24"/>
          <w:highlight w:val="none"/>
          <w:lang w:bidi="ar"/>
        </w:rPr>
        <w:t>在评标过程中，评标委员会可以要求投标人对投标文件中含义不明确、对同类问题表述不一致或者有明显文字和计算错误的内容作必要的澄清、说明或补正。评标委员会不接受投标人主动提出的澄清、说明或补正。</w:t>
      </w:r>
    </w:p>
    <w:p w14:paraId="5C5DB140">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3.6.2 </w:t>
      </w:r>
      <w:r>
        <w:rPr>
          <w:rFonts w:hint="eastAsia" w:ascii="Times New Roman"/>
          <w:color w:val="auto"/>
          <w:sz w:val="24"/>
          <w:szCs w:val="24"/>
          <w:highlight w:val="none"/>
          <w:lang w:bidi="ar"/>
        </w:rPr>
        <w:t>澄清、说明或补正不得超出投标文件的范围且不得改变投标文件的实质性内容，并构成投标文件的组成部分。</w:t>
      </w:r>
    </w:p>
    <w:p w14:paraId="12640DEF">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3.6.3 </w:t>
      </w:r>
      <w:r>
        <w:rPr>
          <w:rFonts w:hint="eastAsia" w:ascii="Times New Roman"/>
          <w:color w:val="auto"/>
          <w:sz w:val="24"/>
          <w:szCs w:val="24"/>
          <w:highlight w:val="none"/>
          <w:lang w:bidi="ar"/>
        </w:rPr>
        <w:t>评标委员会对投标人提交的澄清、说明或补正有疑问的，可以要求投标人进一步澄清、说明或补正，直至满足评标委员会的要求。</w:t>
      </w:r>
    </w:p>
    <w:p w14:paraId="1B48D628">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3.7 </w:t>
      </w:r>
      <w:r>
        <w:rPr>
          <w:rFonts w:hint="eastAsia" w:ascii="Times New Roman" w:eastAsia="黑体" w:cs="黑体"/>
          <w:color w:val="auto"/>
          <w:sz w:val="24"/>
          <w:szCs w:val="20"/>
          <w:highlight w:val="none"/>
          <w:lang w:bidi="ar"/>
        </w:rPr>
        <w:t>否决投标的情形</w:t>
      </w:r>
    </w:p>
    <w:p w14:paraId="0529C073">
      <w:pPr>
        <w:spacing w:beforeLines="0" w:afterLines="0" w:line="360" w:lineRule="auto"/>
        <w:ind w:firstLine="403" w:firstLineChars="168"/>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3.7.1 </w:t>
      </w:r>
      <w:r>
        <w:rPr>
          <w:rFonts w:hint="eastAsia" w:ascii="Times New Roman"/>
          <w:color w:val="auto"/>
          <w:sz w:val="24"/>
          <w:szCs w:val="20"/>
          <w:highlight w:val="none"/>
          <w:lang w:bidi="ar"/>
        </w:rPr>
        <w:t>投标人不符合本章第</w:t>
      </w:r>
      <w:r>
        <w:rPr>
          <w:rFonts w:hint="eastAsia" w:ascii="Times New Roman" w:eastAsia="Times New Roman"/>
          <w:color w:val="auto"/>
          <w:sz w:val="24"/>
          <w:szCs w:val="20"/>
          <w:highlight w:val="none"/>
          <w:lang w:bidi="ar"/>
        </w:rPr>
        <w:t>3.2</w:t>
      </w:r>
      <w:r>
        <w:rPr>
          <w:rFonts w:hint="eastAsia" w:ascii="Times New Roman"/>
          <w:color w:val="auto"/>
          <w:sz w:val="24"/>
          <w:szCs w:val="20"/>
          <w:highlight w:val="none"/>
          <w:lang w:bidi="ar"/>
        </w:rPr>
        <w:t>款、第</w:t>
      </w:r>
      <w:r>
        <w:rPr>
          <w:rFonts w:hint="eastAsia" w:ascii="Times New Roman" w:eastAsia="Times New Roman"/>
          <w:color w:val="auto"/>
          <w:sz w:val="24"/>
          <w:szCs w:val="20"/>
          <w:highlight w:val="none"/>
          <w:lang w:bidi="ar"/>
        </w:rPr>
        <w:t>3.3</w:t>
      </w:r>
      <w:r>
        <w:rPr>
          <w:rFonts w:hint="eastAsia" w:ascii="Times New Roman"/>
          <w:color w:val="auto"/>
          <w:sz w:val="24"/>
          <w:szCs w:val="20"/>
          <w:highlight w:val="none"/>
          <w:lang w:bidi="ar"/>
        </w:rPr>
        <w:t>款、第</w:t>
      </w:r>
      <w:r>
        <w:rPr>
          <w:rFonts w:hint="eastAsia" w:ascii="Times New Roman" w:eastAsia="Times New Roman"/>
          <w:color w:val="auto"/>
          <w:sz w:val="24"/>
          <w:szCs w:val="20"/>
          <w:highlight w:val="none"/>
          <w:lang w:bidi="ar"/>
        </w:rPr>
        <w:t>3.4</w:t>
      </w:r>
      <w:r>
        <w:rPr>
          <w:rFonts w:hint="eastAsia" w:ascii="Times New Roman"/>
          <w:color w:val="auto"/>
          <w:sz w:val="24"/>
          <w:szCs w:val="20"/>
          <w:highlight w:val="none"/>
          <w:lang w:bidi="ar"/>
        </w:rPr>
        <w:t>款的，评标委员会应否决其投标。</w:t>
      </w:r>
    </w:p>
    <w:p w14:paraId="63395ED3">
      <w:pPr>
        <w:spacing w:beforeLines="0" w:afterLines="0" w:line="360" w:lineRule="auto"/>
        <w:ind w:firstLine="403" w:firstLineChars="168"/>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3.7.2 </w:t>
      </w:r>
      <w:r>
        <w:rPr>
          <w:rFonts w:hint="eastAsia" w:ascii="Times New Roman"/>
          <w:color w:val="auto"/>
          <w:sz w:val="24"/>
          <w:szCs w:val="20"/>
          <w:highlight w:val="none"/>
          <w:lang w:bidi="ar"/>
        </w:rPr>
        <w:t>否决投标的其他情形，见评标办法前附表。</w:t>
      </w:r>
    </w:p>
    <w:p w14:paraId="3B9BF9EF">
      <w:pPr>
        <w:spacing w:beforeLines="0" w:afterLines="0" w:line="360" w:lineRule="auto"/>
        <w:ind w:firstLine="403" w:firstLineChars="168"/>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3.7.3 </w:t>
      </w:r>
      <w:r>
        <w:rPr>
          <w:rFonts w:hint="eastAsia" w:ascii="Times New Roman"/>
          <w:color w:val="auto"/>
          <w:sz w:val="24"/>
          <w:szCs w:val="20"/>
          <w:highlight w:val="none"/>
          <w:lang w:bidi="ar"/>
        </w:rPr>
        <w:t>投标人未通过异常低价评审的，评标委员会应否决其投标，不得推荐为中标候选人、确定为中标人。异常低价评审见评标办法前附表。</w:t>
      </w:r>
    </w:p>
    <w:p w14:paraId="1440C976">
      <w:pPr>
        <w:keepNext/>
        <w:keepLines/>
        <w:spacing w:before="240" w:beforeLines="100" w:after="240" w:afterLines="100"/>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0"/>
          <w:highlight w:val="none"/>
          <w:lang w:bidi="ar"/>
        </w:rPr>
        <w:t xml:space="preserve">3.8 </w:t>
      </w:r>
      <w:r>
        <w:rPr>
          <w:rFonts w:hint="eastAsia" w:ascii="Times New Roman" w:eastAsia="黑体" w:cs="黑体"/>
          <w:color w:val="auto"/>
          <w:sz w:val="24"/>
          <w:szCs w:val="20"/>
          <w:highlight w:val="none"/>
          <w:lang w:bidi="ar"/>
        </w:rPr>
        <w:t>评标结果</w:t>
      </w:r>
    </w:p>
    <w:p w14:paraId="504F0167">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3.8.1 </w:t>
      </w:r>
      <w:r>
        <w:rPr>
          <w:rFonts w:hint="eastAsia" w:ascii="Times New Roman"/>
          <w:color w:val="auto"/>
          <w:sz w:val="24"/>
          <w:szCs w:val="24"/>
          <w:highlight w:val="none"/>
          <w:lang w:bidi="ar"/>
        </w:rPr>
        <w:t>评标委员会对拟推荐的中标候选人进行查询，存在投标人须知第</w:t>
      </w:r>
      <w:r>
        <w:rPr>
          <w:rFonts w:hint="eastAsia" w:ascii="Times New Roman" w:eastAsia="Times New Roman"/>
          <w:color w:val="auto"/>
          <w:sz w:val="24"/>
          <w:szCs w:val="24"/>
          <w:highlight w:val="none"/>
          <w:lang w:bidi="ar"/>
        </w:rPr>
        <w:t>1.4.4</w:t>
      </w:r>
      <w:r>
        <w:rPr>
          <w:rFonts w:hint="eastAsia" w:ascii="Times New Roman"/>
          <w:color w:val="auto"/>
          <w:sz w:val="24"/>
          <w:szCs w:val="24"/>
          <w:highlight w:val="none"/>
          <w:lang w:bidi="ar"/>
        </w:rPr>
        <w:t>项规定情形的，不得推荐为中标候选人，查询要求如下：</w:t>
      </w:r>
    </w:p>
    <w:p w14:paraId="038A40BC">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1</w:t>
      </w:r>
      <w:r>
        <w:rPr>
          <w:rFonts w:hint="eastAsia" w:ascii="Times New Roman"/>
          <w:color w:val="auto"/>
          <w:sz w:val="24"/>
          <w:szCs w:val="24"/>
          <w:highlight w:val="none"/>
          <w:lang w:bidi="ar"/>
        </w:rPr>
        <w:t>）评标委员会仅通过“国家企业信用信息公示系统”查询拟推荐中标候选人是否被列入严重违法失信名单，并将查询截图及查询结果在评标报告中予以记录；</w:t>
      </w:r>
    </w:p>
    <w:p w14:paraId="4F6FC1AE">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2</w:t>
      </w:r>
      <w:r>
        <w:rPr>
          <w:rFonts w:hint="eastAsia" w:ascii="Times New Roman"/>
          <w:color w:val="auto"/>
          <w:sz w:val="24"/>
          <w:szCs w:val="24"/>
          <w:highlight w:val="none"/>
          <w:lang w:bidi="ar"/>
        </w:rPr>
        <w:t>）评标委员会仅通过“信用中国”查询拟推荐中标候选人是否被列为失信被执行人、确定为重大税收违法失信主体、列入拖欠农民工工资失信联合惩戒对象名单，并将查询截图及查询结果在评标报告中予以记录；</w:t>
      </w:r>
    </w:p>
    <w:p w14:paraId="47904E7A">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3</w:t>
      </w:r>
      <w:r>
        <w:rPr>
          <w:rFonts w:hint="eastAsia" w:ascii="Times New Roman"/>
          <w:color w:val="auto"/>
          <w:sz w:val="24"/>
          <w:szCs w:val="24"/>
          <w:highlight w:val="none"/>
          <w:lang w:bidi="ar"/>
        </w:rPr>
        <w:t>）其他要求见投标人须知前附表第</w:t>
      </w:r>
      <w:r>
        <w:rPr>
          <w:rFonts w:hint="eastAsia" w:ascii="Times New Roman" w:eastAsia="Times New Roman"/>
          <w:color w:val="auto"/>
          <w:sz w:val="24"/>
          <w:szCs w:val="24"/>
          <w:highlight w:val="none"/>
          <w:lang w:bidi="ar"/>
        </w:rPr>
        <w:t>1.4.4</w:t>
      </w:r>
      <w:r>
        <w:rPr>
          <w:rFonts w:hint="eastAsia" w:ascii="Times New Roman"/>
          <w:color w:val="auto"/>
          <w:sz w:val="24"/>
          <w:szCs w:val="24"/>
          <w:highlight w:val="none"/>
          <w:lang w:bidi="ar"/>
        </w:rPr>
        <w:t>（</w:t>
      </w:r>
      <w:r>
        <w:rPr>
          <w:rFonts w:hint="eastAsia" w:ascii="Times New Roman" w:eastAsia="Times New Roman"/>
          <w:color w:val="auto"/>
          <w:sz w:val="24"/>
          <w:szCs w:val="24"/>
          <w:highlight w:val="none"/>
          <w:lang w:bidi="ar"/>
        </w:rPr>
        <w:t>5</w:t>
      </w:r>
      <w:r>
        <w:rPr>
          <w:rFonts w:hint="eastAsia" w:ascii="Times New Roman"/>
          <w:color w:val="auto"/>
          <w:sz w:val="24"/>
          <w:szCs w:val="24"/>
          <w:highlight w:val="none"/>
          <w:lang w:bidi="ar"/>
        </w:rPr>
        <w:t>）目。</w:t>
      </w:r>
    </w:p>
    <w:p w14:paraId="39870BF0">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lang w:bidi="ar"/>
        </w:rPr>
        <w:t>除第二章投标人须知前附表授权直接确定中标人外，评标委员会按照评标办法的规定推荐中标候选人，并标明排列排序。</w:t>
      </w:r>
    </w:p>
    <w:p w14:paraId="4639FCA1">
      <w:pPr>
        <w:spacing w:beforeLines="0" w:afterLines="0" w:line="360" w:lineRule="auto"/>
        <w:rPr>
          <w:rFonts w:hint="eastAsia" w:ascii="Times New Roman" w:eastAsia="Times New Roman"/>
          <w:color w:val="auto"/>
          <w:sz w:val="24"/>
          <w:szCs w:val="24"/>
          <w:highlight w:val="none"/>
          <w:lang w:bidi="ar"/>
        </w:rPr>
      </w:pPr>
      <w:r>
        <w:rPr>
          <w:rFonts w:hint="eastAsia" w:ascii="Times New Roman" w:eastAsia="Times New Roman"/>
          <w:color w:val="auto"/>
          <w:sz w:val="24"/>
          <w:szCs w:val="24"/>
          <w:highlight w:val="none"/>
          <w:lang w:bidi="ar"/>
        </w:rPr>
        <w:t>3.8.2 拟推荐中标候选人的注册建造师专业、数量应满足相应建筑业企业资质标准要求，评标委员会在推荐中标候选人前，将对此进行核查，不满足要求的不得被推荐为中标候选人。具体见评标办法前附表。</w:t>
      </w:r>
    </w:p>
    <w:p w14:paraId="1C07B30A">
      <w:pPr>
        <w:spacing w:beforeLines="0" w:afterLines="0" w:line="360" w:lineRule="auto"/>
        <w:rPr>
          <w:rFonts w:hint="eastAsia" w:ascii="Times New Roman"/>
          <w:color w:val="auto"/>
          <w:sz w:val="24"/>
          <w:szCs w:val="24"/>
          <w:highlight w:val="none"/>
        </w:rPr>
      </w:pPr>
      <w:r>
        <w:rPr>
          <w:rFonts w:hint="eastAsia" w:ascii="Times New Roman" w:eastAsia="Times New Roman"/>
          <w:color w:val="auto"/>
          <w:sz w:val="24"/>
          <w:szCs w:val="24"/>
          <w:highlight w:val="none"/>
          <w:lang w:bidi="ar"/>
        </w:rPr>
        <w:t>3.8.3 评标委员会完成评标后，应当向招标人提交评标报告。</w:t>
      </w:r>
    </w:p>
    <w:p w14:paraId="761839F6">
      <w:pPr>
        <w:pStyle w:val="2"/>
        <w:spacing w:before="240" w:beforeLines="100" w:after="240" w:afterLines="100" w:line="240" w:lineRule="auto"/>
        <w:jc w:val="center"/>
        <w:rPr>
          <w:rFonts w:hint="eastAsia" w:ascii="Times New Roman" w:eastAsia="黑体"/>
          <w:color w:val="auto"/>
          <w:sz w:val="32"/>
          <w:szCs w:val="44"/>
          <w:highlight w:val="none"/>
        </w:rPr>
      </w:pPr>
      <w:r>
        <w:rPr>
          <w:rFonts w:hint="eastAsia" w:ascii="Times New Roman" w:eastAsia="黑体"/>
          <w:b w:val="0"/>
          <w:color w:val="auto"/>
          <w:sz w:val="32"/>
          <w:szCs w:val="44"/>
          <w:highlight w:val="none"/>
        </w:rPr>
        <w:br w:type="page"/>
      </w:r>
      <w:bookmarkStart w:id="338" w:name="_Toc28799375"/>
      <w:bookmarkStart w:id="339" w:name="_Toc29359"/>
      <w:r>
        <w:rPr>
          <w:rFonts w:hint="eastAsia" w:ascii="Times New Roman"/>
          <w:color w:val="auto"/>
          <w:sz w:val="32"/>
          <w:szCs w:val="44"/>
          <w:highlight w:val="none"/>
        </w:rPr>
        <w:t>第四章  合同条款及格式</w:t>
      </w:r>
      <w:bookmarkEnd w:id="338"/>
      <w:bookmarkEnd w:id="339"/>
    </w:p>
    <w:p w14:paraId="3DF8F9BC">
      <w:pPr>
        <w:keepNext/>
        <w:keepLines/>
        <w:spacing w:before="240" w:beforeLines="100" w:after="240" w:afterLines="100"/>
        <w:jc w:val="center"/>
        <w:outlineLvl w:val="1"/>
        <w:rPr>
          <w:rFonts w:hint="eastAsia" w:ascii="Times New Roman" w:eastAsia="黑体"/>
          <w:color w:val="auto"/>
          <w:sz w:val="32"/>
          <w:szCs w:val="32"/>
          <w:highlight w:val="none"/>
        </w:rPr>
      </w:pPr>
      <w:bookmarkStart w:id="340" w:name="_Toc28799376"/>
      <w:bookmarkStart w:id="341" w:name="_Toc28994"/>
      <w:r>
        <w:rPr>
          <w:rFonts w:hint="eastAsia" w:ascii="Times New Roman" w:eastAsia="黑体"/>
          <w:color w:val="auto"/>
          <w:sz w:val="32"/>
          <w:szCs w:val="32"/>
          <w:highlight w:val="none"/>
        </w:rPr>
        <w:t>第一节  合同协议书</w:t>
      </w:r>
      <w:bookmarkEnd w:id="340"/>
      <w:bookmarkEnd w:id="341"/>
    </w:p>
    <w:p w14:paraId="68795FE3">
      <w:pPr>
        <w:spacing w:beforeLines="0" w:afterLines="0" w:line="360" w:lineRule="auto"/>
        <w:rPr>
          <w:rFonts w:hint="eastAsia" w:ascii="Times New Roman" w:eastAsia="Times New Roman"/>
          <w:b/>
          <w:color w:val="auto"/>
          <w:sz w:val="24"/>
          <w:szCs w:val="24"/>
          <w:highlight w:val="none"/>
          <w:u w:val="single"/>
        </w:rPr>
      </w:pPr>
      <w:r>
        <w:rPr>
          <w:rFonts w:hint="eastAsia" w:ascii="Times New Roman"/>
          <w:b/>
          <w:color w:val="auto"/>
          <w:sz w:val="24"/>
          <w:szCs w:val="24"/>
          <w:highlight w:val="none"/>
        </w:rPr>
        <w:t>发包人（全称）：</w:t>
      </w:r>
      <w:r>
        <w:rPr>
          <w:rFonts w:hint="eastAsia" w:ascii="Times New Roman" w:eastAsia="Times New Roman"/>
          <w:b/>
          <w:color w:val="auto"/>
          <w:sz w:val="24"/>
          <w:szCs w:val="24"/>
          <w:highlight w:val="none"/>
          <w:u w:val="single"/>
        </w:rPr>
        <w:t xml:space="preserve">      </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b/>
          <w:color w:val="auto"/>
          <w:sz w:val="24"/>
          <w:szCs w:val="24"/>
          <w:highlight w:val="none"/>
          <w:u w:val="single"/>
        </w:rPr>
        <w:t xml:space="preserve"> </w:t>
      </w:r>
      <w:r>
        <w:rPr>
          <w:rFonts w:hint="eastAsia" w:ascii="Times New Roman" w:eastAsia="Times New Roman"/>
          <w:b/>
          <w:color w:val="auto"/>
          <w:sz w:val="24"/>
          <w:szCs w:val="24"/>
          <w:highlight w:val="none"/>
          <w:u w:val="single"/>
        </w:rPr>
        <w:t xml:space="preserve">    </w:t>
      </w:r>
      <w:r>
        <w:rPr>
          <w:rFonts w:hint="eastAsia" w:ascii="Times New Roman"/>
          <w:b/>
          <w:color w:val="auto"/>
          <w:sz w:val="24"/>
          <w:szCs w:val="24"/>
          <w:highlight w:val="none"/>
          <w:u w:val="single"/>
        </w:rPr>
        <w:t xml:space="preserve"> </w:t>
      </w:r>
      <w:r>
        <w:rPr>
          <w:rFonts w:hint="eastAsia" w:ascii="Times New Roman" w:eastAsia="Times New Roman"/>
          <w:b/>
          <w:color w:val="auto"/>
          <w:sz w:val="24"/>
          <w:szCs w:val="24"/>
          <w:highlight w:val="none"/>
          <w:u w:val="single"/>
        </w:rPr>
        <w:t xml:space="preserve">   </w:t>
      </w:r>
      <w:r>
        <w:rPr>
          <w:rFonts w:hint="eastAsia" w:ascii="Times New Roman"/>
          <w:b/>
          <w:color w:val="auto"/>
          <w:sz w:val="24"/>
          <w:szCs w:val="24"/>
          <w:highlight w:val="none"/>
          <w:u w:val="single"/>
        </w:rPr>
        <w:t xml:space="preserve"> </w:t>
      </w:r>
    </w:p>
    <w:p w14:paraId="4293D8FC">
      <w:pPr>
        <w:spacing w:beforeLines="0" w:afterLines="0" w:line="360" w:lineRule="auto"/>
        <w:rPr>
          <w:rFonts w:hint="eastAsia" w:ascii="Times New Roman" w:eastAsia="Times New Roman"/>
          <w:b/>
          <w:color w:val="auto"/>
          <w:sz w:val="30"/>
          <w:szCs w:val="30"/>
          <w:highlight w:val="none"/>
          <w:u w:val="single"/>
        </w:rPr>
      </w:pPr>
      <w:r>
        <w:rPr>
          <w:rFonts w:hint="eastAsia" w:ascii="Times New Roman"/>
          <w:b/>
          <w:color w:val="auto"/>
          <w:sz w:val="24"/>
          <w:szCs w:val="24"/>
          <w:highlight w:val="none"/>
        </w:rPr>
        <w:t>承包人（全称）：</w:t>
      </w:r>
      <w:r>
        <w:rPr>
          <w:rFonts w:hint="eastAsia" w:ascii="Times New Roman" w:eastAsia="Times New Roman"/>
          <w:b/>
          <w:color w:val="auto"/>
          <w:sz w:val="24"/>
          <w:szCs w:val="24"/>
          <w:highlight w:val="none"/>
          <w:u w:val="single"/>
        </w:rPr>
        <w:t xml:space="preserve">  </w:t>
      </w:r>
      <w:r>
        <w:rPr>
          <w:rFonts w:hint="eastAsia" w:ascii="Times New Roman"/>
          <w:b/>
          <w:color w:val="auto"/>
          <w:sz w:val="24"/>
          <w:szCs w:val="24"/>
          <w:highlight w:val="none"/>
          <w:u w:val="single"/>
        </w:rPr>
        <w:t xml:space="preserve"> </w:t>
      </w:r>
      <w:r>
        <w:rPr>
          <w:rFonts w:hint="eastAsia" w:ascii="Times New Roman" w:eastAsia="Times New Roman"/>
          <w:b/>
          <w:color w:val="auto"/>
          <w:sz w:val="24"/>
          <w:szCs w:val="24"/>
          <w:highlight w:val="none"/>
          <w:u w:val="single"/>
        </w:rPr>
        <w:t xml:space="preserve">       </w:t>
      </w:r>
      <w:r>
        <w:rPr>
          <w:rFonts w:hint="eastAsia" w:ascii="Times New Roman"/>
          <w:b/>
          <w:color w:val="auto"/>
          <w:sz w:val="24"/>
          <w:szCs w:val="24"/>
          <w:highlight w:val="none"/>
          <w:u w:val="single"/>
        </w:rPr>
        <w:t xml:space="preserve"> </w:t>
      </w:r>
      <w:r>
        <w:rPr>
          <w:rFonts w:hint="eastAsia" w:ascii="Times New Roman" w:eastAsia="Times New Roman"/>
          <w:b/>
          <w:color w:val="auto"/>
          <w:sz w:val="24"/>
          <w:szCs w:val="24"/>
          <w:highlight w:val="none"/>
          <w:u w:val="single"/>
        </w:rPr>
        <w:t xml:space="preserve">   </w:t>
      </w:r>
      <w:r>
        <w:rPr>
          <w:rFonts w:hint="eastAsia" w:ascii="Times New Roman"/>
          <w:b/>
          <w:color w:val="auto"/>
          <w:sz w:val="24"/>
          <w:szCs w:val="24"/>
          <w:highlight w:val="none"/>
          <w:u w:val="single"/>
        </w:rPr>
        <w:t xml:space="preserve">   </w:t>
      </w:r>
      <w:r>
        <w:rPr>
          <w:rFonts w:hint="eastAsia" w:ascii="Times New Roman" w:eastAsia="Times New Roman"/>
          <w:b/>
          <w:color w:val="auto"/>
          <w:sz w:val="24"/>
          <w:szCs w:val="24"/>
          <w:highlight w:val="none"/>
          <w:u w:val="single"/>
        </w:rPr>
        <w:t xml:space="preserve"> </w:t>
      </w:r>
      <w:r>
        <w:rPr>
          <w:rFonts w:hint="eastAsia" w:ascii="Times New Roman"/>
          <w:b/>
          <w:color w:val="auto"/>
          <w:sz w:val="24"/>
          <w:szCs w:val="24"/>
          <w:highlight w:val="none"/>
          <w:u w:val="single"/>
        </w:rPr>
        <w:t xml:space="preserve">  </w:t>
      </w:r>
      <w:r>
        <w:rPr>
          <w:rFonts w:hint="eastAsia" w:ascii="Times New Roman" w:eastAsia="Times New Roman"/>
          <w:b/>
          <w:color w:val="auto"/>
          <w:sz w:val="24"/>
          <w:szCs w:val="24"/>
          <w:highlight w:val="none"/>
          <w:u w:val="single"/>
        </w:rPr>
        <w:t></w:t>
      </w:r>
      <w:r>
        <w:rPr>
          <w:rFonts w:hint="eastAsia" w:ascii="Times New Roman"/>
          <w:b/>
          <w:color w:val="auto"/>
          <w:sz w:val="24"/>
          <w:szCs w:val="24"/>
          <w:highlight w:val="none"/>
          <w:u w:val="single"/>
        </w:rPr>
        <w:t xml:space="preserve">  </w:t>
      </w:r>
      <w:r>
        <w:rPr>
          <w:rFonts w:hint="eastAsia" w:ascii="Times New Roman" w:eastAsia="Times New Roman"/>
          <w:b/>
          <w:color w:val="auto"/>
          <w:sz w:val="24"/>
          <w:szCs w:val="24"/>
          <w:highlight w:val="none"/>
          <w:u w:val="single"/>
        </w:rPr>
        <w:t></w:t>
      </w:r>
    </w:p>
    <w:p w14:paraId="2D6386B4">
      <w:pPr>
        <w:spacing w:beforeLines="0" w:afterLines="0" w:line="360" w:lineRule="auto"/>
        <w:ind w:firstLine="480" w:firstLineChars="200"/>
        <w:rPr>
          <w:rFonts w:hint="eastAsia" w:ascii="Times New Roman"/>
          <w:color w:val="auto"/>
          <w:sz w:val="24"/>
          <w:szCs w:val="21"/>
          <w:highlight w:val="none"/>
        </w:rPr>
      </w:pPr>
    </w:p>
    <w:p w14:paraId="41B1398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根据《中华人民共和国民法典》《中华人民共和国建筑法》及有关法律规定，遵循平等、自愿、公平和诚实信用的原则，双方就</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工程施工及有关事项协商一致，共同达成如下协议：</w:t>
      </w:r>
      <w:bookmarkStart w:id="342" w:name="_Toc351203481"/>
    </w:p>
    <w:p w14:paraId="1F673FD1">
      <w:pPr>
        <w:spacing w:beforeLines="0" w:afterLines="0" w:line="360" w:lineRule="auto"/>
        <w:ind w:firstLine="482" w:firstLineChars="200"/>
        <w:rPr>
          <w:rFonts w:hint="eastAsia" w:ascii="Times New Roman" w:eastAsia="Times New Roman"/>
          <w:color w:val="auto"/>
          <w:sz w:val="24"/>
          <w:szCs w:val="21"/>
          <w:highlight w:val="none"/>
        </w:rPr>
      </w:pPr>
      <w:r>
        <w:rPr>
          <w:rFonts w:hint="eastAsia" w:ascii="Times New Roman"/>
          <w:b/>
          <w:color w:val="auto"/>
          <w:sz w:val="24"/>
          <w:szCs w:val="21"/>
          <w:highlight w:val="none"/>
        </w:rPr>
        <w:t>一、工程概况</w:t>
      </w:r>
      <w:bookmarkEnd w:id="342"/>
    </w:p>
    <w:p w14:paraId="397A35EE">
      <w:pPr>
        <w:spacing w:beforeLines="0" w:afterLines="0" w:line="360" w:lineRule="auto"/>
        <w:ind w:firstLine="470" w:firstLineChars="196"/>
        <w:rPr>
          <w:rFonts w:hint="eastAsia" w:ascii="Times New Roman" w:eastAsia="Times New Roman"/>
          <w:color w:val="auto"/>
          <w:sz w:val="24"/>
          <w:szCs w:val="21"/>
          <w:highlight w:val="none"/>
          <w:u w:val="single"/>
        </w:rPr>
      </w:pPr>
      <w:r>
        <w:rPr>
          <w:rFonts w:hint="eastAsia" w:ascii="Times New Roman" w:eastAsia="Times New Roman"/>
          <w:color w:val="auto"/>
          <w:sz w:val="24"/>
          <w:szCs w:val="21"/>
          <w:highlight w:val="none"/>
        </w:rPr>
        <w:t>1.</w:t>
      </w:r>
      <w:r>
        <w:rPr>
          <w:rFonts w:hint="eastAsia" w:ascii="Times New Roman"/>
          <w:color w:val="auto"/>
          <w:sz w:val="24"/>
          <w:szCs w:val="21"/>
          <w:highlight w:val="none"/>
        </w:rPr>
        <w:t xml:space="preserve"> 工程名称：</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769BACE5">
      <w:pPr>
        <w:spacing w:beforeLines="0" w:afterLines="0" w:line="360" w:lineRule="auto"/>
        <w:ind w:firstLine="470" w:firstLineChars="196"/>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2.</w:t>
      </w:r>
      <w:r>
        <w:rPr>
          <w:rFonts w:hint="eastAsia" w:ascii="Times New Roman"/>
          <w:color w:val="auto"/>
          <w:sz w:val="24"/>
          <w:szCs w:val="21"/>
          <w:highlight w:val="none"/>
        </w:rPr>
        <w:t xml:space="preserve"> 工程地点：</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1014B875">
      <w:pPr>
        <w:spacing w:beforeLines="0" w:afterLines="0" w:line="360" w:lineRule="auto"/>
        <w:ind w:firstLine="470" w:firstLineChars="196"/>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3.</w:t>
      </w:r>
      <w:r>
        <w:rPr>
          <w:rFonts w:hint="eastAsia" w:ascii="Times New Roman"/>
          <w:color w:val="auto"/>
          <w:sz w:val="24"/>
          <w:szCs w:val="21"/>
          <w:highlight w:val="none"/>
        </w:rPr>
        <w:t xml:space="preserve"> 工程立项批准文号：</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5CC05072">
      <w:pPr>
        <w:spacing w:beforeLines="0" w:afterLines="0" w:line="360" w:lineRule="auto"/>
        <w:ind w:firstLine="470" w:firstLineChars="196"/>
        <w:rPr>
          <w:rFonts w:hint="eastAsia" w:ascii="Times New Roman"/>
          <w:color w:val="auto"/>
          <w:sz w:val="24"/>
          <w:szCs w:val="21"/>
          <w:highlight w:val="none"/>
        </w:rPr>
      </w:pPr>
      <w:r>
        <w:rPr>
          <w:rFonts w:hint="eastAsia" w:ascii="Times New Roman" w:eastAsia="Times New Roman"/>
          <w:color w:val="auto"/>
          <w:sz w:val="24"/>
          <w:szCs w:val="21"/>
          <w:highlight w:val="none"/>
        </w:rPr>
        <w:t>4.</w:t>
      </w:r>
      <w:r>
        <w:rPr>
          <w:rFonts w:hint="eastAsia" w:ascii="Times New Roman"/>
          <w:color w:val="auto"/>
          <w:sz w:val="24"/>
          <w:szCs w:val="21"/>
          <w:highlight w:val="none"/>
        </w:rPr>
        <w:t xml:space="preserve"> 资金来源：</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4186D2CC">
      <w:pPr>
        <w:spacing w:beforeLines="0" w:afterLines="0" w:line="360" w:lineRule="auto"/>
        <w:ind w:firstLine="470" w:firstLineChars="196"/>
        <w:rPr>
          <w:rFonts w:hint="eastAsia" w:ascii="Times New Roman"/>
          <w:color w:val="auto"/>
          <w:sz w:val="24"/>
          <w:szCs w:val="21"/>
          <w:highlight w:val="none"/>
        </w:rPr>
      </w:pPr>
      <w:r>
        <w:rPr>
          <w:rFonts w:hint="eastAsia" w:ascii="Times New Roman"/>
          <w:color w:val="auto"/>
          <w:sz w:val="24"/>
          <w:szCs w:val="21"/>
          <w:highlight w:val="none"/>
        </w:rPr>
        <w:t>5. 工程内容：</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5A63F008">
      <w:pPr>
        <w:spacing w:beforeLines="0" w:afterLines="0" w:line="360" w:lineRule="auto"/>
        <w:ind w:firstLine="470" w:firstLineChars="196"/>
        <w:rPr>
          <w:rFonts w:hint="eastAsia" w:ascii="Times New Roman" w:eastAsia="Times New Roman"/>
          <w:color w:val="auto"/>
          <w:sz w:val="24"/>
          <w:szCs w:val="21"/>
          <w:highlight w:val="none"/>
        </w:rPr>
      </w:pPr>
      <w:r>
        <w:rPr>
          <w:rFonts w:hint="eastAsia" w:ascii="Times New Roman"/>
          <w:color w:val="auto"/>
          <w:sz w:val="24"/>
          <w:szCs w:val="21"/>
          <w:highlight w:val="none"/>
        </w:rPr>
        <w:t>群体工程应附《承包人承揽工程项目一览表》（附件1）。</w:t>
      </w:r>
    </w:p>
    <w:p w14:paraId="382615FA">
      <w:pPr>
        <w:spacing w:beforeLines="0" w:afterLines="0" w:line="360" w:lineRule="auto"/>
        <w:ind w:firstLine="470" w:firstLineChars="196"/>
        <w:rPr>
          <w:rFonts w:hint="eastAsia" w:ascii="Times New Roman" w:eastAsia="Times New Roman"/>
          <w:color w:val="auto"/>
          <w:sz w:val="24"/>
          <w:szCs w:val="21"/>
          <w:highlight w:val="none"/>
        </w:rPr>
      </w:pPr>
      <w:r>
        <w:rPr>
          <w:rFonts w:hint="eastAsia" w:ascii="Times New Roman"/>
          <w:color w:val="auto"/>
          <w:sz w:val="24"/>
          <w:szCs w:val="21"/>
          <w:highlight w:val="none"/>
        </w:rPr>
        <w:t>6</w:t>
      </w:r>
      <w:r>
        <w:rPr>
          <w:rFonts w:hint="eastAsia" w:ascii="Times New Roman" w:eastAsia="Times New Roman"/>
          <w:color w:val="auto"/>
          <w:sz w:val="24"/>
          <w:szCs w:val="21"/>
          <w:highlight w:val="none"/>
        </w:rPr>
        <w:t>.</w:t>
      </w:r>
      <w:r>
        <w:rPr>
          <w:rFonts w:hint="eastAsia" w:ascii="Times New Roman"/>
          <w:color w:val="auto"/>
          <w:sz w:val="24"/>
          <w:szCs w:val="21"/>
          <w:highlight w:val="none"/>
        </w:rPr>
        <w:t xml:space="preserve"> 工程承包范围：</w:t>
      </w:r>
    </w:p>
    <w:p w14:paraId="31012D38">
      <w:pPr>
        <w:spacing w:beforeLines="0" w:afterLines="0" w:line="360" w:lineRule="auto"/>
        <w:ind w:firstLine="463" w:firstLineChars="193"/>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lang w:eastAsia="zh-CN"/>
        </w:rPr>
        <w:t>（</w:t>
      </w:r>
      <w:r>
        <w:rPr>
          <w:rFonts w:hint="eastAsia" w:ascii="Times New Roman"/>
          <w:color w:val="auto"/>
          <w:sz w:val="24"/>
          <w:szCs w:val="21"/>
          <w:highlight w:val="none"/>
          <w:u w:val="single"/>
        </w:rPr>
        <w:t>见招标公告</w:t>
      </w:r>
      <w:r>
        <w:rPr>
          <w:rFonts w:hint="eastAsia" w:ascii="Times New Roman"/>
          <w:color w:val="auto"/>
          <w:sz w:val="24"/>
          <w:szCs w:val="21"/>
          <w:highlight w:val="none"/>
          <w:u w:val="single"/>
          <w:lang w:eastAsia="zh-CN"/>
        </w:rPr>
        <w:t>）</w:t>
      </w:r>
      <w:r>
        <w:rPr>
          <w:rFonts w:hint="eastAsia" w:ascii="Times New Roman" w:eastAsia="Times New Roman"/>
          <w:color w:val="auto"/>
          <w:sz w:val="24"/>
          <w:szCs w:val="21"/>
          <w:highlight w:val="none"/>
          <w:u w:val="single"/>
        </w:rPr>
        <w:t></w:t>
      </w:r>
      <w:r>
        <w:rPr>
          <w:rFonts w:hint="eastAsia" w:ascii="Times New Roman" w:eastAsia="宋体"/>
          <w:color w:val="auto"/>
          <w:sz w:val="24"/>
          <w:szCs w:val="21"/>
          <w:highlight w:val="none"/>
          <w:u w:val="single"/>
          <w:lang w:val="en-US" w:eastAsia="zh-CN"/>
        </w:rPr>
        <w:t xml:space="preserve"> </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p>
    <w:p w14:paraId="3E205ACF">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w:t>
      </w:r>
    </w:p>
    <w:p w14:paraId="46145E04">
      <w:pPr>
        <w:spacing w:beforeLines="0" w:afterLines="0" w:line="360" w:lineRule="auto"/>
        <w:ind w:firstLine="482" w:firstLineChars="200"/>
        <w:rPr>
          <w:rFonts w:hint="eastAsia" w:ascii="Times New Roman" w:eastAsia="Times New Roman"/>
          <w:b/>
          <w:color w:val="auto"/>
          <w:sz w:val="24"/>
          <w:szCs w:val="21"/>
          <w:highlight w:val="none"/>
        </w:rPr>
      </w:pPr>
      <w:bookmarkStart w:id="343" w:name="_Toc351203482"/>
      <w:r>
        <w:rPr>
          <w:rFonts w:hint="eastAsia" w:ascii="Times New Roman"/>
          <w:b/>
          <w:color w:val="auto"/>
          <w:sz w:val="24"/>
          <w:szCs w:val="21"/>
          <w:highlight w:val="none"/>
        </w:rPr>
        <w:t>二、合同工期</w:t>
      </w:r>
      <w:bookmarkEnd w:id="343"/>
    </w:p>
    <w:p w14:paraId="2F8A2517">
      <w:pPr>
        <w:spacing w:beforeLines="0" w:afterLines="0" w:line="360" w:lineRule="auto"/>
        <w:ind w:firstLine="459"/>
        <w:rPr>
          <w:rFonts w:hint="eastAsia" w:ascii="Times New Roman" w:eastAsia="Times New Roman"/>
          <w:color w:val="auto"/>
          <w:sz w:val="24"/>
          <w:szCs w:val="21"/>
          <w:highlight w:val="none"/>
        </w:rPr>
      </w:pPr>
      <w:r>
        <w:rPr>
          <w:rFonts w:hint="eastAsia" w:ascii="Times New Roman"/>
          <w:color w:val="auto"/>
          <w:sz w:val="24"/>
          <w:szCs w:val="21"/>
          <w:highlight w:val="none"/>
        </w:rPr>
        <w:t>计划开工日期：</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年</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月</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日。</w:t>
      </w:r>
    </w:p>
    <w:p w14:paraId="12E86AC1">
      <w:pPr>
        <w:spacing w:beforeLines="0" w:afterLines="0" w:line="360" w:lineRule="auto"/>
        <w:ind w:firstLine="459"/>
        <w:rPr>
          <w:rFonts w:hint="eastAsia" w:ascii="Times New Roman" w:eastAsia="Times New Roman"/>
          <w:color w:val="auto"/>
          <w:sz w:val="24"/>
          <w:szCs w:val="21"/>
          <w:highlight w:val="none"/>
        </w:rPr>
      </w:pPr>
      <w:r>
        <w:rPr>
          <w:rFonts w:hint="eastAsia" w:ascii="Times New Roman"/>
          <w:color w:val="auto"/>
          <w:sz w:val="24"/>
          <w:szCs w:val="21"/>
          <w:highlight w:val="none"/>
        </w:rPr>
        <w:t>计划竣工日期：</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年</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月</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日。</w:t>
      </w:r>
    </w:p>
    <w:p w14:paraId="203EF675">
      <w:pPr>
        <w:spacing w:beforeLines="0" w:afterLines="0" w:line="360" w:lineRule="auto"/>
        <w:ind w:firstLine="459"/>
        <w:rPr>
          <w:rFonts w:hint="eastAsia" w:ascii="Times New Roman" w:eastAsia="Times New Roman"/>
          <w:color w:val="auto"/>
          <w:sz w:val="24"/>
          <w:szCs w:val="21"/>
          <w:highlight w:val="none"/>
        </w:rPr>
      </w:pPr>
      <w:r>
        <w:rPr>
          <w:rFonts w:hint="eastAsia" w:ascii="Times New Roman"/>
          <w:color w:val="auto"/>
          <w:sz w:val="24"/>
          <w:szCs w:val="21"/>
          <w:highlight w:val="none"/>
        </w:rPr>
        <w:t>工期总日历天数：</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天。工期总日历天数与根据前述计划开竣工日期计算的工期天数不一致的，以工期总日历天数为准。</w:t>
      </w:r>
    </w:p>
    <w:p w14:paraId="701993E6">
      <w:pPr>
        <w:spacing w:beforeLines="0" w:afterLines="0" w:line="360" w:lineRule="auto"/>
        <w:ind w:firstLine="482" w:firstLineChars="200"/>
        <w:rPr>
          <w:rFonts w:hint="eastAsia" w:ascii="Times New Roman" w:eastAsia="Times New Roman"/>
          <w:b/>
          <w:color w:val="auto"/>
          <w:sz w:val="24"/>
          <w:szCs w:val="21"/>
          <w:highlight w:val="none"/>
        </w:rPr>
      </w:pPr>
      <w:bookmarkStart w:id="344" w:name="_Toc351203483"/>
      <w:r>
        <w:rPr>
          <w:rFonts w:hint="eastAsia" w:ascii="Times New Roman"/>
          <w:b/>
          <w:color w:val="auto"/>
          <w:sz w:val="24"/>
          <w:szCs w:val="21"/>
          <w:highlight w:val="none"/>
        </w:rPr>
        <w:t>三、质量标准</w:t>
      </w:r>
      <w:bookmarkEnd w:id="344"/>
    </w:p>
    <w:p w14:paraId="38FAC8C9">
      <w:pPr>
        <w:spacing w:beforeLines="0" w:afterLines="0" w:line="360" w:lineRule="auto"/>
        <w:ind w:firstLine="459"/>
        <w:rPr>
          <w:rFonts w:hint="eastAsia" w:ascii="Times New Roman" w:eastAsia="Times New Roman"/>
          <w:color w:val="auto"/>
          <w:sz w:val="24"/>
          <w:szCs w:val="21"/>
          <w:highlight w:val="none"/>
        </w:rPr>
      </w:pPr>
      <w:r>
        <w:rPr>
          <w:rFonts w:hint="eastAsia" w:ascii="Times New Roman"/>
          <w:color w:val="auto"/>
          <w:sz w:val="24"/>
          <w:szCs w:val="21"/>
          <w:highlight w:val="none"/>
        </w:rPr>
        <w:t>工程质量符合</w:t>
      </w:r>
      <w:r>
        <w:rPr>
          <w:rFonts w:hint="eastAsia" w:ascii="Times New Roman" w:eastAsia="Times New Roman"/>
          <w:color w:val="auto"/>
          <w:sz w:val="24"/>
          <w:szCs w:val="21"/>
          <w:highlight w:val="none"/>
          <w:u w:val="single"/>
        </w:rPr>
        <w:t></w:t>
      </w:r>
      <w:r>
        <w:rPr>
          <w:rFonts w:hint="eastAsia" w:ascii="Times New Roman" w:eastAsia="宋体"/>
          <w:color w:val="auto"/>
          <w:sz w:val="24"/>
          <w:szCs w:val="21"/>
          <w:highlight w:val="none"/>
          <w:u w:val="single"/>
          <w:lang w:val="en-US" w:eastAsia="zh-CN"/>
        </w:rPr>
        <w:t>合格</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rPr>
        <w:t>标准。</w:t>
      </w:r>
    </w:p>
    <w:p w14:paraId="0CA80AF5">
      <w:pPr>
        <w:spacing w:beforeLines="0" w:afterLines="0" w:line="360" w:lineRule="auto"/>
        <w:ind w:firstLine="482" w:firstLineChars="200"/>
        <w:rPr>
          <w:rFonts w:hint="eastAsia" w:ascii="Times New Roman" w:eastAsia="Times New Roman"/>
          <w:b/>
          <w:color w:val="auto"/>
          <w:sz w:val="24"/>
          <w:szCs w:val="21"/>
          <w:highlight w:val="none"/>
        </w:rPr>
      </w:pPr>
      <w:bookmarkStart w:id="345" w:name="_Toc351203484"/>
      <w:r>
        <w:rPr>
          <w:rFonts w:hint="eastAsia" w:ascii="Times New Roman"/>
          <w:b/>
          <w:color w:val="auto"/>
          <w:sz w:val="24"/>
          <w:szCs w:val="21"/>
          <w:highlight w:val="none"/>
        </w:rPr>
        <w:t>四、签约合同价与合同价格形式</w:t>
      </w:r>
      <w:bookmarkEnd w:id="345"/>
    </w:p>
    <w:p w14:paraId="43F6C73A">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1.</w:t>
      </w:r>
      <w:r>
        <w:rPr>
          <w:rFonts w:hint="eastAsia" w:ascii="Times New Roman"/>
          <w:color w:val="auto"/>
          <w:sz w:val="24"/>
          <w:szCs w:val="21"/>
          <w:highlight w:val="none"/>
        </w:rPr>
        <w:t xml:space="preserve"> 签约合同价为：</w:t>
      </w:r>
    </w:p>
    <w:p w14:paraId="307EB404">
      <w:pPr>
        <w:spacing w:beforeLines="0" w:afterLines="0" w:line="360" w:lineRule="auto"/>
        <w:ind w:firstLine="600" w:firstLineChars="250"/>
        <w:rPr>
          <w:rFonts w:hint="eastAsia" w:ascii="Times New Roman" w:eastAsia="Times New Roman"/>
          <w:color w:val="auto"/>
          <w:sz w:val="24"/>
          <w:szCs w:val="21"/>
          <w:highlight w:val="none"/>
        </w:rPr>
      </w:pPr>
      <w:r>
        <w:rPr>
          <w:rFonts w:hint="eastAsia" w:ascii="Times New Roman"/>
          <w:color w:val="auto"/>
          <w:sz w:val="24"/>
          <w:szCs w:val="21"/>
          <w:highlight w:val="none"/>
        </w:rPr>
        <w:t>人民币（大写）</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w:t>
      </w:r>
      <w:r>
        <w:rPr>
          <w:rFonts w:hint="eastAsia" w:ascii="Times New Roman" w:eastAsia="Times New Roman"/>
          <w:color w:val="auto"/>
          <w:sz w:val="24"/>
          <w:szCs w:val="21"/>
          <w:highlight w:val="none"/>
        </w:rPr>
        <w:t>¥</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元）；</w:t>
      </w:r>
    </w:p>
    <w:p w14:paraId="32863307">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其中：</w:t>
      </w:r>
    </w:p>
    <w:p w14:paraId="02F40801">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（1）安全文明施工费：</w:t>
      </w:r>
    </w:p>
    <w:p w14:paraId="1C724F82">
      <w:pPr>
        <w:spacing w:beforeLines="0" w:afterLines="0" w:line="360" w:lineRule="auto"/>
        <w:ind w:firstLine="1080" w:firstLineChars="450"/>
        <w:rPr>
          <w:rFonts w:hint="eastAsia" w:ascii="Times New Roman" w:eastAsia="Times New Roman"/>
          <w:color w:val="auto"/>
          <w:sz w:val="24"/>
          <w:szCs w:val="21"/>
          <w:highlight w:val="none"/>
        </w:rPr>
      </w:pPr>
      <w:r>
        <w:rPr>
          <w:rFonts w:hint="eastAsia" w:ascii="Times New Roman"/>
          <w:color w:val="auto"/>
          <w:sz w:val="24"/>
          <w:szCs w:val="21"/>
          <w:highlight w:val="none"/>
        </w:rPr>
        <w:t>人民币（大写）</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w:t>
      </w:r>
      <w:r>
        <w:rPr>
          <w:rFonts w:hint="eastAsia" w:ascii="Times New Roman" w:eastAsia="Times New Roman"/>
          <w:color w:val="auto"/>
          <w:sz w:val="24"/>
          <w:szCs w:val="21"/>
          <w:highlight w:val="none"/>
        </w:rPr>
        <w:t>¥</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元）；</w:t>
      </w:r>
    </w:p>
    <w:p w14:paraId="4A75A07D">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（2）材料和工程设备暂估价金额：</w:t>
      </w:r>
    </w:p>
    <w:p w14:paraId="7BBD80E0">
      <w:pPr>
        <w:spacing w:beforeLines="0" w:afterLines="0" w:line="360" w:lineRule="auto"/>
        <w:ind w:firstLine="1080" w:firstLineChars="450"/>
        <w:rPr>
          <w:rFonts w:hint="eastAsia" w:ascii="Times New Roman" w:eastAsia="Times New Roman"/>
          <w:color w:val="auto"/>
          <w:sz w:val="24"/>
          <w:szCs w:val="21"/>
          <w:highlight w:val="none"/>
        </w:rPr>
      </w:pPr>
      <w:r>
        <w:rPr>
          <w:rFonts w:hint="eastAsia" w:ascii="Times New Roman"/>
          <w:color w:val="auto"/>
          <w:sz w:val="24"/>
          <w:szCs w:val="21"/>
          <w:highlight w:val="none"/>
        </w:rPr>
        <w:t>人民币（大写）</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w:t>
      </w:r>
      <w:r>
        <w:rPr>
          <w:rFonts w:hint="eastAsia" w:ascii="Times New Roman" w:eastAsia="Times New Roman"/>
          <w:color w:val="auto"/>
          <w:sz w:val="24"/>
          <w:szCs w:val="21"/>
          <w:highlight w:val="none"/>
        </w:rPr>
        <w:t>¥</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元）；</w:t>
      </w:r>
    </w:p>
    <w:p w14:paraId="6409FF8B">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（3）专业工程暂估价金额：</w:t>
      </w:r>
    </w:p>
    <w:p w14:paraId="60319566">
      <w:pPr>
        <w:spacing w:beforeLines="0" w:afterLines="0" w:line="360" w:lineRule="auto"/>
        <w:ind w:firstLine="1080" w:firstLineChars="450"/>
        <w:rPr>
          <w:rFonts w:hint="eastAsia" w:ascii="Times New Roman" w:eastAsia="Times New Roman"/>
          <w:color w:val="auto"/>
          <w:sz w:val="24"/>
          <w:szCs w:val="21"/>
          <w:highlight w:val="none"/>
        </w:rPr>
      </w:pPr>
      <w:r>
        <w:rPr>
          <w:rFonts w:hint="eastAsia" w:ascii="Times New Roman"/>
          <w:color w:val="auto"/>
          <w:sz w:val="24"/>
          <w:szCs w:val="21"/>
          <w:highlight w:val="none"/>
        </w:rPr>
        <w:t>人民币（大写）</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w:t>
      </w:r>
      <w:r>
        <w:rPr>
          <w:rFonts w:hint="eastAsia" w:ascii="Times New Roman" w:eastAsia="Times New Roman"/>
          <w:color w:val="auto"/>
          <w:sz w:val="24"/>
          <w:szCs w:val="21"/>
          <w:highlight w:val="none"/>
        </w:rPr>
        <w:t>¥</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元）；</w:t>
      </w:r>
    </w:p>
    <w:p w14:paraId="6D3F2DA5">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（4）暂列金额：</w:t>
      </w:r>
    </w:p>
    <w:p w14:paraId="20E9F8F7">
      <w:pPr>
        <w:spacing w:beforeLines="0" w:afterLines="0" w:line="360" w:lineRule="auto"/>
        <w:ind w:firstLine="1080" w:firstLineChars="450"/>
        <w:rPr>
          <w:rFonts w:hint="eastAsia" w:ascii="Times New Roman" w:eastAsia="Times New Roman"/>
          <w:color w:val="auto"/>
          <w:sz w:val="24"/>
          <w:szCs w:val="21"/>
          <w:highlight w:val="none"/>
        </w:rPr>
      </w:pPr>
      <w:r>
        <w:rPr>
          <w:rFonts w:hint="eastAsia" w:ascii="Times New Roman"/>
          <w:color w:val="auto"/>
          <w:sz w:val="24"/>
          <w:szCs w:val="21"/>
          <w:highlight w:val="none"/>
        </w:rPr>
        <w:t>人民币（大写）</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w:t>
      </w:r>
      <w:r>
        <w:rPr>
          <w:rFonts w:hint="eastAsia" w:ascii="Times New Roman" w:eastAsia="Times New Roman"/>
          <w:color w:val="auto"/>
          <w:sz w:val="24"/>
          <w:szCs w:val="21"/>
          <w:highlight w:val="none"/>
        </w:rPr>
        <w:t>¥</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元）。</w:t>
      </w:r>
    </w:p>
    <w:p w14:paraId="5830D847">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2.</w:t>
      </w:r>
      <w:r>
        <w:rPr>
          <w:rFonts w:hint="eastAsia" w:ascii="Times New Roman"/>
          <w:color w:val="auto"/>
          <w:sz w:val="24"/>
          <w:szCs w:val="21"/>
          <w:highlight w:val="none"/>
        </w:rPr>
        <w:t xml:space="preserve"> 合同价格形式：</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0726D1C2">
      <w:pPr>
        <w:spacing w:beforeLines="0" w:afterLines="0" w:line="360" w:lineRule="auto"/>
        <w:ind w:firstLine="482" w:firstLineChars="200"/>
        <w:rPr>
          <w:rFonts w:hint="eastAsia" w:ascii="Times New Roman" w:eastAsia="Times New Roman"/>
          <w:b/>
          <w:color w:val="auto"/>
          <w:sz w:val="24"/>
          <w:szCs w:val="21"/>
          <w:highlight w:val="none"/>
        </w:rPr>
      </w:pPr>
      <w:bookmarkStart w:id="346" w:name="_Toc351203485"/>
      <w:r>
        <w:rPr>
          <w:rFonts w:hint="eastAsia" w:ascii="Times New Roman"/>
          <w:b/>
          <w:color w:val="auto"/>
          <w:sz w:val="24"/>
          <w:szCs w:val="21"/>
          <w:highlight w:val="none"/>
        </w:rPr>
        <w:t>五、</w:t>
      </w:r>
      <w:bookmarkEnd w:id="346"/>
      <w:r>
        <w:rPr>
          <w:rFonts w:hint="eastAsia" w:ascii="Times New Roman"/>
          <w:b/>
          <w:color w:val="auto"/>
          <w:sz w:val="24"/>
          <w:szCs w:val="21"/>
          <w:highlight w:val="none"/>
        </w:rPr>
        <w:t>项目经理</w:t>
      </w:r>
    </w:p>
    <w:p w14:paraId="36358E8F">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承包人项目经理：</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w:t>
      </w:r>
      <w:r>
        <w:rPr>
          <w:rFonts w:hint="eastAsia" w:ascii="Times New Roman"/>
          <w:color w:val="auto"/>
          <w:sz w:val="24"/>
          <w:szCs w:val="21"/>
          <w:highlight w:val="none"/>
        </w:rPr>
        <w:t>。</w:t>
      </w:r>
    </w:p>
    <w:p w14:paraId="3F9F7AE6">
      <w:pPr>
        <w:spacing w:beforeLines="0" w:afterLines="0" w:line="360" w:lineRule="auto"/>
        <w:ind w:firstLine="482" w:firstLineChars="200"/>
        <w:rPr>
          <w:rFonts w:hint="eastAsia" w:ascii="Times New Roman" w:eastAsia="Times New Roman"/>
          <w:b/>
          <w:color w:val="auto"/>
          <w:sz w:val="24"/>
          <w:szCs w:val="21"/>
          <w:highlight w:val="none"/>
        </w:rPr>
      </w:pPr>
      <w:bookmarkStart w:id="347" w:name="_Toc351203486"/>
      <w:r>
        <w:rPr>
          <w:rFonts w:hint="eastAsia" w:ascii="Times New Roman"/>
          <w:b/>
          <w:color w:val="auto"/>
          <w:sz w:val="24"/>
          <w:szCs w:val="21"/>
          <w:highlight w:val="none"/>
        </w:rPr>
        <w:t>六、合同文件构成</w:t>
      </w:r>
      <w:bookmarkEnd w:id="347"/>
    </w:p>
    <w:p w14:paraId="2D75F9A6">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本协议书与下列文件一起构成合同文件：</w:t>
      </w:r>
    </w:p>
    <w:p w14:paraId="138511AF">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（1）中标通知书（如果有）；</w:t>
      </w:r>
    </w:p>
    <w:p w14:paraId="387B7D5F">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（2）投标函及其附录（如果有）； </w:t>
      </w:r>
    </w:p>
    <w:p w14:paraId="72692598">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（3）专用合同条款及其附件；</w:t>
      </w:r>
    </w:p>
    <w:p w14:paraId="75FA3A82">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（4）通用合同条款；</w:t>
      </w:r>
    </w:p>
    <w:p w14:paraId="79644A8C">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（5）技术标准和要求；</w:t>
      </w:r>
    </w:p>
    <w:p w14:paraId="41765E05">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（6）图纸；</w:t>
      </w:r>
    </w:p>
    <w:p w14:paraId="2C1A30E0">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（7）已标价工程量清单或预算书；</w:t>
      </w:r>
    </w:p>
    <w:p w14:paraId="1280C0B8">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（8）其他合同文件。</w:t>
      </w:r>
    </w:p>
    <w:p w14:paraId="4804C469">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在合同订立及履行过程中形成的与合同有关的文件均构成合同文件组成部分。</w:t>
      </w:r>
    </w:p>
    <w:p w14:paraId="4009DB90">
      <w:pPr>
        <w:autoSpaceDE w:val="0"/>
        <w:autoSpaceDN w:val="0"/>
        <w:adjustRightInd w:val="0"/>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上述各项合同文件包括合同当事人就该项合同文件所作出的补充和修改，属于同一类内容的文件，应以最新签署的为准。专用合同条款及其附件须经合同当事人签字或盖章。</w:t>
      </w:r>
    </w:p>
    <w:p w14:paraId="35518F59">
      <w:pPr>
        <w:spacing w:beforeLines="0" w:afterLines="0" w:line="360" w:lineRule="auto"/>
        <w:ind w:firstLine="482" w:firstLineChars="200"/>
        <w:rPr>
          <w:rFonts w:hint="eastAsia" w:ascii="Times New Roman" w:eastAsia="Times New Roman"/>
          <w:b/>
          <w:color w:val="auto"/>
          <w:sz w:val="24"/>
          <w:szCs w:val="21"/>
          <w:highlight w:val="none"/>
        </w:rPr>
      </w:pPr>
      <w:bookmarkStart w:id="348" w:name="_Toc351203487"/>
      <w:r>
        <w:rPr>
          <w:rFonts w:hint="eastAsia" w:ascii="Times New Roman"/>
          <w:b/>
          <w:color w:val="auto"/>
          <w:sz w:val="24"/>
          <w:szCs w:val="21"/>
          <w:highlight w:val="none"/>
        </w:rPr>
        <w:t>七、承诺</w:t>
      </w:r>
      <w:bookmarkEnd w:id="348"/>
    </w:p>
    <w:p w14:paraId="53D84176">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1.</w:t>
      </w:r>
      <w:r>
        <w:rPr>
          <w:rFonts w:hint="eastAsia" w:ascii="Times New Roman"/>
          <w:color w:val="auto"/>
          <w:sz w:val="24"/>
          <w:szCs w:val="21"/>
          <w:highlight w:val="none"/>
        </w:rPr>
        <w:t xml:space="preserve"> 发包人承诺按照法律规定履行项目审批手续、筹集工程建设资金并按照合同约定的期限和方式支付合同价款。</w:t>
      </w:r>
    </w:p>
    <w:p w14:paraId="3D10A7CF">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2.</w:t>
      </w:r>
      <w:r>
        <w:rPr>
          <w:rFonts w:hint="eastAsia" w:ascii="Times New Roman"/>
          <w:color w:val="auto"/>
          <w:sz w:val="24"/>
          <w:szCs w:val="21"/>
          <w:highlight w:val="none"/>
        </w:rPr>
        <w:t xml:space="preserve"> 承包人承诺按照法律规定及合同约定组织完成工程施工，确保工程质量和安全，不进行转包及违法分包，并在缺陷责任期及保修期内承担相应的工程维修责任。</w:t>
      </w:r>
    </w:p>
    <w:p w14:paraId="426C5E15">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3.</w:t>
      </w:r>
      <w:r>
        <w:rPr>
          <w:rFonts w:hint="eastAsia" w:ascii="Times New Roman"/>
          <w:color w:val="auto"/>
          <w:sz w:val="24"/>
          <w:szCs w:val="21"/>
          <w:highlight w:val="none"/>
        </w:rPr>
        <w:t xml:space="preserve"> 发包人和承包人通过招投标形式签订合同的，双方理解并承诺不再就同一工程另行签订与合同实质性内容相背离的协议。</w:t>
      </w:r>
    </w:p>
    <w:p w14:paraId="65576430">
      <w:pPr>
        <w:spacing w:beforeLines="0" w:afterLines="0" w:line="360" w:lineRule="auto"/>
        <w:ind w:firstLine="482" w:firstLineChars="200"/>
        <w:rPr>
          <w:rFonts w:hint="eastAsia" w:ascii="Times New Roman" w:eastAsia="Times New Roman"/>
          <w:b/>
          <w:color w:val="auto"/>
          <w:sz w:val="24"/>
          <w:szCs w:val="21"/>
          <w:highlight w:val="none"/>
        </w:rPr>
      </w:pPr>
      <w:bookmarkStart w:id="349" w:name="_Toc351203488"/>
      <w:r>
        <w:rPr>
          <w:rFonts w:hint="eastAsia" w:ascii="Times New Roman"/>
          <w:b/>
          <w:color w:val="auto"/>
          <w:sz w:val="24"/>
          <w:szCs w:val="21"/>
          <w:highlight w:val="none"/>
        </w:rPr>
        <w:t>八、词语含义</w:t>
      </w:r>
      <w:bookmarkEnd w:id="349"/>
    </w:p>
    <w:p w14:paraId="542BC5BD">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本协议书中词语含义与第二部分通用合同条款中赋予的含义相同。</w:t>
      </w:r>
    </w:p>
    <w:p w14:paraId="268C6E2F">
      <w:pPr>
        <w:spacing w:beforeLines="0" w:afterLines="0" w:line="360" w:lineRule="auto"/>
        <w:ind w:firstLine="482" w:firstLineChars="200"/>
        <w:rPr>
          <w:rFonts w:hint="eastAsia" w:ascii="Times New Roman" w:eastAsia="Times New Roman"/>
          <w:b/>
          <w:color w:val="auto"/>
          <w:sz w:val="24"/>
          <w:szCs w:val="21"/>
          <w:highlight w:val="none"/>
        </w:rPr>
      </w:pPr>
      <w:bookmarkStart w:id="350" w:name="_Toc351203489"/>
      <w:r>
        <w:rPr>
          <w:rFonts w:hint="eastAsia" w:ascii="Times New Roman"/>
          <w:b/>
          <w:color w:val="auto"/>
          <w:sz w:val="24"/>
          <w:szCs w:val="21"/>
          <w:highlight w:val="none"/>
        </w:rPr>
        <w:t>九、签订时间</w:t>
      </w:r>
      <w:bookmarkEnd w:id="350"/>
    </w:p>
    <w:p w14:paraId="258D283E">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本合同于</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日签订。</w:t>
      </w:r>
    </w:p>
    <w:p w14:paraId="4A55AF03">
      <w:pPr>
        <w:spacing w:beforeLines="0" w:afterLines="0" w:line="360" w:lineRule="auto"/>
        <w:ind w:firstLine="482" w:firstLineChars="200"/>
        <w:rPr>
          <w:rFonts w:hint="eastAsia" w:ascii="Times New Roman" w:eastAsia="Times New Roman"/>
          <w:b/>
          <w:color w:val="auto"/>
          <w:sz w:val="24"/>
          <w:szCs w:val="21"/>
          <w:highlight w:val="none"/>
        </w:rPr>
      </w:pPr>
      <w:bookmarkStart w:id="351" w:name="_Toc351203490"/>
      <w:r>
        <w:rPr>
          <w:rFonts w:hint="eastAsia" w:ascii="Times New Roman"/>
          <w:b/>
          <w:color w:val="auto"/>
          <w:sz w:val="24"/>
          <w:szCs w:val="21"/>
          <w:highlight w:val="none"/>
        </w:rPr>
        <w:t>十、签订地点</w:t>
      </w:r>
      <w:bookmarkEnd w:id="351"/>
    </w:p>
    <w:p w14:paraId="0AC815AB">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本合同在</w:t>
      </w:r>
      <w:r>
        <w:rPr>
          <w:rFonts w:hint="eastAsia" w:ascii="Times New Roman" w:eastAsia="Times New Roman"/>
          <w:color w:val="auto"/>
          <w:sz w:val="24"/>
          <w:szCs w:val="21"/>
          <w:highlight w:val="none"/>
          <w:u w:val="single"/>
        </w:rPr>
        <w:t xml:space="preserve">       </w:t>
      </w:r>
      <w:r>
        <w:rPr>
          <w:rFonts w:hint="eastAsia" w:ascii="Times New Roman" w:eastAsia="宋体"/>
          <w:color w:val="auto"/>
          <w:sz w:val="24"/>
          <w:szCs w:val="21"/>
          <w:highlight w:val="none"/>
          <w:u w:val="single"/>
          <w:lang w:val="en-US" w:eastAsia="zh-CN"/>
        </w:rPr>
        <w:t xml:space="preserve"> </w:t>
      </w:r>
      <w:r>
        <w:rPr>
          <w:rFonts w:hint="eastAsia" w:ascii="Times New Roman" w:eastAsia="Times New Roman"/>
          <w:color w:val="auto"/>
          <w:sz w:val="24"/>
          <w:szCs w:val="21"/>
          <w:highlight w:val="none"/>
          <w:u w:val="single"/>
        </w:rPr>
        <w:t xml:space="preserve">     </w:t>
      </w:r>
      <w:r>
        <w:rPr>
          <w:rFonts w:hint="eastAsia" w:ascii="Times New Roman" w:eastAsia="宋体"/>
          <w:color w:val="auto"/>
          <w:sz w:val="24"/>
          <w:szCs w:val="21"/>
          <w:highlight w:val="none"/>
          <w:u w:val="single"/>
          <w:lang w:val="en-US" w:eastAsia="zh-CN"/>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签订。</w:t>
      </w:r>
    </w:p>
    <w:p w14:paraId="056A4A30">
      <w:pPr>
        <w:spacing w:beforeLines="0" w:afterLines="0" w:line="360" w:lineRule="auto"/>
        <w:ind w:firstLine="482" w:firstLineChars="200"/>
        <w:rPr>
          <w:rFonts w:hint="eastAsia" w:ascii="Times New Roman" w:eastAsia="Times New Roman"/>
          <w:b/>
          <w:color w:val="auto"/>
          <w:sz w:val="24"/>
          <w:szCs w:val="21"/>
          <w:highlight w:val="none"/>
        </w:rPr>
      </w:pPr>
      <w:bookmarkStart w:id="352" w:name="_Toc351203491"/>
      <w:r>
        <w:rPr>
          <w:rFonts w:hint="eastAsia" w:ascii="Times New Roman"/>
          <w:b/>
          <w:color w:val="auto"/>
          <w:sz w:val="24"/>
          <w:szCs w:val="21"/>
          <w:highlight w:val="none"/>
        </w:rPr>
        <w:t>十一、补充协议</w:t>
      </w:r>
      <w:bookmarkEnd w:id="352"/>
    </w:p>
    <w:p w14:paraId="431C352B">
      <w:pPr>
        <w:spacing w:beforeLines="0" w:afterLines="0" w:line="360" w:lineRule="auto"/>
        <w:ind w:firstLine="480" w:firstLineChars="200"/>
        <w:rPr>
          <w:rFonts w:hint="eastAsia" w:ascii="Times New Roman" w:eastAsia="Times New Roman"/>
          <w:b/>
          <w:color w:val="auto"/>
          <w:sz w:val="24"/>
          <w:szCs w:val="21"/>
          <w:highlight w:val="none"/>
        </w:rPr>
      </w:pPr>
      <w:r>
        <w:rPr>
          <w:rFonts w:hint="eastAsia" w:ascii="Times New Roman"/>
          <w:color w:val="auto"/>
          <w:sz w:val="24"/>
          <w:szCs w:val="21"/>
          <w:highlight w:val="none"/>
        </w:rPr>
        <w:t>合同未尽事宜，合同当事人另行签订补充协议，补充协议是合同的组成部分。</w:t>
      </w:r>
    </w:p>
    <w:p w14:paraId="007617B3">
      <w:pPr>
        <w:spacing w:beforeLines="0" w:afterLines="0" w:line="360" w:lineRule="auto"/>
        <w:ind w:firstLine="482" w:firstLineChars="200"/>
        <w:rPr>
          <w:rFonts w:hint="eastAsia" w:ascii="Times New Roman" w:eastAsia="Times New Roman"/>
          <w:b/>
          <w:color w:val="auto"/>
          <w:sz w:val="24"/>
          <w:szCs w:val="21"/>
          <w:highlight w:val="none"/>
        </w:rPr>
      </w:pPr>
      <w:bookmarkStart w:id="353" w:name="_Toc351203492"/>
      <w:r>
        <w:rPr>
          <w:rFonts w:hint="eastAsia" w:ascii="Times New Roman"/>
          <w:b/>
          <w:color w:val="auto"/>
          <w:sz w:val="24"/>
          <w:szCs w:val="21"/>
          <w:highlight w:val="none"/>
        </w:rPr>
        <w:t>十二、合同生效</w:t>
      </w:r>
      <w:bookmarkEnd w:id="353"/>
    </w:p>
    <w:p w14:paraId="0AB30676">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本合同自</w:t>
      </w:r>
      <w:r>
        <w:rPr>
          <w:rFonts w:hint="eastAsia" w:ascii="Times New Roman" w:eastAsia="Times New Roman"/>
          <w:color w:val="auto"/>
          <w:sz w:val="24"/>
          <w:szCs w:val="21"/>
          <w:highlight w:val="none"/>
          <w:u w:val="single"/>
        </w:rPr>
        <w:t xml:space="preserve">         </w:t>
      </w:r>
      <w:r>
        <w:rPr>
          <w:rFonts w:ascii="Times New Roman"/>
          <w:bCs/>
          <w:color w:val="auto"/>
          <w:szCs w:val="21"/>
          <w:highlight w:val="none"/>
          <w:u w:val="single"/>
        </w:rPr>
        <w:t xml:space="preserve"> </w:t>
      </w:r>
      <w:r>
        <w:rPr>
          <w:rFonts w:hint="eastAsia" w:hAnsi="宋体" w:cs="宋体"/>
          <w:color w:val="auto"/>
          <w:szCs w:val="24"/>
          <w:highlight w:val="none"/>
          <w:u w:val="single"/>
          <w:lang w:bidi="ar"/>
        </w:rPr>
        <w:t xml:space="preserve">双方签字并盖章 </w:t>
      </w:r>
      <w:r>
        <w:rPr>
          <w:rFonts w:ascii="Times New Roman"/>
          <w:bCs/>
          <w:color w:val="auto"/>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生效。</w:t>
      </w:r>
    </w:p>
    <w:p w14:paraId="24F80DB4">
      <w:pPr>
        <w:spacing w:beforeLines="0" w:afterLines="0" w:line="360" w:lineRule="auto"/>
        <w:ind w:firstLine="482" w:firstLineChars="200"/>
        <w:rPr>
          <w:rFonts w:hint="eastAsia" w:ascii="Times New Roman" w:eastAsia="Times New Roman"/>
          <w:b/>
          <w:color w:val="auto"/>
          <w:sz w:val="24"/>
          <w:szCs w:val="21"/>
          <w:highlight w:val="none"/>
        </w:rPr>
      </w:pPr>
      <w:bookmarkStart w:id="354" w:name="_Toc351203493"/>
      <w:r>
        <w:rPr>
          <w:rFonts w:hint="eastAsia" w:ascii="Times New Roman"/>
          <w:b/>
          <w:color w:val="auto"/>
          <w:sz w:val="24"/>
          <w:szCs w:val="21"/>
          <w:highlight w:val="none"/>
        </w:rPr>
        <w:t>十三、合同份数</w:t>
      </w:r>
      <w:bookmarkEnd w:id="354"/>
    </w:p>
    <w:p w14:paraId="72D2A7A7">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本合同一式</w:t>
      </w:r>
      <w:r>
        <w:rPr>
          <w:rFonts w:hint="eastAsia" w:ascii="Times New Roman" w:eastAsia="Times New Roman"/>
          <w:color w:val="auto"/>
          <w:sz w:val="24"/>
          <w:szCs w:val="21"/>
          <w:highlight w:val="none"/>
          <w:u w:val="single"/>
        </w:rPr>
        <w:t xml:space="preserve"> </w:t>
      </w:r>
      <w:r>
        <w:rPr>
          <w:rFonts w:hint="eastAsia" w:ascii="Times New Roman"/>
          <w:bCs/>
          <w:color w:val="auto"/>
          <w:szCs w:val="21"/>
          <w:highlight w:val="none"/>
          <w:u w:val="single"/>
        </w:rPr>
        <w:t>拾贰</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份，均具有同等法律效力，发包人执</w:t>
      </w:r>
      <w:r>
        <w:rPr>
          <w:rFonts w:hint="eastAsia" w:ascii="Times New Roman" w:eastAsia="Times New Roman"/>
          <w:color w:val="auto"/>
          <w:sz w:val="24"/>
          <w:szCs w:val="21"/>
          <w:highlight w:val="none"/>
          <w:u w:val="single"/>
        </w:rPr>
        <w:t xml:space="preserve"> </w:t>
      </w:r>
      <w:r>
        <w:rPr>
          <w:rFonts w:hint="eastAsia" w:ascii="Times New Roman"/>
          <w:bCs/>
          <w:color w:val="auto"/>
          <w:szCs w:val="21"/>
          <w:highlight w:val="none"/>
          <w:u w:val="single"/>
        </w:rPr>
        <w:t xml:space="preserve">陆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份，承包人执</w:t>
      </w:r>
      <w:r>
        <w:rPr>
          <w:rFonts w:hint="eastAsia" w:ascii="Times New Roman" w:eastAsia="Times New Roman"/>
          <w:color w:val="auto"/>
          <w:sz w:val="24"/>
          <w:szCs w:val="21"/>
          <w:highlight w:val="none"/>
          <w:u w:val="single"/>
        </w:rPr>
        <w:t xml:space="preserve"> </w:t>
      </w:r>
      <w:r>
        <w:rPr>
          <w:rFonts w:hint="eastAsia" w:ascii="Times New Roman"/>
          <w:bCs/>
          <w:color w:val="auto"/>
          <w:szCs w:val="21"/>
          <w:highlight w:val="none"/>
          <w:u w:val="single"/>
        </w:rPr>
        <w:t xml:space="preserve">陆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份。</w:t>
      </w:r>
    </w:p>
    <w:p w14:paraId="00B2165D">
      <w:pPr>
        <w:spacing w:beforeLines="0" w:afterLines="0" w:line="360" w:lineRule="auto"/>
        <w:rPr>
          <w:rFonts w:hint="eastAsia" w:ascii="Times New Roman"/>
          <w:color w:val="auto"/>
          <w:sz w:val="24"/>
          <w:szCs w:val="21"/>
          <w:highlight w:val="none"/>
        </w:rPr>
      </w:pPr>
    </w:p>
    <w:p w14:paraId="6EDA329A">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发包人：</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w:t>
      </w:r>
      <w:r>
        <w:rPr>
          <w:rFonts w:hint="eastAsia" w:ascii="Times New Roman"/>
          <w:color w:val="auto"/>
          <w:sz w:val="24"/>
          <w:szCs w:val="21"/>
          <w:highlight w:val="none"/>
        </w:rPr>
        <w:t>公章）                 承包人：</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w:t>
      </w:r>
      <w:r>
        <w:rPr>
          <w:rFonts w:hint="eastAsia" w:ascii="Times New Roman"/>
          <w:color w:val="auto"/>
          <w:sz w:val="24"/>
          <w:szCs w:val="21"/>
          <w:highlight w:val="none"/>
        </w:rPr>
        <w:t>公章）</w:t>
      </w:r>
    </w:p>
    <w:p w14:paraId="62EBC21C">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法定代表人或其委托代理人：                 法定代表人或其委托代理人：</w:t>
      </w:r>
    </w:p>
    <w:p w14:paraId="4E0B1C3B">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（签字）</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（签字）</w:t>
      </w:r>
      <w:r>
        <w:rPr>
          <w:rFonts w:hint="eastAsia" w:ascii="Times New Roman"/>
          <w:color w:val="auto"/>
          <w:sz w:val="24"/>
          <w:szCs w:val="21"/>
          <w:highlight w:val="none"/>
          <w:u w:val="single"/>
        </w:rPr>
        <w:t xml:space="preserve">                   </w:t>
      </w:r>
    </w:p>
    <w:p w14:paraId="3149CAF0">
      <w:pPr>
        <w:tabs>
          <w:tab w:val="left" w:pos="4410"/>
        </w:tabs>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组织机构代码：</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组织机构代码：</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p>
    <w:p w14:paraId="232DA3DD">
      <w:pPr>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地  址：</w:t>
      </w:r>
      <w:r>
        <w:rPr>
          <w:rFonts w:hint="eastAsia" w:ascii="Times New Roman" w:eastAsia="Times New Roman"/>
          <w:color w:val="auto"/>
          <w:sz w:val="24"/>
          <w:szCs w:val="21"/>
          <w:highlight w:val="none"/>
          <w:u w:val="single"/>
        </w:rPr>
        <w:t xml:space="preserve">     </w:t>
      </w:r>
      <w:r>
        <w:rPr>
          <w:rFonts w:hint="eastAsia" w:ascii="Times New Roman"/>
          <w:color w:val="auto"/>
          <w:sz w:val="24"/>
          <w:szCs w:val="21"/>
          <w:highlight w:val="none"/>
        </w:rPr>
        <w:t xml:space="preserve">                地  址：</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p>
    <w:p w14:paraId="70FF262A">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邮政编码：</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邮政编码：</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p>
    <w:p w14:paraId="1D99305C">
      <w:pPr>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法定代表人：</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法定代表人：</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p>
    <w:p w14:paraId="17DD4FA5">
      <w:pPr>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委托代理人：</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委托代理人：</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p>
    <w:p w14:paraId="48067C7C">
      <w:pPr>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电  话：</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电  话：</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p>
    <w:p w14:paraId="174F6720">
      <w:pPr>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传  真：</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传  真：</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w:t>
      </w:r>
    </w:p>
    <w:p w14:paraId="17F14AAB">
      <w:pPr>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电子信箱：</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电子信箱：</w:t>
      </w:r>
      <w:r>
        <w:rPr>
          <w:rFonts w:hint="eastAsia" w:ascii="Times New Roman" w:eastAsia="Times New Roman"/>
          <w:color w:val="auto"/>
          <w:sz w:val="24"/>
          <w:szCs w:val="21"/>
          <w:highlight w:val="none"/>
          <w:u w:val="single"/>
        </w:rPr>
        <w:t></w:t>
      </w:r>
    </w:p>
    <w:p w14:paraId="7E633843">
      <w:pPr>
        <w:spacing w:beforeLines="0" w:afterLines="0" w:line="360" w:lineRule="auto"/>
        <w:rPr>
          <w:rFonts w:hint="eastAsia" w:ascii="Times New Roman" w:eastAsia="Times New Roman"/>
          <w:color w:val="auto"/>
          <w:sz w:val="24"/>
          <w:szCs w:val="21"/>
          <w:highlight w:val="none"/>
        </w:rPr>
      </w:pPr>
      <w:r>
        <w:rPr>
          <w:rFonts w:hint="eastAsia" w:ascii="Times New Roman"/>
          <w:color w:val="auto"/>
          <w:sz w:val="24"/>
          <w:szCs w:val="21"/>
          <w:highlight w:val="none"/>
        </w:rPr>
        <w:t>开户银行：</w:t>
      </w:r>
      <w:r>
        <w:rPr>
          <w:rFonts w:hint="eastAsia" w:ascii="Times New Roman" w:eastAsia="Times New Roman"/>
          <w:color w:val="auto"/>
          <w:sz w:val="24"/>
          <w:szCs w:val="21"/>
          <w:highlight w:val="none"/>
          <w:u w:val="single"/>
        </w:rPr>
        <w:t xml:space="preserve">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 xml:space="preserve">               开户银行：</w:t>
      </w:r>
      <w:r>
        <w:rPr>
          <w:rFonts w:hint="eastAsia" w:ascii="Times New Roman" w:eastAsia="Times New Roman"/>
          <w:color w:val="auto"/>
          <w:sz w:val="24"/>
          <w:szCs w:val="21"/>
          <w:highlight w:val="none"/>
          <w:u w:val="single"/>
        </w:rPr>
        <w:t></w:t>
      </w:r>
    </w:p>
    <w:p w14:paraId="5A2A8291">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1"/>
          <w:highlight w:val="none"/>
        </w:rPr>
        <w:t>账  号：</w:t>
      </w:r>
      <w:r>
        <w:rPr>
          <w:rFonts w:hint="eastAsia" w:ascii="Times New Roman" w:eastAsia="Times New Roman"/>
          <w:color w:val="auto"/>
          <w:sz w:val="24"/>
          <w:szCs w:val="21"/>
          <w:highlight w:val="none"/>
          <w:u w:val="single"/>
        </w:rPr>
        <w:t xml:space="preserve">       </w:t>
      </w:r>
      <w:r>
        <w:rPr>
          <w:rFonts w:hint="eastAsia" w:ascii="Times New Roman"/>
          <w:color w:val="auto"/>
          <w:sz w:val="24"/>
          <w:szCs w:val="21"/>
          <w:highlight w:val="none"/>
        </w:rPr>
        <w:t xml:space="preserve">                账 </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号：</w:t>
      </w:r>
      <w:r>
        <w:rPr>
          <w:rFonts w:hint="eastAsia" w:ascii="Times New Roman" w:eastAsia="Times New Roman"/>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p>
    <w:p w14:paraId="5F6981AB">
      <w:pPr>
        <w:keepNext/>
        <w:keepLines/>
        <w:spacing w:before="240" w:beforeLines="100" w:after="240" w:afterLines="100"/>
        <w:jc w:val="center"/>
        <w:outlineLvl w:val="1"/>
        <w:rPr>
          <w:rFonts w:hint="eastAsia" w:ascii="Times New Roman" w:eastAsia="黑体"/>
          <w:color w:val="auto"/>
          <w:sz w:val="32"/>
          <w:szCs w:val="32"/>
          <w:highlight w:val="none"/>
        </w:rPr>
      </w:pPr>
      <w:r>
        <w:rPr>
          <w:rFonts w:hint="eastAsia" w:ascii="Times New Roman" w:eastAsia="Times New Roman"/>
          <w:b/>
          <w:color w:val="auto"/>
          <w:sz w:val="32"/>
          <w:szCs w:val="32"/>
          <w:highlight w:val="none"/>
        </w:rPr>
        <w:br w:type="page"/>
      </w:r>
      <w:bookmarkStart w:id="355" w:name="_Toc29394"/>
      <w:bookmarkStart w:id="356" w:name="_Toc28799377"/>
      <w:r>
        <w:rPr>
          <w:rFonts w:hint="eastAsia" w:ascii="Times New Roman" w:eastAsia="黑体"/>
          <w:color w:val="auto"/>
          <w:sz w:val="32"/>
          <w:szCs w:val="32"/>
          <w:highlight w:val="none"/>
        </w:rPr>
        <w:t>第二节  通用合同条款</w:t>
      </w:r>
      <w:bookmarkEnd w:id="355"/>
      <w:bookmarkEnd w:id="356"/>
    </w:p>
    <w:p w14:paraId="74F50810">
      <w:pPr>
        <w:spacing w:beforeLines="0" w:afterLines="0" w:line="360" w:lineRule="auto"/>
        <w:ind w:firstLine="480" w:firstLineChars="200"/>
        <w:rPr>
          <w:rFonts w:hint="eastAsia" w:ascii="Times New Roman" w:cs="宋体"/>
          <w:snapToGrid w:val="0"/>
          <w:color w:val="auto"/>
          <w:sz w:val="24"/>
          <w:szCs w:val="24"/>
          <w:highlight w:val="none"/>
        </w:rPr>
      </w:pPr>
      <w:r>
        <w:rPr>
          <w:rFonts w:hint="eastAsia" w:ascii="Times New Roman" w:cs="宋体"/>
          <w:snapToGrid w:val="0"/>
          <w:color w:val="auto"/>
          <w:sz w:val="24"/>
          <w:szCs w:val="24"/>
          <w:highlight w:val="none"/>
        </w:rPr>
        <w:t>采用《建设工程施工合同（示范文本）》（GF-2017-0201）中通用合同条款。上述资料由承包人自行准备。</w:t>
      </w:r>
    </w:p>
    <w:p w14:paraId="26C80A62">
      <w:pPr>
        <w:keepNext/>
        <w:keepLines/>
        <w:spacing w:before="240" w:beforeLines="100" w:after="240" w:afterLines="100"/>
        <w:jc w:val="center"/>
        <w:outlineLvl w:val="1"/>
        <w:rPr>
          <w:rFonts w:hint="eastAsia" w:ascii="Times New Roman" w:eastAsia="黑体"/>
          <w:color w:val="auto"/>
          <w:sz w:val="32"/>
          <w:szCs w:val="32"/>
          <w:highlight w:val="none"/>
        </w:rPr>
      </w:pPr>
      <w:r>
        <w:rPr>
          <w:rFonts w:hint="eastAsia" w:ascii="Times New Roman" w:eastAsia="Times New Roman"/>
          <w:b/>
          <w:color w:val="auto"/>
          <w:sz w:val="24"/>
          <w:szCs w:val="32"/>
          <w:highlight w:val="none"/>
        </w:rPr>
        <w:br w:type="page"/>
      </w:r>
      <w:bookmarkStart w:id="357" w:name="_Toc21112"/>
      <w:bookmarkStart w:id="358" w:name="_Toc28799378"/>
      <w:r>
        <w:rPr>
          <w:rFonts w:hint="eastAsia" w:ascii="Times New Roman" w:eastAsia="黑体"/>
          <w:color w:val="auto"/>
          <w:sz w:val="32"/>
          <w:szCs w:val="32"/>
          <w:highlight w:val="none"/>
        </w:rPr>
        <w:t>第三节  专用合同条款</w:t>
      </w:r>
      <w:bookmarkEnd w:id="357"/>
      <w:bookmarkEnd w:id="358"/>
    </w:p>
    <w:p w14:paraId="39F0AD27">
      <w:pPr>
        <w:spacing w:before="240" w:beforeLines="100" w:after="240" w:afterLines="100"/>
        <w:jc w:val="center"/>
        <w:outlineLvl w:val="2"/>
        <w:rPr>
          <w:rFonts w:hint="eastAsia" w:ascii="Times New Roman" w:eastAsia="黑体"/>
          <w:color w:val="auto"/>
          <w:sz w:val="24"/>
          <w:szCs w:val="24"/>
          <w:highlight w:val="none"/>
        </w:rPr>
      </w:pPr>
      <w:bookmarkStart w:id="359" w:name="_Toc351203633"/>
      <w:r>
        <w:rPr>
          <w:rFonts w:hint="eastAsia" w:ascii="Times New Roman" w:eastAsia="黑体"/>
          <w:color w:val="auto"/>
          <w:sz w:val="24"/>
          <w:szCs w:val="24"/>
          <w:highlight w:val="none"/>
        </w:rPr>
        <w:t>专用合同条款数据表</w:t>
      </w:r>
    </w:p>
    <w:p w14:paraId="75B68CD3">
      <w:pPr>
        <w:pStyle w:val="9"/>
        <w:snapToGrid w:val="0"/>
        <w:spacing w:beforeLines="0" w:afterLines="0" w:line="360" w:lineRule="auto"/>
        <w:ind w:firstLine="480"/>
        <w:rPr>
          <w:rFonts w:hint="eastAsia" w:ascii="Times New Roman" w:hAnsi="Times New Roman" w:cs="宋体"/>
          <w:color w:val="auto"/>
          <w:sz w:val="24"/>
          <w:szCs w:val="32"/>
          <w:highlight w:val="none"/>
        </w:rPr>
      </w:pPr>
      <w:r>
        <w:rPr>
          <w:rFonts w:hint="eastAsia" w:ascii="Times New Roman" w:hAnsi="Times New Roman" w:cs="宋体"/>
          <w:color w:val="auto"/>
          <w:sz w:val="24"/>
          <w:szCs w:val="32"/>
          <w:highlight w:val="none"/>
        </w:rPr>
        <w:t>说明：本数据表是项目专用合同条款中适用于本招标项目的信息和数据的归纳与提示，是项目专用合同条款的组成部分。</w:t>
      </w:r>
    </w:p>
    <w:tbl>
      <w:tblPr>
        <w:tblStyle w:val="17"/>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76FE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86DD46">
            <w:pPr>
              <w:snapToGrid w:val="0"/>
              <w:spacing w:before="100" w:beforeLines="0" w:beforeAutospacing="1" w:afterLines="0" w:line="360" w:lineRule="auto"/>
              <w:ind w:left="-120" w:leftChars="-50" w:right="-120" w:rightChars="-50"/>
              <w:jc w:val="center"/>
              <w:rPr>
                <w:rFonts w:hint="eastAsia" w:ascii="Times New Roman" w:eastAsia="黑体" w:cs="黑体"/>
                <w:b/>
                <w:color w:val="auto"/>
                <w:sz w:val="24"/>
                <w:szCs w:val="24"/>
                <w:highlight w:val="none"/>
              </w:rPr>
            </w:pPr>
            <w:r>
              <w:rPr>
                <w:rFonts w:hint="eastAsia" w:ascii="Times New Roman" w:eastAsia="黑体" w:cs="黑体"/>
                <w:b/>
                <w:color w:val="auto"/>
                <w:sz w:val="24"/>
                <w:szCs w:val="24"/>
                <w:highlight w:val="none"/>
              </w:rPr>
              <w:t>序号</w:t>
            </w: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4C6085">
            <w:pPr>
              <w:snapToGrid w:val="0"/>
              <w:spacing w:beforeLines="0" w:afterLines="0" w:line="360" w:lineRule="auto"/>
              <w:ind w:left="-120" w:leftChars="-50" w:right="-120" w:rightChars="-50"/>
              <w:jc w:val="center"/>
              <w:rPr>
                <w:rFonts w:hint="eastAsia" w:ascii="Times New Roman" w:eastAsia="黑体" w:cs="黑体"/>
                <w:b/>
                <w:color w:val="auto"/>
                <w:sz w:val="24"/>
                <w:szCs w:val="24"/>
                <w:highlight w:val="none"/>
              </w:rPr>
            </w:pPr>
            <w:r>
              <w:rPr>
                <w:rFonts w:hint="eastAsia" w:ascii="Times New Roman" w:eastAsia="黑体" w:cs="黑体"/>
                <w:b/>
                <w:color w:val="auto"/>
                <w:sz w:val="24"/>
                <w:szCs w:val="24"/>
                <w:highlight w:val="none"/>
              </w:rPr>
              <w:t>条目号</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96E9C9">
            <w:pPr>
              <w:snapToGrid w:val="0"/>
              <w:spacing w:beforeLines="0" w:afterLines="0" w:line="360" w:lineRule="auto"/>
              <w:jc w:val="center"/>
              <w:rPr>
                <w:rFonts w:hint="eastAsia" w:ascii="Times New Roman" w:eastAsia="黑体" w:cs="黑体"/>
                <w:b/>
                <w:color w:val="auto"/>
                <w:sz w:val="24"/>
                <w:szCs w:val="24"/>
                <w:highlight w:val="none"/>
              </w:rPr>
            </w:pPr>
            <w:r>
              <w:rPr>
                <w:rFonts w:hint="eastAsia" w:ascii="Times New Roman" w:eastAsia="黑体" w:cs="黑体"/>
                <w:b/>
                <w:color w:val="auto"/>
                <w:sz w:val="24"/>
                <w:szCs w:val="24"/>
                <w:highlight w:val="none"/>
              </w:rPr>
              <w:t>信息或数据</w:t>
            </w:r>
          </w:p>
        </w:tc>
      </w:tr>
      <w:tr w14:paraId="45F2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3FBED7">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706C4C">
            <w:pPr>
              <w:snapToGrid w:val="0"/>
              <w:spacing w:beforeLines="0" w:afterLines="0" w:line="360" w:lineRule="auto"/>
              <w:jc w:val="center"/>
              <w:rPr>
                <w:rFonts w:hint="eastAsia" w:ascii="Times New Roman" w:cs="宋体"/>
                <w:color w:val="auto"/>
                <w:sz w:val="24"/>
                <w:szCs w:val="24"/>
                <w:highlight w:val="none"/>
              </w:rPr>
            </w:pPr>
            <w:r>
              <w:rPr>
                <w:rFonts w:hint="eastAsia" w:ascii="Times New Roman" w:cs="宋体"/>
                <w:color w:val="auto"/>
                <w:sz w:val="24"/>
                <w:szCs w:val="24"/>
                <w:highlight w:val="none"/>
              </w:rPr>
              <w:t>2.5</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400B99">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发包人提供资金来源证明的期限要求：</w:t>
            </w:r>
            <w:r>
              <w:rPr>
                <w:rFonts w:hint="eastAsia" w:ascii="Times New Roman" w:cs="宋体"/>
                <w:color w:val="auto"/>
                <w:sz w:val="24"/>
                <w:szCs w:val="24"/>
                <w:highlight w:val="none"/>
                <w:u w:val="single"/>
              </w:rPr>
              <w:t>在取得施工许可证的</w:t>
            </w:r>
            <w:r>
              <w:rPr>
                <w:rFonts w:hint="eastAsia" w:ascii="Times New Roman" w:cs="宋体"/>
                <w:color w:val="auto"/>
                <w:sz w:val="24"/>
                <w:szCs w:val="24"/>
                <w:highlight w:val="none"/>
                <w:u w:val="single"/>
                <w:lang w:val="en-US" w:eastAsia="zh-CN"/>
              </w:rPr>
              <w:t>1</w:t>
            </w:r>
            <w:r>
              <w:rPr>
                <w:rFonts w:hint="eastAsia" w:ascii="Times New Roman" w:cs="宋体"/>
                <w:color w:val="auto"/>
                <w:sz w:val="24"/>
                <w:szCs w:val="24"/>
                <w:highlight w:val="none"/>
                <w:u w:val="single"/>
              </w:rPr>
              <w:t xml:space="preserve">个月内办结工程款支付担保。施工单位在收到工程款支付担保后3日内将相关资料上传至项目所在地农民工工资支付监管平台，未按时按承诺提交工程款支付担保的工程建设项目，将视作建设资金未落实。工程款支付担保保证期限原则上应与施工合同约定的期限保持一致（采用分阶段担保的，建设单位支付相应的工程款后，当期工程款支付担保解除，进入下一阶段工程款支付担保）。施工工期延期的，建设单位应在保证期限到期前 30 天，办理保函、保单延期手续。 </w:t>
            </w:r>
          </w:p>
          <w:p w14:paraId="0C1D787E">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发包人是否提供支付担保：</w:t>
            </w:r>
            <w:r>
              <w:rPr>
                <w:rFonts w:hint="eastAsia" w:ascii="Times New Roman" w:cs="宋体"/>
                <w:color w:val="auto"/>
                <w:sz w:val="24"/>
                <w:szCs w:val="24"/>
                <w:highlight w:val="none"/>
                <w:u w:val="single"/>
              </w:rPr>
              <w:t>是。提供施工合同额8%的工程款支付担保，在取得施工许可证的</w:t>
            </w:r>
            <w:r>
              <w:rPr>
                <w:rFonts w:hint="eastAsia" w:ascii="Times New Roman" w:cs="宋体"/>
                <w:color w:val="auto"/>
                <w:sz w:val="24"/>
                <w:szCs w:val="24"/>
                <w:highlight w:val="none"/>
                <w:u w:val="single"/>
                <w:lang w:val="en-US" w:eastAsia="zh-CN"/>
              </w:rPr>
              <w:t>1</w:t>
            </w:r>
            <w:r>
              <w:rPr>
                <w:rFonts w:hint="eastAsia" w:ascii="Times New Roman" w:cs="宋体"/>
                <w:color w:val="auto"/>
                <w:sz w:val="24"/>
                <w:szCs w:val="24"/>
                <w:highlight w:val="none"/>
                <w:u w:val="single"/>
              </w:rPr>
              <w:t>个月内办结。</w:t>
            </w:r>
          </w:p>
          <w:p w14:paraId="04A433D2">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发包人提供支付担保的形式：</w:t>
            </w:r>
            <w:r>
              <w:rPr>
                <w:rFonts w:hint="eastAsia" w:ascii="Times New Roman" w:cs="宋体"/>
                <w:color w:val="auto"/>
                <w:sz w:val="24"/>
                <w:szCs w:val="24"/>
                <w:highlight w:val="none"/>
                <w:u w:val="single"/>
              </w:rPr>
              <w:t>工程款支付担保可以采用银行保函、担保公司担保、第三方担保等方式，也可以用工程款支付保证保险替代。在我省开展工程款支付担保业务的保证人应向有关主管部门提供担保凭证网络验证途径。对于政府投资房屋建筑和市政工程建设项目，建设单位可以根据合同约定将有权部门出具的相应资金保障证明，作为工程款支付担保凭证。</w:t>
            </w:r>
          </w:p>
          <w:p w14:paraId="7AF629B3">
            <w:pPr>
              <w:pStyle w:val="4"/>
              <w:spacing w:beforeLines="0" w:afterLine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备注：</w:t>
            </w:r>
          </w:p>
          <w:p w14:paraId="056E2BB6">
            <w:pPr>
              <w:pStyle w:val="4"/>
              <w:spacing w:beforeLines="0" w:afterLine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1）工程款支付担保保证有效期内，建设单位未按照规定向农民工工资专用账户拨付工资性工程款或者未按照合同约定支付施工进度款的，施工总承包企业（包括专业承包企业，下同）可以要求保证人履行保证责任，同时将拖欠信息报送工程所在地住房城乡建设主管部门和人力资源社会保障主管部门。</w:t>
            </w:r>
          </w:p>
          <w:p w14:paraId="755CA743">
            <w:pPr>
              <w:spacing w:beforeLines="0" w:afterLines="0" w:line="360" w:lineRule="auto"/>
              <w:rPr>
                <w:rFonts w:hint="eastAsia"/>
                <w:color w:val="auto"/>
                <w:sz w:val="24"/>
                <w:szCs w:val="24"/>
                <w:highlight w:val="none"/>
              </w:rPr>
            </w:pPr>
            <w:r>
              <w:rPr>
                <w:rFonts w:hint="eastAsia"/>
                <w:color w:val="auto"/>
                <w:sz w:val="24"/>
                <w:szCs w:val="24"/>
                <w:highlight w:val="none"/>
              </w:rPr>
              <w:t>（2）我省行政区域内按照规定应办理建筑工程施工许可证的房屋建筑和市政工程建设项目，均应办理工程款支付担保。</w:t>
            </w:r>
          </w:p>
        </w:tc>
      </w:tr>
      <w:tr w14:paraId="4855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FB2B68">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225C6C">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3.2.1</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F9E5E4">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项目经理</w:t>
            </w:r>
          </w:p>
          <w:p w14:paraId="77A8F766">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姓    名：</w:t>
            </w:r>
            <w:r>
              <w:rPr>
                <w:rFonts w:hint="eastAsia" w:ascii="Times New Roman" w:cs="宋体"/>
                <w:color w:val="auto"/>
                <w:sz w:val="24"/>
                <w:szCs w:val="24"/>
                <w:highlight w:val="none"/>
                <w:u w:val="single"/>
              </w:rPr>
              <w:t xml:space="preserve">          </w:t>
            </w:r>
          </w:p>
          <w:p w14:paraId="79D7A714">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身份证号：</w:t>
            </w:r>
            <w:r>
              <w:rPr>
                <w:rFonts w:hint="eastAsia" w:ascii="Times New Roman" w:cs="宋体"/>
                <w:color w:val="auto"/>
                <w:sz w:val="24"/>
                <w:szCs w:val="24"/>
                <w:highlight w:val="none"/>
                <w:u w:val="single"/>
              </w:rPr>
              <w:t xml:space="preserve">          </w:t>
            </w:r>
          </w:p>
          <w:p w14:paraId="5BDA154D">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建造师执业资格等级：</w:t>
            </w:r>
            <w:r>
              <w:rPr>
                <w:rFonts w:hint="eastAsia" w:ascii="Times New Roman" w:cs="宋体"/>
                <w:color w:val="auto"/>
                <w:sz w:val="24"/>
                <w:szCs w:val="24"/>
                <w:highlight w:val="none"/>
                <w:u w:val="single"/>
              </w:rPr>
              <w:t xml:space="preserve">          </w:t>
            </w:r>
          </w:p>
          <w:p w14:paraId="461C42D1">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建造师注册证书号：</w:t>
            </w:r>
            <w:r>
              <w:rPr>
                <w:rFonts w:hint="eastAsia" w:ascii="Times New Roman" w:cs="宋体"/>
                <w:color w:val="auto"/>
                <w:sz w:val="24"/>
                <w:szCs w:val="24"/>
                <w:highlight w:val="none"/>
                <w:u w:val="single"/>
              </w:rPr>
              <w:t xml:space="preserve">            </w:t>
            </w:r>
          </w:p>
          <w:p w14:paraId="26AF06D3">
            <w:pPr>
              <w:snapToGri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承包人对项目经理的授权范围如下：</w:t>
            </w:r>
            <w:r>
              <w:rPr>
                <w:rFonts w:hint="eastAsia" w:ascii="Times New Roman" w:cs="宋体"/>
                <w:color w:val="auto"/>
                <w:sz w:val="24"/>
                <w:szCs w:val="24"/>
                <w:highlight w:val="none"/>
                <w:u w:val="single"/>
              </w:rPr>
              <w:t xml:space="preserve">            </w:t>
            </w:r>
          </w:p>
          <w:p w14:paraId="5EAC8C9E">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sz w:val="24"/>
                <w:szCs w:val="24"/>
                <w:highlight w:val="none"/>
              </w:rPr>
              <w:t>承包人项目经理每月在施工现场的时间：驻场时间每月不少于</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天，每天在岗工作时间不得少于</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小时。</w:t>
            </w:r>
          </w:p>
        </w:tc>
      </w:tr>
      <w:tr w14:paraId="6C73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3DE3F6">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2BA63C">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3.7</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20EA4E">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承包人是否提供履约保证金：</w:t>
            </w:r>
            <w:r>
              <w:rPr>
                <w:rFonts w:hint="eastAsia" w:ascii="Times New Roman" w:cs="宋体"/>
                <w:color w:val="auto"/>
                <w:sz w:val="24"/>
                <w:szCs w:val="24"/>
                <w:highlight w:val="none"/>
                <w:u w:val="single"/>
              </w:rPr>
              <w:t xml:space="preserve">    是      </w:t>
            </w:r>
            <w:r>
              <w:rPr>
                <w:rFonts w:hint="eastAsia" w:ascii="Times New Roman" w:cs="宋体"/>
                <w:color w:val="auto"/>
                <w:sz w:val="24"/>
                <w:szCs w:val="24"/>
                <w:highlight w:val="none"/>
              </w:rPr>
              <w:t>。</w:t>
            </w:r>
          </w:p>
          <w:p w14:paraId="1B725218">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承包人提供履约保证金的形式：</w:t>
            </w:r>
            <w:r>
              <w:rPr>
                <w:rFonts w:hint="eastAsia" w:ascii="Times New Roman" w:cs="宋体"/>
                <w:color w:val="auto"/>
                <w:sz w:val="24"/>
                <w:szCs w:val="24"/>
                <w:highlight w:val="none"/>
                <w:u w:val="single"/>
              </w:rPr>
              <w:t xml:space="preserve">   详见投标人须知前附表       </w:t>
            </w:r>
          </w:p>
          <w:p w14:paraId="1E446CE4">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履约保证金的金额：中标合同金额的</w:t>
            </w:r>
            <w:r>
              <w:rPr>
                <w:rFonts w:hint="eastAsia" w:ascii="Times New Roman" w:cs="宋体"/>
                <w:color w:val="auto"/>
                <w:sz w:val="24"/>
                <w:szCs w:val="24"/>
                <w:highlight w:val="none"/>
                <w:u w:val="single"/>
              </w:rPr>
              <w:t xml:space="preserve">   2    </w:t>
            </w:r>
            <w:r>
              <w:rPr>
                <w:rFonts w:hint="eastAsia" w:ascii="Times New Roman" w:cs="宋体"/>
                <w:color w:val="auto"/>
                <w:sz w:val="24"/>
                <w:szCs w:val="24"/>
                <w:highlight w:val="none"/>
              </w:rPr>
              <w:t>％。</w:t>
            </w:r>
          </w:p>
          <w:p w14:paraId="3B399332">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履约保证金提交期限的要求：</w:t>
            </w:r>
            <w:r>
              <w:rPr>
                <w:rFonts w:hint="eastAsia" w:ascii="Times New Roman" w:cs="宋体"/>
                <w:color w:val="auto"/>
                <w:sz w:val="24"/>
                <w:szCs w:val="24"/>
                <w:highlight w:val="none"/>
                <w:u w:val="single"/>
              </w:rPr>
              <w:t>签订合同前</w:t>
            </w:r>
            <w:r>
              <w:rPr>
                <w:rFonts w:hint="eastAsia" w:ascii="Times New Roman" w:cs="宋体"/>
                <w:color w:val="auto"/>
                <w:sz w:val="24"/>
                <w:szCs w:val="24"/>
                <w:highlight w:val="none"/>
              </w:rPr>
              <w:t>。</w:t>
            </w:r>
          </w:p>
          <w:p w14:paraId="04D7A245">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sz w:val="24"/>
                <w:szCs w:val="24"/>
                <w:highlight w:val="none"/>
              </w:rPr>
              <w:t>履约保证金退还时限：</w:t>
            </w:r>
            <w:r>
              <w:rPr>
                <w:rFonts w:hint="eastAsia" w:ascii="Times New Roman" w:cs="宋体"/>
                <w:color w:val="auto"/>
                <w:sz w:val="24"/>
                <w:szCs w:val="24"/>
                <w:highlight w:val="none"/>
                <w:u w:val="single"/>
              </w:rPr>
              <w:t xml:space="preserve">     履约保证金合同期满七日内（ 最迟不得超过项目竣工验收通过后28天 ）      </w:t>
            </w:r>
            <w:r>
              <w:rPr>
                <w:rFonts w:hint="eastAsia" w:ascii="Times New Roman" w:cs="宋体"/>
                <w:color w:val="auto"/>
                <w:sz w:val="24"/>
                <w:szCs w:val="24"/>
                <w:highlight w:val="none"/>
              </w:rPr>
              <w:t>。</w:t>
            </w:r>
          </w:p>
        </w:tc>
      </w:tr>
      <w:tr w14:paraId="05F3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AC2217">
            <w:pPr>
              <w:numPr>
                <w:ilvl w:val="0"/>
                <w:numId w:val="6"/>
              </w:numPr>
              <w:snapToGrid w:val="0"/>
              <w:spacing w:beforeLines="0" w:afterLines="0" w:line="360" w:lineRule="auto"/>
              <w:jc w:val="center"/>
              <w:rPr>
                <w:rFonts w:hint="eastAsia" w:ascii="Times New Roman" w:cs="宋体"/>
                <w:color w:val="auto"/>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10A4F2">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5.1.1</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A12369">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5.1.1 特殊质量标准和要求：</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2A0B6CDE">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关于工程奖项的约定：</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00B7F9AE">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关于建造要求：</w:t>
            </w:r>
          </w:p>
          <w:p w14:paraId="1B6D3DCF">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（1）绿色建筑等级要求：</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6D255DDF">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（2）智慧工地管理要求：</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1BB6104B">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（3）建筑垃圾减量化目标：</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5DF2C116">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（4）装配式建筑装配率要求：</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390283CC">
            <w:pPr>
              <w:snapToGri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（5）</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tc>
      </w:tr>
      <w:tr w14:paraId="0791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B68B12">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2BCF30">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7.5.2</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1F48E4">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kern w:val="2"/>
                <w:sz w:val="24"/>
                <w:szCs w:val="24"/>
                <w:highlight w:val="none"/>
              </w:rPr>
              <w:t>因承包人原因造成工期延误，逾期竣工违约金的计算方法为：</w:t>
            </w:r>
            <w:r>
              <w:rPr>
                <w:rFonts w:hint="eastAsia" w:ascii="Times New Roman" w:cs="宋体"/>
                <w:color w:val="auto"/>
                <w:kern w:val="2"/>
                <w:sz w:val="24"/>
                <w:szCs w:val="24"/>
                <w:highlight w:val="none"/>
                <w:u w:val="single"/>
              </w:rPr>
              <w:t xml:space="preserve">      </w:t>
            </w:r>
            <w:r>
              <w:rPr>
                <w:rFonts w:hint="eastAsia" w:ascii="Times New Roman" w:cs="宋体"/>
                <w:color w:val="auto"/>
                <w:kern w:val="2"/>
                <w:sz w:val="24"/>
                <w:szCs w:val="24"/>
                <w:highlight w:val="none"/>
              </w:rPr>
              <w:t>。</w:t>
            </w:r>
          </w:p>
          <w:p w14:paraId="74A8202E">
            <w:pPr>
              <w:snapToGri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kern w:val="2"/>
                <w:sz w:val="24"/>
                <w:szCs w:val="24"/>
                <w:highlight w:val="none"/>
              </w:rPr>
              <w:t>因承包人原因造成工期延误，逾期竣工违约金的上限：</w:t>
            </w:r>
            <w:r>
              <w:rPr>
                <w:rFonts w:hint="eastAsia" w:ascii="Times New Roman" w:cs="宋体"/>
                <w:color w:val="auto"/>
                <w:kern w:val="2"/>
                <w:sz w:val="24"/>
                <w:szCs w:val="24"/>
                <w:highlight w:val="none"/>
                <w:u w:val="single"/>
              </w:rPr>
              <w:t xml:space="preserve">       </w:t>
            </w:r>
            <w:r>
              <w:rPr>
                <w:rFonts w:hint="eastAsia" w:ascii="Times New Roman" w:cs="宋体"/>
                <w:color w:val="auto"/>
                <w:kern w:val="2"/>
                <w:sz w:val="24"/>
                <w:szCs w:val="24"/>
                <w:highlight w:val="none"/>
              </w:rPr>
              <w:t>。</w:t>
            </w:r>
          </w:p>
        </w:tc>
      </w:tr>
      <w:tr w14:paraId="2B20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BD8AE7">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20061E">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7.9.2</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F81EFB">
            <w:pPr>
              <w:snapToGrid w:val="0"/>
              <w:spacing w:beforeLines="0" w:afterLines="0" w:line="360" w:lineRule="auto"/>
              <w:rPr>
                <w:rFonts w:hint="eastAsia" w:ascii="Times New Roman" w:cs="宋体"/>
                <w:color w:val="auto"/>
                <w:kern w:val="2"/>
                <w:sz w:val="24"/>
                <w:szCs w:val="24"/>
                <w:highlight w:val="none"/>
              </w:rPr>
            </w:pPr>
            <w:r>
              <w:rPr>
                <w:rFonts w:hint="eastAsia" w:ascii="Times New Roman"/>
                <w:color w:val="auto"/>
                <w:sz w:val="24"/>
                <w:szCs w:val="24"/>
                <w:highlight w:val="none"/>
              </w:rPr>
              <w:t>提前竣工的奖励：</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tc>
      </w:tr>
      <w:tr w14:paraId="184E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CDDD6A">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30BB45">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11.1</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03C96E">
            <w:pPr>
              <w:pStyle w:val="10"/>
              <w:tabs>
                <w:tab w:val="clear" w:pos="4153"/>
                <w:tab w:val="clear" w:pos="8306"/>
              </w:tabs>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kern w:val="2"/>
                <w:sz w:val="24"/>
                <w:szCs w:val="24"/>
                <w:highlight w:val="none"/>
              </w:rPr>
              <w:t>市场价格波动是否调整合同价格的约定：</w:t>
            </w:r>
            <w:r>
              <w:rPr>
                <w:rFonts w:hint="eastAsia" w:ascii="Times New Roman" w:cs="宋体"/>
                <w:color w:val="auto"/>
                <w:kern w:val="2"/>
                <w:sz w:val="24"/>
                <w:szCs w:val="24"/>
                <w:highlight w:val="none"/>
                <w:u w:val="single"/>
              </w:rPr>
              <w:t xml:space="preserve">仅对招标文件发布的《可调整价差人工和主要材料一览表》中约定的人工、主要材料进行价格调整 </w:t>
            </w:r>
            <w:r>
              <w:rPr>
                <w:rFonts w:hint="eastAsia" w:ascii="Times New Roman" w:cs="宋体"/>
                <w:color w:val="auto"/>
                <w:kern w:val="2"/>
                <w:sz w:val="24"/>
                <w:szCs w:val="24"/>
                <w:highlight w:val="none"/>
              </w:rPr>
              <w:t>。</w:t>
            </w:r>
          </w:p>
        </w:tc>
      </w:tr>
      <w:tr w14:paraId="1599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F6A847">
            <w:pPr>
              <w:numPr>
                <w:ilvl w:val="0"/>
                <w:numId w:val="6"/>
              </w:numPr>
              <w:snapToGrid w:val="0"/>
              <w:spacing w:beforeLines="0" w:afterLines="0" w:line="360" w:lineRule="auto"/>
              <w:jc w:val="center"/>
              <w:rPr>
                <w:rFonts w:hint="eastAsia" w:ascii="Times New Roman" w:cs="宋体"/>
                <w:color w:val="auto"/>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BB2518">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12.1</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0060D7">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合同价格形式</w:t>
            </w:r>
          </w:p>
          <w:p w14:paraId="456E8647">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(1)单价合同。</w:t>
            </w:r>
          </w:p>
          <w:p w14:paraId="2C58E90B">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综合单价包含的风险范围：</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0B2BD659">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风险费用的计算方法：</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6B6C322F">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风险范围以外合同价格的调整方法：</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rPr>
              <w:t>。</w:t>
            </w:r>
          </w:p>
          <w:p w14:paraId="7E04995C">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(2)总价合同。</w:t>
            </w:r>
          </w:p>
          <w:p w14:paraId="33E3ED32">
            <w:pPr>
              <w:pStyle w:val="10"/>
              <w:tabs>
                <w:tab w:val="clear" w:pos="4153"/>
                <w:tab w:val="clear" w:pos="8306"/>
              </w:tabs>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总价包含的风险范围：</w:t>
            </w:r>
            <w:r>
              <w:rPr>
                <w:rFonts w:hint="eastAsia" w:ascii="Times New Roman" w:cs="宋体"/>
                <w:color w:val="auto"/>
                <w:sz w:val="24"/>
                <w:szCs w:val="24"/>
                <w:highlight w:val="none"/>
                <w:u w:val="single"/>
              </w:rPr>
              <w:t xml:space="preserve">    （1）人工、材料、机械费用的市场价格</w:t>
            </w:r>
          </w:p>
          <w:p w14:paraId="0CDBBCB0">
            <w:pPr>
              <w:pStyle w:val="10"/>
              <w:tabs>
                <w:tab w:val="clear" w:pos="4153"/>
                <w:tab w:val="clear" w:pos="8306"/>
              </w:tabs>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u w:val="single"/>
              </w:rPr>
              <w:t>变化（不包含招标文件发布的《可调整价差人工和主要材料一览表》</w:t>
            </w:r>
          </w:p>
          <w:p w14:paraId="61E1477B">
            <w:pPr>
              <w:pStyle w:val="10"/>
              <w:tabs>
                <w:tab w:val="clear" w:pos="4153"/>
                <w:tab w:val="clear" w:pos="8306"/>
              </w:tabs>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u w:val="single"/>
              </w:rPr>
              <w:t>中约定的可调整价差人工、主要材料 ），除不可抗力以外的其他风</w:t>
            </w:r>
          </w:p>
          <w:p w14:paraId="2633039D">
            <w:pPr>
              <w:pStyle w:val="10"/>
              <w:tabs>
                <w:tab w:val="clear" w:pos="4153"/>
                <w:tab w:val="clear" w:pos="8306"/>
              </w:tabs>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u w:val="single"/>
              </w:rPr>
              <w:t xml:space="preserve">险。(2)工程量变更、施工条件改变、工期改变等，措施费不予调整。 </w:t>
            </w:r>
          </w:p>
          <w:p w14:paraId="1CB8A5A8">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风险费用的计算方法：</w:t>
            </w:r>
            <w:r>
              <w:rPr>
                <w:rFonts w:hint="eastAsia" w:ascii="Times New Roman" w:cs="宋体"/>
                <w:color w:val="auto"/>
                <w:sz w:val="24"/>
                <w:szCs w:val="24"/>
                <w:highlight w:val="none"/>
                <w:u w:val="single"/>
              </w:rPr>
              <w:t xml:space="preserve">  投标人在投标报价时已经考虑，不再另行计取 。 </w:t>
            </w:r>
          </w:p>
          <w:p w14:paraId="5F0E6D87">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风险范围以外合同价格的调整方法：</w:t>
            </w:r>
            <w:r>
              <w:rPr>
                <w:rFonts w:hint="eastAsia" w:ascii="Times New Roman" w:cs="宋体"/>
                <w:color w:val="auto"/>
                <w:sz w:val="24"/>
                <w:szCs w:val="24"/>
                <w:highlight w:val="none"/>
                <w:u w:val="single"/>
              </w:rPr>
              <w:t xml:space="preserve"> 投标人在投标报价时自行考虑</w:t>
            </w:r>
            <w:r>
              <w:rPr>
                <w:rFonts w:hint="eastAsia" w:ascii="Times New Roman" w:cs="宋体"/>
                <w:color w:val="auto"/>
                <w:sz w:val="24"/>
                <w:szCs w:val="24"/>
                <w:highlight w:val="none"/>
              </w:rPr>
              <w:t>。</w:t>
            </w:r>
          </w:p>
          <w:p w14:paraId="3323915B">
            <w:pPr>
              <w:pStyle w:val="10"/>
              <w:tabs>
                <w:tab w:val="clear" w:pos="4153"/>
                <w:tab w:val="clear" w:pos="8306"/>
              </w:tabs>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（3）其他价格方式：</w:t>
            </w:r>
            <w:r>
              <w:rPr>
                <w:rFonts w:hint="eastAsia" w:ascii="Times New Roman" w:cs="宋体"/>
                <w:color w:val="auto"/>
                <w:sz w:val="24"/>
                <w:szCs w:val="24"/>
                <w:highlight w:val="none"/>
                <w:u w:val="single"/>
              </w:rPr>
              <w:t xml:space="preserve">            /                         </w:t>
            </w:r>
            <w:r>
              <w:rPr>
                <w:rFonts w:hint="eastAsia" w:ascii="Times New Roman" w:cs="宋体"/>
                <w:color w:val="auto"/>
                <w:sz w:val="24"/>
                <w:szCs w:val="24"/>
                <w:highlight w:val="none"/>
              </w:rPr>
              <w:t>。</w:t>
            </w:r>
          </w:p>
        </w:tc>
      </w:tr>
      <w:tr w14:paraId="2EDC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3409D9">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1B0F73">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 xml:space="preserve">12.2.1 </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9F2227">
            <w:pPr>
              <w:adjustRightIn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预付款的支付</w:t>
            </w:r>
          </w:p>
          <w:p w14:paraId="52A54367">
            <w:pPr>
              <w:adjustRightIn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预付款支付比例或金额：</w:t>
            </w:r>
            <w:r>
              <w:rPr>
                <w:rFonts w:hint="eastAsia" w:ascii="Times New Roman" w:cs="宋体"/>
                <w:color w:val="auto"/>
                <w:sz w:val="24"/>
                <w:szCs w:val="24"/>
                <w:highlight w:val="none"/>
                <w:u w:val="single"/>
              </w:rPr>
              <w:t xml:space="preserve">      合同价（扣除暂列金额）的</w:t>
            </w:r>
            <w:r>
              <w:rPr>
                <w:rFonts w:hint="eastAsia" w:ascii="Times New Roman" w:cs="宋体"/>
                <w:color w:val="auto"/>
                <w:sz w:val="24"/>
                <w:szCs w:val="24"/>
                <w:highlight w:val="none"/>
                <w:u w:val="single"/>
                <w:lang w:val="en-US" w:eastAsia="zh-CN"/>
              </w:rPr>
              <w:t xml:space="preserve"> 1</w:t>
            </w:r>
            <w:r>
              <w:rPr>
                <w:rFonts w:hint="eastAsia" w:ascii="Times New Roman" w:cs="宋体"/>
                <w:color w:val="auto"/>
                <w:sz w:val="24"/>
                <w:szCs w:val="24"/>
                <w:highlight w:val="none"/>
                <w:u w:val="single"/>
              </w:rPr>
              <w:t xml:space="preserve">0%    </w:t>
            </w:r>
          </w:p>
          <w:p w14:paraId="410F8AAA">
            <w:pPr>
              <w:adjustRightIn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预付款支付期限：</w:t>
            </w:r>
            <w:r>
              <w:rPr>
                <w:rFonts w:hint="eastAsia" w:ascii="Times New Roman" w:cs="宋体"/>
                <w:b/>
                <w:color w:val="auto"/>
                <w:sz w:val="24"/>
                <w:szCs w:val="24"/>
                <w:highlight w:val="none"/>
                <w:u w:val="single"/>
              </w:rPr>
              <w:t>在具备施工条件的前提下，在合同签订后一个月内或不迟于约定的开工日期前7天内预付工程款。</w:t>
            </w:r>
          </w:p>
          <w:p w14:paraId="4407CB4F">
            <w:pPr>
              <w:adjustRightInd w:val="0"/>
              <w:spacing w:beforeLines="0" w:afterLines="0" w:line="360" w:lineRule="auto"/>
              <w:rPr>
                <w:rFonts w:hint="eastAsia" w:ascii="Times New Roman" w:cs="宋体"/>
                <w:color w:val="auto"/>
                <w:kern w:val="2"/>
                <w:sz w:val="24"/>
                <w:szCs w:val="24"/>
                <w:highlight w:val="none"/>
              </w:rPr>
            </w:pPr>
            <w:r>
              <w:rPr>
                <w:rFonts w:hint="eastAsia" w:ascii="Times New Roman" w:cs="宋体"/>
                <w:color w:val="auto"/>
                <w:sz w:val="24"/>
                <w:szCs w:val="24"/>
                <w:highlight w:val="none"/>
              </w:rPr>
              <w:t>预付款扣回的方式：</w:t>
            </w:r>
            <w:r>
              <w:rPr>
                <w:rFonts w:hint="eastAsia" w:ascii="Times New Roman" w:cs="宋体"/>
                <w:color w:val="auto"/>
                <w:sz w:val="24"/>
                <w:szCs w:val="24"/>
                <w:highlight w:val="none"/>
                <w:u w:val="single"/>
              </w:rPr>
              <w:t xml:space="preserve">    当工程进度款累计支付金额达到合同金额的30%一次性扣回预付款  </w:t>
            </w:r>
          </w:p>
        </w:tc>
      </w:tr>
      <w:tr w14:paraId="1F29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496821">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50B90F">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12.2.2</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F5F144">
            <w:pPr>
              <w:adjustRightIn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预付款担保</w:t>
            </w:r>
          </w:p>
          <w:p w14:paraId="2F5B5154">
            <w:pPr>
              <w:adjustRightInd w:val="0"/>
              <w:spacing w:beforeLines="0" w:afterLines="0" w:line="360" w:lineRule="auto"/>
              <w:rPr>
                <w:rFonts w:hint="eastAsia" w:ascii="Times New Roman" w:eastAsia="Times New Roman" w:cs="宋体"/>
                <w:color w:val="auto"/>
                <w:sz w:val="24"/>
                <w:szCs w:val="24"/>
                <w:highlight w:val="none"/>
                <w:u w:val="single"/>
              </w:rPr>
            </w:pPr>
            <w:r>
              <w:rPr>
                <w:rFonts w:hint="eastAsia" w:ascii="Times New Roman" w:cs="宋体"/>
                <w:color w:val="auto"/>
                <w:sz w:val="24"/>
                <w:szCs w:val="24"/>
                <w:highlight w:val="none"/>
              </w:rPr>
              <w:t>承包人提交预付款担保的期限：</w:t>
            </w:r>
            <w:r>
              <w:rPr>
                <w:rFonts w:hint="eastAsia" w:ascii="Times New Roman" w:cs="宋体"/>
                <w:color w:val="auto"/>
                <w:sz w:val="24"/>
                <w:szCs w:val="24"/>
                <w:highlight w:val="none"/>
                <w:u w:val="single"/>
              </w:rPr>
              <w:t xml:space="preserve"> </w:t>
            </w:r>
            <w:r>
              <w:rPr>
                <w:rFonts w:hint="eastAsia" w:ascii="Times New Roman" w:cs="宋体"/>
                <w:b/>
                <w:color w:val="auto"/>
                <w:sz w:val="24"/>
                <w:szCs w:val="24"/>
                <w:highlight w:val="none"/>
                <w:u w:val="single"/>
              </w:rPr>
              <w:t>预付款支付前7天。</w:t>
            </w:r>
          </w:p>
          <w:p w14:paraId="70CC5CB5">
            <w:pPr>
              <w:adjustRightInd w:val="0"/>
              <w:spacing w:beforeLines="0" w:afterLines="0" w:line="360" w:lineRule="auto"/>
              <w:rPr>
                <w:rFonts w:hint="eastAsia" w:ascii="Times New Roman" w:cs="宋体"/>
                <w:color w:val="auto"/>
                <w:sz w:val="24"/>
                <w:szCs w:val="24"/>
                <w:highlight w:val="none"/>
                <w:u w:val="single"/>
              </w:rPr>
            </w:pPr>
            <w:r>
              <w:rPr>
                <w:rFonts w:hint="eastAsia" w:ascii="Times New Roman" w:cs="宋体"/>
                <w:color w:val="auto"/>
                <w:sz w:val="24"/>
                <w:szCs w:val="24"/>
                <w:highlight w:val="none"/>
              </w:rPr>
              <w:t>预付款担保的形式为：</w:t>
            </w:r>
            <w:r>
              <w:rPr>
                <w:rFonts w:hint="eastAsia" w:ascii="Times New Roman" w:cs="宋体"/>
                <w:b/>
                <w:color w:val="auto"/>
                <w:sz w:val="24"/>
                <w:szCs w:val="24"/>
                <w:highlight w:val="none"/>
                <w:u w:val="single"/>
              </w:rPr>
              <w:t xml:space="preserve">不可撤销的电子保函、纸质保函（纸质银行保函、纸质担保机构担保、纸质保证保险）等额保函。 </w:t>
            </w:r>
          </w:p>
          <w:p w14:paraId="0ED50B33">
            <w:pPr>
              <w:pStyle w:val="4"/>
              <w:spacing w:beforeLines="0" w:afterLines="0"/>
              <w:rPr>
                <w:rFonts w:hint="eastAsia"/>
                <w:color w:val="auto"/>
                <w:sz w:val="24"/>
                <w:szCs w:val="24"/>
                <w:highlight w:val="none"/>
              </w:rPr>
            </w:pPr>
            <w:r>
              <w:rPr>
                <w:rFonts w:hint="eastAsia" w:ascii="Times New Roman" w:cs="宋体"/>
                <w:color w:val="auto"/>
                <w:sz w:val="24"/>
                <w:szCs w:val="24"/>
                <w:highlight w:val="none"/>
              </w:rPr>
              <w:t>注:本项目鼓励优先使用电子保函形式递交提交预付款担保</w:t>
            </w:r>
          </w:p>
        </w:tc>
      </w:tr>
      <w:tr w14:paraId="526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BF1B3C">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9773E5">
            <w:pPr>
              <w:snapToGrid w:val="0"/>
              <w:spacing w:beforeLines="0" w:afterLines="0" w:line="360" w:lineRule="auto"/>
              <w:jc w:val="center"/>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12.4.1</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03376D">
            <w:pPr>
              <w:adjustRightInd w:val="0"/>
              <w:spacing w:beforeLines="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付款周期</w:t>
            </w:r>
          </w:p>
          <w:p w14:paraId="60A6701F">
            <w:pPr>
              <w:spacing w:beforeLines="0" w:afterLines="0" w:line="360" w:lineRule="auto"/>
              <w:ind w:firstLine="360" w:firstLineChars="150"/>
              <w:rPr>
                <w:rFonts w:hint="eastAsia" w:ascii="Times New Roman" w:cs="宋体"/>
                <w:color w:val="auto"/>
                <w:sz w:val="24"/>
                <w:szCs w:val="24"/>
                <w:highlight w:val="none"/>
              </w:rPr>
            </w:pPr>
            <w:r>
              <w:rPr>
                <w:rFonts w:hint="eastAsia" w:ascii="Times New Roman" w:cs="宋体"/>
                <w:color w:val="auto"/>
                <w:sz w:val="24"/>
                <w:szCs w:val="24"/>
                <w:highlight w:val="none"/>
              </w:rPr>
              <w:t>关于付款周期的约定：</w:t>
            </w:r>
            <w:r>
              <w:rPr>
                <w:rFonts w:hint="eastAsia" w:ascii="Times New Roman" w:hAnsi="Times New Roman" w:cs="宋体"/>
                <w:color w:val="auto"/>
                <w:sz w:val="24"/>
                <w:szCs w:val="24"/>
                <w:highlight w:val="none"/>
                <w:lang w:val="en-US" w:eastAsia="zh-CN"/>
              </w:rPr>
              <w:t>在具备施工条件的前提下，在合同签订后一个月内或不迟于约定的开工日期前7天内预付合同金额（扣除暂列金额）的10%作为预付款，每月支付监理和发包人审核确认上月完成合格工程量80%的进度款，当工程进度款累计支付金额达到合同金额的30%一次性扣回预付款，竣工验收合格后付款至合同金额</w:t>
            </w:r>
            <w:r>
              <w:rPr>
                <w:rFonts w:hint="eastAsia" w:ascii="Times New Roman" w:cs="宋体"/>
                <w:color w:val="auto"/>
                <w:sz w:val="24"/>
                <w:szCs w:val="24"/>
                <w:highlight w:val="none"/>
                <w:lang w:val="en-US" w:eastAsia="zh-CN"/>
              </w:rPr>
              <w:t>（扣除暂列金）</w:t>
            </w:r>
            <w:r>
              <w:rPr>
                <w:rFonts w:hint="eastAsia" w:ascii="Times New Roman" w:hAnsi="Times New Roman" w:cs="宋体"/>
                <w:color w:val="auto"/>
                <w:sz w:val="24"/>
                <w:szCs w:val="24"/>
                <w:highlight w:val="none"/>
                <w:lang w:val="en-US" w:eastAsia="zh-CN"/>
              </w:rPr>
              <w:t>的85%，结算审定完成后付至最终结算价款的97%，余款作为质量保证金，待缺陷责任期满(2年）后一次性付清。</w:t>
            </w:r>
          </w:p>
          <w:p w14:paraId="09BB0864">
            <w:pPr>
              <w:pStyle w:val="16"/>
              <w:spacing w:beforeLines="0" w:afterLines="0" w:line="360" w:lineRule="auto"/>
              <w:ind w:left="0" w:firstLine="482"/>
              <w:rPr>
                <w:rFonts w:hint="eastAsia"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备注：</w:t>
            </w:r>
          </w:p>
          <w:p w14:paraId="4B27C541">
            <w:pPr>
              <w:pStyle w:val="16"/>
              <w:spacing w:beforeLines="0" w:afterLines="0" w:line="360" w:lineRule="auto"/>
              <w:ind w:left="0" w:firstLine="482"/>
              <w:rPr>
                <w:rFonts w:hint="eastAsia"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1.如承包人采用“银行保函或保证保险等方式”提交等额工程质量保证金，则在工程审定结算后招标人应付至最终结算价款的100%。</w:t>
            </w:r>
          </w:p>
          <w:p w14:paraId="4CB121FD">
            <w:pPr>
              <w:pStyle w:val="4"/>
              <w:spacing w:beforeLines="0" w:afterLines="0"/>
              <w:ind w:firstLine="482" w:firstLineChars="200"/>
              <w:rPr>
                <w:rFonts w:hint="eastAsia"/>
                <w:color w:val="auto"/>
                <w:sz w:val="24"/>
                <w:szCs w:val="24"/>
                <w:highlight w:val="none"/>
              </w:rPr>
            </w:pPr>
            <w:r>
              <w:rPr>
                <w:rFonts w:hint="eastAsia" w:ascii="Times New Roman" w:hAnsi="Times New Roman" w:eastAsia="宋体" w:cs="宋体"/>
                <w:b/>
                <w:color w:val="auto"/>
                <w:sz w:val="24"/>
                <w:szCs w:val="24"/>
                <w:highlight w:val="none"/>
              </w:rPr>
              <w:t>2.以现金形式提交质量保证金的（含从工程款中以扣留方式提交的），同时退还银行同期活期存款利息。</w:t>
            </w:r>
          </w:p>
        </w:tc>
      </w:tr>
      <w:tr w14:paraId="735A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777A83">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151845">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15.2.1</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F01885">
            <w:pPr>
              <w:snapToGrid w:val="0"/>
              <w:spacing w:beforeLines="0" w:afterLines="0" w:line="360" w:lineRule="auto"/>
              <w:rPr>
                <w:rFonts w:hint="eastAsia" w:ascii="Times New Roman" w:cs="宋体"/>
                <w:color w:val="auto"/>
                <w:kern w:val="2"/>
                <w:sz w:val="24"/>
                <w:szCs w:val="24"/>
                <w:highlight w:val="none"/>
              </w:rPr>
            </w:pPr>
            <w:r>
              <w:rPr>
                <w:rFonts w:hint="eastAsia" w:ascii="Times New Roman"/>
                <w:color w:val="auto"/>
                <w:sz w:val="24"/>
                <w:szCs w:val="24"/>
                <w:highlight w:val="none"/>
              </w:rPr>
              <w:t>缺陷责任期的具体期限：</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lang w:val="en-US" w:eastAsia="zh-CN"/>
              </w:rPr>
              <w:t>2</w:t>
            </w:r>
            <w:r>
              <w:rPr>
                <w:rFonts w:hint="eastAsia" w:ascii="Times New Roman"/>
                <w:color w:val="auto"/>
                <w:sz w:val="24"/>
                <w:szCs w:val="21"/>
                <w:highlight w:val="none"/>
                <w:u w:val="single"/>
              </w:rPr>
              <w:t>年</w:t>
            </w:r>
            <w:r>
              <w:rPr>
                <w:rFonts w:hint="eastAsia" w:ascii="Times New Roman" w:eastAsia="Times New Roman"/>
                <w:color w:val="auto"/>
                <w:sz w:val="24"/>
                <w:szCs w:val="21"/>
                <w:highlight w:val="none"/>
                <w:u w:val="single"/>
              </w:rPr>
              <w:t xml:space="preserve">       </w:t>
            </w:r>
            <w:r>
              <w:rPr>
                <w:rFonts w:hint="eastAsia" w:ascii="Times New Roman"/>
                <w:color w:val="auto"/>
                <w:sz w:val="24"/>
                <w:szCs w:val="24"/>
                <w:highlight w:val="none"/>
              </w:rPr>
              <w:t>。</w:t>
            </w:r>
          </w:p>
        </w:tc>
      </w:tr>
      <w:tr w14:paraId="0121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8DCF9B">
            <w:pPr>
              <w:numPr>
                <w:ilvl w:val="0"/>
                <w:numId w:val="6"/>
              </w:numPr>
              <w:snapToGrid w:val="0"/>
              <w:spacing w:beforeLines="0" w:afterLines="0" w:line="360" w:lineRule="auto"/>
              <w:jc w:val="center"/>
              <w:rPr>
                <w:rFonts w:hint="eastAsia" w:ascii="Times New Roman" w:cs="宋体"/>
                <w:color w:val="auto"/>
                <w:kern w:val="2"/>
                <w:sz w:val="24"/>
                <w:szCs w:val="24"/>
                <w:highlight w:val="none"/>
              </w:rPr>
            </w:pP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EEDF7C">
            <w:pPr>
              <w:snapToGrid w:val="0"/>
              <w:spacing w:beforeLines="0" w:afterLines="0" w:line="360" w:lineRule="auto"/>
              <w:jc w:val="center"/>
              <w:rPr>
                <w:rFonts w:hint="eastAsia" w:ascii="Times New Roman" w:cs="宋体"/>
                <w:color w:val="auto"/>
                <w:kern w:val="2"/>
                <w:sz w:val="24"/>
                <w:szCs w:val="24"/>
                <w:highlight w:val="none"/>
              </w:rPr>
            </w:pPr>
            <w:r>
              <w:rPr>
                <w:rFonts w:hint="eastAsia" w:ascii="Times New Roman" w:cs="宋体"/>
                <w:color w:val="auto"/>
                <w:sz w:val="24"/>
                <w:szCs w:val="24"/>
                <w:highlight w:val="none"/>
              </w:rPr>
              <w:t>15.3.1</w:t>
            </w:r>
          </w:p>
        </w:tc>
        <w:tc>
          <w:tcPr>
            <w:tcW w:w="73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839FAF">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质量保证金可采用以下任意一种方式：</w:t>
            </w:r>
          </w:p>
          <w:p w14:paraId="63EB520F">
            <w:pPr>
              <w:snapToGrid w:val="0"/>
              <w:spacing w:beforeLines="0" w:afterLines="0" w:line="360" w:lineRule="auto"/>
              <w:ind w:firstLine="480" w:firstLineChars="200"/>
              <w:rPr>
                <w:rFonts w:hint="eastAsia" w:ascii="Times New Roman" w:eastAsia="Times New Roman"/>
                <w:color w:val="auto"/>
                <w:sz w:val="32"/>
                <w:szCs w:val="32"/>
                <w:highlight w:val="none"/>
              </w:rPr>
            </w:pPr>
            <w:r>
              <w:rPr>
                <w:rFonts w:hint="eastAsia" w:ascii="Times New Roman"/>
                <w:color w:val="auto"/>
                <w:sz w:val="24"/>
                <w:szCs w:val="24"/>
                <w:highlight w:val="none"/>
              </w:rPr>
              <w:t>（1）由银行业金融机构、工程担保公司、保险机构出具电子保函、纸质保函等担保方式，担保/保证金额为：</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3% 的</w:t>
            </w:r>
            <w:r>
              <w:rPr>
                <w:rFonts w:hint="eastAsia" w:ascii="Times New Roman"/>
                <w:color w:val="auto"/>
                <w:sz w:val="24"/>
                <w:szCs w:val="24"/>
                <w:highlight w:val="none"/>
                <w:u w:val="single"/>
                <w:lang w:val="en-US" w:eastAsia="zh-CN"/>
              </w:rPr>
              <w:t>结算价款</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CA4259E">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3</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w:t>
            </w:r>
            <w:r>
              <w:rPr>
                <w:rFonts w:hint="eastAsia" w:ascii="Times New Roman"/>
                <w:color w:val="auto"/>
                <w:sz w:val="24"/>
                <w:szCs w:val="24"/>
                <w:highlight w:val="none"/>
              </w:rPr>
              <w:t>的工程款；</w:t>
            </w:r>
          </w:p>
          <w:p w14:paraId="6336776F">
            <w:pPr>
              <w:snapToGri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（3）其他方式：</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085D98C">
            <w:pPr>
              <w:pStyle w:val="4"/>
              <w:spacing w:beforeLines="0" w:afterLines="0"/>
              <w:ind w:firstLine="480" w:firstLineChars="200"/>
              <w:rPr>
                <w:rFonts w:hint="eastAsia"/>
                <w:color w:val="auto"/>
                <w:sz w:val="24"/>
                <w:szCs w:val="24"/>
                <w:highlight w:val="none"/>
              </w:rPr>
            </w:pPr>
            <w:r>
              <w:rPr>
                <w:rFonts w:hint="eastAsia" w:ascii="Times New Roman" w:hAnsi="Times New Roman" w:eastAsia="宋体"/>
                <w:color w:val="auto"/>
                <w:sz w:val="24"/>
                <w:szCs w:val="24"/>
                <w:highlight w:val="none"/>
              </w:rPr>
              <w:t>注：采用电子保函的，请登录全国公共资源交易平台（安徽省•合肥市）（安徽合肥公共资源交易中心网站）“电子保函”栏目查看《合肥市（信易贷）电子保函平台工程质量保函操作手册》并按照操作手册规定内容办理。</w:t>
            </w:r>
          </w:p>
        </w:tc>
      </w:tr>
    </w:tbl>
    <w:p w14:paraId="652D43F1">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br w:type="page"/>
      </w:r>
      <w:r>
        <w:rPr>
          <w:rFonts w:hint="eastAsia" w:ascii="Times New Roman" w:eastAsia="Times New Roman"/>
          <w:color w:val="auto"/>
          <w:sz w:val="24"/>
          <w:szCs w:val="24"/>
          <w:highlight w:val="none"/>
        </w:rPr>
        <w:t>1</w:t>
      </w:r>
      <w:bookmarkStart w:id="360" w:name="_Toc296944495"/>
      <w:bookmarkStart w:id="361" w:name="_Toc297120456"/>
      <w:bookmarkStart w:id="362" w:name="_Toc296346657"/>
      <w:bookmarkStart w:id="363" w:name="_Toc296503156"/>
      <w:bookmarkStart w:id="364" w:name="_Toc296347155"/>
      <w:bookmarkStart w:id="365" w:name="_Toc292559866"/>
      <w:bookmarkStart w:id="366" w:name="_Toc297048342"/>
      <w:bookmarkStart w:id="367" w:name="_Toc296891196"/>
      <w:bookmarkStart w:id="368" w:name="_Toc296890984"/>
      <w:bookmarkStart w:id="369" w:name="_Toc292559361"/>
      <w:r>
        <w:rPr>
          <w:rFonts w:hint="eastAsia" w:ascii="Times New Roman" w:eastAsia="Times New Roman"/>
          <w:color w:val="auto"/>
          <w:sz w:val="24"/>
          <w:szCs w:val="24"/>
          <w:highlight w:val="none"/>
        </w:rPr>
        <w:t xml:space="preserve">. </w:t>
      </w:r>
      <w:r>
        <w:rPr>
          <w:rFonts w:hint="eastAsia" w:ascii="Times New Roman" w:eastAsia="黑体"/>
          <w:color w:val="auto"/>
          <w:sz w:val="24"/>
          <w:szCs w:val="24"/>
          <w:highlight w:val="none"/>
        </w:rPr>
        <w:t>一般约定</w:t>
      </w:r>
    </w:p>
    <w:bookmarkEnd w:id="360"/>
    <w:bookmarkEnd w:id="361"/>
    <w:bookmarkEnd w:id="362"/>
    <w:bookmarkEnd w:id="363"/>
    <w:bookmarkEnd w:id="364"/>
    <w:bookmarkEnd w:id="365"/>
    <w:bookmarkEnd w:id="366"/>
    <w:bookmarkEnd w:id="367"/>
    <w:bookmarkEnd w:id="368"/>
    <w:bookmarkEnd w:id="369"/>
    <w:p w14:paraId="5115D0A2">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1.1</w:t>
      </w:r>
      <w:r>
        <w:rPr>
          <w:rFonts w:hint="eastAsia" w:ascii="Times New Roman" w:eastAsia="黑体"/>
          <w:color w:val="auto"/>
          <w:sz w:val="24"/>
          <w:szCs w:val="28"/>
          <w:highlight w:val="none"/>
        </w:rPr>
        <w:t xml:space="preserve"> 词语定义与解释</w:t>
      </w:r>
    </w:p>
    <w:p w14:paraId="5319BF8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1.1.1</w:t>
      </w:r>
      <w:r>
        <w:rPr>
          <w:rFonts w:hint="eastAsia" w:ascii="Times New Roman"/>
          <w:color w:val="auto"/>
          <w:sz w:val="24"/>
          <w:szCs w:val="24"/>
          <w:highlight w:val="none"/>
        </w:rPr>
        <w:t xml:space="preserve"> 合同</w:t>
      </w:r>
    </w:p>
    <w:p w14:paraId="1A1B6C2B">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1.1.1.10</w:t>
      </w:r>
      <w:r>
        <w:rPr>
          <w:rFonts w:hint="eastAsia" w:ascii="Times New Roman"/>
          <w:color w:val="auto"/>
          <w:sz w:val="24"/>
          <w:szCs w:val="24"/>
          <w:highlight w:val="none"/>
        </w:rPr>
        <w:t xml:space="preserve"> 其他合同文件包括：</w:t>
      </w:r>
      <w:r>
        <w:rPr>
          <w:rFonts w:hint="eastAsia" w:ascii="Times New Roman" w:eastAsia="Times New Roman"/>
          <w:color w:val="auto"/>
          <w:sz w:val="24"/>
          <w:szCs w:val="24"/>
          <w:highlight w:val="none"/>
          <w:u w:val="single"/>
        </w:rPr>
        <w:t xml:space="preserve">                 </w:t>
      </w:r>
    </w:p>
    <w:p w14:paraId="4C2669C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1.1.2 </w:t>
      </w:r>
      <w:r>
        <w:rPr>
          <w:rFonts w:hint="eastAsia" w:ascii="Times New Roman"/>
          <w:color w:val="auto"/>
          <w:sz w:val="24"/>
          <w:szCs w:val="24"/>
          <w:highlight w:val="none"/>
        </w:rPr>
        <w:t>合同当事人及其他相关方</w:t>
      </w:r>
    </w:p>
    <w:p w14:paraId="2956BE4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1.1.2.4</w:t>
      </w:r>
      <w:r>
        <w:rPr>
          <w:rFonts w:hint="eastAsia" w:ascii="Times New Roman"/>
          <w:color w:val="auto"/>
          <w:sz w:val="24"/>
          <w:szCs w:val="24"/>
          <w:highlight w:val="none"/>
        </w:rPr>
        <w:t xml:space="preserve"> 监理人：</w:t>
      </w:r>
    </w:p>
    <w:p w14:paraId="0DCFF9D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名    称：</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4871353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资质类别和等级：</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7EAFAC7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联系电话：</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5C7357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电子信箱：</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554D85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通信地址：</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770776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1.1.2.5 </w:t>
      </w:r>
      <w:r>
        <w:rPr>
          <w:rFonts w:hint="eastAsia" w:ascii="Times New Roman"/>
          <w:color w:val="auto"/>
          <w:sz w:val="24"/>
          <w:szCs w:val="24"/>
          <w:highlight w:val="none"/>
        </w:rPr>
        <w:t>设计人：</w:t>
      </w:r>
    </w:p>
    <w:p w14:paraId="6F40466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名    称：</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EF6B3B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资质类别和等级：</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FF60EC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联系电话：</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EFBD44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电子信箱：</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735D2F3A">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通信地址：</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75D0DE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1.1.3 </w:t>
      </w:r>
      <w:r>
        <w:rPr>
          <w:rFonts w:hint="eastAsia" w:ascii="Times New Roman"/>
          <w:color w:val="auto"/>
          <w:sz w:val="24"/>
          <w:szCs w:val="24"/>
          <w:highlight w:val="none"/>
        </w:rPr>
        <w:t>工程和设备</w:t>
      </w:r>
    </w:p>
    <w:p w14:paraId="583DA0D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1.1.3.7 </w:t>
      </w:r>
      <w:r>
        <w:rPr>
          <w:rFonts w:hint="eastAsia" w:ascii="Times New Roman"/>
          <w:color w:val="auto"/>
          <w:sz w:val="24"/>
          <w:szCs w:val="24"/>
          <w:highlight w:val="none"/>
        </w:rPr>
        <w:t>作为施工现场组成部分的其他场所包括：</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698E39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1.1.3.9 </w:t>
      </w:r>
      <w:r>
        <w:rPr>
          <w:rFonts w:hint="eastAsia" w:ascii="Times New Roman"/>
          <w:color w:val="auto"/>
          <w:sz w:val="24"/>
          <w:szCs w:val="24"/>
          <w:highlight w:val="none"/>
        </w:rPr>
        <w:t>永久占地包括：</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DD717F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1.1.3.10 </w:t>
      </w:r>
      <w:r>
        <w:rPr>
          <w:rFonts w:hint="eastAsia" w:ascii="Times New Roman"/>
          <w:color w:val="auto"/>
          <w:sz w:val="24"/>
          <w:szCs w:val="24"/>
          <w:highlight w:val="none"/>
        </w:rPr>
        <w:t>临时占地包括：</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126B8F5">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1.3</w:t>
      </w:r>
      <w:r>
        <w:rPr>
          <w:rFonts w:hint="eastAsia" w:ascii="Times New Roman" w:eastAsia="黑体"/>
          <w:color w:val="auto"/>
          <w:sz w:val="24"/>
          <w:szCs w:val="28"/>
          <w:highlight w:val="none"/>
        </w:rPr>
        <w:t xml:space="preserve"> 法律 </w:t>
      </w:r>
    </w:p>
    <w:p w14:paraId="57F44A47">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适用于合同的其他规范性文件：</w:t>
      </w:r>
      <w:r>
        <w:rPr>
          <w:rFonts w:hint="eastAsia" w:ascii="Times New Roman"/>
          <w:color w:val="auto"/>
          <w:sz w:val="24"/>
          <w:szCs w:val="21"/>
          <w:highlight w:val="none"/>
          <w:u w:val="single"/>
        </w:rPr>
        <w:t>《中华人民共和国民法典》《中华人民共和国建筑法》《中华人民共和国招标投标法》《建设工程质量管理条例》《建设工程安全生产管理条例》《合肥市公共资源交易管理条例》等国家及工程所在地现行有效的法律法规和规章</w:t>
      </w:r>
      <w:r>
        <w:rPr>
          <w:rFonts w:hint="eastAsia" w:ascii="Times New Roman"/>
          <w:color w:val="auto"/>
          <w:sz w:val="24"/>
          <w:szCs w:val="21"/>
          <w:highlight w:val="none"/>
        </w:rPr>
        <w:t>。</w:t>
      </w:r>
    </w:p>
    <w:p w14:paraId="03419397">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1.4 </w:t>
      </w:r>
      <w:r>
        <w:rPr>
          <w:rFonts w:hint="eastAsia" w:ascii="Times New Roman" w:eastAsia="黑体"/>
          <w:color w:val="auto"/>
          <w:sz w:val="24"/>
          <w:szCs w:val="28"/>
          <w:highlight w:val="none"/>
        </w:rPr>
        <w:t>标准和规范</w:t>
      </w:r>
    </w:p>
    <w:p w14:paraId="4A7F11A6">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eastAsia="Times New Roman"/>
          <w:color w:val="auto"/>
          <w:sz w:val="24"/>
          <w:szCs w:val="24"/>
          <w:highlight w:val="none"/>
        </w:rPr>
        <w:t>1.4.1</w:t>
      </w:r>
      <w:r>
        <w:rPr>
          <w:rFonts w:hint="eastAsia" w:ascii="Times New Roman"/>
          <w:color w:val="auto"/>
          <w:sz w:val="24"/>
          <w:szCs w:val="24"/>
          <w:highlight w:val="none"/>
        </w:rPr>
        <w:t xml:space="preserve"> 适用于工程的标准规范包括：</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w:t>
      </w:r>
    </w:p>
    <w:p w14:paraId="0C9CA4BB">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 xml:space="preserve">1.4.2 </w:t>
      </w:r>
      <w:r>
        <w:rPr>
          <w:rFonts w:hint="eastAsia" w:ascii="Times New Roman"/>
          <w:color w:val="auto"/>
          <w:sz w:val="24"/>
          <w:szCs w:val="24"/>
          <w:highlight w:val="none"/>
        </w:rPr>
        <w:t>发包人提供国外标准、规范的名称：</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A6D843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发包人提供国外标准、规范的份数：</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613A4C3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发包人提供国外标准、规范的时间：</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02DC6F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1.4.3</w:t>
      </w:r>
      <w:r>
        <w:rPr>
          <w:rFonts w:hint="eastAsia" w:ascii="Times New Roman"/>
          <w:color w:val="auto"/>
          <w:sz w:val="24"/>
          <w:szCs w:val="24"/>
          <w:highlight w:val="none"/>
        </w:rPr>
        <w:t xml:space="preserve"> 发包人对工程的技术标准和功能要求的特殊要求：</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0CC6B2B3">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1.5 </w:t>
      </w:r>
      <w:r>
        <w:rPr>
          <w:rFonts w:hint="eastAsia" w:ascii="Times New Roman" w:eastAsia="黑体"/>
          <w:color w:val="auto"/>
          <w:sz w:val="24"/>
          <w:szCs w:val="28"/>
          <w:highlight w:val="none"/>
        </w:rPr>
        <w:t>合同文件的优先顺序</w:t>
      </w:r>
    </w:p>
    <w:p w14:paraId="0F40B496">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合同文件组成及优先顺序为：</w:t>
      </w:r>
      <w:r>
        <w:rPr>
          <w:rFonts w:hint="eastAsia" w:ascii="Times New Roman"/>
          <w:color w:val="auto"/>
          <w:sz w:val="24"/>
          <w:szCs w:val="24"/>
          <w:highlight w:val="none"/>
          <w:u w:val="single"/>
        </w:rPr>
        <w:t xml:space="preserve">          </w:t>
      </w:r>
    </w:p>
    <w:p w14:paraId="3354155E">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1.6 </w:t>
      </w:r>
      <w:r>
        <w:rPr>
          <w:rFonts w:hint="eastAsia" w:ascii="Times New Roman" w:eastAsia="黑体"/>
          <w:color w:val="auto"/>
          <w:sz w:val="24"/>
          <w:szCs w:val="28"/>
          <w:highlight w:val="none"/>
        </w:rPr>
        <w:t>图纸和承包人文件</w:t>
      </w:r>
      <w:r>
        <w:rPr>
          <w:rFonts w:hint="eastAsia" w:ascii="Times New Roman" w:eastAsia="Times New Roman"/>
          <w:color w:val="auto"/>
          <w:sz w:val="24"/>
          <w:szCs w:val="28"/>
          <w:highlight w:val="none"/>
        </w:rPr>
        <w:tab/>
      </w:r>
    </w:p>
    <w:p w14:paraId="172192C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1.6.1</w:t>
      </w:r>
      <w:r>
        <w:rPr>
          <w:rFonts w:hint="eastAsia" w:ascii="Times New Roman"/>
          <w:color w:val="auto"/>
          <w:sz w:val="24"/>
          <w:szCs w:val="24"/>
          <w:highlight w:val="none"/>
        </w:rPr>
        <w:t xml:space="preserve"> 图纸的提供和交底</w:t>
      </w:r>
    </w:p>
    <w:p w14:paraId="473D7A6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发包人向承包人提供图纸的期限：</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0757EBF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发包人向承包人提供图纸的数量：</w:t>
      </w:r>
      <w:r>
        <w:rPr>
          <w:rFonts w:hint="eastAsia" w:ascii="Times New Roman"/>
          <w:color w:val="auto"/>
          <w:sz w:val="24"/>
          <w:szCs w:val="21"/>
          <w:highlight w:val="none"/>
          <w:u w:val="single"/>
        </w:rPr>
        <w:t>提供</w:t>
      </w:r>
      <w:r>
        <w:rPr>
          <w:rFonts w:hint="eastAsia" w:ascii="Times New Roman" w:eastAsia="Times New Roman"/>
          <w:color w:val="auto"/>
          <w:sz w:val="24"/>
          <w:szCs w:val="21"/>
          <w:highlight w:val="none"/>
          <w:u w:val="single"/>
        </w:rPr>
        <w:t xml:space="preserve"> </w:t>
      </w:r>
      <w:r>
        <w:rPr>
          <w:rFonts w:hint="eastAsia" w:ascii="Times New Roman" w:eastAsia="宋体"/>
          <w:color w:val="auto"/>
          <w:sz w:val="24"/>
          <w:szCs w:val="21"/>
          <w:highlight w:val="none"/>
          <w:u w:val="single"/>
          <w:lang w:val="en-US" w:eastAsia="zh-CN"/>
        </w:rPr>
        <w:t>4</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套（含竣工图</w:t>
      </w:r>
      <w:r>
        <w:rPr>
          <w:rFonts w:hint="eastAsia" w:ascii="Times New Roman" w:eastAsia="Times New Roman"/>
          <w:color w:val="auto"/>
          <w:sz w:val="24"/>
          <w:szCs w:val="21"/>
          <w:highlight w:val="none"/>
          <w:u w:val="single"/>
        </w:rPr>
        <w:t xml:space="preserve"> </w:t>
      </w:r>
      <w:r>
        <w:rPr>
          <w:rFonts w:hint="eastAsia" w:ascii="Times New Roman" w:eastAsia="宋体"/>
          <w:color w:val="auto"/>
          <w:sz w:val="24"/>
          <w:szCs w:val="21"/>
          <w:highlight w:val="none"/>
          <w:u w:val="single"/>
          <w:lang w:val="en-US" w:eastAsia="zh-CN"/>
        </w:rPr>
        <w:t>0</w:t>
      </w:r>
      <w:r>
        <w:rPr>
          <w:rFonts w:hint="eastAsia" w:ascii="Times New Roman"/>
          <w:color w:val="auto"/>
          <w:sz w:val="24"/>
          <w:szCs w:val="21"/>
          <w:highlight w:val="none"/>
          <w:u w:val="single"/>
        </w:rPr>
        <w:t xml:space="preserve"> 套），不足的由承包人自行复制，费用自理；</w:t>
      </w:r>
    </w:p>
    <w:p w14:paraId="1D11645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发包人向承包人提供图纸的内容：</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061EFF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1.6.4 </w:t>
      </w:r>
      <w:r>
        <w:rPr>
          <w:rFonts w:hint="eastAsia" w:ascii="Times New Roman"/>
          <w:color w:val="auto"/>
          <w:sz w:val="24"/>
          <w:szCs w:val="24"/>
          <w:highlight w:val="none"/>
        </w:rPr>
        <w:t>承包人文件</w:t>
      </w:r>
    </w:p>
    <w:p w14:paraId="1B3163D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需要由承包人提供的文件，包括：</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28DC969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承包人提供的文件的期限为：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027B43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承包人提供的文件的数量为：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27788DE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承包人提供的文件的形式为：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5038B3E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发包人审批承包人文件的期限：</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6DFFC65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1.6.5</w:t>
      </w:r>
      <w:r>
        <w:rPr>
          <w:rFonts w:hint="eastAsia" w:ascii="Times New Roman"/>
          <w:color w:val="auto"/>
          <w:sz w:val="24"/>
          <w:szCs w:val="24"/>
          <w:highlight w:val="none"/>
        </w:rPr>
        <w:t xml:space="preserve"> 图纸和承包人文件的保管</w:t>
      </w:r>
    </w:p>
    <w:p w14:paraId="7148265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关于图纸和承包人文件保管的约定：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60CAF117">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1.7 </w:t>
      </w:r>
      <w:r>
        <w:rPr>
          <w:rFonts w:hint="eastAsia" w:ascii="Times New Roman" w:eastAsia="黑体"/>
          <w:color w:val="auto"/>
          <w:sz w:val="24"/>
          <w:szCs w:val="28"/>
          <w:highlight w:val="none"/>
        </w:rPr>
        <w:t>联络</w:t>
      </w:r>
    </w:p>
    <w:p w14:paraId="377D0590">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eastAsia="Times New Roman"/>
          <w:color w:val="auto"/>
          <w:sz w:val="24"/>
          <w:szCs w:val="24"/>
          <w:highlight w:val="none"/>
        </w:rPr>
        <w:t>1.7.1</w:t>
      </w:r>
      <w:r>
        <w:rPr>
          <w:rFonts w:hint="eastAsia" w:ascii="Times New Roman"/>
          <w:color w:val="auto"/>
          <w:sz w:val="24"/>
          <w:szCs w:val="24"/>
          <w:highlight w:val="none"/>
        </w:rPr>
        <w:t xml:space="preserve"> 发包人和承包人应当在</w:t>
      </w:r>
      <w:r>
        <w:rPr>
          <w:rFonts w:hint="eastAsia" w:ascii="Times New Roman"/>
          <w:color w:val="auto"/>
          <w:sz w:val="24"/>
          <w:szCs w:val="24"/>
          <w:highlight w:val="none"/>
          <w:u w:val="single"/>
        </w:rPr>
        <w:t>7</w:t>
      </w:r>
      <w:r>
        <w:rPr>
          <w:rFonts w:hint="eastAsia" w:ascii="Times New Roman"/>
          <w:color w:val="auto"/>
          <w:sz w:val="24"/>
          <w:szCs w:val="24"/>
          <w:highlight w:val="none"/>
        </w:rPr>
        <w:t>天内将与合同有关的通知、批准、证明、证书、指示、指令、要求、请求、同意、意见、确定和决定等书面函件送达对方当事人。</w:t>
      </w:r>
    </w:p>
    <w:p w14:paraId="5A4A2F7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1.7.2 </w:t>
      </w:r>
      <w:r>
        <w:rPr>
          <w:rFonts w:hint="eastAsia" w:ascii="Times New Roman"/>
          <w:color w:val="auto"/>
          <w:sz w:val="24"/>
          <w:szCs w:val="24"/>
          <w:highlight w:val="none"/>
        </w:rPr>
        <w:t>发包人接收文件的地点：</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399B917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发包人指定的接收人为：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5CAFF35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承包人接收文件的地点：</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63DA25C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承包人指定的接收人为：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5BAB3F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监理人接收文件的地点：</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342F85E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监理人指定的接收人为：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6F3F6C8C">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1.10 </w:t>
      </w:r>
      <w:r>
        <w:rPr>
          <w:rFonts w:hint="eastAsia" w:ascii="Times New Roman" w:eastAsia="黑体"/>
          <w:color w:val="auto"/>
          <w:sz w:val="24"/>
          <w:szCs w:val="28"/>
          <w:highlight w:val="none"/>
        </w:rPr>
        <w:t>交通运输</w:t>
      </w:r>
    </w:p>
    <w:p w14:paraId="0D19206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w:t>
      </w:r>
      <w:bookmarkStart w:id="370" w:name="_Toc304295521"/>
      <w:bookmarkStart w:id="371" w:name="_Toc318581155"/>
      <w:bookmarkStart w:id="372" w:name="_Toc312677986"/>
      <w:bookmarkStart w:id="373" w:name="_Toc303539100"/>
      <w:bookmarkStart w:id="374" w:name="_Toc300934943"/>
      <w:r>
        <w:rPr>
          <w:rFonts w:hint="eastAsia" w:ascii="Times New Roman" w:eastAsia="Times New Roman"/>
          <w:color w:val="auto"/>
          <w:sz w:val="24"/>
          <w:szCs w:val="24"/>
          <w:highlight w:val="none"/>
        </w:rPr>
        <w:t xml:space="preserve">.10.1 </w:t>
      </w:r>
      <w:r>
        <w:rPr>
          <w:rFonts w:hint="eastAsia" w:ascii="Times New Roman"/>
          <w:color w:val="auto"/>
          <w:sz w:val="24"/>
          <w:szCs w:val="24"/>
          <w:highlight w:val="none"/>
        </w:rPr>
        <w:t>出入现场的权利</w:t>
      </w:r>
    </w:p>
    <w:p w14:paraId="66E28022">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关于出入现场的权利的约定：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bookmarkEnd w:id="370"/>
    <w:bookmarkEnd w:id="371"/>
    <w:bookmarkEnd w:id="372"/>
    <w:bookmarkEnd w:id="373"/>
    <w:bookmarkEnd w:id="374"/>
    <w:p w14:paraId="616913F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w:t>
      </w:r>
      <w:bookmarkStart w:id="375" w:name="_Toc300934944"/>
      <w:bookmarkStart w:id="376" w:name="_Toc304295522"/>
      <w:bookmarkStart w:id="377" w:name="_Toc312677987"/>
      <w:bookmarkStart w:id="378" w:name="_Toc318581156"/>
      <w:bookmarkStart w:id="379" w:name="_Toc303539101"/>
      <w:r>
        <w:rPr>
          <w:rFonts w:hint="eastAsia" w:ascii="Times New Roman" w:eastAsia="Times New Roman"/>
          <w:color w:val="auto"/>
          <w:sz w:val="24"/>
          <w:szCs w:val="24"/>
          <w:highlight w:val="none"/>
        </w:rPr>
        <w:t xml:space="preserve">.10.3 </w:t>
      </w:r>
      <w:r>
        <w:rPr>
          <w:rFonts w:hint="eastAsia" w:ascii="Times New Roman"/>
          <w:color w:val="auto"/>
          <w:sz w:val="24"/>
          <w:szCs w:val="24"/>
          <w:highlight w:val="none"/>
        </w:rPr>
        <w:t>场内交通</w:t>
      </w:r>
    </w:p>
    <w:p w14:paraId="305A6559">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关于场外交通和场内交通的边界的约定：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5CC64F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关于发包人向承包人免费提供满足工程施工需要的场内道路和交通设施的约定：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bookmarkEnd w:id="375"/>
      <w:bookmarkEnd w:id="376"/>
      <w:bookmarkEnd w:id="377"/>
      <w:bookmarkEnd w:id="378"/>
      <w:bookmarkEnd w:id="379"/>
      <w:bookmarkStart w:id="380" w:name="_Toc318581157"/>
    </w:p>
    <w:p w14:paraId="4D9293F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1.10.4</w:t>
      </w:r>
      <w:r>
        <w:rPr>
          <w:rFonts w:hint="eastAsia" w:ascii="Times New Roman"/>
          <w:color w:val="auto"/>
          <w:sz w:val="24"/>
          <w:szCs w:val="24"/>
          <w:highlight w:val="none"/>
        </w:rPr>
        <w:t xml:space="preserve"> 超大件和超重件的运输</w:t>
      </w:r>
    </w:p>
    <w:p w14:paraId="7C8A347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运输超大件或超重件所需的道路和桥梁临时加固改造费用和其他有关费用由</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承担。</w:t>
      </w:r>
    </w:p>
    <w:bookmarkEnd w:id="380"/>
    <w:p w14:paraId="72E13864">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1.11 </w:t>
      </w:r>
      <w:r>
        <w:rPr>
          <w:rFonts w:hint="eastAsia" w:ascii="Times New Roman" w:eastAsia="黑体"/>
          <w:color w:val="auto"/>
          <w:sz w:val="24"/>
          <w:szCs w:val="28"/>
          <w:highlight w:val="none"/>
        </w:rPr>
        <w:t>知识产权</w:t>
      </w:r>
    </w:p>
    <w:p w14:paraId="4A4D281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1.11.1</w:t>
      </w:r>
      <w:r>
        <w:rPr>
          <w:rFonts w:hint="eastAsia" w:ascii="Times New Roman"/>
          <w:color w:val="auto"/>
          <w:sz w:val="24"/>
          <w:szCs w:val="24"/>
          <w:highlight w:val="none"/>
        </w:rPr>
        <w:t xml:space="preserve"> 关于发包人提供给承包人的图纸、发包人为实施工程自行编制或委托编制的技术规范以及反映发包人关于合同要求或其他类似性质的文件的著作权的归属：</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43EC71C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关于发包人提供的上述文件的使用限制的要求：</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1F2752B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1.11.2 </w:t>
      </w:r>
      <w:r>
        <w:rPr>
          <w:rFonts w:hint="eastAsia" w:ascii="Times New Roman"/>
          <w:color w:val="auto"/>
          <w:sz w:val="24"/>
          <w:szCs w:val="24"/>
          <w:highlight w:val="none"/>
        </w:rPr>
        <w:t>关于承包人为实施工程所编制文件的著作权的归属：</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786246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关于承包人提供的上述文件的使用限制的要求：</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26603F6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1.11.4 </w:t>
      </w:r>
      <w:r>
        <w:rPr>
          <w:rFonts w:hint="eastAsia" w:ascii="Times New Roman"/>
          <w:color w:val="auto"/>
          <w:sz w:val="24"/>
          <w:szCs w:val="24"/>
          <w:highlight w:val="none"/>
        </w:rPr>
        <w:t>承包人在施工过程中所采用的专利、专有技术、技术秘密的使用费的承担方式：</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30262285">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1.13</w:t>
      </w:r>
      <w:r>
        <w:rPr>
          <w:rFonts w:hint="eastAsia" w:ascii="Times New Roman" w:eastAsia="黑体"/>
          <w:color w:val="auto"/>
          <w:sz w:val="24"/>
          <w:szCs w:val="28"/>
          <w:highlight w:val="none"/>
        </w:rPr>
        <w:t xml:space="preserve"> 工程量清单错误的修正</w:t>
      </w:r>
    </w:p>
    <w:p w14:paraId="7BEB7E40">
      <w:pPr>
        <w:adjustRightInd w:val="0"/>
        <w:spacing w:beforeLines="0" w:afterLines="0" w:line="360" w:lineRule="auto"/>
        <w:ind w:firstLine="480" w:firstLineChars="200"/>
        <w:rPr>
          <w:rFonts w:hint="eastAsia" w:ascii="Times New Roman" w:eastAsia="Times New Roman" w:cs="Courier New"/>
          <w:b/>
          <w:color w:val="auto"/>
          <w:sz w:val="24"/>
          <w:szCs w:val="24"/>
          <w:highlight w:val="none"/>
          <w:u w:val="single"/>
        </w:rPr>
      </w:pPr>
      <w:r>
        <w:rPr>
          <w:rFonts w:hint="eastAsia" w:ascii="Times New Roman" w:cs="Courier New"/>
          <w:color w:val="auto"/>
          <w:sz w:val="24"/>
          <w:szCs w:val="24"/>
          <w:highlight w:val="none"/>
        </w:rPr>
        <w:t>出现工程量清单错误时，是否调整合同价格：</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32368053">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允许调整合同价格的工程量偏差范围：</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A651AE7">
      <w:pPr>
        <w:spacing w:before="240" w:beforeLines="100" w:after="240" w:afterLines="100"/>
        <w:outlineLvl w:val="2"/>
        <w:rPr>
          <w:rFonts w:hint="eastAsia" w:ascii="Times New Roman" w:eastAsia="Times New Roman"/>
          <w:color w:val="auto"/>
          <w:sz w:val="24"/>
          <w:szCs w:val="24"/>
          <w:highlight w:val="none"/>
        </w:rPr>
      </w:pPr>
      <w:bookmarkStart w:id="381" w:name="_Toc351203634"/>
      <w:r>
        <w:rPr>
          <w:rFonts w:hint="eastAsia" w:ascii="Times New Roman" w:eastAsia="Times New Roman"/>
          <w:color w:val="auto"/>
          <w:sz w:val="24"/>
          <w:szCs w:val="24"/>
          <w:highlight w:val="none"/>
        </w:rPr>
        <w:t>2</w:t>
      </w:r>
      <w:bookmarkStart w:id="382" w:name="_Toc296890985"/>
      <w:bookmarkStart w:id="383" w:name="_Toc296503157"/>
      <w:bookmarkStart w:id="384" w:name="_Toc296891197"/>
      <w:bookmarkStart w:id="385" w:name="_Toc296346658"/>
      <w:bookmarkStart w:id="386" w:name="_Toc297120457"/>
      <w:bookmarkStart w:id="387" w:name="_Toc296347156"/>
      <w:bookmarkStart w:id="388" w:name="_Toc292559867"/>
      <w:bookmarkStart w:id="389" w:name="_Toc297048343"/>
      <w:bookmarkStart w:id="390" w:name="_Toc292559362"/>
      <w:bookmarkStart w:id="391" w:name="_Toc296944496"/>
      <w:r>
        <w:rPr>
          <w:rFonts w:hint="eastAsia" w:ascii="Times New Roman" w:eastAsia="Times New Roman"/>
          <w:color w:val="auto"/>
          <w:sz w:val="24"/>
          <w:szCs w:val="24"/>
          <w:highlight w:val="none"/>
        </w:rPr>
        <w:t xml:space="preserve">. </w:t>
      </w:r>
      <w:r>
        <w:rPr>
          <w:rFonts w:hint="eastAsia" w:ascii="Times New Roman" w:eastAsia="黑体"/>
          <w:color w:val="auto"/>
          <w:sz w:val="24"/>
          <w:szCs w:val="24"/>
          <w:highlight w:val="none"/>
        </w:rPr>
        <w:t>发包人</w:t>
      </w:r>
      <w:bookmarkEnd w:id="381"/>
    </w:p>
    <w:bookmarkEnd w:id="382"/>
    <w:bookmarkEnd w:id="383"/>
    <w:bookmarkEnd w:id="384"/>
    <w:bookmarkEnd w:id="385"/>
    <w:bookmarkEnd w:id="386"/>
    <w:bookmarkEnd w:id="387"/>
    <w:bookmarkEnd w:id="388"/>
    <w:bookmarkEnd w:id="389"/>
    <w:bookmarkEnd w:id="390"/>
    <w:bookmarkEnd w:id="391"/>
    <w:p w14:paraId="1B47180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2.2 </w:t>
      </w:r>
      <w:r>
        <w:rPr>
          <w:rFonts w:hint="eastAsia" w:ascii="Times New Roman" w:eastAsia="黑体"/>
          <w:color w:val="auto"/>
          <w:sz w:val="24"/>
          <w:szCs w:val="28"/>
          <w:highlight w:val="none"/>
        </w:rPr>
        <w:t>发包人代表</w:t>
      </w:r>
    </w:p>
    <w:p w14:paraId="5944A83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发包人代表：</w:t>
      </w:r>
    </w:p>
    <w:p w14:paraId="7AD7E72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姓    名：</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562F60F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身份证号：</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06A6A3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职    务：</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F9C43E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联系电话：</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672AD83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电子信箱：</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5EF2735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通信地址：</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1F67FCB">
      <w:pPr>
        <w:adjustRightInd w:val="0"/>
        <w:spacing w:beforeLines="0" w:afterLines="0" w:line="360" w:lineRule="auto"/>
        <w:ind w:firstLine="480" w:firstLineChars="200"/>
        <w:rPr>
          <w:rFonts w:hint="eastAsia" w:ascii="Times New Roman" w:eastAsia="Times New Roman"/>
          <w:b/>
          <w:strike/>
          <w:color w:val="auto"/>
          <w:sz w:val="24"/>
          <w:szCs w:val="24"/>
          <w:highlight w:val="none"/>
        </w:rPr>
      </w:pPr>
      <w:r>
        <w:rPr>
          <w:rFonts w:hint="eastAsia" w:ascii="Times New Roman"/>
          <w:color w:val="auto"/>
          <w:sz w:val="24"/>
          <w:szCs w:val="24"/>
          <w:highlight w:val="none"/>
        </w:rPr>
        <w:t>发包人对发包人代表的授权范围如下：</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173BE2F">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2.4 </w:t>
      </w:r>
      <w:r>
        <w:rPr>
          <w:rFonts w:hint="eastAsia" w:ascii="Times New Roman" w:eastAsia="黑体"/>
          <w:color w:val="auto"/>
          <w:sz w:val="24"/>
          <w:szCs w:val="28"/>
          <w:highlight w:val="none"/>
        </w:rPr>
        <w:t>施工现场、施工条件和基础资料的提供</w:t>
      </w:r>
    </w:p>
    <w:p w14:paraId="55950EA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2.4.1 </w:t>
      </w:r>
      <w:r>
        <w:rPr>
          <w:rFonts w:hint="eastAsia" w:ascii="Times New Roman"/>
          <w:color w:val="auto"/>
          <w:sz w:val="24"/>
          <w:szCs w:val="24"/>
          <w:highlight w:val="none"/>
        </w:rPr>
        <w:t>提供施工现场</w:t>
      </w:r>
    </w:p>
    <w:p w14:paraId="342ACA0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关于发包人移交施工现场的期限要求：</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093CB98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2.4.2 </w:t>
      </w:r>
      <w:r>
        <w:rPr>
          <w:rFonts w:hint="eastAsia" w:ascii="Times New Roman"/>
          <w:color w:val="auto"/>
          <w:sz w:val="24"/>
          <w:szCs w:val="24"/>
          <w:highlight w:val="none"/>
        </w:rPr>
        <w:t>提供施工条件</w:t>
      </w:r>
    </w:p>
    <w:p w14:paraId="3B0A9F5B">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关于发包人应负责提供施工所需要的条件，包括：</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6B4F8566">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2.5 </w:t>
      </w:r>
      <w:r>
        <w:rPr>
          <w:rFonts w:hint="eastAsia" w:ascii="Times New Roman" w:eastAsia="黑体"/>
          <w:color w:val="auto"/>
          <w:sz w:val="24"/>
          <w:szCs w:val="28"/>
          <w:highlight w:val="none"/>
        </w:rPr>
        <w:t>资金来源证明及支付担保</w:t>
      </w:r>
    </w:p>
    <w:p w14:paraId="06443A9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发包人提供资金来源证明的期限要求：</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0E672B1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发包人是否提供支付担保：</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7FFE06F9">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发包人提供支付担保的形式：</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1CFA6F06">
      <w:pPr>
        <w:spacing w:before="240" w:beforeLines="100" w:after="240" w:afterLines="100"/>
        <w:outlineLvl w:val="2"/>
        <w:rPr>
          <w:rFonts w:hint="eastAsia" w:ascii="Times New Roman" w:eastAsia="Times New Roman"/>
          <w:color w:val="auto"/>
          <w:sz w:val="24"/>
          <w:szCs w:val="24"/>
          <w:highlight w:val="none"/>
        </w:rPr>
      </w:pPr>
      <w:bookmarkStart w:id="392" w:name="_Toc351203635"/>
      <w:r>
        <w:rPr>
          <w:rFonts w:hint="eastAsia" w:ascii="Times New Roman" w:eastAsia="Times New Roman"/>
          <w:color w:val="auto"/>
          <w:sz w:val="24"/>
          <w:szCs w:val="24"/>
          <w:highlight w:val="none"/>
        </w:rPr>
        <w:t>3</w:t>
      </w:r>
      <w:bookmarkStart w:id="393" w:name="_Toc296944497"/>
      <w:bookmarkStart w:id="394" w:name="_Toc292559363"/>
      <w:bookmarkStart w:id="395" w:name="_Toc296503158"/>
      <w:bookmarkStart w:id="396" w:name="_Toc296890986"/>
      <w:bookmarkStart w:id="397" w:name="_Toc296891198"/>
      <w:bookmarkStart w:id="398" w:name="_Toc292559868"/>
      <w:bookmarkStart w:id="399" w:name="_Toc297048344"/>
      <w:bookmarkStart w:id="400" w:name="_Toc297120458"/>
      <w:bookmarkStart w:id="401" w:name="_Toc296346659"/>
      <w:bookmarkStart w:id="402" w:name="_Toc296347157"/>
      <w:r>
        <w:rPr>
          <w:rFonts w:hint="eastAsia" w:ascii="Times New Roman" w:eastAsia="Times New Roman"/>
          <w:color w:val="auto"/>
          <w:sz w:val="24"/>
          <w:szCs w:val="24"/>
          <w:highlight w:val="none"/>
        </w:rPr>
        <w:t xml:space="preserve">. </w:t>
      </w:r>
      <w:r>
        <w:rPr>
          <w:rFonts w:hint="eastAsia" w:ascii="Times New Roman" w:eastAsia="黑体"/>
          <w:color w:val="auto"/>
          <w:sz w:val="24"/>
          <w:szCs w:val="24"/>
          <w:highlight w:val="none"/>
        </w:rPr>
        <w:t>承包人</w:t>
      </w:r>
      <w:bookmarkEnd w:id="392"/>
    </w:p>
    <w:bookmarkEnd w:id="393"/>
    <w:bookmarkEnd w:id="394"/>
    <w:bookmarkEnd w:id="395"/>
    <w:bookmarkEnd w:id="396"/>
    <w:bookmarkEnd w:id="397"/>
    <w:bookmarkEnd w:id="398"/>
    <w:bookmarkEnd w:id="399"/>
    <w:bookmarkEnd w:id="400"/>
    <w:bookmarkEnd w:id="401"/>
    <w:bookmarkEnd w:id="402"/>
    <w:p w14:paraId="562F2DD0">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3.1 </w:t>
      </w:r>
      <w:r>
        <w:rPr>
          <w:rFonts w:hint="eastAsia" w:ascii="Times New Roman" w:eastAsia="黑体"/>
          <w:color w:val="auto"/>
          <w:sz w:val="24"/>
          <w:szCs w:val="28"/>
          <w:highlight w:val="none"/>
        </w:rPr>
        <w:t>承包人的一般义务</w:t>
      </w:r>
    </w:p>
    <w:p w14:paraId="71BB0BB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（9）承包人提交的竣工资料的内容：</w:t>
      </w:r>
      <w:r>
        <w:rPr>
          <w:rFonts w:hint="eastAsia" w:ascii="Times New Roman"/>
          <w:color w:val="auto"/>
          <w:sz w:val="24"/>
          <w:szCs w:val="21"/>
          <w:highlight w:val="none"/>
          <w:u w:val="single"/>
        </w:rPr>
        <w:t>承包人提供全套竣工图，所有竣工图应为新图纸</w:t>
      </w:r>
      <w:r>
        <w:rPr>
          <w:rFonts w:hint="eastAsia" w:ascii="Times New Roman"/>
          <w:color w:val="auto"/>
          <w:sz w:val="24"/>
          <w:szCs w:val="24"/>
          <w:highlight w:val="none"/>
        </w:rPr>
        <w:t>。</w:t>
      </w:r>
    </w:p>
    <w:p w14:paraId="704FCD4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承包人需要提交的竣工资料套数：</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07C3429F">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承包人提交的竣工资料的费用承担：</w:t>
      </w:r>
      <w:r>
        <w:rPr>
          <w:rFonts w:hint="eastAsia" w:ascii="Times New Roman"/>
          <w:color w:val="auto"/>
          <w:sz w:val="24"/>
          <w:szCs w:val="21"/>
          <w:highlight w:val="none"/>
          <w:u w:val="single"/>
        </w:rPr>
        <w:t>承包人承担</w:t>
      </w:r>
      <w:r>
        <w:rPr>
          <w:rFonts w:hint="eastAsia" w:ascii="Times New Roman"/>
          <w:color w:val="auto"/>
          <w:sz w:val="24"/>
          <w:szCs w:val="24"/>
          <w:highlight w:val="none"/>
        </w:rPr>
        <w:t>。</w:t>
      </w:r>
    </w:p>
    <w:p w14:paraId="32297CC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承包人提交的竣工资料移交时间：</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036301E">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承包人提交的竣工资料形式要求：</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24CCB08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（10）承包人应履行的其他义务：</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AB8D049">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3.2 </w:t>
      </w:r>
      <w:r>
        <w:rPr>
          <w:rFonts w:hint="eastAsia" w:ascii="Times New Roman" w:eastAsia="黑体"/>
          <w:color w:val="auto"/>
          <w:sz w:val="24"/>
          <w:szCs w:val="28"/>
          <w:highlight w:val="none"/>
        </w:rPr>
        <w:t>项目经理</w:t>
      </w:r>
    </w:p>
    <w:p w14:paraId="62A8606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3.2.1 </w:t>
      </w:r>
      <w:r>
        <w:rPr>
          <w:rFonts w:hint="eastAsia" w:ascii="Times New Roman"/>
          <w:color w:val="auto"/>
          <w:sz w:val="24"/>
          <w:szCs w:val="24"/>
          <w:highlight w:val="none"/>
        </w:rPr>
        <w:t>项目经理：</w:t>
      </w:r>
    </w:p>
    <w:p w14:paraId="6918255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姓    名：</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D9C24D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身份证号：</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D1622F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建造师执业资格等级：</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4E6A994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建造师注册证书号：</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3BC079B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建造师执业印章号：</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7226A72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安全生产考核合格证书号：</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B9AAE7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联系电话：</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D31201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电子信箱：</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EA734A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通信地址：</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55C0ABF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承包人对项目经理的授权范围如下：</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31529D7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关于项目经理每月在施工现场的时间要求：</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1"/>
          <w:highlight w:val="none"/>
          <w:u w:val="single"/>
        </w:rPr>
        <w:t>。</w:t>
      </w:r>
    </w:p>
    <w:p w14:paraId="57E2874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承包人未提交劳动合同，以及没有为项目经理缴纳社会保险证明的违约责任：</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0E5CCD8">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项目经理未经批准，擅自离开施工现场的违约责任：</w:t>
      </w:r>
      <w:r>
        <w:rPr>
          <w:rFonts w:hint="eastAsia" w:ascii="Times New Roman"/>
          <w:color w:val="auto"/>
          <w:sz w:val="24"/>
          <w:szCs w:val="21"/>
          <w:highlight w:val="none"/>
          <w:u w:val="single"/>
        </w:rPr>
        <w:t>承包人未能按照承诺到岗尽职的，发包人将视情况严重程度对其作出相应处理，给予警告并发出整改通知。发包人有权责令其停工整改并支付违约金（以22日/月满勤天数，不足驻场天数按照 2000 元/日缴纳违约金），累计缺勤满 7日以上或者7次整改后仍未按照承诺履行的，发包人有权单方解除合同。发包人还将停止支付工程款项，用未付的工程进度款项补偿发包人的有关损失或工期延误的损失，并就此向承包人索赔。</w:t>
      </w:r>
    </w:p>
    <w:p w14:paraId="4E54AA02">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eastAsia="Times New Roman"/>
          <w:color w:val="auto"/>
          <w:sz w:val="24"/>
          <w:szCs w:val="24"/>
          <w:highlight w:val="none"/>
        </w:rPr>
        <w:t xml:space="preserve">3.2.3 </w:t>
      </w:r>
      <w:r>
        <w:rPr>
          <w:rFonts w:hint="eastAsia" w:ascii="Times New Roman"/>
          <w:color w:val="auto"/>
          <w:sz w:val="24"/>
          <w:szCs w:val="24"/>
          <w:highlight w:val="none"/>
        </w:rPr>
        <w:t>承包人擅自更换项目经理的违约责任：</w:t>
      </w:r>
    </w:p>
    <w:p w14:paraId="0C9E607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1"/>
          <w:highlight w:val="none"/>
          <w:u w:val="single"/>
        </w:rPr>
        <w:t>承包人不得擅自更换投标时所报项目经理，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w:t>
      </w:r>
    </w:p>
    <w:p w14:paraId="5E291DA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3.2.4 </w:t>
      </w:r>
      <w:r>
        <w:rPr>
          <w:rFonts w:hint="eastAsia" w:ascii="Times New Roman"/>
          <w:color w:val="auto"/>
          <w:sz w:val="24"/>
          <w:szCs w:val="24"/>
          <w:highlight w:val="none"/>
        </w:rPr>
        <w:t>承包人无正当理由拒绝更换项目经理的违约责任：</w:t>
      </w:r>
      <w:r>
        <w:rPr>
          <w:rFonts w:hint="eastAsia" w:ascii="Times New Roman" w:eastAsia="Times New Roman"/>
          <w:color w:val="auto"/>
          <w:sz w:val="24"/>
          <w:szCs w:val="24"/>
          <w:highlight w:val="none"/>
          <w:u w:val="single"/>
        </w:rPr>
        <w:t xml:space="preserve">  一次性支付违约金 5万元，承包人不得拒绝 。         </w:t>
      </w:r>
      <w:r>
        <w:rPr>
          <w:rFonts w:hint="eastAsia" w:ascii="Times New Roman"/>
          <w:color w:val="auto"/>
          <w:sz w:val="24"/>
          <w:szCs w:val="24"/>
          <w:highlight w:val="none"/>
        </w:rPr>
        <w:t>。</w:t>
      </w:r>
    </w:p>
    <w:p w14:paraId="3999CA48">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3.3 </w:t>
      </w:r>
      <w:r>
        <w:rPr>
          <w:rFonts w:hint="eastAsia" w:ascii="Times New Roman" w:eastAsia="黑体"/>
          <w:color w:val="auto"/>
          <w:sz w:val="24"/>
          <w:szCs w:val="28"/>
          <w:highlight w:val="none"/>
        </w:rPr>
        <w:t>承包人人员</w:t>
      </w:r>
    </w:p>
    <w:p w14:paraId="45F8EA7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3.3.1 </w:t>
      </w:r>
      <w:r>
        <w:rPr>
          <w:rFonts w:hint="eastAsia" w:ascii="Times New Roman"/>
          <w:color w:val="auto"/>
          <w:sz w:val="24"/>
          <w:szCs w:val="24"/>
          <w:highlight w:val="none"/>
        </w:rPr>
        <w:t>承包人提交项目管理机构及施工现场管理人员安排报告的期限：</w:t>
      </w:r>
      <w:r>
        <w:rPr>
          <w:rFonts w:hint="eastAsia" w:ascii="Times New Roman"/>
          <w:color w:val="auto"/>
          <w:sz w:val="24"/>
          <w:szCs w:val="21"/>
          <w:highlight w:val="none"/>
          <w:u w:val="single"/>
        </w:rPr>
        <w:t xml:space="preserve"> </w:t>
      </w:r>
      <w:r>
        <w:rPr>
          <w:rFonts w:hint="eastAsia" w:ascii="Times New Roman"/>
          <w:color w:val="auto"/>
          <w:szCs w:val="21"/>
          <w:highlight w:val="none"/>
          <w:u w:val="single"/>
          <w:lang w:val="en-US" w:eastAsia="zh-CN"/>
        </w:rPr>
        <w:t>接到中标通知书后7天内（执行通用条款）</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366C0FF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3.3.3 </w:t>
      </w:r>
      <w:r>
        <w:rPr>
          <w:rFonts w:hint="eastAsia" w:ascii="Times New Roman"/>
          <w:color w:val="auto"/>
          <w:sz w:val="24"/>
          <w:szCs w:val="24"/>
          <w:highlight w:val="none"/>
        </w:rPr>
        <w:t>承包人无正当理由拒绝撤换主要施工管理人员的违约责任：</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color w:val="auto"/>
          <w:highlight w:val="none"/>
          <w:u w:val="single"/>
        </w:rPr>
        <w:t>发包人将约谈承包人企业法人代表，并承担</w:t>
      </w:r>
      <w:r>
        <w:rPr>
          <w:rFonts w:hint="eastAsia" w:ascii="Times New Roman"/>
          <w:color w:val="auto"/>
          <w:highlight w:val="none"/>
          <w:u w:val="single"/>
          <w:lang w:val="en-US" w:eastAsia="zh-CN"/>
        </w:rPr>
        <w:t>2</w:t>
      </w:r>
      <w:r>
        <w:rPr>
          <w:rFonts w:hint="eastAsia" w:ascii="Times New Roman"/>
          <w:color w:val="auto"/>
          <w:highlight w:val="none"/>
          <w:u w:val="single"/>
        </w:rPr>
        <w:t xml:space="preserve">万元/人次的违约金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5A51B1A6">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 xml:space="preserve">3.3.4 </w:t>
      </w:r>
      <w:r>
        <w:rPr>
          <w:rFonts w:hint="eastAsia" w:ascii="Times New Roman"/>
          <w:color w:val="auto"/>
          <w:sz w:val="24"/>
          <w:szCs w:val="24"/>
          <w:highlight w:val="none"/>
        </w:rPr>
        <w:t>承包人主要施工管理人员离开施工现场的批准要求：</w:t>
      </w:r>
      <w:r>
        <w:rPr>
          <w:rFonts w:hint="eastAsia" w:ascii="Times New Roman"/>
          <w:color w:val="auto"/>
          <w:sz w:val="24"/>
          <w:szCs w:val="21"/>
          <w:highlight w:val="none"/>
          <w:u w:val="single"/>
        </w:rPr>
        <w:t xml:space="preserve">   </w:t>
      </w:r>
      <w:r>
        <w:rPr>
          <w:rFonts w:hint="eastAsia" w:ascii="Times New Roman"/>
          <w:color w:val="auto"/>
          <w:szCs w:val="21"/>
          <w:highlight w:val="none"/>
          <w:u w:val="single"/>
        </w:rPr>
        <w:t xml:space="preserve">书面申请并经发包人代表同意 </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7412DE62">
      <w:pPr>
        <w:adjustRightInd w:val="0"/>
        <w:spacing w:beforeLines="0" w:afterLines="0" w:line="360" w:lineRule="auto"/>
        <w:ind w:firstLine="484" w:firstLineChars="20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3.3.5</w:t>
      </w:r>
      <w:r>
        <w:rPr>
          <w:rFonts w:hint="eastAsia" w:ascii="Times New Roman"/>
          <w:color w:val="auto"/>
          <w:sz w:val="24"/>
          <w:szCs w:val="24"/>
          <w:highlight w:val="none"/>
        </w:rPr>
        <w:t xml:space="preserve"> 承包人擅自更换主要施工管理人员的违约责任：</w:t>
      </w:r>
      <w:r>
        <w:rPr>
          <w:rFonts w:hint="eastAsia" w:ascii="Times New Roman"/>
          <w:color w:val="auto"/>
          <w:sz w:val="24"/>
          <w:szCs w:val="21"/>
          <w:highlight w:val="none"/>
          <w:u w:val="single"/>
        </w:rPr>
        <w:t>承包人不得擅自更换主要管理人员，否则发包人</w:t>
      </w:r>
      <w:r>
        <w:rPr>
          <w:rFonts w:hint="eastAsia" w:ascii="Times New Roman"/>
          <w:color w:val="auto"/>
          <w:szCs w:val="21"/>
          <w:highlight w:val="none"/>
          <w:u w:val="single"/>
          <w:lang w:val="en-US" w:eastAsia="zh-CN"/>
        </w:rPr>
        <w:t>按1万元/次要求支付违约金</w:t>
      </w:r>
      <w:r>
        <w:rPr>
          <w:rFonts w:hint="eastAsia" w:ascii="Times New Roman"/>
          <w:color w:val="auto"/>
          <w:szCs w:val="21"/>
          <w:highlight w:val="none"/>
          <w:u w:val="single"/>
        </w:rPr>
        <w:t>，</w:t>
      </w:r>
      <w:r>
        <w:rPr>
          <w:rFonts w:hint="eastAsia" w:ascii="Times New Roman"/>
          <w:color w:val="auto"/>
          <w:szCs w:val="21"/>
          <w:highlight w:val="none"/>
          <w:u w:val="single"/>
          <w:lang w:val="en-US" w:eastAsia="zh-CN"/>
        </w:rPr>
        <w:t>直至解除合同</w:t>
      </w:r>
      <w:r>
        <w:rPr>
          <w:rFonts w:hint="eastAsia" w:ascii="Times New Roman"/>
          <w:color w:val="auto"/>
          <w:sz w:val="24"/>
          <w:szCs w:val="21"/>
          <w:highlight w:val="none"/>
          <w:u w:val="single"/>
        </w:rPr>
        <w:t>，由此造成的损失由承包人自行承担，承包人还应赔偿由此造成发包人的全部损失。确需更换的须在签订合同后，报经发包人同意后按相关规定办理，更换后的人员不得低于承包人投标时所报人员资质和技术水平。发包人如认为有必要，可要求对上述人员中的部分人员作出更好的调整。</w:t>
      </w:r>
    </w:p>
    <w:p w14:paraId="3DC01AF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承包人主要施工管理人员擅自离开施工现场的违约责任：</w:t>
      </w:r>
      <w:r>
        <w:rPr>
          <w:rFonts w:hint="eastAsia" w:ascii="Times New Roman"/>
          <w:color w:val="auto"/>
          <w:sz w:val="24"/>
          <w:szCs w:val="21"/>
          <w:highlight w:val="none"/>
          <w:u w:val="single"/>
        </w:rPr>
        <w:t xml:space="preserve">   </w:t>
      </w:r>
      <w:r>
        <w:rPr>
          <w:rFonts w:hint="eastAsia" w:ascii="Times New Roman"/>
          <w:color w:val="auto"/>
          <w:szCs w:val="21"/>
          <w:highlight w:val="none"/>
          <w:u w:val="single"/>
        </w:rPr>
        <w:t xml:space="preserve">项目实行班子成员指纹打卡制度，承诺所有项目班子成员将按合同规定，每周坐班打卡；承包人主要施工管理人员（包括但不限于技术负责人、各专业负责人）每月按工作日时间出勤；缺岗一天按 1000 元/天/人交纳违约金  </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475E020B">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3</w:t>
      </w:r>
      <w:bookmarkStart w:id="403" w:name="_Toc296346660"/>
      <w:bookmarkStart w:id="404" w:name="_Toc296891199"/>
      <w:bookmarkStart w:id="405" w:name="_Toc312677988"/>
      <w:bookmarkStart w:id="406" w:name="_Toc296347158"/>
      <w:bookmarkStart w:id="407" w:name="_Toc300934945"/>
      <w:bookmarkStart w:id="408" w:name="_Toc296944498"/>
      <w:bookmarkStart w:id="409" w:name="_Toc297123492"/>
      <w:bookmarkStart w:id="410" w:name="_Toc292559869"/>
      <w:bookmarkStart w:id="411" w:name="_Toc297216151"/>
      <w:bookmarkStart w:id="412" w:name="_Toc297048345"/>
      <w:bookmarkStart w:id="413" w:name="_Toc296503159"/>
      <w:bookmarkStart w:id="414" w:name="_Toc292559364"/>
      <w:bookmarkStart w:id="415" w:name="_Toc303539102"/>
      <w:bookmarkStart w:id="416" w:name="_Toc304295523"/>
      <w:bookmarkStart w:id="417" w:name="_Toc296890987"/>
      <w:bookmarkStart w:id="418" w:name="_Toc297120459"/>
      <w:r>
        <w:rPr>
          <w:rFonts w:hint="eastAsia" w:ascii="Times New Roman" w:eastAsia="Times New Roman"/>
          <w:color w:val="auto"/>
          <w:sz w:val="24"/>
          <w:szCs w:val="28"/>
          <w:highlight w:val="none"/>
        </w:rPr>
        <w:t xml:space="preserve">.5 </w:t>
      </w:r>
      <w:r>
        <w:rPr>
          <w:rFonts w:hint="eastAsia" w:ascii="Times New Roman" w:eastAsia="黑体"/>
          <w:color w:val="auto"/>
          <w:sz w:val="24"/>
          <w:szCs w:val="28"/>
          <w:highlight w:val="none"/>
        </w:rPr>
        <w:t>分包</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14:paraId="3005E9E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3</w:t>
      </w:r>
      <w:bookmarkStart w:id="419" w:name="_Toc296890988"/>
      <w:bookmarkStart w:id="420" w:name="_Toc296346661"/>
      <w:bookmarkStart w:id="421" w:name="_Toc304295524"/>
      <w:bookmarkStart w:id="422" w:name="_Toc296891200"/>
      <w:bookmarkStart w:id="423" w:name="_Toc297123493"/>
      <w:bookmarkStart w:id="424" w:name="_Toc297048346"/>
      <w:bookmarkStart w:id="425" w:name="_Toc296503160"/>
      <w:bookmarkStart w:id="426" w:name="_Toc303539103"/>
      <w:bookmarkStart w:id="427" w:name="_Toc292559365"/>
      <w:bookmarkStart w:id="428" w:name="_Toc296944499"/>
      <w:bookmarkStart w:id="429" w:name="_Toc296347159"/>
      <w:bookmarkStart w:id="430" w:name="_Toc297120460"/>
      <w:bookmarkStart w:id="431" w:name="_Toc297216152"/>
      <w:bookmarkStart w:id="432" w:name="_Toc292559870"/>
      <w:bookmarkStart w:id="433" w:name="_Toc300934946"/>
      <w:bookmarkStart w:id="434" w:name="_Toc312677989"/>
      <w:bookmarkStart w:id="435" w:name="_Toc318581158"/>
      <w:r>
        <w:rPr>
          <w:rFonts w:hint="eastAsia" w:ascii="Times New Roman" w:eastAsia="Times New Roman"/>
          <w:color w:val="auto"/>
          <w:sz w:val="24"/>
          <w:szCs w:val="24"/>
          <w:highlight w:val="none"/>
        </w:rPr>
        <w:t xml:space="preserve">.5.1 </w:t>
      </w:r>
      <w:r>
        <w:rPr>
          <w:rFonts w:hint="eastAsia" w:ascii="Times New Roman"/>
          <w:color w:val="auto"/>
          <w:sz w:val="24"/>
          <w:szCs w:val="24"/>
          <w:highlight w:val="none"/>
        </w:rPr>
        <w:t>分包的一般约定</w:t>
      </w:r>
    </w:p>
    <w:p w14:paraId="057E106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禁止分包的工程包括：</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0E875E38">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主体结构、关键性工作的范围：</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Start w:id="436" w:name="_Toc296346662"/>
      <w:bookmarkStart w:id="437" w:name="_Toc296347160"/>
      <w:bookmarkStart w:id="438" w:name="_Toc296503161"/>
      <w:bookmarkStart w:id="439" w:name="_Toc297048347"/>
      <w:bookmarkStart w:id="440" w:name="_Toc300934947"/>
      <w:bookmarkStart w:id="441" w:name="_Toc296891201"/>
      <w:bookmarkStart w:id="442" w:name="_Toc296944500"/>
      <w:bookmarkStart w:id="443" w:name="_Toc304295525"/>
      <w:bookmarkStart w:id="444" w:name="_Toc296890989"/>
      <w:bookmarkStart w:id="445" w:name="_Toc297123494"/>
      <w:bookmarkStart w:id="446" w:name="_Toc297120461"/>
      <w:bookmarkStart w:id="447" w:name="_Toc297216153"/>
      <w:bookmarkStart w:id="448" w:name="_Toc303539104"/>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14:paraId="333279C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3</w:t>
      </w:r>
      <w:bookmarkStart w:id="449" w:name="_Toc312677990"/>
      <w:bookmarkStart w:id="450" w:name="_Toc318581159"/>
      <w:r>
        <w:rPr>
          <w:rFonts w:hint="eastAsia" w:ascii="Times New Roman" w:eastAsia="Times New Roman"/>
          <w:color w:val="auto"/>
          <w:sz w:val="24"/>
          <w:szCs w:val="24"/>
          <w:highlight w:val="none"/>
        </w:rPr>
        <w:t>.5.2</w:t>
      </w:r>
      <w:r>
        <w:rPr>
          <w:rFonts w:hint="eastAsia" w:ascii="Times New Roman"/>
          <w:color w:val="auto"/>
          <w:sz w:val="24"/>
          <w:szCs w:val="24"/>
          <w:highlight w:val="none"/>
        </w:rPr>
        <w:t xml:space="preserve"> 分包的确定</w:t>
      </w:r>
    </w:p>
    <w:p w14:paraId="30DCF45A">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允许分包的专业工程包括：</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DE4986D">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其他关于分包的约定：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4AF5C94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3.5.4 </w:t>
      </w:r>
      <w:r>
        <w:rPr>
          <w:rFonts w:hint="eastAsia" w:ascii="Times New Roman"/>
          <w:color w:val="auto"/>
          <w:sz w:val="24"/>
          <w:szCs w:val="24"/>
          <w:highlight w:val="none"/>
        </w:rPr>
        <w:t>分包合同价款</w:t>
      </w:r>
    </w:p>
    <w:p w14:paraId="5C1A534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关于分包合同价款支付的约定：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bookmarkEnd w:id="449"/>
    <w:bookmarkEnd w:id="450"/>
    <w:p w14:paraId="5F0D8CDF">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3.6 </w:t>
      </w:r>
      <w:r>
        <w:rPr>
          <w:rFonts w:hint="eastAsia" w:ascii="Times New Roman" w:eastAsia="黑体"/>
          <w:color w:val="auto"/>
          <w:sz w:val="24"/>
          <w:szCs w:val="28"/>
          <w:highlight w:val="none"/>
        </w:rPr>
        <w:t>工程照管与成品、半成品保护</w:t>
      </w:r>
    </w:p>
    <w:p w14:paraId="605DE24B">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承包人负责照管工程及工程相关的材料、工程设备的起始时间：</w:t>
      </w:r>
      <w:r>
        <w:rPr>
          <w:rFonts w:hint="eastAsia" w:ascii="Times New Roman"/>
          <w:color w:val="auto"/>
          <w:sz w:val="24"/>
          <w:szCs w:val="21"/>
          <w:highlight w:val="none"/>
          <w:u w:val="single"/>
        </w:rPr>
        <w:t>自发包人向承包人移交施工现场之日起，承包人应负责照管工程及工程相关的材料、工程设备，直到颁发工程接收证书之日止。</w:t>
      </w:r>
    </w:p>
    <w:p w14:paraId="66DD7CFF">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3.7 </w:t>
      </w:r>
      <w:r>
        <w:rPr>
          <w:rFonts w:hint="eastAsia" w:ascii="Times New Roman" w:eastAsia="黑体"/>
          <w:color w:val="auto"/>
          <w:sz w:val="24"/>
          <w:szCs w:val="28"/>
          <w:highlight w:val="none"/>
        </w:rPr>
        <w:t>履约保证金</w:t>
      </w:r>
    </w:p>
    <w:p w14:paraId="266D6513">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承包人是否提供履约保证金：</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1"/>
          <w:highlight w:val="none"/>
        </w:rPr>
        <w:t>。</w:t>
      </w:r>
    </w:p>
    <w:p w14:paraId="68E82D9E">
      <w:pPr>
        <w:adjustRightInd w:val="0"/>
        <w:snapToGrid w:val="0"/>
        <w:spacing w:beforeLines="0" w:afterLines="0" w:line="360" w:lineRule="auto"/>
        <w:ind w:left="-84" w:leftChars="-35" w:firstLine="568" w:firstLineChars="237"/>
        <w:rPr>
          <w:rFonts w:hint="eastAsia" w:ascii="Times New Roman"/>
          <w:b/>
          <w:color w:val="auto"/>
          <w:sz w:val="24"/>
          <w:szCs w:val="24"/>
          <w:highlight w:val="none"/>
        </w:rPr>
      </w:pPr>
      <w:r>
        <w:rPr>
          <w:rFonts w:hint="eastAsia" w:ascii="Times New Roman"/>
          <w:color w:val="auto"/>
          <w:sz w:val="24"/>
          <w:szCs w:val="24"/>
          <w:highlight w:val="none"/>
        </w:rPr>
        <w:t>承包人提供履约保证金的形式：</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1"/>
          <w:highlight w:val="none"/>
        </w:rPr>
        <w:t>。</w:t>
      </w:r>
    </w:p>
    <w:p w14:paraId="240660DD">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履约保证金的金额：</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48182627">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履约保证金提交期限的要求：</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p>
    <w:p w14:paraId="0E6AAF19">
      <w:pPr>
        <w:adjustRightInd w:val="0"/>
        <w:spacing w:beforeLines="0" w:afterLines="0" w:line="360" w:lineRule="auto"/>
        <w:ind w:firstLine="480" w:firstLineChars="200"/>
        <w:rPr>
          <w:rFonts w:hint="eastAsia" w:ascii="Times New Roman" w:eastAsia="Times New Roman"/>
          <w:strike/>
          <w:color w:val="auto"/>
          <w:sz w:val="24"/>
          <w:szCs w:val="24"/>
          <w:highlight w:val="none"/>
        </w:rPr>
      </w:pPr>
      <w:r>
        <w:rPr>
          <w:rFonts w:hint="eastAsia" w:ascii="Times New Roman"/>
          <w:snapToGrid w:val="0"/>
          <w:color w:val="auto"/>
          <w:sz w:val="24"/>
          <w:szCs w:val="21"/>
          <w:highlight w:val="none"/>
        </w:rPr>
        <w:t>履约保证金退还时限：</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1"/>
          <w:highlight w:val="none"/>
          <w:u w:val="single"/>
        </w:rPr>
        <w:t>。</w:t>
      </w:r>
    </w:p>
    <w:p w14:paraId="227A80C0">
      <w:pPr>
        <w:spacing w:before="240" w:beforeLines="100" w:after="240" w:afterLines="100"/>
        <w:outlineLvl w:val="2"/>
        <w:rPr>
          <w:rFonts w:hint="eastAsia" w:ascii="Times New Roman" w:eastAsia="Times New Roman"/>
          <w:color w:val="auto"/>
          <w:sz w:val="24"/>
          <w:szCs w:val="24"/>
          <w:highlight w:val="none"/>
        </w:rPr>
      </w:pPr>
      <w:bookmarkStart w:id="451" w:name="_Toc351203636"/>
      <w:r>
        <w:rPr>
          <w:rFonts w:hint="eastAsia" w:ascii="Times New Roman" w:eastAsia="Times New Roman"/>
          <w:color w:val="auto"/>
          <w:sz w:val="24"/>
          <w:szCs w:val="24"/>
          <w:highlight w:val="none"/>
        </w:rPr>
        <w:t>4</w:t>
      </w:r>
      <w:bookmarkStart w:id="452" w:name="_Toc292559871"/>
      <w:bookmarkStart w:id="453" w:name="_Toc267251413"/>
      <w:bookmarkStart w:id="454" w:name="_Toc297120462"/>
      <w:bookmarkStart w:id="455" w:name="_Toc296891202"/>
      <w:bookmarkStart w:id="456" w:name="_Toc297048348"/>
      <w:bookmarkStart w:id="457" w:name="_Toc296346663"/>
      <w:bookmarkStart w:id="458" w:name="_Toc296944501"/>
      <w:bookmarkStart w:id="459" w:name="_Toc296890990"/>
      <w:bookmarkStart w:id="460" w:name="_Toc296347161"/>
      <w:bookmarkStart w:id="461" w:name="_Toc292559366"/>
      <w:bookmarkStart w:id="462" w:name="_Toc296503162"/>
      <w:r>
        <w:rPr>
          <w:rFonts w:hint="eastAsia" w:ascii="Times New Roman" w:eastAsia="Times New Roman"/>
          <w:color w:val="auto"/>
          <w:sz w:val="24"/>
          <w:szCs w:val="24"/>
          <w:highlight w:val="none"/>
        </w:rPr>
        <w:t xml:space="preserve">. </w:t>
      </w:r>
      <w:r>
        <w:rPr>
          <w:rFonts w:hint="eastAsia" w:ascii="Times New Roman" w:eastAsia="黑体"/>
          <w:color w:val="auto"/>
          <w:sz w:val="24"/>
          <w:szCs w:val="24"/>
          <w:highlight w:val="none"/>
        </w:rPr>
        <w:t>监</w:t>
      </w:r>
      <w:bookmarkEnd w:id="452"/>
      <w:bookmarkEnd w:id="453"/>
      <w:bookmarkEnd w:id="454"/>
      <w:bookmarkEnd w:id="455"/>
      <w:bookmarkEnd w:id="456"/>
      <w:bookmarkEnd w:id="457"/>
      <w:bookmarkEnd w:id="458"/>
      <w:bookmarkEnd w:id="459"/>
      <w:bookmarkEnd w:id="460"/>
      <w:bookmarkEnd w:id="461"/>
      <w:bookmarkEnd w:id="462"/>
      <w:r>
        <w:rPr>
          <w:rFonts w:hint="eastAsia" w:ascii="Times New Roman" w:eastAsia="黑体"/>
          <w:color w:val="auto"/>
          <w:sz w:val="24"/>
          <w:szCs w:val="24"/>
          <w:highlight w:val="none"/>
        </w:rPr>
        <w:t>理人</w:t>
      </w:r>
      <w:bookmarkEnd w:id="451"/>
    </w:p>
    <w:p w14:paraId="7E557386">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4.1</w:t>
      </w:r>
      <w:r>
        <w:rPr>
          <w:rFonts w:hint="eastAsia" w:ascii="Times New Roman" w:eastAsia="黑体"/>
          <w:color w:val="auto"/>
          <w:sz w:val="24"/>
          <w:szCs w:val="28"/>
          <w:highlight w:val="none"/>
        </w:rPr>
        <w:t xml:space="preserve"> 监理人的一般规定</w:t>
      </w:r>
    </w:p>
    <w:p w14:paraId="2F2CDEB1">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关于监理人的监理内容：</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w:t>
      </w:r>
    </w:p>
    <w:p w14:paraId="0D8E9D0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关于监理人的监理权限：</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w:t>
      </w:r>
    </w:p>
    <w:p w14:paraId="5E145BC9">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关于监理人在施工现场的办公场所、生活场所的提供和费用承担的约定：</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w:t>
      </w:r>
    </w:p>
    <w:p w14:paraId="36ED242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4.2 </w:t>
      </w:r>
      <w:r>
        <w:rPr>
          <w:rFonts w:hint="eastAsia" w:ascii="Times New Roman" w:eastAsia="黑体"/>
          <w:color w:val="auto"/>
          <w:sz w:val="24"/>
          <w:szCs w:val="28"/>
          <w:highlight w:val="none"/>
        </w:rPr>
        <w:t>监理人员</w:t>
      </w:r>
    </w:p>
    <w:p w14:paraId="347C9E1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总监理工程师：</w:t>
      </w:r>
    </w:p>
    <w:p w14:paraId="3C700C6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姓    名：</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61032D0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职    务：</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4CFC4EA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监理工程师执业资格证书号：</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6921C06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联系电话：</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037454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电子信箱：</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4D80716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通信地址：</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315400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关于监理人的其他约定：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C37F953">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4.4 </w:t>
      </w:r>
      <w:r>
        <w:rPr>
          <w:rFonts w:hint="eastAsia" w:ascii="Times New Roman" w:eastAsia="黑体"/>
          <w:color w:val="auto"/>
          <w:sz w:val="24"/>
          <w:szCs w:val="28"/>
          <w:highlight w:val="none"/>
        </w:rPr>
        <w:t>商定或确定</w:t>
      </w:r>
    </w:p>
    <w:p w14:paraId="5CBF30BB">
      <w:pPr>
        <w:adjustRightInd w:val="0"/>
        <w:spacing w:beforeLines="0" w:afterLines="0" w:line="360" w:lineRule="auto"/>
        <w:ind w:firstLine="480" w:firstLineChars="200"/>
        <w:rPr>
          <w:rFonts w:hint="eastAsia" w:ascii="Times New Roman" w:eastAsia="Times New Roman"/>
          <w:color w:val="auto"/>
          <w:sz w:val="24"/>
          <w:szCs w:val="24"/>
          <w:highlight w:val="none"/>
        </w:rPr>
      </w:pPr>
      <w:bookmarkStart w:id="463" w:name="_Toc267251418"/>
      <w:r>
        <w:rPr>
          <w:rFonts w:hint="eastAsia" w:ascii="Times New Roman"/>
          <w:color w:val="auto"/>
          <w:sz w:val="24"/>
          <w:szCs w:val="24"/>
          <w:highlight w:val="none"/>
        </w:rPr>
        <w:t>在发包人和承包人不能通过协商达成一致意见时，发包人授权监理人对以下事项进行确定：</w:t>
      </w:r>
    </w:p>
    <w:p w14:paraId="316150B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AE9D9F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2D542C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（3）</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660D9470">
      <w:pPr>
        <w:spacing w:before="240" w:beforeLines="100" w:after="240" w:afterLines="100"/>
        <w:outlineLvl w:val="2"/>
        <w:rPr>
          <w:rFonts w:hint="eastAsia" w:ascii="Times New Roman" w:eastAsia="Times New Roman"/>
          <w:color w:val="auto"/>
          <w:sz w:val="24"/>
          <w:szCs w:val="24"/>
          <w:highlight w:val="none"/>
        </w:rPr>
      </w:pPr>
      <w:bookmarkStart w:id="464" w:name="_Toc351203637"/>
      <w:r>
        <w:rPr>
          <w:rFonts w:hint="eastAsia" w:ascii="Times New Roman" w:eastAsia="Times New Roman"/>
          <w:color w:val="auto"/>
          <w:sz w:val="24"/>
          <w:szCs w:val="24"/>
          <w:highlight w:val="none"/>
        </w:rPr>
        <w:t>5</w:t>
      </w:r>
      <w:bookmarkEnd w:id="463"/>
      <w:bookmarkStart w:id="465" w:name="_Toc297048349"/>
      <w:bookmarkStart w:id="466" w:name="_Toc296503163"/>
      <w:bookmarkStart w:id="467" w:name="_Toc296346664"/>
      <w:bookmarkStart w:id="468" w:name="_Toc296347162"/>
      <w:bookmarkStart w:id="469" w:name="_Toc296890991"/>
      <w:bookmarkStart w:id="470" w:name="_Toc292559367"/>
      <w:bookmarkStart w:id="471" w:name="_Toc297120463"/>
      <w:bookmarkStart w:id="472" w:name="_Toc292559872"/>
      <w:bookmarkStart w:id="473" w:name="_Toc296944502"/>
      <w:bookmarkStart w:id="474" w:name="_Toc296891203"/>
      <w:r>
        <w:rPr>
          <w:rFonts w:hint="eastAsia" w:ascii="Times New Roman" w:eastAsia="Times New Roman"/>
          <w:color w:val="auto"/>
          <w:sz w:val="24"/>
          <w:szCs w:val="24"/>
          <w:highlight w:val="none"/>
        </w:rPr>
        <w:t xml:space="preserve">. </w:t>
      </w:r>
      <w:r>
        <w:rPr>
          <w:rFonts w:hint="eastAsia" w:ascii="Times New Roman" w:eastAsia="黑体"/>
          <w:color w:val="auto"/>
          <w:sz w:val="24"/>
          <w:szCs w:val="24"/>
          <w:highlight w:val="none"/>
        </w:rPr>
        <w:t>工程质量</w:t>
      </w:r>
      <w:bookmarkEnd w:id="464"/>
    </w:p>
    <w:p w14:paraId="638B7493">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5.1 </w:t>
      </w:r>
      <w:r>
        <w:rPr>
          <w:rFonts w:hint="eastAsia" w:ascii="Times New Roman" w:eastAsia="黑体"/>
          <w:color w:val="auto"/>
          <w:sz w:val="24"/>
          <w:szCs w:val="28"/>
          <w:highlight w:val="none"/>
        </w:rPr>
        <w:t>质量要求</w:t>
      </w:r>
    </w:p>
    <w:p w14:paraId="230B9C18">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5</w:t>
      </w:r>
      <w:bookmarkStart w:id="475" w:name="_Toc303539106"/>
      <w:bookmarkStart w:id="476" w:name="_Toc300934949"/>
      <w:bookmarkStart w:id="477" w:name="_Toc318581164"/>
      <w:bookmarkStart w:id="478" w:name="_Toc304295527"/>
      <w:bookmarkStart w:id="479" w:name="_Toc312677997"/>
      <w:bookmarkStart w:id="480" w:name="_Toc297216155"/>
      <w:bookmarkStart w:id="481" w:name="_Toc297123496"/>
      <w:r>
        <w:rPr>
          <w:rFonts w:hint="eastAsia" w:ascii="Times New Roman" w:eastAsia="Times New Roman"/>
          <w:color w:val="auto"/>
          <w:sz w:val="24"/>
          <w:szCs w:val="24"/>
          <w:highlight w:val="none"/>
        </w:rPr>
        <w:t xml:space="preserve">.1.1 </w:t>
      </w:r>
      <w:r>
        <w:rPr>
          <w:rFonts w:hint="eastAsia" w:ascii="Times New Roman"/>
          <w:color w:val="auto"/>
          <w:sz w:val="24"/>
          <w:szCs w:val="24"/>
          <w:highlight w:val="none"/>
        </w:rPr>
        <w:t>特殊质量标准和要求：</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6276D5F2">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关于工程奖项的约定：</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B4DFFF5">
      <w:pPr>
        <w:spacing w:beforeLines="0" w:afterLines="0" w:line="300" w:lineRule="auto"/>
        <w:ind w:firstLine="480" w:firstLineChars="200"/>
        <w:jc w:val="left"/>
        <w:rPr>
          <w:rFonts w:hint="eastAsia" w:ascii="Times New Roman" w:cs="宋体"/>
          <w:color w:val="auto"/>
          <w:sz w:val="24"/>
          <w:szCs w:val="24"/>
          <w:highlight w:val="none"/>
        </w:rPr>
      </w:pPr>
      <w:bookmarkStart w:id="482" w:name="_Toc351203638"/>
      <w:r>
        <w:rPr>
          <w:rFonts w:hint="eastAsia" w:ascii="Times New Roman" w:cs="宋体"/>
          <w:color w:val="auto"/>
          <w:sz w:val="24"/>
          <w:szCs w:val="24"/>
          <w:highlight w:val="none"/>
        </w:rPr>
        <w:t>关于建造要求：</w:t>
      </w:r>
    </w:p>
    <w:p w14:paraId="1C9241DE">
      <w:pPr>
        <w:pStyle w:val="5"/>
        <w:snapToGrid w:val="0"/>
        <w:spacing w:beforeLines="0" w:afterLines="0" w:line="300" w:lineRule="auto"/>
        <w:ind w:firstLine="480"/>
        <w:rPr>
          <w:rFonts w:hint="eastAsia" w:ascii="Times New Roman" w:cs="宋体"/>
          <w:color w:val="auto"/>
          <w:sz w:val="24"/>
          <w:szCs w:val="24"/>
          <w:highlight w:val="none"/>
        </w:rPr>
      </w:pPr>
      <w:r>
        <w:rPr>
          <w:rFonts w:hint="eastAsia" w:ascii="Times New Roman" w:cs="宋体"/>
          <w:color w:val="auto"/>
          <w:sz w:val="24"/>
          <w:szCs w:val="24"/>
          <w:highlight w:val="none"/>
        </w:rPr>
        <w:t>（1）绿色建筑等级要求：</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s="宋体"/>
          <w:color w:val="auto"/>
          <w:sz w:val="24"/>
          <w:szCs w:val="24"/>
          <w:highlight w:val="none"/>
        </w:rPr>
        <w:t>；</w:t>
      </w:r>
    </w:p>
    <w:p w14:paraId="2A9052B8">
      <w:pPr>
        <w:pStyle w:val="5"/>
        <w:snapToGrid w:val="0"/>
        <w:spacing w:beforeLines="0" w:afterLines="0" w:line="300" w:lineRule="auto"/>
        <w:ind w:firstLine="480"/>
        <w:rPr>
          <w:rFonts w:hint="eastAsia" w:ascii="Times New Roman" w:cs="宋体"/>
          <w:color w:val="auto"/>
          <w:sz w:val="24"/>
          <w:szCs w:val="24"/>
          <w:highlight w:val="none"/>
        </w:rPr>
      </w:pPr>
      <w:r>
        <w:rPr>
          <w:rFonts w:hint="eastAsia" w:ascii="Times New Roman" w:cs="宋体"/>
          <w:color w:val="auto"/>
          <w:sz w:val="24"/>
          <w:szCs w:val="24"/>
          <w:highlight w:val="none"/>
        </w:rPr>
        <w:t>（2）智慧工地管理要求：</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s="宋体"/>
          <w:color w:val="auto"/>
          <w:sz w:val="24"/>
          <w:szCs w:val="24"/>
          <w:highlight w:val="none"/>
        </w:rPr>
        <w:t>；</w:t>
      </w:r>
    </w:p>
    <w:p w14:paraId="02EEE9D4">
      <w:pPr>
        <w:pStyle w:val="5"/>
        <w:snapToGrid w:val="0"/>
        <w:spacing w:beforeLines="0" w:afterLines="0" w:line="300" w:lineRule="auto"/>
        <w:ind w:firstLine="480"/>
        <w:rPr>
          <w:rFonts w:hint="eastAsia" w:ascii="Times New Roman" w:cs="宋体"/>
          <w:color w:val="auto"/>
          <w:sz w:val="24"/>
          <w:szCs w:val="24"/>
          <w:highlight w:val="none"/>
        </w:rPr>
      </w:pPr>
      <w:r>
        <w:rPr>
          <w:rFonts w:hint="eastAsia" w:ascii="Times New Roman" w:cs="宋体"/>
          <w:color w:val="auto"/>
          <w:sz w:val="24"/>
          <w:szCs w:val="24"/>
          <w:highlight w:val="none"/>
        </w:rPr>
        <w:t>（3）建筑垃圾减量化目标：</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s="宋体"/>
          <w:color w:val="auto"/>
          <w:sz w:val="24"/>
          <w:szCs w:val="24"/>
          <w:highlight w:val="none"/>
        </w:rPr>
        <w:t>；</w:t>
      </w:r>
    </w:p>
    <w:p w14:paraId="39A174E0">
      <w:pPr>
        <w:spacing w:beforeLines="0" w:afterLines="0" w:line="300" w:lineRule="auto"/>
        <w:ind w:firstLine="480" w:firstLineChars="200"/>
        <w:jc w:val="left"/>
        <w:rPr>
          <w:rFonts w:hint="eastAsia" w:ascii="Times New Roman" w:cs="宋体"/>
          <w:color w:val="auto"/>
          <w:sz w:val="24"/>
          <w:szCs w:val="24"/>
          <w:highlight w:val="none"/>
        </w:rPr>
      </w:pPr>
      <w:r>
        <w:rPr>
          <w:rFonts w:hint="eastAsia" w:ascii="Times New Roman" w:cs="宋体"/>
          <w:color w:val="auto"/>
          <w:sz w:val="24"/>
          <w:szCs w:val="24"/>
          <w:highlight w:val="none"/>
        </w:rPr>
        <w:t>（4）装配式建筑装配率要求：</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s="宋体"/>
          <w:color w:val="auto"/>
          <w:sz w:val="24"/>
          <w:szCs w:val="24"/>
          <w:highlight w:val="none"/>
        </w:rPr>
        <w:t>；</w:t>
      </w:r>
    </w:p>
    <w:p w14:paraId="127ABF2F">
      <w:pPr>
        <w:spacing w:beforeLines="0" w:afterLines="0" w:line="300" w:lineRule="auto"/>
        <w:ind w:firstLine="480" w:firstLineChars="200"/>
        <w:jc w:val="left"/>
        <w:rPr>
          <w:rFonts w:hint="eastAsia" w:ascii="Times New Roman" w:cs="宋体"/>
          <w:color w:val="auto"/>
          <w:sz w:val="24"/>
          <w:szCs w:val="24"/>
          <w:highlight w:val="none"/>
        </w:rPr>
      </w:pPr>
      <w:r>
        <w:rPr>
          <w:rFonts w:hint="eastAsia" w:ascii="Times New Roman" w:cs="宋体"/>
          <w:color w:val="auto"/>
          <w:sz w:val="24"/>
          <w:szCs w:val="24"/>
          <w:highlight w:val="none"/>
        </w:rPr>
        <w:t>（5）</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s="宋体"/>
          <w:color w:val="auto"/>
          <w:sz w:val="24"/>
          <w:szCs w:val="24"/>
          <w:highlight w:val="none"/>
        </w:rPr>
        <w:t>。</w:t>
      </w:r>
    </w:p>
    <w:p w14:paraId="1191B163">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5.3 </w:t>
      </w:r>
      <w:r>
        <w:rPr>
          <w:rFonts w:hint="eastAsia" w:ascii="Times New Roman" w:eastAsia="黑体"/>
          <w:color w:val="auto"/>
          <w:sz w:val="24"/>
          <w:szCs w:val="28"/>
          <w:highlight w:val="none"/>
        </w:rPr>
        <w:t>隐蔽工程检查</w:t>
      </w:r>
    </w:p>
    <w:p w14:paraId="7A854252">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5.3.2</w:t>
      </w:r>
      <w:r>
        <w:rPr>
          <w:rFonts w:hint="eastAsia" w:ascii="Times New Roman"/>
          <w:color w:val="auto"/>
          <w:sz w:val="24"/>
          <w:szCs w:val="24"/>
          <w:highlight w:val="none"/>
        </w:rPr>
        <w:t xml:space="preserve"> 承包人提前通知监理人隐蔽工程检查的期限的约定：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388C4F0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监理人不能按时进行检查时，应提前</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小时提交书面延期要求。</w:t>
      </w:r>
    </w:p>
    <w:p w14:paraId="7F7AC9A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关于延期最长不得超过：</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小时。</w:t>
      </w:r>
    </w:p>
    <w:p w14:paraId="570FADDD">
      <w:pPr>
        <w:keepNext/>
        <w:keepLines/>
        <w:spacing w:before="120" w:beforeLines="0" w:after="120" w:afterLines="0" w:line="360" w:lineRule="auto"/>
        <w:ind w:firstLine="480" w:firstLineChars="200"/>
        <w:outlineLvl w:val="3"/>
        <w:rPr>
          <w:rFonts w:hint="eastAsia" w:ascii="Times New Roman" w:eastAsia="黑体"/>
          <w:color w:val="auto"/>
          <w:sz w:val="24"/>
          <w:szCs w:val="28"/>
          <w:highlight w:val="none"/>
        </w:rPr>
      </w:pPr>
      <w:r>
        <w:rPr>
          <w:rFonts w:hint="eastAsia" w:ascii="Times New Roman" w:eastAsia="黑体"/>
          <w:color w:val="auto"/>
          <w:sz w:val="24"/>
          <w:szCs w:val="28"/>
          <w:highlight w:val="none"/>
        </w:rPr>
        <w:t>5</w:t>
      </w:r>
      <w:bookmarkStart w:id="483" w:name="_Toc337558762"/>
      <w:r>
        <w:rPr>
          <w:rFonts w:hint="eastAsia" w:ascii="Times New Roman" w:eastAsia="黑体"/>
          <w:color w:val="auto"/>
          <w:sz w:val="24"/>
          <w:szCs w:val="28"/>
          <w:highlight w:val="none"/>
        </w:rPr>
        <w:t>.4 不合格工程的处理</w:t>
      </w:r>
    </w:p>
    <w:bookmarkEnd w:id="483"/>
    <w:p w14:paraId="57AD5892">
      <w:pPr>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本款补充5.4.3项：</w:t>
      </w:r>
    </w:p>
    <w:p w14:paraId="37093822">
      <w:pPr>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5.4.3 承包人在收到监理人发出的《不合格分项报告》或监理通知单后，必须在监理人规定时间内按要求完成整改，未能在限定时间内完成整改的，须承担相应违约责任。</w:t>
      </w:r>
    </w:p>
    <w:p w14:paraId="5406CE95">
      <w:pPr>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本条补充5.6款：</w:t>
      </w:r>
    </w:p>
    <w:p w14:paraId="3174F473">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bookmarkStart w:id="484" w:name="_Toc532377348"/>
      <w:r>
        <w:rPr>
          <w:rFonts w:hint="eastAsia" w:ascii="Times New Roman" w:eastAsia="黑体"/>
          <w:color w:val="auto"/>
          <w:sz w:val="24"/>
          <w:szCs w:val="28"/>
          <w:highlight w:val="none"/>
        </w:rPr>
        <w:t>5.6 质量事故的处理</w:t>
      </w:r>
      <w:bookmarkEnd w:id="484"/>
    </w:p>
    <w:p w14:paraId="2D2B2231">
      <w:pPr>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5.6.1 合同履行过程中，发生工程质量事故的调查处理按照国家及合肥市现行规定处理。</w:t>
      </w:r>
    </w:p>
    <w:p w14:paraId="1B484200">
      <w:pPr>
        <w:spacing w:beforeLines="0" w:afterLines="0" w:line="360" w:lineRule="auto"/>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07CFDDA0">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6. </w:t>
      </w:r>
      <w:r>
        <w:rPr>
          <w:rFonts w:hint="eastAsia" w:ascii="Times New Roman" w:eastAsia="黑体"/>
          <w:color w:val="auto"/>
          <w:sz w:val="24"/>
          <w:szCs w:val="24"/>
          <w:highlight w:val="none"/>
        </w:rPr>
        <w:t>安全文明施工与环境保护</w:t>
      </w:r>
      <w:bookmarkEnd w:id="482"/>
    </w:p>
    <w:p w14:paraId="17067A57">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6.1</w:t>
      </w:r>
      <w:r>
        <w:rPr>
          <w:rFonts w:hint="eastAsia" w:ascii="Times New Roman" w:eastAsia="黑体"/>
          <w:color w:val="auto"/>
          <w:sz w:val="24"/>
          <w:szCs w:val="28"/>
          <w:highlight w:val="none"/>
        </w:rPr>
        <w:t xml:space="preserve"> 安全文明施工</w:t>
      </w:r>
    </w:p>
    <w:p w14:paraId="28148661">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 xml:space="preserve">6.1.1 </w:t>
      </w:r>
      <w:r>
        <w:rPr>
          <w:rFonts w:hint="eastAsia" w:ascii="Times New Roman"/>
          <w:color w:val="auto"/>
          <w:sz w:val="24"/>
          <w:szCs w:val="24"/>
          <w:highlight w:val="none"/>
        </w:rPr>
        <w:t>项目安全生产的达标目标及相应事项的约定：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7266B4B2">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 xml:space="preserve">6.1.4 </w:t>
      </w:r>
      <w:r>
        <w:rPr>
          <w:rFonts w:hint="eastAsia" w:ascii="Times New Roman"/>
          <w:color w:val="auto"/>
          <w:sz w:val="24"/>
          <w:szCs w:val="24"/>
          <w:highlight w:val="none"/>
        </w:rPr>
        <w:t>关于治安保卫的特别约定：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626EEACB">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关于编制施工场地治安管理计划的约定：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0EAA819">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6.1.5 文明施工</w:t>
      </w:r>
    </w:p>
    <w:p w14:paraId="41023E42">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合同当事人对文明施工的要求：</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17D59C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6.1.6 </w:t>
      </w:r>
      <w:r>
        <w:rPr>
          <w:rFonts w:hint="eastAsia" w:ascii="Times New Roman"/>
          <w:color w:val="auto"/>
          <w:sz w:val="24"/>
          <w:szCs w:val="24"/>
          <w:highlight w:val="none"/>
        </w:rPr>
        <w:t>关于安全文明施工费支付比例和支付期限的约定：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bookmarkEnd w:id="475"/>
    <w:bookmarkEnd w:id="476"/>
    <w:bookmarkEnd w:id="477"/>
    <w:bookmarkEnd w:id="478"/>
    <w:bookmarkEnd w:id="479"/>
    <w:bookmarkEnd w:id="480"/>
    <w:bookmarkEnd w:id="481"/>
    <w:p w14:paraId="077083F0">
      <w:pPr>
        <w:spacing w:before="240" w:beforeLines="100" w:after="240" w:afterLines="100"/>
        <w:outlineLvl w:val="2"/>
        <w:rPr>
          <w:rFonts w:hint="eastAsia" w:ascii="Times New Roman" w:eastAsia="Times New Roman"/>
          <w:color w:val="auto"/>
          <w:sz w:val="24"/>
          <w:szCs w:val="24"/>
          <w:highlight w:val="none"/>
        </w:rPr>
      </w:pPr>
      <w:bookmarkStart w:id="485" w:name="_Toc351203639"/>
      <w:r>
        <w:rPr>
          <w:rFonts w:hint="eastAsia" w:ascii="Times New Roman" w:eastAsia="Times New Roman"/>
          <w:color w:val="auto"/>
          <w:sz w:val="24"/>
          <w:szCs w:val="24"/>
          <w:highlight w:val="none"/>
        </w:rPr>
        <w:t xml:space="preserve">7. </w:t>
      </w:r>
      <w:r>
        <w:rPr>
          <w:rFonts w:hint="eastAsia" w:ascii="Times New Roman" w:eastAsia="黑体"/>
          <w:color w:val="auto"/>
          <w:sz w:val="24"/>
          <w:szCs w:val="24"/>
          <w:highlight w:val="none"/>
        </w:rPr>
        <w:t>工期和进度</w:t>
      </w:r>
      <w:bookmarkEnd w:id="485"/>
    </w:p>
    <w:p w14:paraId="2E31211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7.1 </w:t>
      </w:r>
      <w:r>
        <w:rPr>
          <w:rFonts w:hint="eastAsia" w:ascii="Times New Roman" w:eastAsia="黑体"/>
          <w:color w:val="auto"/>
          <w:sz w:val="24"/>
          <w:szCs w:val="28"/>
          <w:highlight w:val="none"/>
        </w:rPr>
        <w:t>施工组织设计</w:t>
      </w:r>
    </w:p>
    <w:p w14:paraId="271F717A">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7.1.</w:t>
      </w:r>
      <w:r>
        <w:rPr>
          <w:rFonts w:hint="eastAsia" w:ascii="Times New Roman"/>
          <w:color w:val="auto"/>
          <w:sz w:val="24"/>
          <w:szCs w:val="24"/>
          <w:highlight w:val="none"/>
        </w:rPr>
        <w:t>1 合同当事人约定的施工组织设计应包括的其他内容：</w:t>
      </w:r>
      <w:r>
        <w:rPr>
          <w:rFonts w:hint="eastAsia" w:ascii="Times New Roman"/>
          <w:color w:val="auto"/>
          <w:sz w:val="24"/>
          <w:szCs w:val="21"/>
          <w:highlight w:val="none"/>
          <w:u w:val="single"/>
        </w:rPr>
        <w:t>总进度计划须含网络图、横道图。</w:t>
      </w:r>
    </w:p>
    <w:p w14:paraId="54A28C4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7.1.2 </w:t>
      </w:r>
      <w:r>
        <w:rPr>
          <w:rFonts w:hint="eastAsia" w:ascii="Times New Roman"/>
          <w:color w:val="auto"/>
          <w:sz w:val="24"/>
          <w:szCs w:val="24"/>
          <w:highlight w:val="none"/>
        </w:rPr>
        <w:t>施工组织设计的提交和修改</w:t>
      </w:r>
    </w:p>
    <w:p w14:paraId="58CB1E0E">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承包人提交详细施工组织设计的期限的约定：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40FF005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发包人和监理人在收到详细的施工组织设计后确认或提出修改意见的期限：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BD6C799">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7</w:t>
      </w:r>
      <w:bookmarkStart w:id="486" w:name="_Toc304295541"/>
      <w:bookmarkStart w:id="487" w:name="_Toc312678005"/>
      <w:bookmarkStart w:id="488" w:name="_Toc312677479"/>
      <w:bookmarkStart w:id="489" w:name="_Toc300934966"/>
      <w:bookmarkStart w:id="490" w:name="_Toc303539123"/>
      <w:bookmarkStart w:id="491" w:name="_Toc297123514"/>
      <w:bookmarkStart w:id="492" w:name="_Toc297216173"/>
      <w:r>
        <w:rPr>
          <w:rFonts w:hint="eastAsia" w:ascii="Times New Roman" w:eastAsia="Times New Roman"/>
          <w:color w:val="auto"/>
          <w:sz w:val="24"/>
          <w:szCs w:val="28"/>
          <w:highlight w:val="none"/>
        </w:rPr>
        <w:t xml:space="preserve">.2 </w:t>
      </w:r>
      <w:r>
        <w:rPr>
          <w:rFonts w:hint="eastAsia" w:ascii="Times New Roman" w:eastAsia="黑体"/>
          <w:color w:val="auto"/>
          <w:sz w:val="24"/>
          <w:szCs w:val="28"/>
          <w:highlight w:val="none"/>
        </w:rPr>
        <w:t>施工进度计划</w:t>
      </w:r>
    </w:p>
    <w:p w14:paraId="29F6687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7.2.2 </w:t>
      </w:r>
      <w:r>
        <w:rPr>
          <w:rFonts w:hint="eastAsia" w:ascii="Times New Roman"/>
          <w:color w:val="auto"/>
          <w:sz w:val="24"/>
          <w:szCs w:val="24"/>
          <w:highlight w:val="none"/>
        </w:rPr>
        <w:t>施工进度计划的修订</w:t>
      </w:r>
    </w:p>
    <w:p w14:paraId="5C150CE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发包人和监理人在收到修订的施工进度计划后确认或提出修改意见的期限：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67DD7AF9">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7.3 </w:t>
      </w:r>
      <w:r>
        <w:rPr>
          <w:rFonts w:hint="eastAsia" w:ascii="Times New Roman" w:eastAsia="黑体"/>
          <w:color w:val="auto"/>
          <w:sz w:val="24"/>
          <w:szCs w:val="28"/>
          <w:highlight w:val="none"/>
        </w:rPr>
        <w:t>开工</w:t>
      </w:r>
    </w:p>
    <w:p w14:paraId="0BA4BF6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7.3.1 </w:t>
      </w:r>
      <w:r>
        <w:rPr>
          <w:rFonts w:hint="eastAsia" w:ascii="Times New Roman"/>
          <w:color w:val="auto"/>
          <w:sz w:val="24"/>
          <w:szCs w:val="24"/>
          <w:highlight w:val="none"/>
        </w:rPr>
        <w:t>开工准备</w:t>
      </w:r>
    </w:p>
    <w:p w14:paraId="030456A5">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关于承包人提交工程开工报审表的期限：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77B8D240">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关于发包人应完成的其他开工准备工作及期限：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775344B2">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关于承包人应完成的其他开工准备工作及期限：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36D121A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7.3.2</w:t>
      </w:r>
      <w:r>
        <w:rPr>
          <w:rFonts w:hint="eastAsia" w:ascii="Times New Roman"/>
          <w:color w:val="auto"/>
          <w:sz w:val="24"/>
          <w:szCs w:val="24"/>
          <w:highlight w:val="none"/>
        </w:rPr>
        <w:t xml:space="preserve"> 开工通知</w:t>
      </w:r>
    </w:p>
    <w:p w14:paraId="06C175C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因发包人原因造成监理人未能在计划开工日期之日起</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天内发出开工通知的，承包人有权提出价格调整要求，或者解除合同。</w:t>
      </w:r>
    </w:p>
    <w:bookmarkEnd w:id="486"/>
    <w:bookmarkEnd w:id="487"/>
    <w:bookmarkEnd w:id="488"/>
    <w:bookmarkEnd w:id="489"/>
    <w:bookmarkEnd w:id="490"/>
    <w:bookmarkEnd w:id="491"/>
    <w:bookmarkEnd w:id="492"/>
    <w:p w14:paraId="44FF5722">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7.4 </w:t>
      </w:r>
      <w:r>
        <w:rPr>
          <w:rFonts w:hint="eastAsia" w:ascii="Times New Roman" w:eastAsia="黑体"/>
          <w:color w:val="auto"/>
          <w:sz w:val="24"/>
          <w:szCs w:val="28"/>
          <w:highlight w:val="none"/>
        </w:rPr>
        <w:t>测量放线</w:t>
      </w:r>
    </w:p>
    <w:p w14:paraId="18826AA6">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eastAsia="Times New Roman"/>
          <w:color w:val="auto"/>
          <w:sz w:val="24"/>
          <w:szCs w:val="24"/>
          <w:highlight w:val="none"/>
        </w:rPr>
        <w:t>7.4.1</w:t>
      </w:r>
      <w:r>
        <w:rPr>
          <w:rFonts w:hint="eastAsia" w:ascii="Times New Roman"/>
          <w:color w:val="auto"/>
          <w:sz w:val="24"/>
          <w:szCs w:val="24"/>
          <w:highlight w:val="none"/>
        </w:rPr>
        <w:t xml:space="preserve"> 发包人通过监理人向承包人提供测量基准点、基准线和水准点及其书面资料的期限：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10C66667">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7</w:t>
      </w:r>
      <w:bookmarkStart w:id="493" w:name="_Toc303539125"/>
      <w:bookmarkStart w:id="494" w:name="_Toc304295546"/>
      <w:bookmarkStart w:id="495" w:name="_Toc312677484"/>
      <w:bookmarkStart w:id="496" w:name="_Toc297123516"/>
      <w:bookmarkStart w:id="497" w:name="_Toc312678010"/>
      <w:bookmarkStart w:id="498" w:name="_Toc300934968"/>
      <w:bookmarkStart w:id="499" w:name="_Toc297216175"/>
      <w:r>
        <w:rPr>
          <w:rFonts w:hint="eastAsia" w:ascii="Times New Roman" w:eastAsia="Times New Roman"/>
          <w:color w:val="auto"/>
          <w:sz w:val="24"/>
          <w:szCs w:val="28"/>
          <w:highlight w:val="none"/>
        </w:rPr>
        <w:t xml:space="preserve">.5 </w:t>
      </w:r>
      <w:r>
        <w:rPr>
          <w:rFonts w:hint="eastAsia" w:ascii="Times New Roman" w:eastAsia="黑体"/>
          <w:color w:val="auto"/>
          <w:sz w:val="24"/>
          <w:szCs w:val="28"/>
          <w:highlight w:val="none"/>
        </w:rPr>
        <w:t>工期延误</w:t>
      </w:r>
    </w:p>
    <w:bookmarkEnd w:id="493"/>
    <w:bookmarkEnd w:id="494"/>
    <w:bookmarkEnd w:id="495"/>
    <w:bookmarkEnd w:id="496"/>
    <w:bookmarkEnd w:id="497"/>
    <w:bookmarkEnd w:id="498"/>
    <w:bookmarkEnd w:id="499"/>
    <w:p w14:paraId="2A4E91C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7.5.1 </w:t>
      </w:r>
      <w:r>
        <w:rPr>
          <w:rFonts w:hint="eastAsia" w:ascii="Times New Roman"/>
          <w:color w:val="auto"/>
          <w:sz w:val="24"/>
          <w:szCs w:val="24"/>
          <w:highlight w:val="none"/>
        </w:rPr>
        <w:t>因发包人原因导致工期延误</w:t>
      </w:r>
    </w:p>
    <w:p w14:paraId="6559F8F1">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（7）因发包人原因导致工期延误的其他情形：</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9E788E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7</w:t>
      </w:r>
      <w:bookmarkStart w:id="500" w:name="_Toc312678012"/>
      <w:bookmarkStart w:id="501" w:name="_Toc318581169"/>
      <w:bookmarkStart w:id="502" w:name="_Toc312677486"/>
      <w:bookmarkStart w:id="503" w:name="_Toc303539127"/>
      <w:bookmarkStart w:id="504" w:name="_Toc297216177"/>
      <w:bookmarkStart w:id="505" w:name="_Toc297123518"/>
      <w:bookmarkStart w:id="506" w:name="_Toc300934970"/>
      <w:bookmarkStart w:id="507" w:name="_Toc304295548"/>
      <w:r>
        <w:rPr>
          <w:rFonts w:hint="eastAsia" w:ascii="Times New Roman" w:eastAsia="Times New Roman"/>
          <w:color w:val="auto"/>
          <w:sz w:val="24"/>
          <w:szCs w:val="24"/>
          <w:highlight w:val="none"/>
        </w:rPr>
        <w:t xml:space="preserve">.5.2 </w:t>
      </w:r>
      <w:r>
        <w:rPr>
          <w:rFonts w:hint="eastAsia" w:ascii="Times New Roman"/>
          <w:color w:val="auto"/>
          <w:sz w:val="24"/>
          <w:szCs w:val="24"/>
          <w:highlight w:val="none"/>
        </w:rPr>
        <w:t>因承包人原因导致工期延误</w:t>
      </w:r>
    </w:p>
    <w:bookmarkEnd w:id="500"/>
    <w:bookmarkEnd w:id="501"/>
    <w:bookmarkEnd w:id="502"/>
    <w:p w14:paraId="043AEE5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因</w:t>
      </w:r>
      <w:bookmarkStart w:id="508" w:name="_Toc312678013"/>
      <w:bookmarkStart w:id="509" w:name="_Toc312677487"/>
      <w:bookmarkStart w:id="510" w:name="_Toc318581170"/>
      <w:r>
        <w:rPr>
          <w:rFonts w:hint="eastAsia" w:ascii="Times New Roman"/>
          <w:color w:val="auto"/>
          <w:sz w:val="24"/>
          <w:szCs w:val="24"/>
          <w:highlight w:val="none"/>
        </w:rPr>
        <w:t>承包人原因造成工期延误，逾期竣工违约金的计算方法为：</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bookmarkEnd w:id="503"/>
      <w:bookmarkEnd w:id="504"/>
      <w:bookmarkEnd w:id="505"/>
      <w:bookmarkEnd w:id="506"/>
      <w:bookmarkEnd w:id="507"/>
      <w:bookmarkEnd w:id="508"/>
      <w:bookmarkEnd w:id="509"/>
    </w:p>
    <w:bookmarkEnd w:id="510"/>
    <w:p w14:paraId="02C7BF52">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因承包人原因造成工期延误，逾</w:t>
      </w:r>
      <w:bookmarkStart w:id="511" w:name="_Toc318581171"/>
      <w:bookmarkStart w:id="512" w:name="_Toc312678014"/>
      <w:r>
        <w:rPr>
          <w:rFonts w:hint="eastAsia" w:ascii="Times New Roman"/>
          <w:color w:val="auto"/>
          <w:sz w:val="24"/>
          <w:szCs w:val="24"/>
          <w:highlight w:val="none"/>
        </w:rPr>
        <w:t>期竣工违约金的上限：</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bookmarkEnd w:id="511"/>
    <w:bookmarkEnd w:id="512"/>
    <w:p w14:paraId="163E21FF">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7</w:t>
      </w:r>
      <w:bookmarkStart w:id="513" w:name="_Toc297216178"/>
      <w:bookmarkStart w:id="514" w:name="_Toc303539128"/>
      <w:bookmarkStart w:id="515" w:name="_Toc312678015"/>
      <w:bookmarkStart w:id="516" w:name="_Toc304295549"/>
      <w:bookmarkStart w:id="517" w:name="_Toc297123519"/>
      <w:bookmarkStart w:id="518" w:name="_Toc300934971"/>
      <w:r>
        <w:rPr>
          <w:rFonts w:hint="eastAsia" w:ascii="Times New Roman" w:eastAsia="Times New Roman"/>
          <w:color w:val="auto"/>
          <w:sz w:val="24"/>
          <w:szCs w:val="28"/>
          <w:highlight w:val="none"/>
        </w:rPr>
        <w:t xml:space="preserve">.6 </w:t>
      </w:r>
      <w:r>
        <w:rPr>
          <w:rFonts w:hint="eastAsia" w:ascii="Times New Roman" w:eastAsia="黑体"/>
          <w:color w:val="auto"/>
          <w:sz w:val="24"/>
          <w:szCs w:val="28"/>
          <w:highlight w:val="none"/>
        </w:rPr>
        <w:t>不</w:t>
      </w:r>
      <w:bookmarkEnd w:id="513"/>
      <w:bookmarkEnd w:id="514"/>
      <w:bookmarkEnd w:id="515"/>
      <w:bookmarkEnd w:id="516"/>
      <w:bookmarkEnd w:id="517"/>
      <w:bookmarkEnd w:id="518"/>
      <w:r>
        <w:rPr>
          <w:rFonts w:hint="eastAsia" w:ascii="Times New Roman" w:eastAsia="黑体"/>
          <w:color w:val="auto"/>
          <w:sz w:val="24"/>
          <w:szCs w:val="28"/>
          <w:highlight w:val="none"/>
        </w:rPr>
        <w:t>利物质条件</w:t>
      </w:r>
    </w:p>
    <w:p w14:paraId="708783DD">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bookmarkStart w:id="519" w:name="_Toc303539129"/>
      <w:bookmarkStart w:id="520" w:name="_Toc304295550"/>
      <w:bookmarkStart w:id="521" w:name="_Toc300934972"/>
      <w:bookmarkStart w:id="522" w:name="_Toc312678016"/>
      <w:bookmarkStart w:id="523" w:name="_Toc318581172"/>
      <w:bookmarkStart w:id="524" w:name="_Toc297123520"/>
      <w:bookmarkStart w:id="525" w:name="_Toc297216179"/>
      <w:r>
        <w:rPr>
          <w:rFonts w:hint="eastAsia" w:ascii="Times New Roman"/>
          <w:color w:val="auto"/>
          <w:sz w:val="24"/>
          <w:szCs w:val="24"/>
          <w:highlight w:val="none"/>
        </w:rPr>
        <w:t>不利物质条件的其他情形和有关约定：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bookmarkEnd w:id="519"/>
    <w:bookmarkEnd w:id="520"/>
    <w:bookmarkEnd w:id="521"/>
    <w:bookmarkEnd w:id="522"/>
    <w:bookmarkEnd w:id="523"/>
    <w:bookmarkEnd w:id="524"/>
    <w:bookmarkEnd w:id="525"/>
    <w:p w14:paraId="6929BB34">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7</w:t>
      </w:r>
      <w:bookmarkStart w:id="526" w:name="_Toc303539130"/>
      <w:bookmarkStart w:id="527" w:name="_Toc312678017"/>
      <w:bookmarkStart w:id="528" w:name="_Toc297216180"/>
      <w:bookmarkStart w:id="529" w:name="_Toc300934973"/>
      <w:bookmarkStart w:id="530" w:name="_Toc297123521"/>
      <w:bookmarkStart w:id="531" w:name="_Toc304295551"/>
      <w:r>
        <w:rPr>
          <w:rFonts w:hint="eastAsia" w:ascii="Times New Roman" w:eastAsia="Times New Roman"/>
          <w:color w:val="auto"/>
          <w:sz w:val="24"/>
          <w:szCs w:val="28"/>
          <w:highlight w:val="none"/>
        </w:rPr>
        <w:t>.7</w:t>
      </w:r>
      <w:r>
        <w:rPr>
          <w:rFonts w:hint="eastAsia" w:ascii="Times New Roman" w:eastAsia="黑体"/>
          <w:color w:val="auto"/>
          <w:sz w:val="24"/>
          <w:szCs w:val="28"/>
          <w:highlight w:val="none"/>
        </w:rPr>
        <w:t xml:space="preserve"> 异常恶劣的气候条件</w:t>
      </w:r>
    </w:p>
    <w:bookmarkEnd w:id="526"/>
    <w:bookmarkEnd w:id="527"/>
    <w:bookmarkEnd w:id="528"/>
    <w:bookmarkEnd w:id="529"/>
    <w:bookmarkEnd w:id="530"/>
    <w:bookmarkEnd w:id="531"/>
    <w:p w14:paraId="6070415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发包人和承包人同意以下情形视为异常恶劣的气候条件：</w:t>
      </w:r>
    </w:p>
    <w:p w14:paraId="7066FFB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062EB8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6F22EC5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（3）</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3071FAD">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7.9 </w:t>
      </w:r>
      <w:r>
        <w:rPr>
          <w:rFonts w:hint="eastAsia" w:ascii="Times New Roman" w:eastAsia="黑体"/>
          <w:color w:val="auto"/>
          <w:sz w:val="24"/>
          <w:szCs w:val="28"/>
          <w:highlight w:val="none"/>
        </w:rPr>
        <w:t>提前竣工</w:t>
      </w:r>
    </w:p>
    <w:p w14:paraId="483B1346">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eastAsia="Times New Roman"/>
          <w:color w:val="auto"/>
          <w:sz w:val="24"/>
          <w:szCs w:val="24"/>
          <w:highlight w:val="none"/>
        </w:rPr>
        <w:t>7.9.2</w:t>
      </w:r>
      <w:r>
        <w:rPr>
          <w:rFonts w:hint="eastAsia" w:ascii="Times New Roman"/>
          <w:color w:val="auto"/>
          <w:sz w:val="24"/>
          <w:szCs w:val="24"/>
          <w:highlight w:val="none"/>
        </w:rPr>
        <w:t xml:space="preserve"> 提前竣工的奖励：</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395195F">
      <w:pPr>
        <w:spacing w:before="240" w:beforeLines="100" w:after="240" w:afterLines="100"/>
        <w:outlineLvl w:val="2"/>
        <w:rPr>
          <w:rFonts w:hint="eastAsia" w:ascii="Times New Roman" w:eastAsia="Times New Roman"/>
          <w:color w:val="auto"/>
          <w:sz w:val="24"/>
          <w:szCs w:val="24"/>
          <w:highlight w:val="none"/>
        </w:rPr>
      </w:pPr>
      <w:bookmarkStart w:id="532" w:name="_Toc351203640"/>
      <w:r>
        <w:rPr>
          <w:rFonts w:hint="eastAsia" w:ascii="Times New Roman" w:eastAsia="Times New Roman"/>
          <w:color w:val="auto"/>
          <w:sz w:val="24"/>
          <w:szCs w:val="24"/>
          <w:highlight w:val="none"/>
        </w:rPr>
        <w:t xml:space="preserve">8. </w:t>
      </w:r>
      <w:r>
        <w:rPr>
          <w:rFonts w:hint="eastAsia" w:ascii="Times New Roman" w:eastAsia="黑体"/>
          <w:color w:val="auto"/>
          <w:sz w:val="24"/>
          <w:szCs w:val="24"/>
          <w:highlight w:val="none"/>
        </w:rPr>
        <w:t>材料与设备</w:t>
      </w:r>
      <w:bookmarkEnd w:id="532"/>
    </w:p>
    <w:bookmarkEnd w:id="465"/>
    <w:bookmarkEnd w:id="466"/>
    <w:bookmarkEnd w:id="467"/>
    <w:bookmarkEnd w:id="468"/>
    <w:bookmarkEnd w:id="469"/>
    <w:bookmarkEnd w:id="470"/>
    <w:bookmarkEnd w:id="471"/>
    <w:bookmarkEnd w:id="472"/>
    <w:bookmarkEnd w:id="473"/>
    <w:bookmarkEnd w:id="474"/>
    <w:p w14:paraId="4A93060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8</w:t>
      </w:r>
      <w:bookmarkStart w:id="533" w:name="_Toc296944506"/>
      <w:bookmarkStart w:id="534" w:name="_Toc297123527"/>
      <w:bookmarkStart w:id="535" w:name="_Toc297048353"/>
      <w:bookmarkStart w:id="536" w:name="_Toc296346668"/>
      <w:bookmarkStart w:id="537" w:name="_Toc312677493"/>
      <w:bookmarkStart w:id="538" w:name="_Toc292559877"/>
      <w:bookmarkStart w:id="539" w:name="_Toc297216186"/>
      <w:bookmarkStart w:id="540" w:name="_Toc296891207"/>
      <w:bookmarkStart w:id="541" w:name="_Toc297120467"/>
      <w:bookmarkStart w:id="542" w:name="_Toc296503167"/>
      <w:bookmarkStart w:id="543" w:name="_Toc292559372"/>
      <w:bookmarkStart w:id="544" w:name="_Toc296890995"/>
      <w:bookmarkStart w:id="545" w:name="_Toc303539136"/>
      <w:bookmarkStart w:id="546" w:name="_Toc280868654"/>
      <w:bookmarkStart w:id="547" w:name="_Toc296347166"/>
      <w:bookmarkStart w:id="548" w:name="_Toc312678019"/>
      <w:bookmarkStart w:id="549" w:name="_Toc300934979"/>
      <w:bookmarkStart w:id="550" w:name="_Toc304295556"/>
      <w:bookmarkStart w:id="551" w:name="_Toc267251424"/>
      <w:bookmarkStart w:id="552" w:name="_Toc280868656"/>
      <w:bookmarkStart w:id="553" w:name="_Toc280868655"/>
      <w:r>
        <w:rPr>
          <w:rFonts w:hint="eastAsia" w:ascii="Times New Roman" w:eastAsia="Times New Roman"/>
          <w:color w:val="auto"/>
          <w:sz w:val="24"/>
          <w:szCs w:val="24"/>
          <w:highlight w:val="none"/>
        </w:rPr>
        <w:t>.4</w:t>
      </w:r>
      <w:r>
        <w:rPr>
          <w:rFonts w:hint="eastAsia" w:ascii="Times New Roman"/>
          <w:color w:val="auto"/>
          <w:sz w:val="24"/>
          <w:szCs w:val="24"/>
          <w:highlight w:val="none"/>
        </w:rPr>
        <w:t xml:space="preserve"> 材料与工程设备的保管与使用</w:t>
      </w:r>
    </w:p>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14:paraId="05FD3958">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eastAsia="Times New Roman"/>
          <w:color w:val="auto"/>
          <w:sz w:val="24"/>
          <w:szCs w:val="24"/>
          <w:highlight w:val="none"/>
        </w:rPr>
        <w:t>8</w:t>
      </w:r>
      <w:bookmarkStart w:id="554" w:name="_Toc292559373"/>
      <w:bookmarkStart w:id="555" w:name="_Toc292559878"/>
      <w:bookmarkStart w:id="556" w:name="_Toc296890996"/>
      <w:bookmarkStart w:id="557" w:name="_Toc300934980"/>
      <w:bookmarkStart w:id="558" w:name="_Toc304295557"/>
      <w:bookmarkStart w:id="559" w:name="_Toc296347167"/>
      <w:bookmarkStart w:id="560" w:name="_Toc296503168"/>
      <w:bookmarkStart w:id="561" w:name="_Toc297048354"/>
      <w:bookmarkStart w:id="562" w:name="_Toc297216187"/>
      <w:bookmarkStart w:id="563" w:name="_Toc296346669"/>
      <w:bookmarkStart w:id="564" w:name="_Toc312677494"/>
      <w:bookmarkStart w:id="565" w:name="_Toc296944507"/>
      <w:bookmarkStart w:id="566" w:name="_Toc303539137"/>
      <w:bookmarkStart w:id="567" w:name="_Toc312678020"/>
      <w:bookmarkStart w:id="568" w:name="_Toc297120468"/>
      <w:bookmarkStart w:id="569" w:name="_Toc296891208"/>
      <w:bookmarkStart w:id="570" w:name="_Toc297123528"/>
      <w:bookmarkStart w:id="571" w:name="_Toc318581173"/>
      <w:r>
        <w:rPr>
          <w:rFonts w:hint="eastAsia" w:ascii="Times New Roman" w:eastAsia="Times New Roman"/>
          <w:color w:val="auto"/>
          <w:sz w:val="24"/>
          <w:szCs w:val="24"/>
          <w:highlight w:val="none"/>
        </w:rPr>
        <w:t>.4.1</w:t>
      </w:r>
      <w:r>
        <w:rPr>
          <w:rFonts w:hint="eastAsia" w:ascii="Times New Roman"/>
          <w:color w:val="auto"/>
          <w:sz w:val="24"/>
          <w:szCs w:val="24"/>
          <w:highlight w:val="none"/>
        </w:rPr>
        <w:t xml:space="preserve"> 发包人供应的材料设备的保管费用的承担：</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bookmarkEnd w:id="554"/>
      <w:bookmarkEnd w:id="555"/>
    </w:p>
    <w:p w14:paraId="27814DE0">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8.6 </w:t>
      </w:r>
      <w:r>
        <w:rPr>
          <w:rFonts w:hint="eastAsia" w:ascii="Times New Roman" w:eastAsia="黑体"/>
          <w:color w:val="auto"/>
          <w:sz w:val="24"/>
          <w:szCs w:val="28"/>
          <w:highlight w:val="none"/>
        </w:rPr>
        <w:t>样品</w:t>
      </w:r>
    </w:p>
    <w:p w14:paraId="0E0D427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8.6.1</w:t>
      </w:r>
      <w:r>
        <w:rPr>
          <w:rFonts w:hint="eastAsia" w:ascii="Times New Roman"/>
          <w:color w:val="auto"/>
          <w:sz w:val="24"/>
          <w:szCs w:val="24"/>
          <w:highlight w:val="none"/>
        </w:rPr>
        <w:t xml:space="preserve"> 样品的报送与封存</w:t>
      </w:r>
    </w:p>
    <w:p w14:paraId="3DD1CFE5">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需要承包人报送样品的材料或工程设备，样品的种类、名称、规格、数量要求：</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2B4450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8.8 </w:t>
      </w:r>
      <w:r>
        <w:rPr>
          <w:rFonts w:hint="eastAsia" w:ascii="Times New Roman"/>
          <w:color w:val="auto"/>
          <w:sz w:val="24"/>
          <w:szCs w:val="24"/>
          <w:highlight w:val="none"/>
        </w:rPr>
        <w:t>施工设备和临时设施</w:t>
      </w:r>
    </w:p>
    <w:p w14:paraId="0AAC584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8.8.1 </w:t>
      </w:r>
      <w:r>
        <w:rPr>
          <w:rFonts w:hint="eastAsia" w:ascii="Times New Roman"/>
          <w:color w:val="auto"/>
          <w:sz w:val="24"/>
          <w:szCs w:val="24"/>
          <w:highlight w:val="none"/>
        </w:rPr>
        <w:t>承包人提供的施工设备和临时设施</w:t>
      </w:r>
    </w:p>
    <w:p w14:paraId="33D82AB7">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关于修建临时设施费用承担的约定：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14:paraId="106E1F46">
      <w:pPr>
        <w:spacing w:before="240" w:beforeLines="100" w:after="240" w:afterLines="100"/>
        <w:outlineLvl w:val="2"/>
        <w:rPr>
          <w:rFonts w:hint="eastAsia" w:ascii="Times New Roman" w:eastAsia="Times New Roman"/>
          <w:color w:val="auto"/>
          <w:sz w:val="24"/>
          <w:szCs w:val="24"/>
          <w:highlight w:val="none"/>
        </w:rPr>
      </w:pPr>
      <w:bookmarkStart w:id="572" w:name="_Toc351203641"/>
      <w:r>
        <w:rPr>
          <w:rFonts w:hint="eastAsia" w:ascii="Times New Roman" w:eastAsia="Times New Roman"/>
          <w:color w:val="auto"/>
          <w:sz w:val="24"/>
          <w:szCs w:val="24"/>
          <w:highlight w:val="none"/>
        </w:rPr>
        <w:t>9</w:t>
      </w:r>
      <w:bookmarkEnd w:id="551"/>
      <w:bookmarkEnd w:id="552"/>
      <w:bookmarkEnd w:id="553"/>
      <w:bookmarkStart w:id="573" w:name="_Toc300934982"/>
      <w:bookmarkStart w:id="574" w:name="_Toc297123533"/>
      <w:bookmarkStart w:id="575" w:name="_Toc312678021"/>
      <w:bookmarkStart w:id="576" w:name="_Toc303539139"/>
      <w:bookmarkStart w:id="577" w:name="_Toc312677495"/>
      <w:bookmarkStart w:id="578" w:name="_Toc297216192"/>
      <w:bookmarkStart w:id="579" w:name="_Toc304295559"/>
      <w:bookmarkStart w:id="580" w:name="_Toc296891213"/>
      <w:bookmarkStart w:id="581" w:name="_Toc292559883"/>
      <w:bookmarkStart w:id="582" w:name="_Toc296503173"/>
      <w:bookmarkStart w:id="583" w:name="_Toc296944512"/>
      <w:bookmarkStart w:id="584" w:name="_Toc267251427"/>
      <w:bookmarkStart w:id="585" w:name="_Toc296346674"/>
      <w:bookmarkStart w:id="586" w:name="_Toc296891001"/>
      <w:bookmarkStart w:id="587" w:name="_Toc297120473"/>
      <w:bookmarkStart w:id="588" w:name="_Toc292559378"/>
      <w:bookmarkStart w:id="589" w:name="_Toc296347172"/>
      <w:bookmarkStart w:id="590" w:name="_Toc267251428"/>
      <w:bookmarkStart w:id="591" w:name="_Toc297048359"/>
      <w:r>
        <w:rPr>
          <w:rFonts w:hint="eastAsia" w:ascii="Times New Roman" w:eastAsia="Times New Roman"/>
          <w:color w:val="auto"/>
          <w:sz w:val="24"/>
          <w:szCs w:val="24"/>
          <w:highlight w:val="none"/>
        </w:rPr>
        <w:t xml:space="preserve">. </w:t>
      </w:r>
      <w:r>
        <w:rPr>
          <w:rFonts w:hint="eastAsia" w:ascii="Times New Roman" w:eastAsia="黑体"/>
          <w:color w:val="auto"/>
          <w:sz w:val="24"/>
          <w:szCs w:val="24"/>
          <w:highlight w:val="none"/>
        </w:rPr>
        <w:t>试验与检验</w:t>
      </w:r>
      <w:bookmarkEnd w:id="572"/>
    </w:p>
    <w:bookmarkEnd w:id="573"/>
    <w:bookmarkEnd w:id="574"/>
    <w:bookmarkEnd w:id="575"/>
    <w:bookmarkEnd w:id="576"/>
    <w:bookmarkEnd w:id="577"/>
    <w:bookmarkEnd w:id="578"/>
    <w:bookmarkEnd w:id="579"/>
    <w:p w14:paraId="50DD63F2">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9</w:t>
      </w:r>
      <w:bookmarkStart w:id="592" w:name="_Toc300934983"/>
      <w:bookmarkStart w:id="593" w:name="_Toc303539140"/>
      <w:bookmarkStart w:id="594" w:name="_Toc312677496"/>
      <w:bookmarkStart w:id="595" w:name="_Toc297123534"/>
      <w:bookmarkStart w:id="596" w:name="_Toc297216193"/>
      <w:bookmarkStart w:id="597" w:name="_Toc304295560"/>
      <w:bookmarkStart w:id="598" w:name="_Toc312678022"/>
      <w:r>
        <w:rPr>
          <w:rFonts w:hint="eastAsia" w:ascii="Times New Roman" w:eastAsia="Times New Roman"/>
          <w:color w:val="auto"/>
          <w:sz w:val="24"/>
          <w:szCs w:val="28"/>
          <w:highlight w:val="none"/>
        </w:rPr>
        <w:t>.1</w:t>
      </w:r>
      <w:r>
        <w:rPr>
          <w:rFonts w:hint="eastAsia" w:ascii="Times New Roman" w:eastAsia="黑体"/>
          <w:color w:val="auto"/>
          <w:sz w:val="24"/>
          <w:szCs w:val="28"/>
          <w:highlight w:val="none"/>
        </w:rPr>
        <w:t xml:space="preserve"> 试验设备与试验人员</w:t>
      </w:r>
    </w:p>
    <w:bookmarkEnd w:id="592"/>
    <w:bookmarkEnd w:id="593"/>
    <w:bookmarkEnd w:id="594"/>
    <w:bookmarkEnd w:id="595"/>
    <w:bookmarkEnd w:id="596"/>
    <w:bookmarkEnd w:id="597"/>
    <w:bookmarkEnd w:id="598"/>
    <w:p w14:paraId="4429E84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9</w:t>
      </w:r>
      <w:bookmarkStart w:id="599" w:name="_Toc303539141"/>
      <w:bookmarkStart w:id="600" w:name="_Toc312678023"/>
      <w:bookmarkStart w:id="601" w:name="_Toc297216194"/>
      <w:bookmarkStart w:id="602" w:name="_Toc304295561"/>
      <w:bookmarkStart w:id="603" w:name="_Toc312677497"/>
      <w:bookmarkStart w:id="604" w:name="_Toc297123535"/>
      <w:bookmarkStart w:id="605" w:name="_Toc300934984"/>
      <w:bookmarkStart w:id="606" w:name="_Toc318581174"/>
      <w:r>
        <w:rPr>
          <w:rFonts w:hint="eastAsia" w:ascii="Times New Roman" w:eastAsia="Times New Roman"/>
          <w:color w:val="auto"/>
          <w:sz w:val="24"/>
          <w:szCs w:val="24"/>
          <w:highlight w:val="none"/>
        </w:rPr>
        <w:t xml:space="preserve">.1.2 </w:t>
      </w:r>
      <w:r>
        <w:rPr>
          <w:rFonts w:hint="eastAsia" w:ascii="Times New Roman"/>
          <w:color w:val="auto"/>
          <w:sz w:val="24"/>
          <w:szCs w:val="24"/>
          <w:highlight w:val="none"/>
        </w:rPr>
        <w:t>试验设备</w:t>
      </w:r>
    </w:p>
    <w:p w14:paraId="170A91BF">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施工现场需要配置的试验场所</w:t>
      </w:r>
      <w:bookmarkEnd w:id="599"/>
      <w:bookmarkEnd w:id="600"/>
      <w:bookmarkEnd w:id="601"/>
      <w:bookmarkEnd w:id="602"/>
      <w:bookmarkEnd w:id="603"/>
      <w:bookmarkEnd w:id="604"/>
      <w:bookmarkEnd w:id="605"/>
      <w:bookmarkStart w:id="607" w:name="_Toc312678024"/>
      <w:bookmarkStart w:id="608" w:name="_Toc304295562"/>
      <w:bookmarkStart w:id="609" w:name="_Toc303539142"/>
      <w:bookmarkStart w:id="610" w:name="_Toc297216195"/>
      <w:bookmarkStart w:id="611" w:name="_Toc312677498"/>
      <w:bookmarkStart w:id="612" w:name="_Toc300934985"/>
      <w:bookmarkStart w:id="613" w:name="_Toc297123536"/>
      <w:r>
        <w:rPr>
          <w:rFonts w:hint="eastAsia" w:ascii="Times New Roman"/>
          <w:color w:val="auto"/>
          <w:sz w:val="24"/>
          <w:szCs w:val="24"/>
          <w:highlight w:val="non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68DCD9B">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施工现场需要配备的试验设备：</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D66D1A4">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施工现场需要具备的其他试验条件：</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6DEC4722">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9.4 </w:t>
      </w:r>
      <w:r>
        <w:rPr>
          <w:rFonts w:hint="eastAsia" w:ascii="Times New Roman" w:eastAsia="黑体"/>
          <w:color w:val="auto"/>
          <w:sz w:val="24"/>
          <w:szCs w:val="28"/>
          <w:highlight w:val="none"/>
        </w:rPr>
        <w:t xml:space="preserve">现场工艺试验 </w:t>
      </w:r>
    </w:p>
    <w:p w14:paraId="3040AE5A">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现场工艺试验的有关约定：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bookmarkEnd w:id="606"/>
    <w:bookmarkEnd w:id="607"/>
    <w:bookmarkEnd w:id="608"/>
    <w:bookmarkEnd w:id="609"/>
    <w:bookmarkEnd w:id="610"/>
    <w:bookmarkEnd w:id="611"/>
    <w:bookmarkEnd w:id="612"/>
    <w:bookmarkEnd w:id="613"/>
    <w:p w14:paraId="5105661F">
      <w:pPr>
        <w:spacing w:before="240" w:beforeLines="100" w:after="240" w:afterLines="100"/>
        <w:outlineLvl w:val="2"/>
        <w:rPr>
          <w:rFonts w:hint="eastAsia" w:ascii="Times New Roman" w:eastAsia="Times New Roman"/>
          <w:color w:val="auto"/>
          <w:sz w:val="24"/>
          <w:szCs w:val="24"/>
          <w:highlight w:val="none"/>
        </w:rPr>
      </w:pPr>
      <w:bookmarkStart w:id="614" w:name="_Toc351203642"/>
      <w:r>
        <w:rPr>
          <w:rFonts w:hint="eastAsia" w:ascii="Times New Roman" w:eastAsia="Times New Roman"/>
          <w:color w:val="auto"/>
          <w:sz w:val="24"/>
          <w:szCs w:val="24"/>
          <w:highlight w:val="none"/>
        </w:rPr>
        <w:t>1</w:t>
      </w:r>
      <w:bookmarkEnd w:id="580"/>
      <w:bookmarkEnd w:id="581"/>
      <w:bookmarkEnd w:id="582"/>
      <w:bookmarkEnd w:id="583"/>
      <w:bookmarkEnd w:id="584"/>
      <w:bookmarkEnd w:id="585"/>
      <w:bookmarkEnd w:id="586"/>
      <w:bookmarkEnd w:id="587"/>
      <w:bookmarkEnd w:id="588"/>
      <w:bookmarkEnd w:id="589"/>
      <w:bookmarkEnd w:id="590"/>
      <w:bookmarkEnd w:id="591"/>
      <w:bookmarkStart w:id="615" w:name="_Toc292559903"/>
      <w:bookmarkStart w:id="616" w:name="_Toc296347192"/>
      <w:bookmarkStart w:id="617" w:name="_Toc303539146"/>
      <w:bookmarkStart w:id="618" w:name="_Toc296944532"/>
      <w:bookmarkStart w:id="619" w:name="_Toc297120493"/>
      <w:bookmarkStart w:id="620" w:name="_Toc297123540"/>
      <w:bookmarkStart w:id="621" w:name="_Toc296891021"/>
      <w:bookmarkStart w:id="622" w:name="_Toc297216199"/>
      <w:bookmarkStart w:id="623" w:name="_Toc296503193"/>
      <w:bookmarkStart w:id="624" w:name="_Toc292559398"/>
      <w:bookmarkStart w:id="625" w:name="_Toc296346694"/>
      <w:bookmarkStart w:id="626" w:name="_Toc300934989"/>
      <w:bookmarkStart w:id="627" w:name="_Toc304295566"/>
      <w:bookmarkStart w:id="628" w:name="_Toc296891233"/>
      <w:bookmarkStart w:id="629" w:name="_Toc297048379"/>
      <w:bookmarkStart w:id="630" w:name="_Toc312678025"/>
      <w:bookmarkStart w:id="631" w:name="_Toc312677499"/>
      <w:bookmarkStart w:id="632" w:name="_Toc267251437"/>
      <w:bookmarkStart w:id="633" w:name="_Toc267251435"/>
      <w:bookmarkStart w:id="634" w:name="_Toc267251439"/>
      <w:bookmarkStart w:id="635" w:name="_Toc267251441"/>
      <w:bookmarkStart w:id="636" w:name="_Toc267251440"/>
      <w:bookmarkStart w:id="637" w:name="_Toc267251433"/>
      <w:bookmarkStart w:id="638" w:name="_Toc267251442"/>
      <w:r>
        <w:rPr>
          <w:rFonts w:hint="eastAsia" w:ascii="Times New Roman" w:eastAsia="Times New Roman"/>
          <w:color w:val="auto"/>
          <w:sz w:val="24"/>
          <w:szCs w:val="24"/>
          <w:highlight w:val="none"/>
        </w:rPr>
        <w:t xml:space="preserve">0. </w:t>
      </w:r>
      <w:r>
        <w:rPr>
          <w:rFonts w:hint="eastAsia" w:ascii="Times New Roman" w:eastAsia="黑体"/>
          <w:color w:val="auto"/>
          <w:sz w:val="24"/>
          <w:szCs w:val="24"/>
          <w:highlight w:val="none"/>
        </w:rPr>
        <w:t>变更</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bookmarkEnd w:id="630"/>
    <w:bookmarkEnd w:id="631"/>
    <w:p w14:paraId="5441E37F">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w:t>
      </w:r>
      <w:bookmarkStart w:id="639" w:name="_Toc312677500"/>
      <w:bookmarkStart w:id="640" w:name="_Toc297123541"/>
      <w:bookmarkStart w:id="641" w:name="_Toc300934990"/>
      <w:bookmarkStart w:id="642" w:name="_Toc297216200"/>
      <w:bookmarkStart w:id="643" w:name="_Toc296944533"/>
      <w:bookmarkStart w:id="644" w:name="_Toc303539147"/>
      <w:bookmarkStart w:id="645" w:name="_Toc296503194"/>
      <w:bookmarkStart w:id="646" w:name="_Toc292559399"/>
      <w:bookmarkStart w:id="647" w:name="_Toc296891234"/>
      <w:bookmarkStart w:id="648" w:name="_Toc297120494"/>
      <w:bookmarkStart w:id="649" w:name="_Toc296891022"/>
      <w:bookmarkStart w:id="650" w:name="_Toc297048380"/>
      <w:bookmarkStart w:id="651" w:name="_Toc296346695"/>
      <w:bookmarkStart w:id="652" w:name="_Toc296347193"/>
      <w:bookmarkStart w:id="653" w:name="_Toc312678026"/>
      <w:bookmarkStart w:id="654" w:name="_Toc304295567"/>
      <w:bookmarkStart w:id="655" w:name="_Toc292559904"/>
      <w:r>
        <w:rPr>
          <w:rFonts w:hint="eastAsia" w:ascii="Times New Roman" w:eastAsia="Times New Roman"/>
          <w:color w:val="auto"/>
          <w:sz w:val="24"/>
          <w:szCs w:val="28"/>
          <w:highlight w:val="none"/>
        </w:rPr>
        <w:t>0.1</w:t>
      </w:r>
      <w:r>
        <w:rPr>
          <w:rFonts w:hint="eastAsia" w:ascii="Times New Roman" w:eastAsia="黑体"/>
          <w:color w:val="auto"/>
          <w:sz w:val="24"/>
          <w:szCs w:val="28"/>
          <w:highlight w:val="none"/>
        </w:rPr>
        <w:t xml:space="preserve"> 变更的范围</w:t>
      </w:r>
    </w:p>
    <w:p w14:paraId="5451F723">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关于变更的范围的约定：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03A7DCA6">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10.4 </w:t>
      </w:r>
      <w:r>
        <w:rPr>
          <w:rFonts w:hint="eastAsia" w:ascii="Times New Roman" w:eastAsia="黑体"/>
          <w:color w:val="auto"/>
          <w:sz w:val="24"/>
          <w:szCs w:val="28"/>
          <w:highlight w:val="none"/>
        </w:rPr>
        <w:t>变更估价</w:t>
      </w:r>
    </w:p>
    <w:p w14:paraId="3B4737D6">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10.4.1 变更估价原则</w:t>
      </w:r>
    </w:p>
    <w:p w14:paraId="4C33208F">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关于变更估价的约定：</w:t>
      </w:r>
    </w:p>
    <w:p w14:paraId="2882AF6D">
      <w:pPr>
        <w:adjustRightInd w:val="0"/>
        <w:spacing w:beforeLines="0" w:afterLines="0" w:line="360" w:lineRule="auto"/>
        <w:ind w:firstLine="482" w:firstLineChars="200"/>
        <w:rPr>
          <w:rFonts w:hint="eastAsia" w:ascii="Times New Roman"/>
          <w:b/>
          <w:color w:val="auto"/>
          <w:sz w:val="24"/>
          <w:szCs w:val="24"/>
          <w:highlight w:val="none"/>
        </w:rPr>
      </w:pPr>
      <w:r>
        <w:rPr>
          <w:rFonts w:hint="eastAsia" w:ascii="Times New Roman"/>
          <w:b/>
          <w:color w:val="auto"/>
          <w:sz w:val="24"/>
          <w:szCs w:val="24"/>
          <w:highlight w:val="none"/>
        </w:rPr>
        <w:t>10.4.1.1 因工程变更引起已标价工程量清单项目或其工程数量发生变化时，按下列规定调整：</w:t>
      </w:r>
    </w:p>
    <w:p w14:paraId="2F627BCF">
      <w:pPr>
        <w:adjustRightInd w:val="0"/>
        <w:spacing w:beforeLines="0" w:afterLines="0" w:line="360" w:lineRule="auto"/>
        <w:ind w:firstLine="482" w:firstLineChars="200"/>
        <w:rPr>
          <w:rFonts w:hint="eastAsia" w:ascii="Times New Roman"/>
          <w:b/>
          <w:color w:val="auto"/>
          <w:sz w:val="24"/>
          <w:szCs w:val="24"/>
          <w:highlight w:val="none"/>
          <w:u w:val="single"/>
        </w:rPr>
      </w:pPr>
      <w:r>
        <w:rPr>
          <w:rFonts w:hint="eastAsia" w:ascii="Times New Roman"/>
          <w:b/>
          <w:color w:val="auto"/>
          <w:sz w:val="24"/>
          <w:szCs w:val="24"/>
          <w:highlight w:val="none"/>
          <w:u w:val="single"/>
        </w:rPr>
        <w:t>(1)已标价工程量清单中有适用于变更工程项目的，采用该项目的单价，除外情形：①对于投标报价中分部分项工程项目单价高于最高投标限价相应子目单价的清单项目，工程量增加幅度超过本项目工程数量15%的，超过15%的增加部分工程量的单价按最高投标限价相应子目单价与承包人报价浮动率【承包人报价浮动率L=（1—中标价/最高投标限价）×100%，下同】同比下浮，确定工程变更单价，作为结算的依据，但最高投标限价相应子目单价有明显错误的除外；②对于投标报价中分部分项工程项目单价低于最高投标限价相应子目单价的幅度超过承包人报价浮动率的，工程量减少幅度超过本项目工程数量15%的，超过15%的减少部分工程量的单价按最高投标限价相应子目单价与承包人报价浮动率同比下浮，确定工程变更单价，作为结算的依据，但最高投标限价相应子目单价有明显错误的除外；</w:t>
      </w:r>
    </w:p>
    <w:p w14:paraId="1E62A021">
      <w:pPr>
        <w:adjustRightInd w:val="0"/>
        <w:spacing w:beforeLines="0" w:afterLines="0" w:line="360" w:lineRule="auto"/>
        <w:ind w:firstLine="482" w:firstLineChars="200"/>
        <w:rPr>
          <w:rFonts w:hint="eastAsia" w:ascii="Times New Roman"/>
          <w:b/>
          <w:color w:val="auto"/>
          <w:sz w:val="24"/>
          <w:szCs w:val="24"/>
          <w:highlight w:val="none"/>
          <w:u w:val="single"/>
        </w:rPr>
      </w:pPr>
      <w:r>
        <w:rPr>
          <w:rFonts w:hint="eastAsia" w:ascii="Times New Roman"/>
          <w:b/>
          <w:color w:val="auto"/>
          <w:sz w:val="24"/>
          <w:szCs w:val="24"/>
          <w:highlight w:val="none"/>
        </w:rPr>
        <w:t>（2）</w:t>
      </w:r>
      <w:r>
        <w:rPr>
          <w:rFonts w:hint="eastAsia" w:ascii="Times New Roman"/>
          <w:b/>
          <w:color w:val="auto"/>
          <w:sz w:val="24"/>
          <w:szCs w:val="24"/>
          <w:highlight w:val="none"/>
          <w:u w:val="single"/>
        </w:rPr>
        <w:t>已标价工程量清单中没有适用但有类似于变更工程项目的，可在合理范围内参照类似项目的单价。</w:t>
      </w:r>
    </w:p>
    <w:p w14:paraId="491F4C18">
      <w:pPr>
        <w:adjustRightInd w:val="0"/>
        <w:spacing w:beforeLines="0" w:afterLines="0" w:line="360" w:lineRule="auto"/>
        <w:ind w:firstLine="482" w:firstLineChars="200"/>
        <w:rPr>
          <w:rFonts w:hint="eastAsia" w:ascii="Times New Roman"/>
          <w:b/>
          <w:color w:val="auto"/>
          <w:sz w:val="24"/>
          <w:szCs w:val="24"/>
          <w:highlight w:val="none"/>
          <w:u w:val="single"/>
        </w:rPr>
      </w:pPr>
      <w:r>
        <w:rPr>
          <w:rFonts w:hint="eastAsia" w:ascii="Times New Roman"/>
          <w:b/>
          <w:color w:val="auto"/>
          <w:sz w:val="24"/>
          <w:szCs w:val="24"/>
          <w:highlight w:val="none"/>
          <w:u w:val="single"/>
        </w:rPr>
        <w:t xml:space="preserve">（3）已标价工程量清单中没有适用也没有类似于变更工程项目的，由承包人根据变更工程资料、招标时的计量规则和计价办法、当期的工程造价管理机构发布的信息价格和承包人报价浮动率提出变更工程项目的单价，报发包人确认后调整； </w:t>
      </w:r>
    </w:p>
    <w:p w14:paraId="24A0ED94">
      <w:pPr>
        <w:adjustRightInd w:val="0"/>
        <w:spacing w:beforeLines="0" w:afterLines="0" w:line="360" w:lineRule="auto"/>
        <w:ind w:firstLine="482" w:firstLineChars="200"/>
        <w:rPr>
          <w:rFonts w:hint="eastAsia" w:ascii="Times New Roman"/>
          <w:b/>
          <w:color w:val="auto"/>
          <w:sz w:val="24"/>
          <w:szCs w:val="24"/>
          <w:highlight w:val="none"/>
          <w:u w:val="single"/>
        </w:rPr>
      </w:pPr>
      <w:r>
        <w:rPr>
          <w:rFonts w:hint="eastAsia" w:ascii="Times New Roman"/>
          <w:b/>
          <w:color w:val="auto"/>
          <w:sz w:val="24"/>
          <w:szCs w:val="24"/>
          <w:highlight w:val="none"/>
          <w:u w:val="single"/>
        </w:rPr>
        <w:t xml:space="preserve">（4）已标价工程量清单中没有适用也没有类似于变更工程项目的，且工程造价管理机构发布的信息价缺价的，由承包人根据变更工程资料、招标时的计量规则和计价办法和通过市场调查等取得有合法依据的市场价格和承包人报价浮动率提出变更工程项目的单价，报发包人确认后调整。 </w:t>
      </w:r>
    </w:p>
    <w:p w14:paraId="0E946081">
      <w:pPr>
        <w:adjustRightInd w:val="0"/>
        <w:snapToGrid w:val="0"/>
        <w:spacing w:before="72" w:beforeLines="30" w:afterLines="0" w:line="360" w:lineRule="auto"/>
        <w:ind w:firstLine="482" w:firstLineChars="200"/>
        <w:rPr>
          <w:rFonts w:hint="eastAsia" w:ascii="Times New Roman"/>
          <w:b/>
          <w:color w:val="auto"/>
          <w:sz w:val="24"/>
          <w:szCs w:val="24"/>
          <w:highlight w:val="none"/>
        </w:rPr>
      </w:pPr>
      <w:r>
        <w:rPr>
          <w:rFonts w:hint="eastAsia" w:ascii="Times New Roman"/>
          <w:b/>
          <w:color w:val="auto"/>
          <w:sz w:val="24"/>
          <w:szCs w:val="21"/>
          <w:highlight w:val="none"/>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p>
    <w:p w14:paraId="08E86869">
      <w:pPr>
        <w:adjustRightInd w:val="0"/>
        <w:snapToGrid w:val="0"/>
        <w:spacing w:before="72" w:beforeLines="30" w:afterLines="0" w:line="360" w:lineRule="auto"/>
        <w:ind w:firstLine="482" w:firstLineChars="200"/>
        <w:rPr>
          <w:rFonts w:hint="eastAsia" w:ascii="Times New Roman"/>
          <w:b/>
          <w:color w:val="auto"/>
          <w:sz w:val="24"/>
          <w:szCs w:val="21"/>
          <w:highlight w:val="none"/>
          <w:u w:val="single"/>
        </w:rPr>
      </w:pPr>
      <w:r>
        <w:rPr>
          <w:rFonts w:hint="eastAsia" w:ascii="Times New Roman"/>
          <w:b/>
          <w:color w:val="auto"/>
          <w:sz w:val="24"/>
          <w:szCs w:val="21"/>
          <w:highlight w:val="none"/>
          <w:u w:val="single"/>
        </w:rPr>
        <w:t>（1）按照费率计算的措施费，应按照实际发生变化的措施项目依据原招标文件规定的费率计算；</w:t>
      </w:r>
    </w:p>
    <w:p w14:paraId="601BC450">
      <w:pPr>
        <w:adjustRightInd w:val="0"/>
        <w:snapToGrid w:val="0"/>
        <w:spacing w:before="72" w:beforeLines="30" w:afterLines="0" w:line="360" w:lineRule="auto"/>
        <w:ind w:firstLine="482" w:firstLineChars="200"/>
        <w:jc w:val="left"/>
        <w:rPr>
          <w:rFonts w:hint="eastAsia" w:ascii="Times New Roman"/>
          <w:b/>
          <w:color w:val="auto"/>
          <w:sz w:val="24"/>
          <w:szCs w:val="21"/>
          <w:highlight w:val="none"/>
          <w:u w:val="single"/>
        </w:rPr>
      </w:pPr>
      <w:r>
        <w:rPr>
          <w:rFonts w:hint="eastAsia" w:ascii="Times New Roman"/>
          <w:b/>
          <w:color w:val="auto"/>
          <w:sz w:val="24"/>
          <w:szCs w:val="21"/>
          <w:highlight w:val="none"/>
          <w:u w:val="single"/>
        </w:rPr>
        <w:t>（2）按照单价计算的措施项目费，应按照实际发生变化的措施项目，按本合同专业条款第10.4.1.1目计算；</w:t>
      </w:r>
    </w:p>
    <w:p w14:paraId="7D4D014A">
      <w:pPr>
        <w:adjustRightInd w:val="0"/>
        <w:snapToGrid w:val="0"/>
        <w:spacing w:before="72" w:beforeLines="30" w:afterLines="0" w:line="360" w:lineRule="auto"/>
        <w:ind w:firstLine="482" w:firstLineChars="200"/>
        <w:rPr>
          <w:rFonts w:hint="eastAsia" w:ascii="Times New Roman"/>
          <w:b/>
          <w:color w:val="auto"/>
          <w:sz w:val="24"/>
          <w:szCs w:val="21"/>
          <w:highlight w:val="none"/>
          <w:u w:val="single"/>
        </w:rPr>
      </w:pPr>
      <w:r>
        <w:rPr>
          <w:rFonts w:hint="eastAsia" w:ascii="Times New Roman"/>
          <w:b/>
          <w:color w:val="auto"/>
          <w:sz w:val="24"/>
          <w:szCs w:val="21"/>
          <w:highlight w:val="none"/>
          <w:u w:val="single"/>
        </w:rPr>
        <w:t>（3）按总价（或系数）计算的措施项目费，应按照实际发生变化的措施项目和承包人报价浮动率同比下浮标准，提出新的措施项目费，作为结算的依据；</w:t>
      </w:r>
    </w:p>
    <w:p w14:paraId="6DC9C912">
      <w:pPr>
        <w:adjustRightInd w:val="0"/>
        <w:snapToGrid w:val="0"/>
        <w:spacing w:before="72" w:beforeLines="30" w:afterLines="0" w:line="360" w:lineRule="auto"/>
        <w:ind w:firstLine="482" w:firstLineChars="200"/>
        <w:rPr>
          <w:rFonts w:hint="eastAsia" w:ascii="Times New Roman" w:eastAsia="Times New Roman"/>
          <w:b/>
          <w:strike/>
          <w:color w:val="auto"/>
          <w:sz w:val="24"/>
          <w:szCs w:val="21"/>
          <w:highlight w:val="none"/>
          <w:u w:val="single"/>
        </w:rPr>
      </w:pPr>
      <w:r>
        <w:rPr>
          <w:rFonts w:hint="eastAsia" w:ascii="Times New Roman"/>
          <w:b/>
          <w:color w:val="auto"/>
          <w:sz w:val="24"/>
          <w:szCs w:val="21"/>
          <w:highlight w:val="none"/>
          <w:u w:val="single"/>
        </w:rPr>
        <w:t>（4）如果承包人未事前将拟实施的方案提交给发包人确认，则应视为工程变更不引起措施项目费的调整或承包人放弃调整措施项目费的权利。</w:t>
      </w:r>
    </w:p>
    <w:p w14:paraId="6D97F6C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Start w:id="656" w:name="_Toc292559907"/>
      <w:bookmarkStart w:id="657" w:name="_Toc300934993"/>
      <w:bookmarkStart w:id="658" w:name="_Toc296347196"/>
      <w:bookmarkStart w:id="659" w:name="_Toc296503197"/>
      <w:bookmarkStart w:id="660" w:name="_Toc297048383"/>
      <w:bookmarkStart w:id="661" w:name="_Toc296346698"/>
      <w:bookmarkStart w:id="662" w:name="_Toc297216203"/>
      <w:bookmarkStart w:id="663" w:name="_Toc292559402"/>
      <w:bookmarkStart w:id="664" w:name="_Toc296891237"/>
      <w:bookmarkStart w:id="665" w:name="_Toc296944536"/>
      <w:bookmarkStart w:id="666" w:name="_Toc303539150"/>
      <w:bookmarkStart w:id="667" w:name="_Toc296891025"/>
      <w:bookmarkStart w:id="668" w:name="_Toc297123544"/>
      <w:bookmarkStart w:id="669" w:name="_Toc297120497"/>
      <w:bookmarkStart w:id="670" w:name="_Toc304295570"/>
      <w:bookmarkStart w:id="671" w:name="_Toc312677503"/>
      <w:bookmarkStart w:id="672" w:name="_Toc312678029"/>
      <w:r>
        <w:rPr>
          <w:rFonts w:hint="eastAsia" w:ascii="Times New Roman" w:eastAsia="Times New Roman"/>
          <w:color w:val="auto"/>
          <w:sz w:val="24"/>
          <w:szCs w:val="28"/>
          <w:highlight w:val="none"/>
        </w:rPr>
        <w:t>0.5</w:t>
      </w:r>
      <w:r>
        <w:rPr>
          <w:rFonts w:hint="eastAsia" w:ascii="Times New Roman" w:eastAsia="黑体"/>
          <w:color w:val="auto"/>
          <w:sz w:val="24"/>
          <w:szCs w:val="28"/>
          <w:highlight w:val="none"/>
        </w:rPr>
        <w:t xml:space="preserve"> 承</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Start w:id="673" w:name="_Toc296944542"/>
      <w:bookmarkStart w:id="674" w:name="_Toc297120503"/>
      <w:bookmarkStart w:id="675" w:name="_Toc296346704"/>
      <w:bookmarkStart w:id="676" w:name="_Toc297048389"/>
      <w:bookmarkStart w:id="677" w:name="_Toc296503203"/>
      <w:bookmarkStart w:id="678" w:name="_Toc300934994"/>
      <w:bookmarkStart w:id="679" w:name="_Toc296891243"/>
      <w:bookmarkStart w:id="680" w:name="_Toc296891031"/>
      <w:bookmarkStart w:id="681" w:name="_Toc292559408"/>
      <w:bookmarkStart w:id="682" w:name="_Toc297216204"/>
      <w:bookmarkStart w:id="683" w:name="_Toc303539151"/>
      <w:bookmarkStart w:id="684" w:name="_Toc292559913"/>
      <w:bookmarkStart w:id="685" w:name="_Toc296347202"/>
      <w:bookmarkStart w:id="686" w:name="_Toc297123545"/>
      <w:r>
        <w:rPr>
          <w:rFonts w:hint="eastAsia" w:ascii="Times New Roman" w:eastAsia="黑体"/>
          <w:color w:val="auto"/>
          <w:sz w:val="24"/>
          <w:szCs w:val="28"/>
          <w:highlight w:val="none"/>
        </w:rPr>
        <w:t>包人的合理化建议</w:t>
      </w:r>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14:paraId="3DE093DE">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监理人审查承包人合理化建议的期限：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637D610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发包人审批承包人合理化建议的期限：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384A67FF">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承</w:t>
      </w:r>
      <w:bookmarkStart w:id="687" w:name="_Toc300934995"/>
      <w:bookmarkStart w:id="688" w:name="_Toc296891244"/>
      <w:bookmarkStart w:id="689" w:name="_Toc318581175"/>
      <w:bookmarkStart w:id="690" w:name="_Toc303539152"/>
      <w:bookmarkStart w:id="691" w:name="_Toc297048390"/>
      <w:bookmarkStart w:id="692" w:name="_Toc296891032"/>
      <w:bookmarkStart w:id="693" w:name="_Toc297216205"/>
      <w:bookmarkStart w:id="694" w:name="_Toc296347203"/>
      <w:bookmarkStart w:id="695" w:name="_Toc297123546"/>
      <w:bookmarkStart w:id="696" w:name="_Toc312677504"/>
      <w:bookmarkStart w:id="697" w:name="_Toc297120504"/>
      <w:bookmarkStart w:id="698" w:name="_Toc292559914"/>
      <w:bookmarkStart w:id="699" w:name="_Toc292559409"/>
      <w:bookmarkStart w:id="700" w:name="_Toc312678030"/>
      <w:bookmarkStart w:id="701" w:name="_Toc296503204"/>
      <w:bookmarkStart w:id="702" w:name="_Toc296346705"/>
      <w:bookmarkStart w:id="703" w:name="_Toc296944543"/>
      <w:bookmarkStart w:id="704" w:name="_Toc304295571"/>
      <w:r>
        <w:rPr>
          <w:rFonts w:hint="eastAsia" w:ascii="Times New Roman"/>
          <w:color w:val="auto"/>
          <w:sz w:val="24"/>
          <w:szCs w:val="24"/>
          <w:highlight w:val="none"/>
        </w:rPr>
        <w:t>包人提出的合理化建议降低了合同价格或者提高了工程经济效益的奖励的方法和金额为：</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14:paraId="7A0C7A6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w:t>
      </w:r>
      <w:bookmarkStart w:id="705" w:name="_Toc296347198"/>
      <w:bookmarkStart w:id="706" w:name="_Toc296346700"/>
      <w:bookmarkStart w:id="707" w:name="_Toc297048385"/>
      <w:bookmarkStart w:id="708" w:name="_Toc296891239"/>
      <w:bookmarkStart w:id="709" w:name="_Toc303539154"/>
      <w:bookmarkStart w:id="710" w:name="_Toc296891027"/>
      <w:bookmarkStart w:id="711" w:name="_Toc312678033"/>
      <w:bookmarkStart w:id="712" w:name="_Toc292559909"/>
      <w:bookmarkStart w:id="713" w:name="_Toc297216207"/>
      <w:bookmarkStart w:id="714" w:name="_Toc292559404"/>
      <w:bookmarkStart w:id="715" w:name="_Toc297120499"/>
      <w:bookmarkStart w:id="716" w:name="_Toc300934997"/>
      <w:bookmarkStart w:id="717" w:name="_Toc297123548"/>
      <w:bookmarkStart w:id="718" w:name="_Toc296503199"/>
      <w:bookmarkStart w:id="719" w:name="_Toc312677507"/>
      <w:bookmarkStart w:id="720" w:name="_Toc304295574"/>
      <w:bookmarkStart w:id="721" w:name="_Toc296944538"/>
      <w:r>
        <w:rPr>
          <w:rFonts w:hint="eastAsia" w:ascii="Times New Roman" w:eastAsia="Times New Roman"/>
          <w:color w:val="auto"/>
          <w:sz w:val="24"/>
          <w:szCs w:val="28"/>
          <w:highlight w:val="none"/>
        </w:rPr>
        <w:t xml:space="preserve">0.7 </w:t>
      </w:r>
      <w:r>
        <w:rPr>
          <w:rFonts w:hint="eastAsia" w:ascii="Times New Roman" w:eastAsia="黑体"/>
          <w:color w:val="auto"/>
          <w:sz w:val="24"/>
          <w:szCs w:val="28"/>
          <w:highlight w:val="none"/>
        </w:rPr>
        <w:t>暂估价</w:t>
      </w:r>
    </w:p>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14:paraId="4842762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暂</w:t>
      </w:r>
      <w:bookmarkStart w:id="722" w:name="_Toc312678034"/>
      <w:bookmarkStart w:id="723" w:name="_Toc312677508"/>
      <w:bookmarkStart w:id="724" w:name="_Toc318581176"/>
      <w:r>
        <w:rPr>
          <w:rFonts w:hint="eastAsia" w:ascii="Times New Roman"/>
          <w:color w:val="auto"/>
          <w:sz w:val="24"/>
          <w:szCs w:val="24"/>
          <w:highlight w:val="none"/>
        </w:rPr>
        <w:t>估价材料和工程设备的明细见附件12：《暂估价一览表》。</w:t>
      </w:r>
    </w:p>
    <w:bookmarkEnd w:id="722"/>
    <w:bookmarkEnd w:id="723"/>
    <w:bookmarkEnd w:id="724"/>
    <w:p w14:paraId="1F7D140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w:t>
      </w:r>
      <w:bookmarkStart w:id="725" w:name="_Toc318581177"/>
      <w:bookmarkStart w:id="726" w:name="_Toc312678035"/>
      <w:bookmarkStart w:id="727" w:name="_Toc312677509"/>
      <w:r>
        <w:rPr>
          <w:rFonts w:hint="eastAsia" w:ascii="Times New Roman" w:eastAsia="Times New Roman"/>
          <w:color w:val="auto"/>
          <w:sz w:val="24"/>
          <w:szCs w:val="24"/>
          <w:highlight w:val="none"/>
        </w:rPr>
        <w:t xml:space="preserve">0.7.1 </w:t>
      </w:r>
      <w:r>
        <w:rPr>
          <w:rFonts w:hint="eastAsia" w:ascii="Times New Roman"/>
          <w:color w:val="auto"/>
          <w:sz w:val="24"/>
          <w:szCs w:val="24"/>
          <w:highlight w:val="none"/>
        </w:rPr>
        <w:t>依法必须招标的暂估价项目</w:t>
      </w:r>
    </w:p>
    <w:bookmarkEnd w:id="725"/>
    <w:bookmarkEnd w:id="726"/>
    <w:bookmarkEnd w:id="727"/>
    <w:p w14:paraId="7E1874F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对于依法必须招标的暂估价项目的确认和批准采取第</w:t>
      </w:r>
      <w:r>
        <w:rPr>
          <w:rFonts w:hint="eastAsia" w:ascii="Times New Roman"/>
          <w:color w:val="auto"/>
          <w:sz w:val="24"/>
          <w:szCs w:val="24"/>
          <w:highlight w:val="none"/>
          <w:u w:val="single"/>
        </w:rPr>
        <w:t>2</w:t>
      </w:r>
      <w:r>
        <w:rPr>
          <w:rFonts w:hint="eastAsia" w:ascii="Times New Roman"/>
          <w:color w:val="auto"/>
          <w:sz w:val="24"/>
          <w:szCs w:val="24"/>
          <w:highlight w:val="none"/>
        </w:rPr>
        <w:t>种方式确定。</w:t>
      </w:r>
      <w:r>
        <w:rPr>
          <w:rFonts w:hint="eastAsia" w:ascii="Times New Roman"/>
          <w:b/>
          <w:color w:val="auto"/>
          <w:sz w:val="24"/>
          <w:szCs w:val="24"/>
          <w:highlight w:val="none"/>
          <w:u w:val="single"/>
        </w:rPr>
        <w:t>并应按相关规定进行二次招标</w:t>
      </w:r>
      <w:r>
        <w:rPr>
          <w:rFonts w:hint="eastAsia" w:ascii="Times New Roman"/>
          <w:color w:val="auto"/>
          <w:sz w:val="24"/>
          <w:szCs w:val="24"/>
          <w:highlight w:val="none"/>
        </w:rPr>
        <w:t>。</w:t>
      </w:r>
    </w:p>
    <w:p w14:paraId="547E063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10.7.2 </w:t>
      </w:r>
      <w:r>
        <w:rPr>
          <w:rFonts w:hint="eastAsia" w:ascii="Times New Roman"/>
          <w:color w:val="auto"/>
          <w:sz w:val="24"/>
          <w:szCs w:val="24"/>
          <w:highlight w:val="none"/>
        </w:rPr>
        <w:t>不属于依法必须招标的暂估价项目</w:t>
      </w:r>
    </w:p>
    <w:p w14:paraId="67A34E02">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对于不属于依法必须招标的暂估价项目的确认和批准采取第</w:t>
      </w:r>
      <w:r>
        <w:rPr>
          <w:rFonts w:hint="eastAsia" w:ascii="Times New Roman"/>
          <w:color w:val="auto"/>
          <w:sz w:val="24"/>
          <w:szCs w:val="24"/>
          <w:highlight w:val="none"/>
          <w:u w:val="single"/>
        </w:rPr>
        <w:t>1</w:t>
      </w:r>
      <w:r>
        <w:rPr>
          <w:rFonts w:hint="eastAsia" w:ascii="Times New Roman"/>
          <w:color w:val="auto"/>
          <w:sz w:val="24"/>
          <w:szCs w:val="24"/>
          <w:highlight w:val="none"/>
        </w:rPr>
        <w:t>种方式确定。</w:t>
      </w:r>
    </w:p>
    <w:p w14:paraId="6CE1AE3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第3种方式：承包人直接实施的暂估价项目</w:t>
      </w:r>
    </w:p>
    <w:p w14:paraId="51CE0581">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承包人直接实施的暂估价项目的约定：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5842EF69">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10.8 </w:t>
      </w:r>
      <w:r>
        <w:rPr>
          <w:rFonts w:hint="eastAsia" w:ascii="Times New Roman" w:eastAsia="黑体"/>
          <w:color w:val="auto"/>
          <w:sz w:val="24"/>
          <w:szCs w:val="28"/>
          <w:highlight w:val="none"/>
        </w:rPr>
        <w:t>暂列金额</w:t>
      </w:r>
    </w:p>
    <w:p w14:paraId="61362B3E">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合同当事人关于暂列金额使用的约定：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1D38AC9C">
      <w:pPr>
        <w:spacing w:before="240" w:beforeLines="100" w:after="240" w:afterLines="100"/>
        <w:outlineLvl w:val="2"/>
        <w:rPr>
          <w:rFonts w:hint="eastAsia" w:ascii="Times New Roman" w:eastAsia="Times New Roman"/>
          <w:color w:val="auto"/>
          <w:sz w:val="24"/>
          <w:szCs w:val="24"/>
          <w:highlight w:val="none"/>
        </w:rPr>
      </w:pPr>
      <w:bookmarkStart w:id="728" w:name="_Toc351203643"/>
      <w:r>
        <w:rPr>
          <w:rFonts w:hint="eastAsia" w:ascii="Times New Roman" w:eastAsia="Times New Roman"/>
          <w:color w:val="auto"/>
          <w:sz w:val="24"/>
          <w:szCs w:val="24"/>
          <w:highlight w:val="none"/>
        </w:rPr>
        <w:t xml:space="preserve">11. </w:t>
      </w:r>
      <w:r>
        <w:rPr>
          <w:rFonts w:hint="eastAsia" w:ascii="Times New Roman" w:eastAsia="黑体"/>
          <w:color w:val="auto"/>
          <w:sz w:val="24"/>
          <w:szCs w:val="24"/>
          <w:highlight w:val="none"/>
        </w:rPr>
        <w:t>价格调整</w:t>
      </w:r>
      <w:bookmarkEnd w:id="728"/>
    </w:p>
    <w:p w14:paraId="25687616">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bookmarkStart w:id="729" w:name="_Toc296891029"/>
      <w:bookmarkStart w:id="730" w:name="_Toc297048387"/>
      <w:bookmarkStart w:id="731" w:name="_Toc296347200"/>
      <w:bookmarkStart w:id="732" w:name="_Toc297123550"/>
      <w:bookmarkStart w:id="733" w:name="_Toc300935000"/>
      <w:bookmarkStart w:id="734" w:name="_Toc296346702"/>
      <w:bookmarkStart w:id="735" w:name="_Toc303539157"/>
      <w:bookmarkStart w:id="736" w:name="_Toc297120501"/>
      <w:bookmarkStart w:id="737" w:name="_Toc296944540"/>
      <w:bookmarkStart w:id="738" w:name="_Toc296891241"/>
      <w:bookmarkStart w:id="739" w:name="_Toc297216209"/>
      <w:bookmarkStart w:id="740" w:name="_Toc304295577"/>
      <w:bookmarkStart w:id="741" w:name="_Toc312678039"/>
      <w:bookmarkStart w:id="742" w:name="_Toc292559911"/>
      <w:bookmarkStart w:id="743" w:name="_Toc296503201"/>
      <w:bookmarkStart w:id="744" w:name="_Toc292559406"/>
      <w:r>
        <w:rPr>
          <w:rFonts w:hint="eastAsia" w:ascii="Times New Roman" w:eastAsia="Times New Roman"/>
          <w:color w:val="auto"/>
          <w:sz w:val="24"/>
          <w:szCs w:val="28"/>
          <w:highlight w:val="none"/>
        </w:rPr>
        <w:t xml:space="preserve">11.1 </w:t>
      </w:r>
      <w:r>
        <w:rPr>
          <w:rFonts w:hint="eastAsia" w:ascii="Times New Roman" w:eastAsia="黑体"/>
          <w:color w:val="auto"/>
          <w:sz w:val="24"/>
          <w:szCs w:val="28"/>
          <w:highlight w:val="none"/>
        </w:rPr>
        <w:t>市场价格波动引起的调整</w:t>
      </w:r>
    </w:p>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5A11B0E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市场价格波动是否调整合同价格的约定：</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4F58C85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因市场价格波动调整合同价格，采用以下第</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3</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种方式对合同价格进行调整：</w:t>
      </w:r>
    </w:p>
    <w:p w14:paraId="534E440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第1种方式：采用价格指数进行价格调整。</w:t>
      </w:r>
    </w:p>
    <w:p w14:paraId="6E971341">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关于各可调因子、定值和变值权重，以及基本价格指数及其来源的约定：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 xml:space="preserve">； </w:t>
      </w:r>
    </w:p>
    <w:p w14:paraId="6AE1837A">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第2种方式：采用造价信息进行价格调整。</w:t>
      </w:r>
    </w:p>
    <w:p w14:paraId="3C091498">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（1）可调整价格的主要材料范围的约定：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94EB50D">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（2）主要材料价差调整周期的约定：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0F4FC444">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（3）主要材料价差调整计算方法的约定：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4D73AEB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（4）主要材料价差调整时间的约定：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0CA2A37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（2）关于基准价格的约定：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48EC4DC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s="宋体"/>
          <w:color w:val="auto"/>
          <w:sz w:val="24"/>
          <w:szCs w:val="24"/>
          <w:highlight w:val="none"/>
        </w:rPr>
        <w:t>①</w:t>
      </w:r>
      <w:r>
        <w:rPr>
          <w:rFonts w:hint="eastAsia" w:ascii="Times New Roman"/>
          <w:color w:val="auto"/>
          <w:sz w:val="24"/>
          <w:szCs w:val="24"/>
          <w:highlight w:val="none"/>
        </w:rPr>
        <w:t>承包人在已标价工程量清单或预算书中载明的材料单价低于基准价格的：专用合同条款合同履行期间材料单价涨幅以基准价格为基础超过</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rPr>
        <w:t>%</w:t>
      </w:r>
      <w:r>
        <w:rPr>
          <w:rFonts w:hint="eastAsia" w:ascii="Times New Roman"/>
          <w:color w:val="auto"/>
          <w:sz w:val="24"/>
          <w:szCs w:val="24"/>
          <w:highlight w:val="none"/>
        </w:rPr>
        <w:t>时，或材料单价跌幅以已标价工程量清单或预算书中载明材料单价为基础超过</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w:t>
      </w:r>
      <w:r>
        <w:rPr>
          <w:rFonts w:hint="eastAsia" w:ascii="Times New Roman"/>
          <w:color w:val="auto"/>
          <w:sz w:val="24"/>
          <w:szCs w:val="24"/>
          <w:highlight w:val="none"/>
        </w:rPr>
        <w:t>时，其超过部分据实调整。</w:t>
      </w:r>
    </w:p>
    <w:p w14:paraId="754037E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s="宋体"/>
          <w:color w:val="auto"/>
          <w:sz w:val="24"/>
          <w:szCs w:val="24"/>
          <w:highlight w:val="none"/>
        </w:rPr>
        <w:t>②</w:t>
      </w:r>
      <w:r>
        <w:rPr>
          <w:rFonts w:hint="eastAsia" w:ascii="Times New Roman"/>
          <w:color w:val="auto"/>
          <w:sz w:val="24"/>
          <w:szCs w:val="24"/>
          <w:highlight w:val="none"/>
        </w:rPr>
        <w:t>承包人在已标价工程量清单或预算书中载明的材料单价高于基准价格的：专用合同条款合同履行期间材料单价跌幅以基准价格为基础超过</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w:t>
      </w:r>
      <w:r>
        <w:rPr>
          <w:rFonts w:hint="eastAsia" w:ascii="Times New Roman"/>
          <w:color w:val="auto"/>
          <w:sz w:val="24"/>
          <w:szCs w:val="24"/>
          <w:highlight w:val="none"/>
        </w:rPr>
        <w:t>时，材料单价涨幅以已标价工程量清单或预算书中载明材料单价为基础超过</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w:t>
      </w:r>
      <w:r>
        <w:rPr>
          <w:rFonts w:hint="eastAsia" w:ascii="Times New Roman"/>
          <w:color w:val="auto"/>
          <w:sz w:val="24"/>
          <w:szCs w:val="24"/>
          <w:highlight w:val="none"/>
        </w:rPr>
        <w:t>时，其超过部分据实调整。</w:t>
      </w:r>
    </w:p>
    <w:p w14:paraId="6A9B031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s="宋体"/>
          <w:color w:val="auto"/>
          <w:sz w:val="24"/>
          <w:szCs w:val="24"/>
          <w:highlight w:val="none"/>
        </w:rPr>
        <w:t>③</w:t>
      </w:r>
      <w:r>
        <w:rPr>
          <w:rFonts w:hint="eastAsia" w:ascii="Times New Roman"/>
          <w:color w:val="auto"/>
          <w:sz w:val="24"/>
          <w:szCs w:val="24"/>
          <w:highlight w:val="none"/>
        </w:rPr>
        <w:t>承包人在已标价工程量清单或预算书中载明的材料单价等于基准单价的：专用合同条款合同履行期间材料单价涨跌幅以基准单价为基础超过±</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w:t>
      </w:r>
      <w:r>
        <w:rPr>
          <w:rFonts w:hint="eastAsia" w:ascii="Times New Roman"/>
          <w:color w:val="auto"/>
          <w:sz w:val="24"/>
          <w:szCs w:val="24"/>
          <w:highlight w:val="none"/>
        </w:rPr>
        <w:t>时，其超过部分据实调整。</w:t>
      </w:r>
    </w:p>
    <w:p w14:paraId="15815A4B">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第3种方式：其他价格调整方式：</w:t>
      </w:r>
      <w:r>
        <w:rPr>
          <w:rFonts w:hint="eastAsia" w:ascii="Times New Roman"/>
          <w:color w:val="auto"/>
          <w:sz w:val="24"/>
          <w:szCs w:val="24"/>
          <w:highlight w:val="none"/>
          <w:u w:val="single"/>
        </w:rPr>
        <w:t>按照如下约定对合同价格进行调整，具体如下：</w:t>
      </w:r>
    </w:p>
    <w:p w14:paraId="4D08FD8A">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（1）可调整价差的人工、主要材料范围的约定： </w:t>
      </w:r>
      <w:r>
        <w:rPr>
          <w:rFonts w:hint="eastAsia" w:hAnsi="宋体" w:cs="宋体"/>
          <w:color w:val="auto"/>
          <w:sz w:val="24"/>
          <w:szCs w:val="24"/>
          <w:highlight w:val="none"/>
          <w:u w:val="single"/>
        </w:rPr>
        <w:t xml:space="preserve"> 详见《可调整价差人工和主要材料一览表》 </w:t>
      </w:r>
      <w:r>
        <w:rPr>
          <w:rFonts w:hint="eastAsia" w:hAnsi="宋体" w:cs="宋体"/>
          <w:color w:val="auto"/>
          <w:sz w:val="24"/>
          <w:szCs w:val="24"/>
          <w:highlight w:val="none"/>
        </w:rPr>
        <w:t xml:space="preserve">； </w:t>
      </w:r>
    </w:p>
    <w:p w14:paraId="263E750B">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（2）可调整价差的人工、主要材料价格依据：</w:t>
      </w:r>
      <w:r>
        <w:rPr>
          <w:rFonts w:hint="eastAsia" w:hAnsi="宋体" w:cs="宋体"/>
          <w:color w:val="auto"/>
          <w:sz w:val="24"/>
          <w:szCs w:val="24"/>
          <w:highlight w:val="none"/>
          <w:u w:val="single"/>
        </w:rPr>
        <w:t xml:space="preserve"> 《合肥建设工程市场价格信息》发布的人工、材料信息价或经发承包双方确认的价格 </w:t>
      </w:r>
      <w:r>
        <w:rPr>
          <w:rFonts w:hint="eastAsia" w:hAnsi="宋体" w:cs="宋体"/>
          <w:color w:val="auto"/>
          <w:sz w:val="24"/>
          <w:szCs w:val="24"/>
          <w:highlight w:val="none"/>
        </w:rPr>
        <w:t xml:space="preserve">。 </w:t>
      </w:r>
    </w:p>
    <w:p w14:paraId="76FE3A82">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（3）可调整价差的人工、主要材料风险幅度的约定：</w:t>
      </w:r>
      <w:r>
        <w:rPr>
          <w:rFonts w:hint="eastAsia" w:hAnsi="宋体" w:cs="宋体"/>
          <w:color w:val="auto"/>
          <w:sz w:val="24"/>
          <w:szCs w:val="24"/>
          <w:highlight w:val="none"/>
          <w:u w:val="single"/>
        </w:rPr>
        <w:t xml:space="preserve"> 承包人承担可调整价格的人工、主要材料的价格波动市场风险幅度为±5%。当人工、材料价格涨跌幅度小于等于承包人承担的市场风险幅度时，其价差不予调整，风险由承包人承担；当涨跌幅度大于承包人承担的市场风险幅度时，超出部分的价差可以调整，调增部分由发包人承担，调减部分由承包人承担 </w:t>
      </w:r>
      <w:r>
        <w:rPr>
          <w:rFonts w:hint="eastAsia" w:hAnsi="宋体" w:cs="宋体"/>
          <w:color w:val="auto"/>
          <w:sz w:val="24"/>
          <w:szCs w:val="24"/>
          <w:highlight w:val="none"/>
        </w:rPr>
        <w:t xml:space="preserve">。 </w:t>
      </w:r>
    </w:p>
    <w:p w14:paraId="27249900">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 xml:space="preserve">（4）可调整价差的人工、主要材料调整周期的约定： </w:t>
      </w:r>
    </w:p>
    <w:p w14:paraId="13A22572">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①可调整人工价差调整周期为：</w:t>
      </w:r>
      <w:r>
        <w:rPr>
          <w:rFonts w:hint="eastAsia" w:hAnsi="宋体" w:cs="宋体"/>
          <w:color w:val="auto"/>
          <w:sz w:val="24"/>
          <w:szCs w:val="24"/>
          <w:highlight w:val="none"/>
          <w:u w:val="single"/>
        </w:rPr>
        <w:t xml:space="preserve"> 本工程工期 </w:t>
      </w:r>
      <w:r>
        <w:rPr>
          <w:rFonts w:hint="eastAsia" w:hAnsi="宋体" w:cs="宋体"/>
          <w:color w:val="auto"/>
          <w:sz w:val="24"/>
          <w:szCs w:val="24"/>
          <w:highlight w:val="none"/>
        </w:rPr>
        <w:t xml:space="preserve">； </w:t>
      </w:r>
    </w:p>
    <w:p w14:paraId="43BD792C">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②可调整主要材料价差调整周期为：</w:t>
      </w:r>
      <w:r>
        <w:rPr>
          <w:rFonts w:hint="eastAsia" w:hAnsi="宋体" w:cs="宋体"/>
          <w:color w:val="auto"/>
          <w:sz w:val="24"/>
          <w:szCs w:val="24"/>
          <w:highlight w:val="none"/>
          <w:u w:val="single"/>
        </w:rPr>
        <w:t xml:space="preserve"> 本工程工期 </w:t>
      </w:r>
      <w:r>
        <w:rPr>
          <w:rFonts w:hint="eastAsia" w:hAnsi="宋体" w:cs="宋体"/>
          <w:color w:val="auto"/>
          <w:sz w:val="24"/>
          <w:szCs w:val="24"/>
          <w:highlight w:val="none"/>
        </w:rPr>
        <w:t xml:space="preserve">； </w:t>
      </w:r>
    </w:p>
    <w:p w14:paraId="47B0C827">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（5）可调整的人工、主要材料价差调整计算方法的约定：</w:t>
      </w:r>
      <w:r>
        <w:rPr>
          <w:rFonts w:hint="eastAsia" w:hAnsi="宋体" w:cs="宋体"/>
          <w:color w:val="auto"/>
          <w:sz w:val="24"/>
          <w:szCs w:val="24"/>
          <w:highlight w:val="none"/>
          <w:u w:val="single"/>
        </w:rPr>
        <w:t xml:space="preserve"> 经发承包双方确认的人工、材料价格为价差调整周期内的《合肥建设工程市场价格信息》中发布的各期人工、材料信息价（或发承包双方共同确定的人工、材料价格）算术平均值，设为 A；招标人编制最高投标限价中采用《合肥建设工程市场价格信息》中的人工、材料基准单价为 B；投标人投标报价中的人工、材料投标单价为 C；承包人应承担的风险幅度为 D  </w:t>
      </w:r>
      <w:r>
        <w:rPr>
          <w:rFonts w:hint="eastAsia" w:hAnsi="宋体" w:cs="宋体"/>
          <w:color w:val="auto"/>
          <w:sz w:val="24"/>
          <w:szCs w:val="24"/>
          <w:highlight w:val="none"/>
        </w:rPr>
        <w:t xml:space="preserve">。 </w:t>
      </w:r>
    </w:p>
    <w:p w14:paraId="172B5C7A">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①人工、材料价格上涨达到可以调整幅度时，其计算公式为：</w:t>
      </w:r>
      <w:r>
        <w:rPr>
          <w:rFonts w:hint="eastAsia" w:hAnsi="宋体" w:cs="宋体"/>
          <w:color w:val="auto"/>
          <w:sz w:val="24"/>
          <w:szCs w:val="24"/>
          <w:highlight w:val="none"/>
          <w:u w:val="single"/>
        </w:rPr>
        <w:t xml:space="preserve"> 人工、材料结算单价＝A－Max(B,C)×(1+D)＋C  </w:t>
      </w:r>
      <w:r>
        <w:rPr>
          <w:rFonts w:hint="eastAsia" w:hAnsi="宋体" w:cs="宋体"/>
          <w:color w:val="auto"/>
          <w:sz w:val="24"/>
          <w:szCs w:val="24"/>
          <w:highlight w:val="none"/>
        </w:rPr>
        <w:t xml:space="preserve">； </w:t>
      </w:r>
    </w:p>
    <w:p w14:paraId="00573986">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②人工、材料价格下跌达到可以调整幅度时，其计算公式为：</w:t>
      </w:r>
      <w:r>
        <w:rPr>
          <w:rFonts w:hint="eastAsia" w:hAnsi="宋体" w:cs="宋体"/>
          <w:color w:val="auto"/>
          <w:sz w:val="24"/>
          <w:szCs w:val="24"/>
          <w:highlight w:val="none"/>
          <w:u w:val="single"/>
        </w:rPr>
        <w:t xml:space="preserve"> 人工、材料结算单价＝A－Min(B,C)×(1-D)＋C  </w:t>
      </w:r>
      <w:r>
        <w:rPr>
          <w:rFonts w:hint="eastAsia" w:hAnsi="宋体" w:cs="宋体"/>
          <w:color w:val="auto"/>
          <w:sz w:val="24"/>
          <w:szCs w:val="24"/>
          <w:highlight w:val="none"/>
        </w:rPr>
        <w:t>；</w:t>
      </w:r>
    </w:p>
    <w:p w14:paraId="60D841AF">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（6）</w:t>
      </w:r>
      <w:r>
        <w:rPr>
          <w:rFonts w:hint="eastAsia" w:hAnsi="宋体" w:cs="宋体"/>
          <w:color w:val="auto"/>
          <w:sz w:val="24"/>
          <w:szCs w:val="24"/>
          <w:highlight w:val="none"/>
          <w:u w:val="single"/>
        </w:rPr>
        <w:t xml:space="preserve"> 因承包人原因导致工期延误的，计划进度日期后续工程的人工、材料价格，应采用计划进度日期与实际进度日期两者的较低者。因非承包人原因导致工期延误的，计划进度日期后续工程的人工、材料价格，应采用计划进度日期与实际进度日期两者的较高者 </w:t>
      </w:r>
      <w:r>
        <w:rPr>
          <w:rFonts w:hint="eastAsia" w:hAnsi="宋体" w:cs="宋体"/>
          <w:color w:val="auto"/>
          <w:sz w:val="24"/>
          <w:szCs w:val="24"/>
          <w:highlight w:val="none"/>
        </w:rPr>
        <w:t xml:space="preserve">。 </w:t>
      </w:r>
    </w:p>
    <w:p w14:paraId="160D7A91">
      <w:pPr>
        <w:adjustRightInd w:val="0"/>
        <w:spacing w:beforeLines="0" w:afterLines="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（7）</w:t>
      </w:r>
      <w:r>
        <w:rPr>
          <w:rFonts w:hint="eastAsia" w:hAnsi="宋体" w:cs="宋体"/>
          <w:color w:val="auto"/>
          <w:sz w:val="24"/>
          <w:szCs w:val="24"/>
          <w:highlight w:val="none"/>
          <w:u w:val="single"/>
        </w:rPr>
        <w:t xml:space="preserve"> 签订总价合同工程的可调整价差人工、材料数量为可调整价差人工、材料投标消耗量（详见《需评审人工和主要材料一览表》的数量）±变更工程可调整价差人工、材料消耗量，由招标人明确具体数量，其中市级投资建设项目变更工程量依据《合肥市市级投资建设项目工程变更管理规定》确定 </w:t>
      </w:r>
      <w:r>
        <w:rPr>
          <w:rFonts w:hint="eastAsia" w:hAnsi="宋体" w:cs="宋体"/>
          <w:color w:val="auto"/>
          <w:sz w:val="24"/>
          <w:szCs w:val="24"/>
          <w:highlight w:val="none"/>
        </w:rPr>
        <w:t>。</w:t>
      </w:r>
    </w:p>
    <w:p w14:paraId="6CD9DFC2">
      <w:pPr>
        <w:adjustRightInd w:val="0"/>
        <w:spacing w:beforeLines="0" w:afterLines="0" w:line="360" w:lineRule="auto"/>
        <w:ind w:firstLine="480" w:firstLineChars="200"/>
        <w:rPr>
          <w:rFonts w:hint="eastAsia" w:hAnsi="宋体" w:cs="宋体"/>
          <w:color w:val="auto"/>
          <w:sz w:val="24"/>
          <w:szCs w:val="24"/>
          <w:highlight w:val="none"/>
          <w:u w:val="single"/>
        </w:rPr>
      </w:pPr>
      <w:r>
        <w:rPr>
          <w:rFonts w:hint="eastAsia" w:hAnsi="宋体" w:cs="宋体"/>
          <w:color w:val="auto"/>
          <w:sz w:val="24"/>
          <w:szCs w:val="24"/>
          <w:highlight w:val="none"/>
        </w:rPr>
        <w:t>（8）</w:t>
      </w:r>
      <w:r>
        <w:rPr>
          <w:rFonts w:hint="eastAsia" w:hAnsi="宋体" w:cs="宋体"/>
          <w:color w:val="auto"/>
          <w:sz w:val="24"/>
          <w:szCs w:val="24"/>
          <w:highlight w:val="none"/>
          <w:u w:val="single"/>
        </w:rPr>
        <w:t xml:space="preserve"> 可调整价差的人工、主要材料调差的实施：发承包双方应在合同中约定人工、材料市场价格波动引起的合同价款调整时间，在工程竣工结算时进行调整。实施价差调整时发承包双方应共同确定可调整价差人工、材料名称、规格、型号、计量单位、数量（投标人工、材料消耗量±变更工程人工、材料实际消耗量）、实际价格波动幅度、承包人承担的风险幅度、基准单价、投标单价、发承包双方确认的单价、结算单价，列出清单（格式参照合建【2021】173 号文件附表 3），作为实施人工及主材价差调整的依据 </w:t>
      </w:r>
      <w:r>
        <w:rPr>
          <w:rFonts w:hint="eastAsia" w:hAnsi="宋体" w:cs="宋体"/>
          <w:color w:val="auto"/>
          <w:sz w:val="24"/>
          <w:szCs w:val="24"/>
          <w:highlight w:val="none"/>
        </w:rPr>
        <w:t>。</w:t>
      </w:r>
    </w:p>
    <w:p w14:paraId="39947457">
      <w:pPr>
        <w:adjustRightInd w:val="0"/>
        <w:spacing w:beforeLines="0" w:afterLines="0" w:line="360" w:lineRule="auto"/>
        <w:ind w:firstLine="480" w:firstLineChars="200"/>
        <w:rPr>
          <w:rFonts w:hint="eastAsia"/>
          <w:color w:val="auto"/>
          <w:sz w:val="24"/>
          <w:szCs w:val="24"/>
          <w:highlight w:val="none"/>
        </w:rPr>
      </w:pPr>
      <w:r>
        <w:rPr>
          <w:rFonts w:hint="eastAsia" w:hAnsi="宋体" w:cs="宋体"/>
          <w:color w:val="auto"/>
          <w:sz w:val="24"/>
          <w:szCs w:val="24"/>
          <w:highlight w:val="none"/>
        </w:rPr>
        <w:t>（9）</w:t>
      </w:r>
      <w:r>
        <w:rPr>
          <w:rFonts w:hint="eastAsia" w:hAnsi="宋体" w:cs="宋体"/>
          <w:color w:val="auto"/>
          <w:sz w:val="24"/>
          <w:szCs w:val="24"/>
          <w:highlight w:val="none"/>
          <w:u w:val="single"/>
        </w:rPr>
        <w:t xml:space="preserve"> 人工、材料价差调整费用只计取税金，不再计取其他费用 </w:t>
      </w:r>
      <w:r>
        <w:rPr>
          <w:rFonts w:hint="eastAsia" w:hAnsi="宋体" w:cs="宋体"/>
          <w:color w:val="auto"/>
          <w:sz w:val="24"/>
          <w:szCs w:val="24"/>
          <w:highlight w:val="none"/>
        </w:rPr>
        <w:t>。</w:t>
      </w:r>
    </w:p>
    <w:bookmarkEnd w:id="632"/>
    <w:bookmarkEnd w:id="633"/>
    <w:bookmarkEnd w:id="634"/>
    <w:bookmarkEnd w:id="635"/>
    <w:bookmarkEnd w:id="636"/>
    <w:bookmarkEnd w:id="637"/>
    <w:p w14:paraId="128316DF">
      <w:pPr>
        <w:spacing w:before="240" w:beforeLines="100" w:after="240" w:afterLines="100"/>
        <w:outlineLvl w:val="2"/>
        <w:rPr>
          <w:rFonts w:hint="eastAsia" w:ascii="Times New Roman" w:eastAsia="Times New Roman"/>
          <w:color w:val="auto"/>
          <w:sz w:val="24"/>
          <w:szCs w:val="24"/>
          <w:highlight w:val="none"/>
        </w:rPr>
      </w:pPr>
      <w:bookmarkStart w:id="745" w:name="_Toc296347204"/>
      <w:bookmarkStart w:id="746" w:name="_Toc296891033"/>
      <w:bookmarkStart w:id="747" w:name="_Toc297120505"/>
      <w:bookmarkStart w:id="748" w:name="_Toc297048391"/>
      <w:bookmarkStart w:id="749" w:name="_Toc292559410"/>
      <w:bookmarkStart w:id="750" w:name="_Toc296503205"/>
      <w:bookmarkStart w:id="751" w:name="_Toc292559915"/>
      <w:bookmarkStart w:id="752" w:name="_Toc296891245"/>
      <w:bookmarkStart w:id="753" w:name="_Toc296944544"/>
      <w:bookmarkStart w:id="754" w:name="_Toc296346706"/>
      <w:bookmarkStart w:id="755" w:name="_Toc351203644"/>
      <w:bookmarkStart w:id="756" w:name="_Toc300935002"/>
      <w:bookmarkStart w:id="757" w:name="_Toc297123552"/>
      <w:bookmarkStart w:id="758" w:name="_Toc312678040"/>
      <w:bookmarkStart w:id="759" w:name="_Toc304295579"/>
      <w:bookmarkStart w:id="760" w:name="_Toc297216211"/>
      <w:bookmarkStart w:id="761" w:name="_Toc303539159"/>
      <w:r>
        <w:rPr>
          <w:rFonts w:hint="eastAsia" w:ascii="Times New Roman" w:eastAsia="Times New Roman"/>
          <w:color w:val="auto"/>
          <w:sz w:val="24"/>
          <w:szCs w:val="24"/>
          <w:highlight w:val="none"/>
        </w:rPr>
        <w:t xml:space="preserve">12. </w:t>
      </w:r>
      <w:bookmarkEnd w:id="745"/>
      <w:bookmarkEnd w:id="746"/>
      <w:bookmarkEnd w:id="747"/>
      <w:bookmarkEnd w:id="748"/>
      <w:bookmarkEnd w:id="749"/>
      <w:bookmarkEnd w:id="750"/>
      <w:bookmarkEnd w:id="751"/>
      <w:bookmarkEnd w:id="752"/>
      <w:bookmarkEnd w:id="753"/>
      <w:bookmarkEnd w:id="754"/>
      <w:r>
        <w:rPr>
          <w:rFonts w:hint="eastAsia" w:ascii="Times New Roman" w:eastAsia="黑体"/>
          <w:color w:val="auto"/>
          <w:sz w:val="24"/>
          <w:szCs w:val="24"/>
          <w:highlight w:val="none"/>
        </w:rPr>
        <w:t>合同价格、计量与支付</w:t>
      </w:r>
      <w:bookmarkEnd w:id="755"/>
    </w:p>
    <w:bookmarkEnd w:id="756"/>
    <w:bookmarkEnd w:id="757"/>
    <w:bookmarkEnd w:id="758"/>
    <w:bookmarkEnd w:id="759"/>
    <w:bookmarkEnd w:id="760"/>
    <w:bookmarkEnd w:id="761"/>
    <w:p w14:paraId="20ACFFD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bookmarkStart w:id="762" w:name="_Toc292559916"/>
      <w:bookmarkStart w:id="763" w:name="_Toc292559411"/>
      <w:bookmarkStart w:id="764" w:name="_Toc267251461"/>
      <w:bookmarkStart w:id="765" w:name="_Toc296347205"/>
      <w:bookmarkStart w:id="766" w:name="_Toc296891034"/>
      <w:bookmarkStart w:id="767" w:name="_Toc296891246"/>
      <w:bookmarkStart w:id="768" w:name="_Toc297048392"/>
      <w:bookmarkStart w:id="769" w:name="_Toc297120506"/>
      <w:bookmarkStart w:id="770" w:name="_Toc296503206"/>
      <w:bookmarkStart w:id="771" w:name="_Toc296944545"/>
      <w:bookmarkStart w:id="772" w:name="_Toc296346707"/>
      <w:bookmarkStart w:id="773" w:name="_Toc297123553"/>
      <w:bookmarkStart w:id="774" w:name="_Toc312678041"/>
      <w:bookmarkStart w:id="775" w:name="_Toc303539160"/>
      <w:bookmarkStart w:id="776" w:name="_Toc300935003"/>
      <w:bookmarkStart w:id="777" w:name="_Toc297216212"/>
      <w:bookmarkStart w:id="778" w:name="_Toc304295580"/>
      <w:r>
        <w:rPr>
          <w:rFonts w:hint="eastAsia" w:ascii="Times New Roman" w:eastAsia="Times New Roman"/>
          <w:color w:val="auto"/>
          <w:sz w:val="24"/>
          <w:szCs w:val="28"/>
          <w:highlight w:val="none"/>
        </w:rPr>
        <w:t xml:space="preserve">12.1 </w:t>
      </w:r>
      <w:r>
        <w:rPr>
          <w:rFonts w:hint="eastAsia" w:ascii="Times New Roman" w:eastAsia="黑体"/>
          <w:color w:val="auto"/>
          <w:sz w:val="24"/>
          <w:szCs w:val="28"/>
          <w:highlight w:val="none"/>
        </w:rPr>
        <w:t>合</w:t>
      </w:r>
      <w:bookmarkEnd w:id="762"/>
      <w:bookmarkEnd w:id="763"/>
      <w:bookmarkEnd w:id="764"/>
      <w:r>
        <w:rPr>
          <w:rFonts w:hint="eastAsia" w:ascii="Times New Roman" w:eastAsia="黑体"/>
          <w:color w:val="auto"/>
          <w:sz w:val="24"/>
          <w:szCs w:val="28"/>
          <w:highlight w:val="none"/>
        </w:rPr>
        <w:t>同价</w:t>
      </w:r>
      <w:bookmarkEnd w:id="765"/>
      <w:bookmarkEnd w:id="766"/>
      <w:bookmarkEnd w:id="767"/>
      <w:bookmarkEnd w:id="768"/>
      <w:bookmarkEnd w:id="769"/>
      <w:bookmarkEnd w:id="770"/>
      <w:bookmarkEnd w:id="771"/>
      <w:bookmarkEnd w:id="772"/>
      <w:r>
        <w:rPr>
          <w:rFonts w:hint="eastAsia" w:ascii="Times New Roman" w:eastAsia="黑体"/>
          <w:color w:val="auto"/>
          <w:sz w:val="24"/>
          <w:szCs w:val="28"/>
          <w:highlight w:val="none"/>
        </w:rPr>
        <w:t>格形式</w:t>
      </w:r>
    </w:p>
    <w:bookmarkEnd w:id="773"/>
    <w:bookmarkEnd w:id="774"/>
    <w:bookmarkEnd w:id="775"/>
    <w:bookmarkEnd w:id="776"/>
    <w:bookmarkEnd w:id="777"/>
    <w:bookmarkEnd w:id="778"/>
    <w:p w14:paraId="073E734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（1）单价合同。</w:t>
      </w:r>
    </w:p>
    <w:p w14:paraId="7D8DD68C">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综合单价包含的风险范围：</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7FA835A">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风险费用的计算方法：</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16CCA6C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风险范围以外合同价格的调整方法：</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050230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（2）总价合同。</w:t>
      </w:r>
    </w:p>
    <w:p w14:paraId="679C7D3F">
      <w:pPr>
        <w:adjustRightInd w:val="0"/>
        <w:spacing w:beforeLines="0" w:afterLines="0" w:line="360" w:lineRule="auto"/>
        <w:ind w:firstLine="480" w:firstLineChars="200"/>
        <w:rPr>
          <w:rFonts w:hint="eastAsia" w:ascii="Times New Roman" w:eastAsia="Times New Roman"/>
          <w:b/>
          <w:color w:val="auto"/>
          <w:sz w:val="24"/>
          <w:szCs w:val="24"/>
          <w:highlight w:val="none"/>
        </w:rPr>
      </w:pPr>
      <w:r>
        <w:rPr>
          <w:rFonts w:hint="eastAsia" w:ascii="Times New Roman"/>
          <w:color w:val="auto"/>
          <w:sz w:val="24"/>
          <w:szCs w:val="24"/>
          <w:highlight w:val="none"/>
        </w:rPr>
        <w:t>总价包含的风险范围：</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66D0E805">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风险费用的计算方法：</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4894C7F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风险范围以外合同价格的调整方法：</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3C51957F">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（3）其他价格方式：</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123E8A86">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bookmarkStart w:id="779" w:name="_Toc312678042"/>
      <w:bookmarkStart w:id="780" w:name="_Toc304295581"/>
      <w:bookmarkStart w:id="781" w:name="_Toc297216213"/>
      <w:bookmarkStart w:id="782" w:name="_Toc303539161"/>
      <w:bookmarkStart w:id="783" w:name="_Toc297123554"/>
      <w:bookmarkStart w:id="784" w:name="_Toc300935004"/>
      <w:bookmarkStart w:id="785" w:name="_Toc296346708"/>
      <w:bookmarkStart w:id="786" w:name="_Toc296944546"/>
      <w:bookmarkStart w:id="787" w:name="_Toc292559917"/>
      <w:bookmarkStart w:id="788" w:name="_Toc296891035"/>
      <w:bookmarkStart w:id="789" w:name="_Toc292559412"/>
      <w:bookmarkStart w:id="790" w:name="_Toc296347206"/>
      <w:bookmarkStart w:id="791" w:name="_Toc297048393"/>
      <w:bookmarkStart w:id="792" w:name="_Toc297120507"/>
      <w:bookmarkStart w:id="793" w:name="_Toc296503207"/>
      <w:bookmarkStart w:id="794" w:name="_Toc296891247"/>
      <w:r>
        <w:rPr>
          <w:rFonts w:hint="eastAsia" w:ascii="Times New Roman" w:eastAsia="Times New Roman"/>
          <w:color w:val="auto"/>
          <w:sz w:val="24"/>
          <w:szCs w:val="28"/>
          <w:highlight w:val="none"/>
        </w:rPr>
        <w:t xml:space="preserve">12.2 </w:t>
      </w:r>
      <w:r>
        <w:rPr>
          <w:rFonts w:hint="eastAsia" w:ascii="Times New Roman" w:eastAsia="黑体"/>
          <w:color w:val="auto"/>
          <w:sz w:val="24"/>
          <w:szCs w:val="28"/>
          <w:highlight w:val="none"/>
        </w:rPr>
        <w:t>预付款</w:t>
      </w:r>
    </w:p>
    <w:bookmarkEnd w:id="779"/>
    <w:bookmarkEnd w:id="780"/>
    <w:bookmarkEnd w:id="781"/>
    <w:bookmarkEnd w:id="782"/>
    <w:bookmarkEnd w:id="783"/>
    <w:bookmarkEnd w:id="784"/>
    <w:p w14:paraId="5F2EBF0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12.2.1 </w:t>
      </w:r>
      <w:r>
        <w:rPr>
          <w:rFonts w:hint="eastAsia" w:ascii="Times New Roman"/>
          <w:color w:val="auto"/>
          <w:sz w:val="24"/>
          <w:szCs w:val="24"/>
          <w:highlight w:val="none"/>
        </w:rPr>
        <w:t>预付款的支付</w:t>
      </w:r>
    </w:p>
    <w:p w14:paraId="209918A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预付款支付比例或金额：</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1504B2B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预付款支付期限：</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3DCCDB6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预付款扣回的方式：</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E5B377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12.2.2 </w:t>
      </w:r>
      <w:r>
        <w:rPr>
          <w:rFonts w:hint="eastAsia" w:ascii="Times New Roman"/>
          <w:color w:val="auto"/>
          <w:sz w:val="24"/>
          <w:szCs w:val="24"/>
          <w:highlight w:val="none"/>
        </w:rPr>
        <w:t>预付款担保</w:t>
      </w:r>
    </w:p>
    <w:p w14:paraId="3CB97F2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承包人提交预付款担保的期限：</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67FC17F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预付款担保的形式为：</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bookmarkEnd w:id="785"/>
    <w:bookmarkEnd w:id="786"/>
    <w:bookmarkEnd w:id="787"/>
    <w:bookmarkEnd w:id="788"/>
    <w:bookmarkEnd w:id="789"/>
    <w:bookmarkEnd w:id="790"/>
    <w:bookmarkEnd w:id="791"/>
    <w:bookmarkEnd w:id="792"/>
    <w:bookmarkEnd w:id="793"/>
    <w:bookmarkEnd w:id="794"/>
    <w:p w14:paraId="56F56162">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12.3 </w:t>
      </w:r>
      <w:r>
        <w:rPr>
          <w:rFonts w:hint="eastAsia" w:ascii="Times New Roman" w:eastAsia="黑体"/>
          <w:color w:val="auto"/>
          <w:sz w:val="24"/>
          <w:szCs w:val="28"/>
          <w:highlight w:val="none"/>
        </w:rPr>
        <w:t>计量</w:t>
      </w:r>
    </w:p>
    <w:p w14:paraId="0F0AC04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12.3.1 </w:t>
      </w:r>
      <w:r>
        <w:rPr>
          <w:rFonts w:hint="eastAsia" w:ascii="Times New Roman"/>
          <w:color w:val="auto"/>
          <w:sz w:val="24"/>
          <w:szCs w:val="24"/>
          <w:highlight w:val="none"/>
        </w:rPr>
        <w:t>计量原则</w:t>
      </w:r>
    </w:p>
    <w:p w14:paraId="3BE0FF26">
      <w:pPr>
        <w:adjustRightInd w:val="0"/>
        <w:spacing w:beforeLines="0" w:afterLines="0" w:line="360" w:lineRule="auto"/>
        <w:ind w:firstLine="480" w:firstLineChars="200"/>
        <w:rPr>
          <w:rFonts w:hint="eastAsia" w:ascii="Times New Roman" w:eastAsia="Times New Roman"/>
          <w:b/>
          <w:color w:val="auto"/>
          <w:sz w:val="24"/>
          <w:szCs w:val="24"/>
          <w:highlight w:val="none"/>
        </w:rPr>
      </w:pPr>
      <w:r>
        <w:rPr>
          <w:rFonts w:hint="eastAsia" w:ascii="Times New Roman"/>
          <w:color w:val="auto"/>
          <w:sz w:val="24"/>
          <w:szCs w:val="24"/>
          <w:highlight w:val="none"/>
        </w:rPr>
        <w:t>工程量计算规则：</w:t>
      </w:r>
      <w:r>
        <w:rPr>
          <w:rFonts w:hint="eastAsia" w:ascii="Times New Roman"/>
          <w:color w:val="auto"/>
          <w:sz w:val="24"/>
          <w:szCs w:val="21"/>
          <w:highlight w:val="none"/>
          <w:u w:val="single"/>
        </w:rPr>
        <w:t>按招标工程量清单及最高投标限价所采用的工程量清单计价规范及配套文件等</w:t>
      </w:r>
      <w:r>
        <w:rPr>
          <w:rFonts w:hint="eastAsia" w:ascii="Times New Roman"/>
          <w:b/>
          <w:color w:val="auto"/>
          <w:sz w:val="24"/>
          <w:szCs w:val="24"/>
          <w:highlight w:val="none"/>
        </w:rPr>
        <w:t>。</w:t>
      </w:r>
    </w:p>
    <w:p w14:paraId="491847F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12.3.2 </w:t>
      </w:r>
      <w:r>
        <w:rPr>
          <w:rFonts w:hint="eastAsia" w:ascii="Times New Roman"/>
          <w:color w:val="auto"/>
          <w:sz w:val="24"/>
          <w:szCs w:val="24"/>
          <w:highlight w:val="none"/>
        </w:rPr>
        <w:t>计量周期</w:t>
      </w:r>
    </w:p>
    <w:p w14:paraId="130AD400">
      <w:pPr>
        <w:adjustRightInd w:val="0"/>
        <w:spacing w:beforeLines="0" w:afterLines="0" w:line="360" w:lineRule="auto"/>
        <w:ind w:firstLine="480" w:firstLineChars="200"/>
        <w:rPr>
          <w:rFonts w:hint="eastAsia" w:ascii="Times New Roman" w:eastAsia="Times New Roman"/>
          <w:b/>
          <w:color w:val="auto"/>
          <w:sz w:val="24"/>
          <w:szCs w:val="24"/>
          <w:highlight w:val="none"/>
        </w:rPr>
      </w:pPr>
      <w:r>
        <w:rPr>
          <w:rFonts w:hint="eastAsia" w:ascii="Times New Roman"/>
          <w:color w:val="auto"/>
          <w:sz w:val="24"/>
          <w:szCs w:val="24"/>
          <w:highlight w:val="none"/>
        </w:rPr>
        <w:t>关于计量周期的约定</w:t>
      </w:r>
      <w:r>
        <w:rPr>
          <w:rFonts w:hint="eastAsia" w:ascii="Times New Roman"/>
          <w:b/>
          <w:color w:val="auto"/>
          <w:sz w:val="24"/>
          <w:szCs w:val="24"/>
          <w:highlight w:val="none"/>
        </w:rPr>
        <w:t>：</w:t>
      </w:r>
      <w:r>
        <w:rPr>
          <w:rFonts w:hint="eastAsia" w:ascii="Times New Roman"/>
          <w:color w:val="auto"/>
          <w:sz w:val="24"/>
          <w:szCs w:val="21"/>
          <w:highlight w:val="none"/>
          <w:u w:val="single"/>
        </w:rPr>
        <w:t xml:space="preserve">      </w:t>
      </w:r>
      <w:r>
        <w:rPr>
          <w:rFonts w:hint="eastAsia" w:ascii="Times New Roman"/>
          <w:b/>
          <w:color w:val="auto"/>
          <w:sz w:val="24"/>
          <w:szCs w:val="24"/>
          <w:highlight w:val="none"/>
        </w:rPr>
        <w:t>。</w:t>
      </w:r>
    </w:p>
    <w:p w14:paraId="2739ACC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12.3.3 </w:t>
      </w:r>
      <w:r>
        <w:rPr>
          <w:rFonts w:hint="eastAsia" w:ascii="Times New Roman"/>
          <w:color w:val="auto"/>
          <w:sz w:val="24"/>
          <w:szCs w:val="24"/>
          <w:highlight w:val="none"/>
        </w:rPr>
        <w:t>单价合同的计量</w:t>
      </w:r>
    </w:p>
    <w:p w14:paraId="53EBB07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关于单价合同计量的约定：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84FAAD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12.3.4 </w:t>
      </w:r>
      <w:r>
        <w:rPr>
          <w:rFonts w:hint="eastAsia" w:ascii="Times New Roman"/>
          <w:color w:val="auto"/>
          <w:sz w:val="24"/>
          <w:szCs w:val="24"/>
          <w:highlight w:val="none"/>
        </w:rPr>
        <w:t>总价合同的计量</w:t>
      </w:r>
    </w:p>
    <w:p w14:paraId="17B9B9F9">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关于总价合同计量的约定：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4FCEFEC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12.3.5</w:t>
      </w:r>
      <w:r>
        <w:rPr>
          <w:rFonts w:hint="eastAsia" w:ascii="Times New Roman"/>
          <w:color w:val="auto"/>
          <w:sz w:val="24"/>
          <w:szCs w:val="24"/>
          <w:highlight w:val="none"/>
        </w:rPr>
        <w:t xml:space="preserve"> 总价合同采用支付分解表计量支付的，是否适用第12.3.4项〔总价合同的计量〕约定进行计量：</w:t>
      </w:r>
      <w:r>
        <w:rPr>
          <w:rFonts w:hint="eastAsia" w:ascii="Times New Roman"/>
          <w:color w:val="auto"/>
          <w:sz w:val="24"/>
          <w:szCs w:val="21"/>
          <w:highlight w:val="none"/>
          <w:u w:val="single"/>
        </w:rPr>
        <w:t xml:space="preserve">    </w:t>
      </w:r>
      <w:r>
        <w:rPr>
          <w:rFonts w:hint="eastAsia" w:ascii="Times New Roman"/>
          <w:b/>
          <w:color w:val="auto"/>
          <w:sz w:val="24"/>
          <w:szCs w:val="24"/>
          <w:highlight w:val="none"/>
        </w:rPr>
        <w:t>。</w:t>
      </w:r>
    </w:p>
    <w:p w14:paraId="35B4944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12.3.6 </w:t>
      </w:r>
      <w:r>
        <w:rPr>
          <w:rFonts w:hint="eastAsia" w:ascii="Times New Roman"/>
          <w:color w:val="auto"/>
          <w:sz w:val="24"/>
          <w:szCs w:val="24"/>
          <w:highlight w:val="none"/>
        </w:rPr>
        <w:t>其他价格形式合同的计量</w:t>
      </w:r>
    </w:p>
    <w:p w14:paraId="19B522A0">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其他价格形式的计量方式和程序：</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632071F">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12.4 </w:t>
      </w:r>
      <w:r>
        <w:rPr>
          <w:rFonts w:hint="eastAsia" w:ascii="Times New Roman" w:eastAsia="黑体"/>
          <w:color w:val="auto"/>
          <w:sz w:val="24"/>
          <w:szCs w:val="28"/>
          <w:highlight w:val="none"/>
        </w:rPr>
        <w:t>工程进度款支付</w:t>
      </w:r>
    </w:p>
    <w:p w14:paraId="19D6FA7F">
      <w:pPr>
        <w:adjustRightInd w:val="0"/>
        <w:spacing w:beforeLines="0" w:afterLines="0" w:line="360" w:lineRule="auto"/>
        <w:ind w:firstLine="480" w:firstLineChars="200"/>
        <w:rPr>
          <w:rFonts w:hint="eastAsia" w:ascii="Times New Roman" w:eastAsia="Times New Roman"/>
          <w:color w:val="auto"/>
          <w:sz w:val="24"/>
          <w:szCs w:val="24"/>
          <w:highlight w:val="none"/>
        </w:rPr>
      </w:pPr>
      <w:bookmarkStart w:id="795" w:name="_Toc297123556"/>
      <w:bookmarkStart w:id="796" w:name="_Toc300935006"/>
      <w:bookmarkStart w:id="797" w:name="_Toc292559921"/>
      <w:bookmarkStart w:id="798" w:name="_Toc296346712"/>
      <w:bookmarkStart w:id="799" w:name="_Toc296891039"/>
      <w:bookmarkStart w:id="800" w:name="_Toc297120511"/>
      <w:bookmarkStart w:id="801" w:name="_Toc292559416"/>
      <w:bookmarkStart w:id="802" w:name="_Toc296503211"/>
      <w:bookmarkStart w:id="803" w:name="_Toc296347210"/>
      <w:bookmarkStart w:id="804" w:name="_Toc296891251"/>
      <w:bookmarkStart w:id="805" w:name="_Toc296944550"/>
      <w:bookmarkStart w:id="806" w:name="_Toc303539163"/>
      <w:bookmarkStart w:id="807" w:name="_Toc297048397"/>
      <w:bookmarkStart w:id="808" w:name="_Toc297216215"/>
      <w:r>
        <w:rPr>
          <w:rFonts w:hint="eastAsia" w:ascii="Times New Roman" w:eastAsia="Times New Roman"/>
          <w:color w:val="auto"/>
          <w:sz w:val="24"/>
          <w:szCs w:val="24"/>
          <w:highlight w:val="none"/>
        </w:rPr>
        <w:t xml:space="preserve">12.4.1 </w:t>
      </w:r>
      <w:r>
        <w:rPr>
          <w:rFonts w:hint="eastAsia" w:ascii="Times New Roman"/>
          <w:color w:val="auto"/>
          <w:sz w:val="24"/>
          <w:szCs w:val="24"/>
          <w:highlight w:val="none"/>
        </w:rPr>
        <w:t>付款周期</w:t>
      </w:r>
    </w:p>
    <w:p w14:paraId="7DBEC22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关于付款周期的约定</w:t>
      </w:r>
      <w:r>
        <w:rPr>
          <w:rStyle w:val="23"/>
          <w:rFonts w:hint="default" w:ascii="Times New Roman"/>
          <w:color w:val="auto"/>
          <w:sz w:val="24"/>
          <w:szCs w:val="24"/>
          <w:highlight w:val="none"/>
        </w:rPr>
        <w:footnoteReference w:id="4"/>
      </w:r>
      <w:r>
        <w:rPr>
          <w:rFonts w:hint="eastAsia" w:ascii="Times New Roman"/>
          <w:color w:val="auto"/>
          <w:sz w:val="24"/>
          <w:szCs w:val="24"/>
          <w:highlight w:val="none"/>
        </w:rPr>
        <w:t>：</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5C875E4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12.4.2 </w:t>
      </w:r>
      <w:r>
        <w:rPr>
          <w:rFonts w:hint="eastAsia" w:ascii="Times New Roman"/>
          <w:color w:val="auto"/>
          <w:sz w:val="24"/>
          <w:szCs w:val="24"/>
          <w:highlight w:val="none"/>
        </w:rPr>
        <w:t>进度付款申请单的编制</w:t>
      </w:r>
    </w:p>
    <w:p w14:paraId="62B9E8DE">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关于进度付款申请单编制的约定：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5BAC76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Pr>
          <w:rFonts w:hint="eastAsia" w:ascii="Times New Roman" w:eastAsia="Times New Roman"/>
          <w:color w:val="auto"/>
          <w:sz w:val="24"/>
          <w:szCs w:val="24"/>
          <w:highlight w:val="none"/>
        </w:rPr>
        <w:t xml:space="preserve">2.4.3 </w:t>
      </w:r>
      <w:r>
        <w:rPr>
          <w:rFonts w:hint="eastAsia" w:ascii="Times New Roman"/>
          <w:color w:val="auto"/>
          <w:sz w:val="24"/>
          <w:szCs w:val="24"/>
          <w:highlight w:val="none"/>
        </w:rPr>
        <w:t>进度付款申请单的提交</w:t>
      </w:r>
    </w:p>
    <w:p w14:paraId="03A5B6A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（1）单价合同进度付款申请单提交的约定：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53A9783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（2）总价合同进度付款申请单提交的约定：</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704EC55D">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（3）其他价格形式合同进度付款申请单提交的约定：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1349AF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12.4.4 </w:t>
      </w:r>
      <w:r>
        <w:rPr>
          <w:rFonts w:hint="eastAsia" w:ascii="Times New Roman"/>
          <w:color w:val="auto"/>
          <w:sz w:val="24"/>
          <w:szCs w:val="24"/>
          <w:highlight w:val="none"/>
        </w:rPr>
        <w:t>进度款审核和支付</w:t>
      </w:r>
    </w:p>
    <w:p w14:paraId="72DDEAB9">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（1）监理人审查并报送发包人的期限：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7D41B027">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发包人完成审批并签发进度款支付证书的期限：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6820191">
      <w:pPr>
        <w:adjustRightInd w:val="0"/>
        <w:spacing w:beforeLines="0" w:afterLines="0" w:line="360" w:lineRule="auto"/>
        <w:ind w:firstLine="480" w:firstLineChars="200"/>
        <w:rPr>
          <w:rFonts w:hint="eastAsia" w:ascii="Times New Roman" w:eastAsia="Times New Roman"/>
          <w:b/>
          <w:color w:val="auto"/>
          <w:sz w:val="24"/>
          <w:szCs w:val="24"/>
          <w:highlight w:val="none"/>
        </w:rPr>
      </w:pPr>
      <w:r>
        <w:rPr>
          <w:rFonts w:hint="eastAsia" w:ascii="Times New Roman"/>
          <w:color w:val="auto"/>
          <w:sz w:val="24"/>
          <w:szCs w:val="24"/>
          <w:highlight w:val="none"/>
        </w:rPr>
        <w:t>（2）发包人支付进度款的期限：</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5057463F">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发包人逾期支付进度款的违约金的计算方式</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460ACB8A">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eastAsia="Times New Roman"/>
          <w:color w:val="auto"/>
          <w:sz w:val="24"/>
          <w:szCs w:val="24"/>
          <w:highlight w:val="none"/>
        </w:rPr>
        <w:t xml:space="preserve">12.4.6 </w:t>
      </w:r>
      <w:r>
        <w:rPr>
          <w:rFonts w:hint="eastAsia" w:ascii="Times New Roman"/>
          <w:color w:val="auto"/>
          <w:sz w:val="24"/>
          <w:szCs w:val="24"/>
          <w:highlight w:val="none"/>
        </w:rPr>
        <w:t>支付分解表的编制</w:t>
      </w:r>
    </w:p>
    <w:p w14:paraId="5D7C69C9">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（2）总价合同支付分解表的编制与审批：</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8A2803D">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（3）单价合同的总价项目支付分解表的编制与审批：</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7EB94258">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12.4.7 农民工工资管理</w:t>
      </w:r>
      <w:r>
        <w:rPr>
          <w:rStyle w:val="23"/>
          <w:rFonts w:hint="default" w:ascii="Times New Roman"/>
          <w:color w:val="auto"/>
          <w:sz w:val="24"/>
          <w:szCs w:val="24"/>
          <w:highlight w:val="none"/>
        </w:rPr>
        <w:footnoteReference w:id="5"/>
      </w:r>
    </w:p>
    <w:p w14:paraId="4F8F0783">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（1）本工程农民工工资实行专用账户管理，承包人设立的专用账户开户行为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，账号：</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58CAD675">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（2）本工程工资性工程款</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元。</w:t>
      </w:r>
    </w:p>
    <w:p w14:paraId="0077B863">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（3）发包人于每月25日前将工资性工程进度款转入农民工工资专用账户。</w:t>
      </w:r>
    </w:p>
    <w:p w14:paraId="3ECA9A81">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（4）承包人每月25日前上报本工程农民工工资清单，每月10日前委托开设农民工工资专用账户的银行支付农民工工资。</w:t>
      </w:r>
    </w:p>
    <w:p w14:paraId="3DEC8E38">
      <w:pPr>
        <w:adjustRightInd w:val="0"/>
        <w:spacing w:beforeLines="0" w:afterLines="0" w:line="360" w:lineRule="auto"/>
        <w:ind w:firstLine="480" w:firstLineChars="200"/>
        <w:rPr>
          <w:rFonts w:hint="eastAsia" w:ascii="Times New Roman" w:eastAsia="Times New Roman"/>
          <w:b/>
          <w:color w:val="auto"/>
          <w:sz w:val="24"/>
          <w:szCs w:val="24"/>
          <w:highlight w:val="none"/>
        </w:rPr>
      </w:pPr>
      <w:r>
        <w:rPr>
          <w:rFonts w:hint="eastAsia" w:ascii="Times New Roman"/>
          <w:color w:val="auto"/>
          <w:sz w:val="24"/>
          <w:szCs w:val="24"/>
          <w:highlight w:val="none"/>
        </w:rPr>
        <w:t>（5）工程竣工后，经项目部农民工维权组确认无农民工工资拖欠后，发、承双方办理农民工工资专用账户撤销手续，农民工工资专用账户余额划至本合同约定的承包人账户。</w:t>
      </w:r>
    </w:p>
    <w:bookmarkEnd w:id="638"/>
    <w:p w14:paraId="03B77A93">
      <w:pPr>
        <w:spacing w:before="240" w:beforeLines="100" w:after="240" w:afterLines="100"/>
        <w:outlineLvl w:val="2"/>
        <w:rPr>
          <w:rFonts w:hint="eastAsia" w:ascii="Times New Roman" w:eastAsia="Times New Roman"/>
          <w:color w:val="auto"/>
          <w:sz w:val="24"/>
          <w:szCs w:val="24"/>
          <w:highlight w:val="none"/>
        </w:rPr>
      </w:pPr>
      <w:bookmarkStart w:id="809" w:name="_Toc351203645"/>
      <w:bookmarkStart w:id="810" w:name="_Toc296891047"/>
      <w:bookmarkStart w:id="811" w:name="_Toc296347218"/>
      <w:bookmarkStart w:id="812" w:name="_Toc297048405"/>
      <w:bookmarkStart w:id="813" w:name="_Toc296891259"/>
      <w:bookmarkStart w:id="814" w:name="_Toc303539172"/>
      <w:bookmarkStart w:id="815" w:name="_Toc296346720"/>
      <w:bookmarkStart w:id="816" w:name="_Toc297120519"/>
      <w:bookmarkStart w:id="817" w:name="_Toc297216223"/>
      <w:bookmarkStart w:id="818" w:name="_Toc312678053"/>
      <w:bookmarkStart w:id="819" w:name="_Toc297123564"/>
      <w:bookmarkStart w:id="820" w:name="_Toc292559424"/>
      <w:bookmarkStart w:id="821" w:name="_Toc296944558"/>
      <w:bookmarkStart w:id="822" w:name="_Toc304295593"/>
      <w:bookmarkStart w:id="823" w:name="_Toc296503219"/>
      <w:bookmarkStart w:id="824" w:name="_Toc292559929"/>
      <w:bookmarkStart w:id="825" w:name="_Toc300935015"/>
      <w:r>
        <w:rPr>
          <w:rFonts w:hint="eastAsia" w:ascii="Times New Roman" w:eastAsia="Times New Roman"/>
          <w:color w:val="auto"/>
          <w:sz w:val="24"/>
          <w:szCs w:val="24"/>
          <w:highlight w:val="none"/>
        </w:rPr>
        <w:t>13.</w:t>
      </w:r>
      <w:r>
        <w:rPr>
          <w:rFonts w:hint="eastAsia" w:ascii="Times New Roman" w:eastAsia="黑体"/>
          <w:color w:val="auto"/>
          <w:sz w:val="24"/>
          <w:szCs w:val="24"/>
          <w:highlight w:val="none"/>
        </w:rPr>
        <w:t xml:space="preserve"> 验收和工程试车</w:t>
      </w:r>
      <w:bookmarkEnd w:id="809"/>
    </w:p>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14:paraId="37EF64B0">
      <w:pPr>
        <w:keepNext/>
        <w:keepLines/>
        <w:spacing w:before="120" w:beforeLines="0" w:after="120" w:afterLines="0" w:line="360" w:lineRule="auto"/>
        <w:jc w:val="left"/>
        <w:outlineLvl w:val="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13.1 </w:t>
      </w:r>
      <w:r>
        <w:rPr>
          <w:rFonts w:hint="eastAsia" w:ascii="Times New Roman" w:eastAsia="黑体"/>
          <w:color w:val="auto"/>
          <w:sz w:val="24"/>
          <w:szCs w:val="24"/>
          <w:highlight w:val="none"/>
        </w:rPr>
        <w:t>分部分项工程验收</w:t>
      </w:r>
    </w:p>
    <w:p w14:paraId="44B0505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13.1.2</w:t>
      </w:r>
      <w:r>
        <w:rPr>
          <w:rFonts w:hint="eastAsia" w:ascii="Times New Roman"/>
          <w:color w:val="auto"/>
          <w:sz w:val="24"/>
          <w:szCs w:val="24"/>
          <w:highlight w:val="none"/>
        </w:rPr>
        <w:t xml:space="preserve"> 监理人不能按时进行验收时，应提前</w:t>
      </w:r>
      <w:r>
        <w:rPr>
          <w:rFonts w:hint="eastAsia" w:ascii="Times New Roman"/>
          <w:color w:val="auto"/>
          <w:sz w:val="24"/>
          <w:szCs w:val="21"/>
          <w:highlight w:val="none"/>
          <w:u w:val="single"/>
        </w:rPr>
        <w:t>24</w:t>
      </w:r>
      <w:r>
        <w:rPr>
          <w:rFonts w:hint="eastAsia" w:ascii="Times New Roman"/>
          <w:color w:val="auto"/>
          <w:sz w:val="24"/>
          <w:szCs w:val="24"/>
          <w:highlight w:val="none"/>
        </w:rPr>
        <w:t>小时提交书面延期要求。</w:t>
      </w:r>
    </w:p>
    <w:p w14:paraId="369F2F12">
      <w:pPr>
        <w:adjustRightInd w:val="0"/>
        <w:spacing w:beforeLines="0" w:afterLines="0" w:line="360" w:lineRule="auto"/>
        <w:ind w:firstLine="480" w:firstLineChars="200"/>
        <w:rPr>
          <w:rFonts w:hint="eastAsia" w:ascii="Times New Roman" w:eastAsia="Times New Roman"/>
          <w:b/>
          <w:color w:val="auto"/>
          <w:sz w:val="24"/>
          <w:szCs w:val="24"/>
          <w:highlight w:val="none"/>
        </w:rPr>
      </w:pPr>
      <w:r>
        <w:rPr>
          <w:rFonts w:hint="eastAsia" w:ascii="Times New Roman"/>
          <w:color w:val="auto"/>
          <w:sz w:val="24"/>
          <w:szCs w:val="24"/>
          <w:highlight w:val="none"/>
        </w:rPr>
        <w:t>关于延期最长不得超过：</w:t>
      </w:r>
      <w:r>
        <w:rPr>
          <w:rFonts w:hint="eastAsia" w:ascii="Times New Roman"/>
          <w:color w:val="auto"/>
          <w:sz w:val="24"/>
          <w:szCs w:val="21"/>
          <w:highlight w:val="none"/>
          <w:u w:val="single"/>
        </w:rPr>
        <w:t>48</w:t>
      </w:r>
      <w:r>
        <w:rPr>
          <w:rFonts w:hint="eastAsia" w:ascii="Times New Roman"/>
          <w:color w:val="auto"/>
          <w:sz w:val="24"/>
          <w:szCs w:val="24"/>
          <w:highlight w:val="none"/>
        </w:rPr>
        <w:t>小时。</w:t>
      </w:r>
    </w:p>
    <w:p w14:paraId="20923E48">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bookmarkStart w:id="826" w:name="_Toc296347222"/>
      <w:bookmarkStart w:id="827" w:name="_Toc297216224"/>
      <w:bookmarkStart w:id="828" w:name="_Toc297123565"/>
      <w:bookmarkStart w:id="829" w:name="_Toc292559428"/>
      <w:bookmarkStart w:id="830" w:name="_Toc296503223"/>
      <w:bookmarkStart w:id="831" w:name="_Toc312678056"/>
      <w:bookmarkStart w:id="832" w:name="_Toc300935016"/>
      <w:bookmarkStart w:id="833" w:name="_Toc296891051"/>
      <w:bookmarkStart w:id="834" w:name="_Toc296944562"/>
      <w:bookmarkStart w:id="835" w:name="_Toc304295596"/>
      <w:bookmarkStart w:id="836" w:name="_Toc296891263"/>
      <w:bookmarkStart w:id="837" w:name="_Toc292559933"/>
      <w:bookmarkStart w:id="838" w:name="_Toc303539173"/>
      <w:bookmarkStart w:id="839" w:name="_Toc296346724"/>
      <w:bookmarkStart w:id="840" w:name="_Toc297120523"/>
      <w:bookmarkStart w:id="841" w:name="_Toc297048409"/>
      <w:bookmarkStart w:id="842" w:name="_Toc267251474"/>
      <w:bookmarkStart w:id="843" w:name="_Toc267251471"/>
      <w:bookmarkStart w:id="844" w:name="_Toc267251472"/>
      <w:bookmarkStart w:id="845" w:name="_Toc267251473"/>
      <w:bookmarkStart w:id="846" w:name="_Toc267251476"/>
      <w:bookmarkStart w:id="847" w:name="_Toc267251475"/>
      <w:bookmarkStart w:id="848" w:name="_Toc267251470"/>
      <w:r>
        <w:rPr>
          <w:rFonts w:hint="eastAsia" w:ascii="Times New Roman" w:eastAsia="Times New Roman"/>
          <w:color w:val="auto"/>
          <w:sz w:val="24"/>
          <w:szCs w:val="28"/>
          <w:highlight w:val="none"/>
        </w:rPr>
        <w:t xml:space="preserve">13.2 </w:t>
      </w:r>
      <w:r>
        <w:rPr>
          <w:rFonts w:hint="eastAsia" w:ascii="Times New Roman" w:eastAsia="黑体"/>
          <w:color w:val="auto"/>
          <w:sz w:val="24"/>
          <w:szCs w:val="28"/>
          <w:highlight w:val="none"/>
        </w:rPr>
        <w:t>竣工验收</w:t>
      </w:r>
    </w:p>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14:paraId="2525F91E">
      <w:pPr>
        <w:adjustRightInd w:val="0"/>
        <w:spacing w:beforeLines="0" w:afterLines="0" w:line="360" w:lineRule="auto"/>
        <w:ind w:firstLine="480" w:firstLineChars="200"/>
        <w:rPr>
          <w:rFonts w:hint="eastAsia" w:ascii="Times New Roman" w:eastAsia="Times New Roman"/>
          <w:color w:val="auto"/>
          <w:sz w:val="24"/>
          <w:szCs w:val="24"/>
          <w:highlight w:val="none"/>
        </w:rPr>
      </w:pPr>
      <w:bookmarkStart w:id="849" w:name="_Toc280868704"/>
      <w:bookmarkStart w:id="850" w:name="_Toc280868705"/>
      <w:bookmarkStart w:id="851" w:name="_Toc280868706"/>
      <w:bookmarkStart w:id="852" w:name="_Toc280868707"/>
      <w:bookmarkStart w:id="853" w:name="_Toc280868708"/>
      <w:bookmarkStart w:id="854" w:name="_Toc280868709"/>
      <w:r>
        <w:rPr>
          <w:rFonts w:hint="eastAsia" w:ascii="Times New Roman" w:eastAsia="Times New Roman"/>
          <w:color w:val="auto"/>
          <w:sz w:val="24"/>
          <w:szCs w:val="24"/>
          <w:highlight w:val="none"/>
        </w:rPr>
        <w:t>13.2.2</w:t>
      </w:r>
      <w:r>
        <w:rPr>
          <w:rFonts w:hint="eastAsia" w:ascii="Times New Roman"/>
          <w:color w:val="auto"/>
          <w:sz w:val="24"/>
          <w:szCs w:val="24"/>
          <w:highlight w:val="none"/>
        </w:rPr>
        <w:t xml:space="preserve"> 竣工验收程序</w:t>
      </w:r>
    </w:p>
    <w:bookmarkEnd w:id="849"/>
    <w:p w14:paraId="6BF9D7DF">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关于竣工验收程序的约定：</w:t>
      </w:r>
      <w:r>
        <w:rPr>
          <w:rFonts w:hint="eastAsia" w:ascii="Times New Roman"/>
          <w:color w:val="auto"/>
          <w:sz w:val="24"/>
          <w:szCs w:val="21"/>
          <w:highlight w:val="none"/>
          <w:u w:val="single"/>
        </w:rPr>
        <w:t>执行通用条款</w:t>
      </w:r>
      <w:r>
        <w:rPr>
          <w:rFonts w:hint="eastAsia" w:ascii="Times New Roman"/>
          <w:color w:val="auto"/>
          <w:sz w:val="24"/>
          <w:szCs w:val="24"/>
          <w:highlight w:val="none"/>
        </w:rPr>
        <w:t>。</w:t>
      </w:r>
    </w:p>
    <w:p w14:paraId="4541441D">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发包人不按照本项约定组织竣工验收、颁发工程接收证书的违约金的计算方法：</w:t>
      </w:r>
      <w:r>
        <w:rPr>
          <w:rFonts w:hint="eastAsia" w:ascii="Times New Roman"/>
          <w:color w:val="auto"/>
          <w:sz w:val="24"/>
          <w:szCs w:val="21"/>
          <w:highlight w:val="none"/>
          <w:u w:val="single"/>
        </w:rPr>
        <w:t>执行通用条款</w:t>
      </w:r>
      <w:r>
        <w:rPr>
          <w:rFonts w:hint="eastAsia" w:ascii="Times New Roman"/>
          <w:color w:val="auto"/>
          <w:sz w:val="24"/>
          <w:szCs w:val="24"/>
          <w:highlight w:val="none"/>
        </w:rPr>
        <w:t>。</w:t>
      </w:r>
    </w:p>
    <w:bookmarkEnd w:id="850"/>
    <w:p w14:paraId="76761D9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13.2.5</w:t>
      </w:r>
      <w:r>
        <w:rPr>
          <w:rFonts w:hint="eastAsia" w:ascii="Times New Roman"/>
          <w:color w:val="auto"/>
          <w:sz w:val="24"/>
          <w:szCs w:val="24"/>
          <w:highlight w:val="none"/>
        </w:rPr>
        <w:t xml:space="preserve"> 移交、接收全部与部分工程</w:t>
      </w:r>
    </w:p>
    <w:bookmarkEnd w:id="851"/>
    <w:p w14:paraId="4E745FBE">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承包人向发包人移交工程的期限：</w:t>
      </w:r>
      <w:r>
        <w:rPr>
          <w:rFonts w:hint="eastAsia" w:ascii="Times New Roman"/>
          <w:color w:val="auto"/>
          <w:sz w:val="24"/>
          <w:szCs w:val="21"/>
          <w:highlight w:val="none"/>
          <w:u w:val="single"/>
        </w:rPr>
        <w:t>颁发工程接收证书后7天内完成工程的移交</w:t>
      </w:r>
      <w:r>
        <w:rPr>
          <w:rFonts w:hint="eastAsia" w:ascii="Times New Roman"/>
          <w:color w:val="auto"/>
          <w:sz w:val="24"/>
          <w:szCs w:val="24"/>
          <w:highlight w:val="none"/>
        </w:rPr>
        <w:t>。</w:t>
      </w:r>
    </w:p>
    <w:p w14:paraId="775A66BA">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发包人未按本合同约定接收全部或部分工程的，违约金的计算方法为：</w:t>
      </w:r>
      <w:r>
        <w:rPr>
          <w:rFonts w:hint="eastAsia" w:ascii="Times New Roman"/>
          <w:color w:val="auto"/>
          <w:sz w:val="24"/>
          <w:szCs w:val="21"/>
          <w:highlight w:val="none"/>
          <w:u w:val="single"/>
        </w:rPr>
        <w:t>发包人自应当接收工程之日起，承担工程照管、成品保护、保管等与工程有关的各项费用</w:t>
      </w:r>
      <w:r>
        <w:rPr>
          <w:rFonts w:hint="eastAsia" w:ascii="Times New Roman"/>
          <w:color w:val="auto"/>
          <w:sz w:val="24"/>
          <w:szCs w:val="24"/>
          <w:highlight w:val="none"/>
        </w:rPr>
        <w:t>。</w:t>
      </w:r>
    </w:p>
    <w:bookmarkEnd w:id="852"/>
    <w:p w14:paraId="27953734">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承包人未按时移交工程的，违约金的计算方法为：</w:t>
      </w:r>
      <w:r>
        <w:rPr>
          <w:rFonts w:hint="eastAsia" w:ascii="Times New Roman"/>
          <w:color w:val="auto"/>
          <w:sz w:val="24"/>
          <w:szCs w:val="21"/>
          <w:highlight w:val="none"/>
          <w:u w:val="single"/>
        </w:rPr>
        <w:t>承包人应承担工程照管、成品保护、保管等与工程有关的各项费用</w:t>
      </w:r>
      <w:r>
        <w:rPr>
          <w:rFonts w:hint="eastAsia" w:ascii="Times New Roman"/>
          <w:color w:val="auto"/>
          <w:sz w:val="24"/>
          <w:szCs w:val="24"/>
          <w:highlight w:val="none"/>
        </w:rPr>
        <w:t>。</w:t>
      </w:r>
    </w:p>
    <w:p w14:paraId="1DDE06F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13.3 </w:t>
      </w:r>
      <w:r>
        <w:rPr>
          <w:rFonts w:hint="eastAsia" w:ascii="Times New Roman" w:eastAsia="黑体"/>
          <w:color w:val="auto"/>
          <w:sz w:val="24"/>
          <w:szCs w:val="28"/>
          <w:highlight w:val="none"/>
        </w:rPr>
        <w:t>工程试车</w:t>
      </w:r>
    </w:p>
    <w:bookmarkEnd w:id="853"/>
    <w:p w14:paraId="1EF2EAF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13.3.1 </w:t>
      </w:r>
      <w:r>
        <w:rPr>
          <w:rFonts w:hint="eastAsia" w:ascii="Times New Roman"/>
          <w:color w:val="auto"/>
          <w:sz w:val="24"/>
          <w:szCs w:val="24"/>
          <w:highlight w:val="none"/>
        </w:rPr>
        <w:t>试车程序</w:t>
      </w:r>
    </w:p>
    <w:p w14:paraId="1B0C16D5">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工程试车内容：</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4E5113BF">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（1）单机无负荷试车费用由</w:t>
      </w:r>
      <w:r>
        <w:rPr>
          <w:rFonts w:hint="eastAsia" w:ascii="Times New Roman"/>
          <w:color w:val="auto"/>
          <w:sz w:val="24"/>
          <w:szCs w:val="24"/>
          <w:highlight w:val="none"/>
          <w:u w:val="single"/>
        </w:rPr>
        <w:t>试车消耗的生产性原材料由发包人承担；试车其他费用（包括试车所需水电油等费用）由承包人在投标报价中综合考虑并</w:t>
      </w:r>
      <w:r>
        <w:rPr>
          <w:rFonts w:hint="eastAsia" w:ascii="Times New Roman"/>
          <w:color w:val="auto"/>
          <w:sz w:val="24"/>
          <w:szCs w:val="24"/>
          <w:highlight w:val="none"/>
        </w:rPr>
        <w:t>承担；</w:t>
      </w:r>
    </w:p>
    <w:p w14:paraId="571EFE25">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（2）无负荷联动试车费用由</w:t>
      </w:r>
      <w:r>
        <w:rPr>
          <w:rFonts w:hint="eastAsia" w:ascii="Times New Roman"/>
          <w:color w:val="auto"/>
          <w:sz w:val="24"/>
          <w:szCs w:val="24"/>
          <w:highlight w:val="none"/>
          <w:u w:val="single"/>
        </w:rPr>
        <w:t>试车消耗的生产性原材料由发包人承担；试车其他费用（包括试车所需水电油等费用）由承包人在投标报价中综合考虑并</w:t>
      </w:r>
      <w:r>
        <w:rPr>
          <w:rFonts w:hint="eastAsia" w:ascii="Times New Roman"/>
          <w:color w:val="auto"/>
          <w:sz w:val="24"/>
          <w:szCs w:val="24"/>
          <w:highlight w:val="none"/>
        </w:rPr>
        <w:t>承担。</w:t>
      </w:r>
    </w:p>
    <w:p w14:paraId="3779E63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13.3.3 </w:t>
      </w:r>
      <w:r>
        <w:rPr>
          <w:rFonts w:hint="eastAsia" w:ascii="Times New Roman"/>
          <w:color w:val="auto"/>
          <w:sz w:val="24"/>
          <w:szCs w:val="24"/>
          <w:highlight w:val="none"/>
        </w:rPr>
        <w:t>投料试车</w:t>
      </w:r>
    </w:p>
    <w:p w14:paraId="42F57285">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关于投料试车相关事项的约定：</w:t>
      </w:r>
      <w:r>
        <w:rPr>
          <w:rFonts w:hint="eastAsia" w:ascii="Times New Roman"/>
          <w:color w:val="auto"/>
          <w:sz w:val="24"/>
          <w:szCs w:val="21"/>
          <w:highlight w:val="none"/>
          <w:u w:val="single"/>
        </w:rPr>
        <w:t>执行通用条款</w:t>
      </w:r>
      <w:r>
        <w:rPr>
          <w:rFonts w:hint="eastAsia" w:ascii="Times New Roman"/>
          <w:color w:val="auto"/>
          <w:sz w:val="24"/>
          <w:szCs w:val="24"/>
          <w:highlight w:val="none"/>
        </w:rPr>
        <w:t>。</w:t>
      </w:r>
    </w:p>
    <w:p w14:paraId="6E579B44">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13.6 </w:t>
      </w:r>
      <w:r>
        <w:rPr>
          <w:rFonts w:hint="eastAsia" w:ascii="Times New Roman" w:eastAsia="黑体"/>
          <w:color w:val="auto"/>
          <w:sz w:val="24"/>
          <w:szCs w:val="28"/>
          <w:highlight w:val="none"/>
        </w:rPr>
        <w:t>竣工退场</w:t>
      </w:r>
    </w:p>
    <w:p w14:paraId="58C3E68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13.6.1 </w:t>
      </w:r>
      <w:r>
        <w:rPr>
          <w:rFonts w:hint="eastAsia" w:ascii="Times New Roman"/>
          <w:color w:val="auto"/>
          <w:sz w:val="24"/>
          <w:szCs w:val="24"/>
          <w:highlight w:val="none"/>
        </w:rPr>
        <w:t>竣工退场</w:t>
      </w:r>
    </w:p>
    <w:p w14:paraId="7B927D1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承包人完成竣工退场的期限：</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2FB7E8B6">
      <w:pPr>
        <w:spacing w:before="240" w:beforeLines="100" w:after="240" w:afterLines="100"/>
        <w:outlineLvl w:val="2"/>
        <w:rPr>
          <w:rFonts w:hint="eastAsia" w:ascii="Times New Roman" w:eastAsia="Times New Roman"/>
          <w:color w:val="auto"/>
          <w:sz w:val="24"/>
          <w:szCs w:val="24"/>
          <w:highlight w:val="none"/>
        </w:rPr>
      </w:pPr>
      <w:bookmarkStart w:id="855" w:name="_Toc351203646"/>
      <w:r>
        <w:rPr>
          <w:rFonts w:hint="eastAsia" w:ascii="Times New Roman" w:eastAsia="Times New Roman"/>
          <w:color w:val="auto"/>
          <w:sz w:val="24"/>
          <w:szCs w:val="24"/>
          <w:highlight w:val="none"/>
        </w:rPr>
        <w:t xml:space="preserve">14. </w:t>
      </w:r>
      <w:r>
        <w:rPr>
          <w:rFonts w:hint="eastAsia" w:ascii="Times New Roman" w:eastAsia="黑体"/>
          <w:color w:val="auto"/>
          <w:sz w:val="24"/>
          <w:szCs w:val="24"/>
          <w:highlight w:val="none"/>
        </w:rPr>
        <w:t>竣工结算</w:t>
      </w:r>
      <w:bookmarkEnd w:id="855"/>
    </w:p>
    <w:p w14:paraId="312C0A54">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14.1 </w:t>
      </w:r>
      <w:r>
        <w:rPr>
          <w:rFonts w:hint="eastAsia" w:ascii="Times New Roman" w:eastAsia="黑体"/>
          <w:color w:val="auto"/>
          <w:sz w:val="24"/>
          <w:szCs w:val="28"/>
          <w:highlight w:val="none"/>
        </w:rPr>
        <w:t>竣工结算申请</w:t>
      </w:r>
    </w:p>
    <w:p w14:paraId="336E900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承包人提交竣工结算申请单的期限：</w:t>
      </w:r>
      <w:r>
        <w:rPr>
          <w:rFonts w:hint="eastAsia" w:ascii="Times New Roman"/>
          <w:color w:val="auto"/>
          <w:sz w:val="24"/>
          <w:szCs w:val="21"/>
          <w:highlight w:val="none"/>
          <w:u w:val="single"/>
        </w:rPr>
        <w:t>承包人应在工程竣工验收合格后28天内</w:t>
      </w:r>
      <w:r>
        <w:rPr>
          <w:rFonts w:hint="eastAsia" w:ascii="Times New Roman"/>
          <w:color w:val="auto"/>
          <w:sz w:val="24"/>
          <w:szCs w:val="24"/>
          <w:highlight w:val="none"/>
        </w:rPr>
        <w:t>。</w:t>
      </w:r>
    </w:p>
    <w:p w14:paraId="2DCB450B">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竣工结算申请单应包括的内容：</w:t>
      </w:r>
      <w:r>
        <w:rPr>
          <w:rFonts w:hint="eastAsia" w:ascii="Times New Roman"/>
          <w:color w:val="auto"/>
          <w:sz w:val="24"/>
          <w:szCs w:val="21"/>
          <w:highlight w:val="none"/>
          <w:u w:val="single"/>
        </w:rPr>
        <w:t>执行通用条款</w:t>
      </w:r>
      <w:r>
        <w:rPr>
          <w:rFonts w:hint="eastAsia" w:ascii="Times New Roman"/>
          <w:color w:val="auto"/>
          <w:sz w:val="24"/>
          <w:szCs w:val="24"/>
          <w:highlight w:val="none"/>
        </w:rPr>
        <w:t>。</w:t>
      </w:r>
    </w:p>
    <w:p w14:paraId="3F69426D">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14.2 </w:t>
      </w:r>
      <w:r>
        <w:rPr>
          <w:rFonts w:hint="eastAsia" w:ascii="Times New Roman" w:eastAsia="黑体"/>
          <w:color w:val="auto"/>
          <w:sz w:val="24"/>
          <w:szCs w:val="28"/>
          <w:highlight w:val="none"/>
        </w:rPr>
        <w:t>竣工结算审核</w:t>
      </w:r>
    </w:p>
    <w:p w14:paraId="6C1E09C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发包人审批竣工付款申请单的期限：</w:t>
      </w:r>
      <w:r>
        <w:rPr>
          <w:rFonts w:hint="eastAsia" w:ascii="Times New Roman"/>
          <w:color w:val="auto"/>
          <w:sz w:val="24"/>
          <w:szCs w:val="21"/>
          <w:highlight w:val="none"/>
          <w:u w:val="single"/>
        </w:rPr>
        <w:t>发包人应在收到监理人提交的经审核的竣工结算申请单后14天内完成审批</w:t>
      </w:r>
      <w:r>
        <w:rPr>
          <w:rFonts w:hint="eastAsia" w:ascii="Times New Roman"/>
          <w:color w:val="auto"/>
          <w:sz w:val="24"/>
          <w:szCs w:val="24"/>
          <w:highlight w:val="none"/>
        </w:rPr>
        <w:t>。</w:t>
      </w:r>
    </w:p>
    <w:p w14:paraId="72533417">
      <w:pPr>
        <w:adjustRightInd w:val="0"/>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4"/>
          <w:highlight w:val="none"/>
        </w:rPr>
        <w:t>发包人完成竣工付款的期限：</w:t>
      </w:r>
      <w:r>
        <w:rPr>
          <w:rFonts w:hint="eastAsia" w:ascii="Times New Roman"/>
          <w:color w:val="auto"/>
          <w:sz w:val="24"/>
          <w:szCs w:val="21"/>
          <w:highlight w:val="none"/>
          <w:u w:val="single"/>
        </w:rPr>
        <w:t>发包人应在签发竣工付款证书后的14 天内，完成对承包人的竣工付款</w:t>
      </w:r>
      <w:r>
        <w:rPr>
          <w:rFonts w:hint="eastAsia" w:ascii="Times New Roman"/>
          <w:color w:val="auto"/>
          <w:sz w:val="24"/>
          <w:szCs w:val="21"/>
          <w:highlight w:val="none"/>
        </w:rPr>
        <w:t>。</w:t>
      </w:r>
    </w:p>
    <w:p w14:paraId="4FDAF2F4">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关于竣工付款证书异议部分复核的方式和程序：</w:t>
      </w:r>
      <w:r>
        <w:rPr>
          <w:rFonts w:hint="eastAsia" w:ascii="Times New Roman"/>
          <w:color w:val="auto"/>
          <w:sz w:val="24"/>
          <w:szCs w:val="21"/>
          <w:highlight w:val="none"/>
          <w:u w:val="single"/>
        </w:rPr>
        <w:t>执行通用条款</w:t>
      </w:r>
      <w:r>
        <w:rPr>
          <w:rFonts w:hint="eastAsia" w:ascii="Times New Roman"/>
          <w:color w:val="auto"/>
          <w:sz w:val="24"/>
          <w:szCs w:val="24"/>
          <w:highlight w:val="none"/>
        </w:rPr>
        <w:t>。</w:t>
      </w:r>
    </w:p>
    <w:p w14:paraId="674A84D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14.4 </w:t>
      </w:r>
      <w:r>
        <w:rPr>
          <w:rFonts w:hint="eastAsia" w:ascii="Times New Roman"/>
          <w:color w:val="auto"/>
          <w:sz w:val="24"/>
          <w:szCs w:val="24"/>
          <w:highlight w:val="none"/>
        </w:rPr>
        <w:t>最终结清</w:t>
      </w:r>
    </w:p>
    <w:p w14:paraId="0DD2059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14.4.1 </w:t>
      </w:r>
      <w:r>
        <w:rPr>
          <w:rFonts w:hint="eastAsia" w:ascii="Times New Roman"/>
          <w:color w:val="auto"/>
          <w:sz w:val="24"/>
          <w:szCs w:val="24"/>
          <w:highlight w:val="none"/>
        </w:rPr>
        <w:t>最终结清申请单</w:t>
      </w:r>
    </w:p>
    <w:p w14:paraId="032705E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承包人提交最终结清申请单的份数：</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ED9D0C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承包人提交最终结算申请单的期限：</w:t>
      </w:r>
      <w:r>
        <w:rPr>
          <w:rFonts w:hint="eastAsia" w:ascii="Times New Roman"/>
          <w:color w:val="auto"/>
          <w:sz w:val="24"/>
          <w:szCs w:val="21"/>
          <w:highlight w:val="none"/>
          <w:u w:val="single"/>
        </w:rPr>
        <w:t>缺陷责任期终止证书颁发后7天内</w:t>
      </w:r>
      <w:r>
        <w:rPr>
          <w:rFonts w:hint="eastAsia" w:ascii="Times New Roman"/>
          <w:color w:val="auto"/>
          <w:sz w:val="24"/>
          <w:szCs w:val="24"/>
          <w:highlight w:val="none"/>
        </w:rPr>
        <w:t xml:space="preserve">。 </w:t>
      </w:r>
    </w:p>
    <w:p w14:paraId="07F38EA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14.4.2 </w:t>
      </w:r>
      <w:r>
        <w:rPr>
          <w:rFonts w:hint="eastAsia" w:ascii="Times New Roman"/>
          <w:color w:val="auto"/>
          <w:sz w:val="24"/>
          <w:szCs w:val="24"/>
          <w:highlight w:val="none"/>
        </w:rPr>
        <w:t>最终结清证书和支付</w:t>
      </w:r>
    </w:p>
    <w:p w14:paraId="4338B4B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（1）发包人完成最终结清申请单的审批并颁发最终结清证书的期限：</w:t>
      </w:r>
      <w:r>
        <w:rPr>
          <w:rFonts w:hint="eastAsia" w:ascii="Times New Roman"/>
          <w:color w:val="auto"/>
          <w:sz w:val="24"/>
          <w:szCs w:val="21"/>
          <w:highlight w:val="none"/>
          <w:u w:val="single"/>
        </w:rPr>
        <w:t>收到承包人提交的最终结清申请单后14天内</w:t>
      </w:r>
      <w:r>
        <w:rPr>
          <w:rFonts w:hint="eastAsia" w:ascii="Times New Roman"/>
          <w:color w:val="auto"/>
          <w:sz w:val="24"/>
          <w:szCs w:val="24"/>
          <w:highlight w:val="none"/>
        </w:rPr>
        <w:t>。</w:t>
      </w:r>
    </w:p>
    <w:p w14:paraId="68EB9E7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（2）发包人完成支付的期限：</w:t>
      </w:r>
      <w:r>
        <w:rPr>
          <w:rFonts w:hint="eastAsia" w:ascii="Times New Roman"/>
          <w:color w:val="auto"/>
          <w:sz w:val="24"/>
          <w:szCs w:val="21"/>
          <w:highlight w:val="none"/>
          <w:u w:val="single"/>
        </w:rPr>
        <w:t>颁发最终结清证书后</w:t>
      </w:r>
      <w:r>
        <w:rPr>
          <w:rFonts w:hint="eastAsia" w:ascii="Times New Roman" w:eastAsia="Times New Roman"/>
          <w:color w:val="auto"/>
          <w:sz w:val="24"/>
          <w:szCs w:val="21"/>
          <w:highlight w:val="none"/>
          <w:u w:val="single"/>
        </w:rPr>
        <w:t>7</w:t>
      </w:r>
      <w:r>
        <w:rPr>
          <w:rFonts w:hint="eastAsia" w:ascii="Times New Roman"/>
          <w:color w:val="auto"/>
          <w:sz w:val="24"/>
          <w:szCs w:val="21"/>
          <w:highlight w:val="none"/>
          <w:u w:val="single"/>
        </w:rPr>
        <w:t>天内完成支付</w:t>
      </w:r>
      <w:r>
        <w:rPr>
          <w:rFonts w:hint="eastAsia" w:ascii="Times New Roman"/>
          <w:color w:val="auto"/>
          <w:sz w:val="24"/>
          <w:szCs w:val="24"/>
          <w:highlight w:val="none"/>
        </w:rPr>
        <w:t>。</w:t>
      </w:r>
    </w:p>
    <w:bookmarkEnd w:id="842"/>
    <w:bookmarkEnd w:id="843"/>
    <w:bookmarkEnd w:id="844"/>
    <w:bookmarkEnd w:id="845"/>
    <w:bookmarkEnd w:id="846"/>
    <w:bookmarkEnd w:id="847"/>
    <w:bookmarkEnd w:id="848"/>
    <w:bookmarkEnd w:id="854"/>
    <w:p w14:paraId="586E6FA3">
      <w:pPr>
        <w:spacing w:before="240" w:beforeLines="100" w:after="240" w:afterLines="100"/>
        <w:outlineLvl w:val="2"/>
        <w:rPr>
          <w:rFonts w:hint="eastAsia" w:ascii="Times New Roman" w:eastAsia="Times New Roman"/>
          <w:color w:val="auto"/>
          <w:sz w:val="24"/>
          <w:szCs w:val="24"/>
          <w:highlight w:val="none"/>
        </w:rPr>
      </w:pPr>
      <w:bookmarkStart w:id="856" w:name="_Toc351203647"/>
      <w:bookmarkStart w:id="857" w:name="_Toc267251483"/>
      <w:bookmarkStart w:id="858" w:name="_Toc267251484"/>
      <w:bookmarkStart w:id="859" w:name="_Toc267251482"/>
      <w:bookmarkStart w:id="860" w:name="_Toc267251485"/>
      <w:bookmarkStart w:id="861" w:name="_Toc267251486"/>
      <w:bookmarkStart w:id="862" w:name="_Toc267251490"/>
      <w:bookmarkStart w:id="863" w:name="_Toc267251488"/>
      <w:bookmarkStart w:id="864" w:name="_Toc267251489"/>
      <w:bookmarkStart w:id="865" w:name="_Toc267251494"/>
      <w:bookmarkStart w:id="866" w:name="_Toc267251496"/>
      <w:bookmarkStart w:id="867" w:name="_Toc267251501"/>
      <w:bookmarkStart w:id="868" w:name="_Toc267251491"/>
      <w:bookmarkStart w:id="869" w:name="_Toc267251493"/>
      <w:bookmarkStart w:id="870" w:name="_Toc267251497"/>
      <w:bookmarkStart w:id="871" w:name="_Toc267251492"/>
      <w:bookmarkStart w:id="872" w:name="_Toc267251498"/>
      <w:bookmarkStart w:id="873" w:name="_Toc267251495"/>
      <w:bookmarkStart w:id="874" w:name="_Toc267251503"/>
      <w:bookmarkStart w:id="875" w:name="_Toc267251499"/>
      <w:bookmarkStart w:id="876" w:name="_Toc267251502"/>
      <w:bookmarkStart w:id="877" w:name="_Toc267251506"/>
      <w:bookmarkStart w:id="878" w:name="_Toc267251504"/>
      <w:bookmarkStart w:id="879" w:name="_Toc267251507"/>
      <w:bookmarkStart w:id="880" w:name="_Toc267251508"/>
      <w:bookmarkStart w:id="881" w:name="_Toc267251513"/>
      <w:bookmarkStart w:id="882" w:name="_Toc267251510"/>
      <w:bookmarkStart w:id="883" w:name="_Toc267251511"/>
      <w:bookmarkStart w:id="884" w:name="_Toc267251515"/>
      <w:bookmarkStart w:id="885" w:name="_Toc267251514"/>
      <w:bookmarkStart w:id="886" w:name="_Toc267251509"/>
      <w:r>
        <w:rPr>
          <w:rFonts w:hint="eastAsia" w:ascii="Times New Roman" w:eastAsia="Times New Roman"/>
          <w:color w:val="auto"/>
          <w:sz w:val="24"/>
          <w:szCs w:val="24"/>
          <w:highlight w:val="none"/>
        </w:rPr>
        <w:t xml:space="preserve">15. </w:t>
      </w:r>
      <w:r>
        <w:rPr>
          <w:rFonts w:hint="eastAsia" w:ascii="Times New Roman" w:eastAsia="黑体"/>
          <w:color w:val="auto"/>
          <w:sz w:val="24"/>
          <w:szCs w:val="24"/>
          <w:highlight w:val="none"/>
        </w:rPr>
        <w:t>缺陷责任期与保修</w:t>
      </w:r>
      <w:bookmarkEnd w:id="856"/>
    </w:p>
    <w:p w14:paraId="4768C762">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15.2</w:t>
      </w:r>
      <w:r>
        <w:rPr>
          <w:rFonts w:hint="eastAsia" w:ascii="Times New Roman" w:eastAsia="黑体"/>
          <w:color w:val="auto"/>
          <w:sz w:val="24"/>
          <w:szCs w:val="28"/>
          <w:highlight w:val="none"/>
        </w:rPr>
        <w:t xml:space="preserve"> 缺陷责任期</w:t>
      </w:r>
      <w:bookmarkEnd w:id="857"/>
    </w:p>
    <w:p w14:paraId="5E691598">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缺陷责任期的具体期限：</w:t>
      </w:r>
      <w:r>
        <w:rPr>
          <w:rFonts w:hint="eastAsia" w:ascii="Times New Roman"/>
          <w:color w:val="auto"/>
          <w:sz w:val="24"/>
          <w:szCs w:val="24"/>
          <w:highlight w:val="none"/>
          <w:u w:val="single"/>
        </w:rPr>
        <w:t>见《</w:t>
      </w:r>
      <w:r>
        <w:rPr>
          <w:rFonts w:hint="eastAsia" w:ascii="Times New Roman"/>
          <w:color w:val="auto"/>
          <w:sz w:val="24"/>
          <w:szCs w:val="21"/>
          <w:highlight w:val="none"/>
          <w:u w:val="single"/>
        </w:rPr>
        <w:t>专用合同条款数据表</w:t>
      </w:r>
      <w:r>
        <w:rPr>
          <w:rFonts w:hint="eastAsia" w:ascii="Times New Roman"/>
          <w:color w:val="auto"/>
          <w:sz w:val="24"/>
          <w:szCs w:val="24"/>
          <w:highlight w:val="none"/>
          <w:u w:val="single"/>
        </w:rPr>
        <w:t>》</w:t>
      </w:r>
      <w:r>
        <w:rPr>
          <w:rFonts w:hint="eastAsia" w:ascii="Times New Roman"/>
          <w:color w:val="auto"/>
          <w:sz w:val="24"/>
          <w:szCs w:val="24"/>
          <w:highlight w:val="none"/>
        </w:rPr>
        <w:t>。</w:t>
      </w:r>
    </w:p>
    <w:p w14:paraId="06FF5C69">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15.3 </w:t>
      </w:r>
      <w:r>
        <w:rPr>
          <w:rFonts w:hint="eastAsia" w:ascii="Times New Roman" w:eastAsia="黑体"/>
          <w:color w:val="auto"/>
          <w:sz w:val="24"/>
          <w:szCs w:val="28"/>
          <w:highlight w:val="none"/>
        </w:rPr>
        <w:t>质量保证金</w:t>
      </w:r>
    </w:p>
    <w:p w14:paraId="0C4A8ADF">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关于是否扣留质量保证金的约定：</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4"/>
          <w:highlight w:val="none"/>
        </w:rPr>
        <w:t>。在工程项目竣工前，承包人按专用合同条款第3.7款提供履约保证金的，发包人不得同时预留工程质量保证金。</w:t>
      </w:r>
    </w:p>
    <w:p w14:paraId="372F81B3">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15.3.1 承包人提供质量保证金的方式</w:t>
      </w:r>
    </w:p>
    <w:p w14:paraId="57D035EE">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质量保证金可采用以下任意一种方式：</w:t>
      </w:r>
    </w:p>
    <w:p w14:paraId="2763866A">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（1）由银行业金融机构、工程担保公司、保险机构出具电子保函、纸质保函等担保方式，担保/保证金额为：</w:t>
      </w:r>
      <w:r>
        <w:rPr>
          <w:rFonts w:hint="eastAsia" w:ascii="Times New Roman"/>
          <w:color w:val="auto"/>
          <w:sz w:val="24"/>
          <w:szCs w:val="24"/>
          <w:highlight w:val="none"/>
          <w:u w:val="single"/>
        </w:rPr>
        <w:t>见《专用合同条款数据表》</w:t>
      </w:r>
      <w:r>
        <w:rPr>
          <w:rFonts w:hint="eastAsia" w:ascii="Times New Roman"/>
          <w:color w:val="auto"/>
          <w:sz w:val="24"/>
          <w:szCs w:val="24"/>
          <w:highlight w:val="none"/>
        </w:rPr>
        <w:t>；</w:t>
      </w:r>
    </w:p>
    <w:p w14:paraId="11884732">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（2）见</w:t>
      </w:r>
      <w:r>
        <w:rPr>
          <w:rFonts w:hint="eastAsia" w:ascii="Times New Roman"/>
          <w:color w:val="auto"/>
          <w:sz w:val="24"/>
          <w:szCs w:val="24"/>
          <w:highlight w:val="none"/>
          <w:u w:val="single"/>
        </w:rPr>
        <w:t>《专用合同条款数据表》</w:t>
      </w:r>
      <w:r>
        <w:rPr>
          <w:rFonts w:hint="eastAsia" w:ascii="Times New Roman"/>
          <w:color w:val="auto"/>
          <w:sz w:val="24"/>
          <w:szCs w:val="24"/>
          <w:highlight w:val="none"/>
        </w:rPr>
        <w:t>%的工程款；</w:t>
      </w:r>
    </w:p>
    <w:p w14:paraId="157FCF3C">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（3）其他方式：</w:t>
      </w:r>
      <w:r>
        <w:rPr>
          <w:rFonts w:hint="eastAsia" w:ascii="Times New Roman"/>
          <w:color w:val="auto"/>
          <w:sz w:val="24"/>
          <w:szCs w:val="24"/>
          <w:highlight w:val="none"/>
          <w:u w:val="single"/>
        </w:rPr>
        <w:t>见《专用合同条款数据表》</w:t>
      </w:r>
      <w:r>
        <w:rPr>
          <w:rFonts w:hint="eastAsia" w:ascii="Times New Roman"/>
          <w:color w:val="auto"/>
          <w:sz w:val="24"/>
          <w:szCs w:val="24"/>
          <w:highlight w:val="none"/>
        </w:rPr>
        <w:t>。</w:t>
      </w:r>
    </w:p>
    <w:p w14:paraId="30851D04">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注：采用电子保函的，请登录全国公共资源交易平台（安徽省•合肥市）（安徽合肥公共资源交易中心网站）“电子保函”栏目查看《合肥市（信易贷）电子保函平台工程质量保函操作手册》并按照操作手册规定内容办理。</w:t>
      </w:r>
    </w:p>
    <w:p w14:paraId="35114E3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15.3.2 </w:t>
      </w:r>
      <w:r>
        <w:rPr>
          <w:rFonts w:hint="eastAsia" w:ascii="Times New Roman"/>
          <w:color w:val="auto"/>
          <w:sz w:val="24"/>
          <w:szCs w:val="24"/>
          <w:highlight w:val="none"/>
        </w:rPr>
        <w:t xml:space="preserve">质量保证金的扣留 </w:t>
      </w:r>
    </w:p>
    <w:p w14:paraId="70A726D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质量保证金的扣留采取以下第</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种方式：</w:t>
      </w:r>
    </w:p>
    <w:p w14:paraId="31AA6B4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（1）在支付工程进度款时逐次扣留，在此情形下，质量保证金的计算基数不包括预付款的支付、扣回以及价格调整的金额；</w:t>
      </w:r>
    </w:p>
    <w:p w14:paraId="0F5A836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（2）工程竣工结算时一次性扣留质量保证金；</w:t>
      </w:r>
    </w:p>
    <w:p w14:paraId="04559A1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（3）其他扣留方式：</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F766DB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关于质量保证金的补充约定：</w:t>
      </w:r>
    </w:p>
    <w:p w14:paraId="73B91944">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u w:val="single"/>
        </w:rPr>
        <w:t>①在工程项目竣工前，承包人按专用合同条款第3.7款提供履约保证金的，可在工程进入缺陷责任期时按照多退少补原则转为质量保证金；</w:t>
      </w:r>
    </w:p>
    <w:p w14:paraId="0A066BC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u w:val="single"/>
        </w:rPr>
        <w:t>②……</w:t>
      </w:r>
      <w:r>
        <w:rPr>
          <w:rFonts w:hint="eastAsia" w:ascii="Times New Roman"/>
          <w:color w:val="auto"/>
          <w:sz w:val="24"/>
          <w:szCs w:val="24"/>
          <w:highlight w:val="none"/>
        </w:rPr>
        <w:t>。</w:t>
      </w:r>
    </w:p>
    <w:bookmarkEnd w:id="858"/>
    <w:bookmarkEnd w:id="859"/>
    <w:p w14:paraId="1A434E25">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15.4</w:t>
      </w:r>
      <w:r>
        <w:rPr>
          <w:rFonts w:hint="eastAsia" w:ascii="Times New Roman" w:eastAsia="黑体"/>
          <w:color w:val="auto"/>
          <w:sz w:val="24"/>
          <w:szCs w:val="28"/>
          <w:highlight w:val="none"/>
        </w:rPr>
        <w:t xml:space="preserve"> 保修</w:t>
      </w:r>
    </w:p>
    <w:bookmarkEnd w:id="860"/>
    <w:p w14:paraId="55ACCD9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15.4.1 </w:t>
      </w:r>
      <w:r>
        <w:rPr>
          <w:rFonts w:hint="eastAsia" w:ascii="Times New Roman"/>
          <w:color w:val="auto"/>
          <w:sz w:val="24"/>
          <w:szCs w:val="24"/>
          <w:highlight w:val="none"/>
        </w:rPr>
        <w:t>保修责任</w:t>
      </w:r>
    </w:p>
    <w:p w14:paraId="78AF4C79">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工程保修期为：</w:t>
      </w:r>
      <w:r>
        <w:rPr>
          <w:rFonts w:hint="eastAsia" w:ascii="Times New Roman"/>
          <w:color w:val="auto"/>
          <w:sz w:val="24"/>
          <w:szCs w:val="21"/>
          <w:highlight w:val="none"/>
          <w:u w:val="single"/>
        </w:rPr>
        <w:t>执行《工程质量保修书》规定</w:t>
      </w:r>
      <w:r>
        <w:rPr>
          <w:rFonts w:hint="eastAsia" w:ascii="Times New Roman"/>
          <w:color w:val="auto"/>
          <w:sz w:val="24"/>
          <w:szCs w:val="24"/>
          <w:highlight w:val="none"/>
        </w:rPr>
        <w:t>。</w:t>
      </w:r>
    </w:p>
    <w:p w14:paraId="278B1B8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15.4.3 </w:t>
      </w:r>
      <w:r>
        <w:rPr>
          <w:rFonts w:hint="eastAsia" w:ascii="Times New Roman"/>
          <w:color w:val="auto"/>
          <w:sz w:val="24"/>
          <w:szCs w:val="24"/>
          <w:highlight w:val="none"/>
        </w:rPr>
        <w:t>修复通知</w:t>
      </w:r>
    </w:p>
    <w:p w14:paraId="4160CC5B">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承包人收到保修通知并到达工程现场的合理时间：</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bookmarkEnd w:id="861"/>
    <w:bookmarkEnd w:id="862"/>
    <w:bookmarkEnd w:id="863"/>
    <w:bookmarkEnd w:id="864"/>
    <w:p w14:paraId="59D507E7">
      <w:pPr>
        <w:spacing w:before="240" w:beforeLines="100" w:after="240" w:afterLines="100"/>
        <w:outlineLvl w:val="2"/>
        <w:rPr>
          <w:rFonts w:hint="eastAsia" w:ascii="Times New Roman" w:eastAsia="Times New Roman"/>
          <w:color w:val="auto"/>
          <w:sz w:val="24"/>
          <w:szCs w:val="24"/>
          <w:highlight w:val="none"/>
        </w:rPr>
      </w:pPr>
      <w:bookmarkStart w:id="887" w:name="_Toc351203648"/>
      <w:bookmarkStart w:id="888" w:name="_Toc280868717"/>
      <w:bookmarkStart w:id="889" w:name="_Toc280868718"/>
      <w:r>
        <w:rPr>
          <w:rFonts w:hint="eastAsia" w:ascii="Times New Roman" w:eastAsia="Times New Roman"/>
          <w:color w:val="auto"/>
          <w:sz w:val="24"/>
          <w:szCs w:val="24"/>
          <w:highlight w:val="none"/>
        </w:rPr>
        <w:t xml:space="preserve">16. </w:t>
      </w:r>
      <w:r>
        <w:rPr>
          <w:rFonts w:hint="eastAsia" w:ascii="Times New Roman" w:eastAsia="黑体"/>
          <w:color w:val="auto"/>
          <w:sz w:val="24"/>
          <w:szCs w:val="24"/>
          <w:highlight w:val="none"/>
        </w:rPr>
        <w:t>违约</w:t>
      </w:r>
      <w:bookmarkEnd w:id="887"/>
    </w:p>
    <w:p w14:paraId="444CE20C">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16.1 </w:t>
      </w:r>
      <w:r>
        <w:rPr>
          <w:rFonts w:hint="eastAsia" w:ascii="Times New Roman" w:eastAsia="黑体"/>
          <w:color w:val="auto"/>
          <w:sz w:val="24"/>
          <w:szCs w:val="28"/>
          <w:highlight w:val="none"/>
        </w:rPr>
        <w:t>发包人违约</w:t>
      </w:r>
    </w:p>
    <w:p w14:paraId="184569A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16.1.1</w:t>
      </w:r>
      <w:r>
        <w:rPr>
          <w:rFonts w:hint="eastAsia" w:ascii="Times New Roman"/>
          <w:color w:val="auto"/>
          <w:sz w:val="24"/>
          <w:szCs w:val="24"/>
          <w:highlight w:val="none"/>
        </w:rPr>
        <w:t xml:space="preserve"> 发包人违约的情形</w:t>
      </w:r>
    </w:p>
    <w:p w14:paraId="23D47115">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发包人违约的其他情形：</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47C836A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16.1.2 </w:t>
      </w:r>
      <w:r>
        <w:rPr>
          <w:rFonts w:hint="eastAsia" w:ascii="Times New Roman"/>
          <w:color w:val="auto"/>
          <w:sz w:val="24"/>
          <w:szCs w:val="24"/>
          <w:highlight w:val="none"/>
        </w:rPr>
        <w:t>发包人违约的责任</w:t>
      </w:r>
    </w:p>
    <w:p w14:paraId="48F4C56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发包人违约责任的承担方式和计算方法：</w:t>
      </w:r>
    </w:p>
    <w:p w14:paraId="74C6002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（1）因发包人原因未能在计划开工日期前7天内下达开工通知的违约责任：</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0A87C3CA">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（2）因发包人原因未能按合同约定支付合同价款的违约责任：</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61BB60AE">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（3）发包人违反第10.1款〔变更的范围〕第（2）项约定，自行实施被取消的工作或转由他人实施的违约责任：</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2F7869B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（4）发包人提供的材料、工程设备的规格、数量或质量不符合合同约定，或因发包人原因导致交货日期延误或交货地点变更等情况的违约责任：</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690A9FD0">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（5）因发包人违反合同约定造成暂停施工的违约责任：</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45EBD52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（6）发包人无正当理由没有在约定期限内发出复工指示，导致承包人无法复工的违约责任：</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6AB8587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（7）其他：</w:t>
      </w:r>
      <w:r>
        <w:rPr>
          <w:rFonts w:hint="eastAsia" w:ascii="Times New Roman"/>
          <w:color w:val="auto"/>
          <w:sz w:val="24"/>
          <w:szCs w:val="21"/>
          <w:highlight w:val="none"/>
          <w:u w:val="single"/>
        </w:rPr>
        <w:t xml:space="preserve">          </w:t>
      </w:r>
      <w:r>
        <w:rPr>
          <w:rFonts w:hint="eastAsia" w:ascii="Times New Roman"/>
          <w:color w:val="auto"/>
          <w:sz w:val="24"/>
          <w:szCs w:val="24"/>
          <w:highlight w:val="none"/>
        </w:rPr>
        <w:t>。</w:t>
      </w:r>
    </w:p>
    <w:p w14:paraId="09B9CC0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16.1.3 </w:t>
      </w:r>
      <w:r>
        <w:rPr>
          <w:rFonts w:hint="eastAsia" w:ascii="Times New Roman"/>
          <w:color w:val="auto"/>
          <w:sz w:val="24"/>
          <w:szCs w:val="24"/>
          <w:highlight w:val="none"/>
        </w:rPr>
        <w:t>因发包人违约解除合同</w:t>
      </w:r>
    </w:p>
    <w:p w14:paraId="16AEA4AF">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承包人按16.1.1项〔发包人违约的情形〕约定暂停施工满</w:t>
      </w:r>
      <w:r>
        <w:rPr>
          <w:rFonts w:hint="eastAsia" w:ascii="Times New Roman"/>
          <w:color w:val="auto"/>
          <w:sz w:val="24"/>
          <w:szCs w:val="21"/>
          <w:highlight w:val="none"/>
          <w:u w:val="single"/>
        </w:rPr>
        <w:t>28</w:t>
      </w:r>
      <w:r>
        <w:rPr>
          <w:rFonts w:hint="eastAsia" w:ascii="Times New Roman"/>
          <w:color w:val="auto"/>
          <w:sz w:val="24"/>
          <w:szCs w:val="24"/>
          <w:highlight w:val="none"/>
        </w:rPr>
        <w:t>天后发包人仍不纠正其违约行为并致使合同目的不能实现的，承包人有权解除合同。</w:t>
      </w:r>
    </w:p>
    <w:p w14:paraId="098D0FE9">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16.2 </w:t>
      </w:r>
      <w:r>
        <w:rPr>
          <w:rFonts w:hint="eastAsia" w:ascii="Times New Roman" w:eastAsia="黑体"/>
          <w:color w:val="auto"/>
          <w:sz w:val="24"/>
          <w:szCs w:val="28"/>
          <w:highlight w:val="none"/>
        </w:rPr>
        <w:t>承包人违约</w:t>
      </w:r>
    </w:p>
    <w:p w14:paraId="138D894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16.2.1 </w:t>
      </w:r>
      <w:r>
        <w:rPr>
          <w:rFonts w:hint="eastAsia" w:ascii="Times New Roman"/>
          <w:color w:val="auto"/>
          <w:sz w:val="24"/>
          <w:szCs w:val="24"/>
          <w:highlight w:val="none"/>
        </w:rPr>
        <w:t>承包人违约的情形</w:t>
      </w:r>
    </w:p>
    <w:p w14:paraId="111B1FBF">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承包人违约的其他情形：</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046A693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16.2.2</w:t>
      </w:r>
      <w:r>
        <w:rPr>
          <w:rFonts w:hint="eastAsia" w:ascii="Times New Roman"/>
          <w:color w:val="auto"/>
          <w:sz w:val="24"/>
          <w:szCs w:val="24"/>
          <w:highlight w:val="none"/>
        </w:rPr>
        <w:t xml:space="preserve"> 承包人违约的责任</w:t>
      </w:r>
    </w:p>
    <w:p w14:paraId="42DC02ED">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承包人违约责任的承担方式和计算方法：</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57CF06F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16.2.3 </w:t>
      </w:r>
      <w:r>
        <w:rPr>
          <w:rFonts w:hint="eastAsia" w:ascii="Times New Roman"/>
          <w:color w:val="auto"/>
          <w:sz w:val="24"/>
          <w:szCs w:val="24"/>
          <w:highlight w:val="none"/>
        </w:rPr>
        <w:t>因承包人违约解除合同</w:t>
      </w:r>
    </w:p>
    <w:p w14:paraId="5A899CCC">
      <w:pPr>
        <w:adjustRightIn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关于承包人违约解除合同的特别约定：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0DFEEF1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发包人继续使用承包人在施工现场的材料、设备、临时工程、承包人文件和由承包人或以其名义编制的其他文件的费用承担方式：</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6B9E2687">
      <w:pPr>
        <w:spacing w:before="240" w:beforeLines="100" w:after="240" w:afterLines="100"/>
        <w:outlineLvl w:val="2"/>
        <w:rPr>
          <w:rFonts w:hint="eastAsia" w:ascii="Times New Roman" w:eastAsia="Times New Roman"/>
          <w:color w:val="auto"/>
          <w:sz w:val="24"/>
          <w:szCs w:val="24"/>
          <w:highlight w:val="none"/>
        </w:rPr>
      </w:pPr>
      <w:bookmarkStart w:id="890" w:name="_Toc351203649"/>
      <w:r>
        <w:rPr>
          <w:rFonts w:hint="eastAsia" w:ascii="Times New Roman" w:eastAsia="Times New Roman"/>
          <w:color w:val="auto"/>
          <w:sz w:val="24"/>
          <w:szCs w:val="24"/>
          <w:highlight w:val="none"/>
        </w:rPr>
        <w:t xml:space="preserve">17. </w:t>
      </w:r>
      <w:r>
        <w:rPr>
          <w:rFonts w:hint="eastAsia" w:ascii="Times New Roman" w:eastAsia="黑体"/>
          <w:color w:val="auto"/>
          <w:sz w:val="24"/>
          <w:szCs w:val="24"/>
          <w:highlight w:val="none"/>
        </w:rPr>
        <w:t>不可抗力</w:t>
      </w:r>
      <w:bookmarkEnd w:id="890"/>
      <w:r>
        <w:rPr>
          <w:rFonts w:hint="eastAsia" w:ascii="Times New Roman" w:eastAsia="黑体"/>
          <w:color w:val="auto"/>
          <w:sz w:val="24"/>
          <w:szCs w:val="24"/>
          <w:highlight w:val="none"/>
        </w:rPr>
        <w:t xml:space="preserve"> </w:t>
      </w:r>
      <w:bookmarkEnd w:id="888"/>
    </w:p>
    <w:p w14:paraId="4D99605F">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17.1 </w:t>
      </w:r>
      <w:r>
        <w:rPr>
          <w:rFonts w:hint="eastAsia" w:ascii="Times New Roman" w:eastAsia="黑体"/>
          <w:color w:val="auto"/>
          <w:sz w:val="24"/>
          <w:szCs w:val="28"/>
          <w:highlight w:val="none"/>
        </w:rPr>
        <w:t>不可抗力的确认</w:t>
      </w:r>
    </w:p>
    <w:p w14:paraId="11622638">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除通用合同条款约定的不可抗力事件之外，视为不可抗力的其他情形：</w:t>
      </w:r>
      <w:r>
        <w:rPr>
          <w:rFonts w:hint="eastAsia" w:ascii="Times New Roman"/>
          <w:color w:val="auto"/>
          <w:sz w:val="24"/>
          <w:szCs w:val="21"/>
          <w:highlight w:val="none"/>
          <w:u w:val="single"/>
        </w:rPr>
        <w:t>执行通用条款</w:t>
      </w:r>
      <w:r>
        <w:rPr>
          <w:rFonts w:hint="eastAsia" w:ascii="Times New Roman"/>
          <w:color w:val="auto"/>
          <w:sz w:val="24"/>
          <w:szCs w:val="21"/>
          <w:highlight w:val="none"/>
        </w:rPr>
        <w:t>。</w:t>
      </w:r>
    </w:p>
    <w:p w14:paraId="1B57C6DA">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17.4 </w:t>
      </w:r>
      <w:r>
        <w:rPr>
          <w:rFonts w:hint="eastAsia" w:ascii="Times New Roman" w:eastAsia="黑体"/>
          <w:color w:val="auto"/>
          <w:sz w:val="24"/>
          <w:szCs w:val="28"/>
          <w:highlight w:val="none"/>
        </w:rPr>
        <w:t>因不可抗力解除合同</w:t>
      </w:r>
    </w:p>
    <w:p w14:paraId="4096FBD6">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合同解除后，发包人应在商定或确定发包人应支付款项后</w:t>
      </w:r>
      <w:r>
        <w:rPr>
          <w:rFonts w:hint="eastAsia" w:ascii="Times New Roman"/>
          <w:color w:val="auto"/>
          <w:sz w:val="24"/>
          <w:szCs w:val="21"/>
          <w:highlight w:val="none"/>
          <w:u w:val="single"/>
        </w:rPr>
        <w:t>28</w:t>
      </w:r>
      <w:r>
        <w:rPr>
          <w:rFonts w:hint="eastAsia" w:ascii="Times New Roman"/>
          <w:color w:val="auto"/>
          <w:sz w:val="24"/>
          <w:szCs w:val="24"/>
          <w:highlight w:val="none"/>
        </w:rPr>
        <w:t>天内完成款项的支付。</w:t>
      </w:r>
    </w:p>
    <w:p w14:paraId="43D8E396">
      <w:pPr>
        <w:spacing w:before="240" w:beforeLines="100" w:after="240" w:afterLines="100"/>
        <w:outlineLvl w:val="2"/>
        <w:rPr>
          <w:rFonts w:hint="eastAsia" w:ascii="Times New Roman" w:eastAsia="Times New Roman"/>
          <w:color w:val="auto"/>
          <w:sz w:val="24"/>
          <w:szCs w:val="24"/>
          <w:highlight w:val="none"/>
        </w:rPr>
      </w:pPr>
      <w:bookmarkStart w:id="891" w:name="_Toc351203650"/>
      <w:r>
        <w:rPr>
          <w:rFonts w:hint="eastAsia" w:ascii="Times New Roman" w:eastAsia="Times New Roman"/>
          <w:color w:val="auto"/>
          <w:sz w:val="24"/>
          <w:szCs w:val="24"/>
          <w:highlight w:val="none"/>
        </w:rPr>
        <w:t xml:space="preserve">18. </w:t>
      </w:r>
      <w:r>
        <w:rPr>
          <w:rFonts w:hint="eastAsia" w:ascii="Times New Roman" w:eastAsia="黑体"/>
          <w:color w:val="auto"/>
          <w:sz w:val="24"/>
          <w:szCs w:val="24"/>
          <w:highlight w:val="none"/>
        </w:rPr>
        <w:t>保险</w:t>
      </w:r>
      <w:bookmarkEnd w:id="891"/>
    </w:p>
    <w:bookmarkEnd w:id="889"/>
    <w:p w14:paraId="2A2775D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18.1 </w:t>
      </w:r>
      <w:r>
        <w:rPr>
          <w:rFonts w:hint="eastAsia" w:ascii="Times New Roman" w:eastAsia="黑体"/>
          <w:color w:val="auto"/>
          <w:sz w:val="24"/>
          <w:szCs w:val="28"/>
          <w:highlight w:val="none"/>
        </w:rPr>
        <w:t>工程保险</w:t>
      </w:r>
    </w:p>
    <w:p w14:paraId="3EB7DFE3">
      <w:pPr>
        <w:adjustRightInd w:val="0"/>
        <w:spacing w:beforeLines="0" w:afterLines="0" w:line="360" w:lineRule="auto"/>
        <w:ind w:firstLine="480" w:firstLineChars="200"/>
        <w:rPr>
          <w:rFonts w:hint="eastAsia" w:ascii="Times New Roman" w:eastAsia="Times New Roman"/>
          <w:b/>
          <w:color w:val="auto"/>
          <w:sz w:val="24"/>
          <w:szCs w:val="24"/>
          <w:highlight w:val="none"/>
        </w:rPr>
      </w:pPr>
      <w:r>
        <w:rPr>
          <w:rFonts w:hint="eastAsia" w:ascii="Times New Roman"/>
          <w:color w:val="auto"/>
          <w:sz w:val="24"/>
          <w:szCs w:val="24"/>
          <w:highlight w:val="none"/>
        </w:rPr>
        <w:t>关于工程保险的特别约定：</w:t>
      </w:r>
      <w:r>
        <w:rPr>
          <w:rFonts w:hint="eastAsia" w:ascii="Times New Roman"/>
          <w:b/>
          <w:color w:val="auto"/>
          <w:sz w:val="24"/>
          <w:szCs w:val="24"/>
          <w:highlight w:val="none"/>
          <w:u w:val="single"/>
        </w:rPr>
        <w:t xml:space="preserve">        </w:t>
      </w:r>
      <w:r>
        <w:rPr>
          <w:rFonts w:hint="eastAsia" w:ascii="Times New Roman"/>
          <w:b/>
          <w:color w:val="auto"/>
          <w:sz w:val="24"/>
          <w:szCs w:val="24"/>
          <w:highlight w:val="none"/>
        </w:rPr>
        <w:t>。</w:t>
      </w:r>
    </w:p>
    <w:p w14:paraId="37E5F305">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18.3 </w:t>
      </w:r>
      <w:r>
        <w:rPr>
          <w:rFonts w:hint="eastAsia" w:ascii="Times New Roman" w:eastAsia="黑体"/>
          <w:color w:val="auto"/>
          <w:sz w:val="24"/>
          <w:szCs w:val="28"/>
          <w:highlight w:val="none"/>
        </w:rPr>
        <w:t>其他保险</w:t>
      </w:r>
    </w:p>
    <w:p w14:paraId="3FC20CC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关于其他保险的约定：</w:t>
      </w:r>
      <w:r>
        <w:rPr>
          <w:rFonts w:hint="eastAsia" w:ascii="Times New Roman"/>
          <w:color w:val="auto"/>
          <w:sz w:val="24"/>
          <w:szCs w:val="21"/>
          <w:highlight w:val="none"/>
          <w:u w:val="single"/>
        </w:rPr>
        <w:t>承包人须为其施工现场的全部人员办理意外伤害保险并支付保险费，包括其员工及为履行合同聘请的第三方的人员</w:t>
      </w:r>
      <w:r>
        <w:rPr>
          <w:rFonts w:hint="eastAsia" w:ascii="Times New Roman"/>
          <w:color w:val="auto"/>
          <w:sz w:val="24"/>
          <w:szCs w:val="24"/>
          <w:highlight w:val="none"/>
        </w:rPr>
        <w:t>。</w:t>
      </w:r>
    </w:p>
    <w:p w14:paraId="4ED8273E">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承包人是否应为其施工设备等办理财产保险：</w:t>
      </w:r>
      <w:r>
        <w:rPr>
          <w:rFonts w:hint="eastAsia" w:ascii="Times New Roman"/>
          <w:color w:val="auto"/>
          <w:sz w:val="24"/>
          <w:szCs w:val="21"/>
          <w:highlight w:val="none"/>
          <w:u w:val="single"/>
        </w:rPr>
        <w:t>执行通用条款</w:t>
      </w:r>
      <w:r>
        <w:rPr>
          <w:rFonts w:hint="eastAsia" w:ascii="Times New Roman"/>
          <w:color w:val="auto"/>
          <w:sz w:val="24"/>
          <w:szCs w:val="24"/>
          <w:highlight w:val="none"/>
        </w:rPr>
        <w:t>。</w:t>
      </w:r>
    </w:p>
    <w:p w14:paraId="174581C1">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18.7 </w:t>
      </w:r>
      <w:r>
        <w:rPr>
          <w:rFonts w:hint="eastAsia" w:ascii="Times New Roman" w:eastAsia="黑体"/>
          <w:color w:val="auto"/>
          <w:sz w:val="24"/>
          <w:szCs w:val="28"/>
          <w:highlight w:val="none"/>
        </w:rPr>
        <w:t>通知义务</w:t>
      </w:r>
    </w:p>
    <w:p w14:paraId="19DE33FF">
      <w:pPr>
        <w:adjustRightInd w:val="0"/>
        <w:spacing w:beforeLines="0" w:afterLines="0" w:line="360" w:lineRule="auto"/>
        <w:ind w:firstLine="480" w:firstLineChars="200"/>
        <w:rPr>
          <w:rFonts w:hint="eastAsia" w:ascii="Times New Roman" w:eastAsia="Times New Roman"/>
          <w:b/>
          <w:color w:val="auto"/>
          <w:sz w:val="24"/>
          <w:szCs w:val="24"/>
          <w:highlight w:val="none"/>
          <w:u w:val="single"/>
        </w:rPr>
      </w:pPr>
      <w:r>
        <w:rPr>
          <w:rFonts w:hint="eastAsia" w:ascii="Times New Roman"/>
          <w:color w:val="auto"/>
          <w:sz w:val="24"/>
          <w:szCs w:val="24"/>
          <w:highlight w:val="none"/>
        </w:rPr>
        <w:t>关于变更保险合同时的通知义务的约定：</w:t>
      </w:r>
      <w:r>
        <w:rPr>
          <w:rFonts w:hint="eastAsia" w:ascii="Times New Roman"/>
          <w:color w:val="auto"/>
          <w:sz w:val="24"/>
          <w:szCs w:val="21"/>
          <w:highlight w:val="none"/>
          <w:u w:val="single"/>
        </w:rPr>
        <w:t>执行通用条款</w:t>
      </w:r>
      <w:r>
        <w:rPr>
          <w:rFonts w:hint="eastAsia" w:ascii="Times New Roman"/>
          <w:color w:val="auto"/>
          <w:sz w:val="24"/>
          <w:szCs w:val="21"/>
          <w:highlight w:val="none"/>
        </w:rPr>
        <w:t>。</w:t>
      </w:r>
    </w:p>
    <w:bookmarkEnd w:id="865"/>
    <w:bookmarkEnd w:id="866"/>
    <w:bookmarkEnd w:id="867"/>
    <w:bookmarkEnd w:id="868"/>
    <w:bookmarkEnd w:id="869"/>
    <w:bookmarkEnd w:id="870"/>
    <w:bookmarkEnd w:id="871"/>
    <w:bookmarkEnd w:id="872"/>
    <w:bookmarkEnd w:id="873"/>
    <w:bookmarkEnd w:id="874"/>
    <w:bookmarkEnd w:id="875"/>
    <w:bookmarkEnd w:id="876"/>
    <w:p w14:paraId="2E445262">
      <w:pPr>
        <w:spacing w:before="240" w:beforeLines="100" w:after="240" w:afterLines="100"/>
        <w:outlineLvl w:val="2"/>
        <w:rPr>
          <w:rFonts w:hint="eastAsia" w:ascii="Times New Roman" w:eastAsia="Times New Roman"/>
          <w:color w:val="auto"/>
          <w:sz w:val="24"/>
          <w:szCs w:val="24"/>
          <w:highlight w:val="none"/>
        </w:rPr>
      </w:pPr>
      <w:bookmarkStart w:id="892" w:name="_Toc351203651"/>
      <w:r>
        <w:rPr>
          <w:rFonts w:hint="eastAsia" w:ascii="Times New Roman" w:eastAsia="Times New Roman"/>
          <w:color w:val="auto"/>
          <w:sz w:val="24"/>
          <w:szCs w:val="24"/>
          <w:highlight w:val="none"/>
        </w:rPr>
        <w:t xml:space="preserve">20. </w:t>
      </w:r>
      <w:r>
        <w:rPr>
          <w:rFonts w:hint="eastAsia" w:ascii="Times New Roman" w:eastAsia="黑体"/>
          <w:color w:val="auto"/>
          <w:sz w:val="24"/>
          <w:szCs w:val="24"/>
          <w:highlight w:val="none"/>
        </w:rPr>
        <w:t>争议解决</w:t>
      </w:r>
      <w:bookmarkEnd w:id="892"/>
    </w:p>
    <w:bookmarkEnd w:id="877"/>
    <w:bookmarkEnd w:id="878"/>
    <w:p w14:paraId="62C32F59">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Times New Roman"/>
          <w:color w:val="auto"/>
          <w:sz w:val="24"/>
          <w:szCs w:val="28"/>
          <w:highlight w:val="none"/>
        </w:rPr>
        <w:t xml:space="preserve">20.3 </w:t>
      </w:r>
      <w:r>
        <w:rPr>
          <w:rFonts w:hint="eastAsia" w:ascii="Times New Roman" w:eastAsia="黑体"/>
          <w:color w:val="auto"/>
          <w:sz w:val="24"/>
          <w:szCs w:val="28"/>
          <w:highlight w:val="none"/>
        </w:rPr>
        <w:t>争</w:t>
      </w:r>
      <w:bookmarkEnd w:id="879"/>
      <w:r>
        <w:rPr>
          <w:rFonts w:hint="eastAsia" w:ascii="Times New Roman" w:eastAsia="黑体"/>
          <w:color w:val="auto"/>
          <w:sz w:val="24"/>
          <w:szCs w:val="28"/>
          <w:highlight w:val="none"/>
        </w:rPr>
        <w:t>议评审</w:t>
      </w:r>
    </w:p>
    <w:p w14:paraId="0EE0CF18">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合同当事人是否同意将工程争议提交争议评审小组决定：</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136F5F5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20.3.1 </w:t>
      </w:r>
      <w:r>
        <w:rPr>
          <w:rFonts w:hint="eastAsia" w:ascii="Times New Roman"/>
          <w:color w:val="auto"/>
          <w:sz w:val="24"/>
          <w:szCs w:val="24"/>
          <w:highlight w:val="none"/>
        </w:rPr>
        <w:t>争议评审小组的确定</w:t>
      </w:r>
    </w:p>
    <w:p w14:paraId="1F10251F">
      <w:pPr>
        <w:adjustRightInd w:val="0"/>
        <w:spacing w:beforeLines="0" w:afterLines="0" w:line="360" w:lineRule="auto"/>
        <w:ind w:firstLine="480" w:firstLineChars="200"/>
        <w:rPr>
          <w:rFonts w:hint="eastAsia" w:ascii="Times New Roman" w:eastAsia="Times New Roman"/>
          <w:color w:val="auto"/>
          <w:sz w:val="24"/>
          <w:szCs w:val="24"/>
          <w:highlight w:val="none"/>
          <w:u w:val="single"/>
        </w:rPr>
      </w:pPr>
      <w:r>
        <w:rPr>
          <w:rFonts w:hint="eastAsia" w:ascii="Times New Roman"/>
          <w:color w:val="auto"/>
          <w:sz w:val="24"/>
          <w:szCs w:val="24"/>
          <w:highlight w:val="none"/>
        </w:rPr>
        <w:t>争议评审小组成员的确定：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9F54D2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选定争议评审员的期限：</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4E717F0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争议评审小组成员的报酬承担方式：</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140B59BE">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其他事项的约定：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34F5208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 xml:space="preserve">20.3.2 </w:t>
      </w:r>
      <w:r>
        <w:rPr>
          <w:rFonts w:hint="eastAsia" w:ascii="Times New Roman"/>
          <w:color w:val="auto"/>
          <w:sz w:val="24"/>
          <w:szCs w:val="24"/>
          <w:highlight w:val="none"/>
        </w:rPr>
        <w:t>争议评审小组的决定</w:t>
      </w:r>
    </w:p>
    <w:p w14:paraId="01FC776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合同当事人关于本项的约定：</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u w:val="single"/>
        </w:rPr>
        <w:t xml:space="preserve">   </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w:t>
      </w:r>
    </w:p>
    <w:p w14:paraId="7BECA51F">
      <w:pPr>
        <w:keepNext/>
        <w:keepLines/>
        <w:spacing w:before="120" w:beforeLines="0" w:after="120" w:afterLines="0" w:line="360" w:lineRule="auto"/>
        <w:ind w:firstLine="480" w:firstLineChars="200"/>
        <w:outlineLvl w:val="3"/>
        <w:rPr>
          <w:rFonts w:hint="eastAsia" w:ascii="Times New Roman" w:eastAsia="黑体"/>
          <w:color w:val="auto"/>
          <w:sz w:val="24"/>
          <w:szCs w:val="28"/>
          <w:highlight w:val="none"/>
        </w:rPr>
      </w:pPr>
      <w:r>
        <w:rPr>
          <w:rFonts w:hint="eastAsia" w:ascii="Times New Roman" w:eastAsia="Times New Roman"/>
          <w:color w:val="auto"/>
          <w:sz w:val="24"/>
          <w:szCs w:val="28"/>
          <w:highlight w:val="none"/>
        </w:rPr>
        <w:t>20.4</w:t>
      </w:r>
      <w:r>
        <w:rPr>
          <w:rFonts w:hint="eastAsia" w:ascii="Times New Roman" w:eastAsia="黑体"/>
          <w:color w:val="auto"/>
          <w:sz w:val="24"/>
          <w:szCs w:val="28"/>
          <w:highlight w:val="none"/>
        </w:rPr>
        <w:t xml:space="preserve"> 仲裁或诉讼</w:t>
      </w:r>
      <w:bookmarkEnd w:id="880"/>
    </w:p>
    <w:p w14:paraId="019391D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因合同及合同有关事项发生的争议，按下列第</w:t>
      </w:r>
      <w:r>
        <w:rPr>
          <w:rFonts w:hint="eastAsia" w:ascii="Times New Roman"/>
          <w:color w:val="auto"/>
          <w:sz w:val="24"/>
          <w:szCs w:val="24"/>
          <w:highlight w:val="none"/>
          <w:u w:val="single"/>
        </w:rPr>
        <w:t xml:space="preserve">  （2）  </w:t>
      </w:r>
      <w:r>
        <w:rPr>
          <w:rFonts w:hint="eastAsia" w:ascii="Times New Roman"/>
          <w:color w:val="auto"/>
          <w:sz w:val="24"/>
          <w:szCs w:val="24"/>
          <w:highlight w:val="none"/>
        </w:rPr>
        <w:t>种方式解决：</w:t>
      </w:r>
    </w:p>
    <w:p w14:paraId="15293C0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（1）向</w:t>
      </w:r>
      <w:r>
        <w:rPr>
          <w:rFonts w:hint="eastAsia" w:ascii="Times New Roman"/>
          <w:color w:val="auto"/>
          <w:sz w:val="24"/>
          <w:szCs w:val="21"/>
          <w:highlight w:val="none"/>
          <w:u w:val="single"/>
        </w:rPr>
        <w:t xml:space="preserve">  合肥   </w:t>
      </w:r>
      <w:r>
        <w:rPr>
          <w:rFonts w:hint="eastAsia" w:ascii="Times New Roman"/>
          <w:color w:val="auto"/>
          <w:sz w:val="24"/>
          <w:szCs w:val="24"/>
          <w:highlight w:val="none"/>
        </w:rPr>
        <w:t>仲裁委员会申请仲裁；</w:t>
      </w:r>
    </w:p>
    <w:p w14:paraId="56391279">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（2）向</w:t>
      </w:r>
      <w:r>
        <w:rPr>
          <w:rFonts w:hint="eastAsia" w:ascii="Times New Roman"/>
          <w:color w:val="auto"/>
          <w:sz w:val="24"/>
          <w:szCs w:val="21"/>
          <w:highlight w:val="none"/>
          <w:u w:val="single"/>
        </w:rPr>
        <w:t xml:space="preserve">  工程所在地 </w:t>
      </w:r>
      <w:r>
        <w:rPr>
          <w:rFonts w:hint="eastAsia" w:ascii="Times New Roman"/>
          <w:color w:val="auto"/>
          <w:sz w:val="24"/>
          <w:szCs w:val="24"/>
          <w:highlight w:val="none"/>
        </w:rPr>
        <w:t>人民法院起诉。</w:t>
      </w:r>
      <w:bookmarkEnd w:id="881"/>
      <w:bookmarkEnd w:id="882"/>
      <w:bookmarkEnd w:id="883"/>
      <w:bookmarkEnd w:id="884"/>
      <w:bookmarkEnd w:id="885"/>
      <w:bookmarkEnd w:id="886"/>
    </w:p>
    <w:p w14:paraId="6DA6BEF3">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黑体"/>
          <w:color w:val="auto"/>
          <w:sz w:val="24"/>
          <w:szCs w:val="24"/>
          <w:highlight w:val="none"/>
        </w:rPr>
        <w:t>21. 补充条款</w:t>
      </w:r>
      <w:r>
        <w:rPr>
          <w:rFonts w:hint="eastAsia" w:ascii="Times New Roman" w:eastAsia="Times New Roman"/>
          <w:color w:val="auto"/>
          <w:sz w:val="24"/>
          <w:szCs w:val="24"/>
          <w:highlight w:val="none"/>
        </w:rPr>
        <w:t xml:space="preserve"> </w:t>
      </w:r>
    </w:p>
    <w:p w14:paraId="66867E5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本补充条款是专用条款的一部分，其解释顺序优先于专用条款内的其他条款。</w:t>
      </w:r>
    </w:p>
    <w:p w14:paraId="39CF2967">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黑体"/>
          <w:color w:val="auto"/>
          <w:sz w:val="24"/>
          <w:szCs w:val="28"/>
          <w:highlight w:val="none"/>
        </w:rPr>
        <w:t>2</w:t>
      </w:r>
      <w:r>
        <w:rPr>
          <w:rFonts w:hint="eastAsia" w:ascii="Times New Roman" w:eastAsia="Times New Roman"/>
          <w:color w:val="auto"/>
          <w:sz w:val="24"/>
          <w:szCs w:val="28"/>
          <w:highlight w:val="none"/>
        </w:rPr>
        <w:t>1.1</w:t>
      </w:r>
      <w:r>
        <w:rPr>
          <w:rFonts w:hint="eastAsia" w:ascii="Times New Roman" w:eastAsia="黑体"/>
          <w:color w:val="auto"/>
          <w:sz w:val="24"/>
          <w:szCs w:val="28"/>
          <w:highlight w:val="none"/>
        </w:rPr>
        <w:t xml:space="preserve"> 人员及职责</w:t>
      </w:r>
    </w:p>
    <w:p w14:paraId="128B964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1.1.1</w:t>
      </w:r>
      <w:r>
        <w:rPr>
          <w:rFonts w:hint="eastAsia" w:ascii="Times New Roman"/>
          <w:color w:val="auto"/>
          <w:sz w:val="24"/>
          <w:szCs w:val="24"/>
          <w:highlight w:val="none"/>
        </w:rPr>
        <w:t xml:space="preserve"> 发包人委派的发包人代表或监理工程师（以下简称“工程师”）无权更改合同，也无权解除发包人和承包人的义务和责任。</w:t>
      </w:r>
    </w:p>
    <w:p w14:paraId="69A16B2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1.1.2</w:t>
      </w:r>
      <w:r>
        <w:rPr>
          <w:rFonts w:hint="eastAsia" w:ascii="Times New Roman"/>
          <w:color w:val="auto"/>
          <w:sz w:val="24"/>
          <w:szCs w:val="24"/>
          <w:highlight w:val="none"/>
        </w:rPr>
        <w:t xml:space="preserve"> 发包人代表的任何批准、检查、证书、同意、通知、建议、检验、指令和要求等不解除承包人在合同中的责任。</w:t>
      </w:r>
    </w:p>
    <w:p w14:paraId="0E1A252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1.1.3</w:t>
      </w:r>
      <w:r>
        <w:rPr>
          <w:rFonts w:hint="eastAsia" w:ascii="Times New Roman"/>
          <w:color w:val="auto"/>
          <w:sz w:val="24"/>
          <w:szCs w:val="24"/>
          <w:highlight w:val="none"/>
        </w:rPr>
        <w:t xml:space="preserve"> 承包人只能从发包人代表或其授权代表处接受指令。</w:t>
      </w:r>
    </w:p>
    <w:p w14:paraId="4CA2145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1.1.4</w:t>
      </w:r>
      <w:r>
        <w:rPr>
          <w:rFonts w:hint="eastAsia" w:ascii="Times New Roman"/>
          <w:color w:val="auto"/>
          <w:sz w:val="24"/>
          <w:szCs w:val="24"/>
          <w:highlight w:val="none"/>
        </w:rPr>
        <w:t xml:space="preserve"> 发包人如需更换发包人代表须提前</w:t>
      </w:r>
      <w:r>
        <w:rPr>
          <w:rFonts w:hint="eastAsia" w:ascii="Times New Roman" w:eastAsia="Times New Roman"/>
          <w:color w:val="auto"/>
          <w:sz w:val="24"/>
          <w:szCs w:val="24"/>
          <w:highlight w:val="none"/>
        </w:rPr>
        <w:t>7</w:t>
      </w:r>
      <w:r>
        <w:rPr>
          <w:rFonts w:hint="eastAsia" w:ascii="Times New Roman"/>
          <w:color w:val="auto"/>
          <w:sz w:val="24"/>
          <w:szCs w:val="24"/>
          <w:highlight w:val="none"/>
        </w:rPr>
        <w:t>天通知承包人。</w:t>
      </w:r>
    </w:p>
    <w:p w14:paraId="62C2DE20">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1.1.5</w:t>
      </w:r>
      <w:r>
        <w:rPr>
          <w:rFonts w:hint="eastAsia" w:ascii="Times New Roman"/>
          <w:color w:val="auto"/>
          <w:sz w:val="24"/>
          <w:szCs w:val="24"/>
          <w:highlight w:val="none"/>
        </w:rPr>
        <w:t xml:space="preserve"> 承包人委任的项目经理、项目技术负责人、各专业负责人（其他主要管理人员和技术人员）及施工机械等在整个项目施工期内必须在位。</w:t>
      </w:r>
    </w:p>
    <w:p w14:paraId="79D751A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承包人的项目经理离开现场的，须经发包人代表同意，并书面指定临时代表，代为行使项目经理的权力；该临时代表的一切行为，甲方均认为是项目经理的行为。</w:t>
      </w:r>
    </w:p>
    <w:p w14:paraId="334AC36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w:t>
      </w:r>
      <w:r>
        <w:rPr>
          <w:rFonts w:hint="eastAsia" w:ascii="Times New Roman"/>
          <w:color w:val="auto"/>
          <w:sz w:val="24"/>
          <w:szCs w:val="24"/>
          <w:highlight w:val="none"/>
        </w:rPr>
        <w:t>6 承包人提交发包人的任何文件，发包人都认为该文件已经承包人内部程序批准；承包人提交的文件发生修改的，应及时将最新版本提交发包人代表。</w:t>
      </w:r>
    </w:p>
    <w:p w14:paraId="63F8DAC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w:t>
      </w:r>
      <w:r>
        <w:rPr>
          <w:rFonts w:hint="eastAsia" w:ascii="Times New Roman"/>
          <w:color w:val="auto"/>
          <w:sz w:val="24"/>
          <w:szCs w:val="24"/>
          <w:highlight w:val="none"/>
        </w:rPr>
        <w:t>7 承包人应始终采取一切合理防范措施来避免在项目人员内部发生违法、动乱或妨碍治安的行为，保持项目的安定；并保护好现场和周围的人员和财产安全。</w:t>
      </w:r>
    </w:p>
    <w:p w14:paraId="2637CCA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w:t>
      </w:r>
      <w:r>
        <w:rPr>
          <w:rFonts w:hint="eastAsia" w:ascii="Times New Roman"/>
          <w:color w:val="auto"/>
          <w:sz w:val="24"/>
          <w:szCs w:val="24"/>
          <w:highlight w:val="none"/>
        </w:rPr>
        <w:t>8 承包人雇佣职员或工人应遵守相关法律法规的规定。</w:t>
      </w:r>
    </w:p>
    <w:p w14:paraId="4F92289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w:t>
      </w:r>
      <w:r>
        <w:rPr>
          <w:rFonts w:hint="eastAsia" w:ascii="Times New Roman"/>
          <w:color w:val="auto"/>
          <w:sz w:val="24"/>
          <w:szCs w:val="24"/>
          <w:highlight w:val="none"/>
        </w:rPr>
        <w:t>9 参与本项目的承包人代表或其雇员不遵守合同规定或一贯行为不轨或不能胜任工作或危害安全，发包人代表有权要求更换；原人选未经发包人许可不得再进入本项目（包括项目经理在内）。</w:t>
      </w:r>
    </w:p>
    <w:p w14:paraId="4E59B98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1.1.1</w:t>
      </w:r>
      <w:r>
        <w:rPr>
          <w:rFonts w:hint="eastAsia" w:ascii="Times New Roman"/>
          <w:color w:val="auto"/>
          <w:sz w:val="24"/>
          <w:szCs w:val="24"/>
          <w:highlight w:val="none"/>
        </w:rPr>
        <w:t>0 承包人更换项目经理的，须提前</w:t>
      </w:r>
      <w:r>
        <w:rPr>
          <w:rFonts w:hint="eastAsia" w:ascii="Times New Roman" w:eastAsia="Times New Roman"/>
          <w:color w:val="auto"/>
          <w:sz w:val="24"/>
          <w:szCs w:val="24"/>
          <w:highlight w:val="none"/>
        </w:rPr>
        <w:t>14</w:t>
      </w:r>
      <w:r>
        <w:rPr>
          <w:rFonts w:hint="eastAsia" w:ascii="Times New Roman"/>
          <w:color w:val="auto"/>
          <w:sz w:val="24"/>
          <w:szCs w:val="24"/>
          <w:highlight w:val="none"/>
        </w:rPr>
        <w:t>天通知发包人，并征得发包人同意；该行为视为违约，承包人须支付发包人</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万元违约金。更换后的项目经理资历、水平不得降低。</w:t>
      </w:r>
    </w:p>
    <w:p w14:paraId="09B01CB0">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黑体"/>
          <w:color w:val="auto"/>
          <w:sz w:val="24"/>
          <w:szCs w:val="28"/>
          <w:highlight w:val="none"/>
        </w:rPr>
        <w:t>2</w:t>
      </w:r>
      <w:r>
        <w:rPr>
          <w:rFonts w:hint="eastAsia" w:ascii="Times New Roman" w:eastAsia="Times New Roman"/>
          <w:color w:val="auto"/>
          <w:sz w:val="24"/>
          <w:szCs w:val="28"/>
          <w:highlight w:val="none"/>
        </w:rPr>
        <w:t>1.2</w:t>
      </w:r>
      <w:r>
        <w:rPr>
          <w:rFonts w:hint="eastAsia" w:ascii="Times New Roman" w:eastAsia="黑体"/>
          <w:color w:val="auto"/>
          <w:sz w:val="24"/>
          <w:szCs w:val="28"/>
          <w:highlight w:val="none"/>
        </w:rPr>
        <w:t xml:space="preserve"> 变更与调整</w:t>
      </w:r>
    </w:p>
    <w:p w14:paraId="1B6C073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1.2.1</w:t>
      </w:r>
      <w:r>
        <w:rPr>
          <w:rFonts w:hint="eastAsia" w:ascii="Times New Roman"/>
          <w:color w:val="auto"/>
          <w:sz w:val="24"/>
          <w:szCs w:val="24"/>
          <w:highlight w:val="none"/>
        </w:rPr>
        <w:t xml:space="preserve"> 在工程移交前，发包人代表有权签发变更指令，承包人应按照指令来实施变更，并进行工期和费用的估算，提交发包人代表。</w:t>
      </w:r>
    </w:p>
    <w:p w14:paraId="4F5B0FB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1.2.2</w:t>
      </w:r>
      <w:r>
        <w:rPr>
          <w:rFonts w:hint="eastAsia" w:ascii="Times New Roman"/>
          <w:color w:val="auto"/>
          <w:sz w:val="24"/>
          <w:szCs w:val="24"/>
          <w:highlight w:val="none"/>
        </w:rPr>
        <w:t xml:space="preserve"> 发包人代表收到承包人的估算后，可以决定撤销、修改或确认实施该项变更。</w:t>
      </w:r>
    </w:p>
    <w:p w14:paraId="4934D4C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1.2.3</w:t>
      </w:r>
      <w:r>
        <w:rPr>
          <w:rFonts w:hint="eastAsia" w:ascii="Times New Roman"/>
          <w:color w:val="auto"/>
          <w:sz w:val="24"/>
          <w:szCs w:val="24"/>
          <w:highlight w:val="none"/>
        </w:rPr>
        <w:t xml:space="preserve"> 如果承包人认为自己的建议能缩短工期、降低工程实施或运营成本，或对业主产生其他利益，可以向发包人代表提交建议书；建议书的编制费用自理。</w:t>
      </w:r>
    </w:p>
    <w:p w14:paraId="01552633">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1.2.4</w:t>
      </w:r>
      <w:r>
        <w:rPr>
          <w:rFonts w:hint="eastAsia" w:ascii="Times New Roman"/>
          <w:color w:val="auto"/>
          <w:sz w:val="24"/>
          <w:szCs w:val="24"/>
          <w:highlight w:val="none"/>
        </w:rPr>
        <w:t xml:space="preserve"> 如果发包人采纳承包人的建议节省了工程费用，将给予承包人节约费用适当比例的奖励。</w:t>
      </w:r>
    </w:p>
    <w:p w14:paraId="27FFD32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1.2.5</w:t>
      </w:r>
      <w:r>
        <w:rPr>
          <w:rFonts w:hint="eastAsia" w:ascii="Times New Roman"/>
          <w:color w:val="auto"/>
          <w:sz w:val="24"/>
          <w:szCs w:val="24"/>
          <w:highlight w:val="none"/>
        </w:rPr>
        <w:t xml:space="preserve"> 上一款中节省费用的计算方法为：降低的合同额度减去因变更而引起在工程质量、寿命、以及运营效率等方面为发包人带来的潜在损失。</w:t>
      </w:r>
    </w:p>
    <w:p w14:paraId="06E6018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1.2.6</w:t>
      </w:r>
      <w:r>
        <w:rPr>
          <w:rFonts w:hint="eastAsia" w:ascii="Times New Roman"/>
          <w:color w:val="auto"/>
          <w:sz w:val="24"/>
          <w:szCs w:val="24"/>
          <w:highlight w:val="none"/>
        </w:rPr>
        <w:t xml:space="preserve"> 任何变更指令都应由发包人代表签发给承包人，承包人收到后应回函说明；涉及费用调整的，按照相关条款执行。</w:t>
      </w:r>
    </w:p>
    <w:p w14:paraId="7472A4A1">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1.2.7</w:t>
      </w:r>
      <w:r>
        <w:rPr>
          <w:rFonts w:hint="eastAsia" w:ascii="Times New Roman"/>
          <w:color w:val="auto"/>
          <w:sz w:val="24"/>
          <w:szCs w:val="24"/>
          <w:highlight w:val="none"/>
        </w:rPr>
        <w:t xml:space="preserve"> 设计文件示意内容的尺寸做法、要求等标注有错误、有遗漏，或理解不一致，发包人或其委托的勘察设计单位根据工程施工需要而对其进行更正和补充的，称为技术核定；技术核定不调整合同价款，也不调整工期。</w:t>
      </w:r>
    </w:p>
    <w:p w14:paraId="0A14363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1.2.8</w:t>
      </w:r>
      <w:r>
        <w:rPr>
          <w:rFonts w:hint="eastAsia" w:ascii="Times New Roman"/>
          <w:color w:val="auto"/>
          <w:sz w:val="24"/>
          <w:szCs w:val="24"/>
          <w:highlight w:val="none"/>
        </w:rPr>
        <w:t xml:space="preserve"> 未经发包人代表批准，承包人不得对工程进行任何变更。</w:t>
      </w:r>
    </w:p>
    <w:p w14:paraId="2FB3DB75">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黑体"/>
          <w:color w:val="auto"/>
          <w:sz w:val="24"/>
          <w:szCs w:val="28"/>
          <w:highlight w:val="none"/>
        </w:rPr>
        <w:t>2</w:t>
      </w:r>
      <w:r>
        <w:rPr>
          <w:rFonts w:hint="eastAsia" w:ascii="Times New Roman" w:eastAsia="Times New Roman"/>
          <w:color w:val="auto"/>
          <w:sz w:val="24"/>
          <w:szCs w:val="28"/>
          <w:highlight w:val="none"/>
        </w:rPr>
        <w:t>1.3</w:t>
      </w:r>
      <w:r>
        <w:rPr>
          <w:rFonts w:hint="eastAsia" w:ascii="Times New Roman" w:eastAsia="黑体"/>
          <w:color w:val="auto"/>
          <w:sz w:val="24"/>
          <w:szCs w:val="28"/>
          <w:highlight w:val="none"/>
        </w:rPr>
        <w:t xml:space="preserve"> 分包与配合</w:t>
      </w:r>
    </w:p>
    <w:p w14:paraId="4FB4E7C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1.3.1</w:t>
      </w:r>
      <w:r>
        <w:rPr>
          <w:rFonts w:hint="eastAsia" w:ascii="Times New Roman"/>
          <w:color w:val="auto"/>
          <w:sz w:val="24"/>
          <w:szCs w:val="24"/>
          <w:highlight w:val="none"/>
        </w:rPr>
        <w:t xml:space="preserve"> 承包人进行工程分包的，应遵守通用条款相关规定，发包人视其为承包人自行施工的工程；发包人代表对分包的同意或批准并不解除承包人的任何责任，也不代表发包人对此承担任何责任。</w:t>
      </w:r>
    </w:p>
    <w:p w14:paraId="6BDE41B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1.3.2</w:t>
      </w:r>
      <w:r>
        <w:rPr>
          <w:rFonts w:hint="eastAsia" w:ascii="Times New Roman"/>
          <w:color w:val="auto"/>
          <w:sz w:val="24"/>
          <w:szCs w:val="24"/>
          <w:highlight w:val="none"/>
        </w:rPr>
        <w:t xml:space="preserve"> 发包人分包的专业工程范围如下：</w:t>
      </w:r>
      <w:r>
        <w:rPr>
          <w:rFonts w:hint="eastAsia" w:ascii="Times New Roman" w:eastAsia="Times New Roman"/>
          <w:color w:val="auto"/>
          <w:sz w:val="24"/>
          <w:szCs w:val="24"/>
          <w:highlight w:val="none"/>
        </w:rPr>
        <w:t xml:space="preserve"> </w:t>
      </w:r>
    </w:p>
    <w:p w14:paraId="4E36FC0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1</w:t>
      </w:r>
      <w:r>
        <w:rPr>
          <w:rFonts w:hint="eastAsia" w:ascii="Times New Roman"/>
          <w:color w:val="auto"/>
          <w:sz w:val="24"/>
          <w:szCs w:val="24"/>
          <w:highlight w:val="none"/>
        </w:rPr>
        <w:t>）</w:t>
      </w:r>
      <w:r>
        <w:rPr>
          <w:rFonts w:hint="eastAsia" w:ascii="Times New Roman" w:eastAsia="Times New Roman"/>
          <w:color w:val="auto"/>
          <w:sz w:val="24"/>
          <w:szCs w:val="24"/>
          <w:highlight w:val="none"/>
          <w:u w:val="single"/>
        </w:rPr>
        <w:t xml:space="preserve">                           </w:t>
      </w:r>
    </w:p>
    <w:p w14:paraId="57E2324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2</w:t>
      </w:r>
      <w:r>
        <w:rPr>
          <w:rFonts w:hint="eastAsia" w:ascii="Times New Roman"/>
          <w:color w:val="auto"/>
          <w:sz w:val="24"/>
          <w:szCs w:val="24"/>
          <w:highlight w:val="none"/>
        </w:rPr>
        <w:t>）</w:t>
      </w:r>
      <w:r>
        <w:rPr>
          <w:rFonts w:hint="eastAsia" w:ascii="Times New Roman" w:eastAsia="Times New Roman"/>
          <w:color w:val="auto"/>
          <w:sz w:val="24"/>
          <w:szCs w:val="24"/>
          <w:highlight w:val="none"/>
          <w:u w:val="single"/>
        </w:rPr>
        <w:t xml:space="preserve">                           </w:t>
      </w:r>
    </w:p>
    <w:p w14:paraId="6135F03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1.3.3</w:t>
      </w:r>
      <w:r>
        <w:rPr>
          <w:rFonts w:hint="eastAsia" w:ascii="Times New Roman"/>
          <w:color w:val="auto"/>
          <w:sz w:val="24"/>
          <w:szCs w:val="24"/>
          <w:highlight w:val="none"/>
        </w:rPr>
        <w:t xml:space="preserve"> 发包人通过招标方式选择专业工程分包施工单位，承包人参与分包工程的招标，认可招标结果，并作为总包单位与分包工程的中标人（以下简称“分包人”）签订工程分包施工合同。</w:t>
      </w:r>
    </w:p>
    <w:p w14:paraId="4048BA0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1.3.4</w:t>
      </w:r>
      <w:r>
        <w:rPr>
          <w:rFonts w:hint="eastAsia" w:ascii="Times New Roman"/>
          <w:color w:val="auto"/>
          <w:sz w:val="24"/>
          <w:szCs w:val="24"/>
          <w:highlight w:val="none"/>
        </w:rPr>
        <w:t xml:space="preserve"> 发包人支付给承包人专业分包工程合同价款（不含设备价格）的</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作为总承包服务配合费用，承包人不得向分包人收取其他费用；该项费用包括但不限于以下内容：</w:t>
      </w:r>
    </w:p>
    <w:p w14:paraId="12B9714A">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1</w:t>
      </w:r>
      <w:r>
        <w:rPr>
          <w:rFonts w:hint="eastAsia" w:ascii="Times New Roman"/>
          <w:color w:val="auto"/>
          <w:sz w:val="24"/>
          <w:szCs w:val="24"/>
          <w:highlight w:val="none"/>
        </w:rPr>
        <w:t>）乙方承担总包责任所发生的费用。</w:t>
      </w:r>
    </w:p>
    <w:p w14:paraId="3DA52DB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2</w:t>
      </w:r>
      <w:r>
        <w:rPr>
          <w:rFonts w:hint="eastAsia" w:ascii="Times New Roman"/>
          <w:color w:val="auto"/>
          <w:sz w:val="24"/>
          <w:szCs w:val="24"/>
          <w:highlight w:val="none"/>
        </w:rPr>
        <w:t>）“分包工程”施工完毕、土建工程的收尾和修复以及使用承包人的施工所用水电管线等费用（水电费用装表计量，按照实际用量结算）。</w:t>
      </w:r>
    </w:p>
    <w:p w14:paraId="0A451E3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3</w:t>
      </w:r>
      <w:r>
        <w:rPr>
          <w:rFonts w:hint="eastAsia" w:ascii="Times New Roman"/>
          <w:color w:val="auto"/>
          <w:sz w:val="24"/>
          <w:szCs w:val="24"/>
          <w:highlight w:val="none"/>
        </w:rPr>
        <w:t>）分包人使用承包人现场临时工程及在用的脚手架、塔吊、施工电梯等费用。</w:t>
      </w:r>
    </w:p>
    <w:p w14:paraId="3E36FD18">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4</w:t>
      </w:r>
      <w:r>
        <w:rPr>
          <w:rFonts w:hint="eastAsia" w:ascii="Times New Roman"/>
          <w:color w:val="auto"/>
          <w:sz w:val="24"/>
          <w:szCs w:val="24"/>
          <w:highlight w:val="none"/>
        </w:rPr>
        <w:t>）分包人使用工程的施工道路，到总包单位搭伙，使用总包单位的卫生间等。</w:t>
      </w:r>
    </w:p>
    <w:p w14:paraId="05BE293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5</w:t>
      </w:r>
      <w:r>
        <w:rPr>
          <w:rFonts w:hint="eastAsia" w:ascii="Times New Roman"/>
          <w:color w:val="auto"/>
          <w:sz w:val="24"/>
          <w:szCs w:val="24"/>
          <w:highlight w:val="none"/>
        </w:rPr>
        <w:t>）门窗洞口、安装工程管道口、楼地面墙面凿洞、槽等的后塞及修补等，以及整个工程的安全保卫等。</w:t>
      </w:r>
    </w:p>
    <w:p w14:paraId="36D0BF15">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6</w:t>
      </w:r>
      <w:r>
        <w:rPr>
          <w:rFonts w:hint="eastAsia" w:ascii="Times New Roman"/>
          <w:color w:val="auto"/>
          <w:sz w:val="24"/>
          <w:szCs w:val="24"/>
          <w:highlight w:val="none"/>
        </w:rPr>
        <w:t>）为分包人提供标高、轴线、定位，隐蔽工程指引等。</w:t>
      </w:r>
    </w:p>
    <w:p w14:paraId="5192558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7</w:t>
      </w:r>
      <w:r>
        <w:rPr>
          <w:rFonts w:hint="eastAsia" w:ascii="Times New Roman"/>
          <w:color w:val="auto"/>
          <w:sz w:val="24"/>
          <w:szCs w:val="24"/>
          <w:highlight w:val="none"/>
        </w:rPr>
        <w:t>）分包人的工程资料收集整理和移交；工程质量的检验和验收。</w:t>
      </w:r>
    </w:p>
    <w:p w14:paraId="3C23BDA0">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8</w:t>
      </w:r>
      <w:r>
        <w:rPr>
          <w:rFonts w:hint="eastAsia" w:ascii="Times New Roman"/>
          <w:color w:val="auto"/>
          <w:sz w:val="24"/>
          <w:szCs w:val="24"/>
          <w:highlight w:val="none"/>
        </w:rPr>
        <w:t>）保证分包工程在施工期间有足够的工作面，保证其按时开工和连续施工，并承担因乙方原因使分包工程不能按时开工和配合不及时造成的工期延误责任。</w:t>
      </w:r>
    </w:p>
    <w:p w14:paraId="48D63F29">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1.3.5</w:t>
      </w:r>
      <w:r>
        <w:rPr>
          <w:rFonts w:hint="eastAsia" w:ascii="Times New Roman"/>
          <w:color w:val="auto"/>
          <w:sz w:val="24"/>
          <w:szCs w:val="24"/>
          <w:highlight w:val="none"/>
        </w:rPr>
        <w:t xml:space="preserve"> 配合工程：是指某一位于施工现场内或现场外的工程，并非由承包人施工或总包，但与承包人的工程有一定联系，需要承包人配合的工程；配合工程如下：</w:t>
      </w:r>
    </w:p>
    <w:p w14:paraId="1E35F5D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1</w:t>
      </w:r>
      <w:r>
        <w:rPr>
          <w:rFonts w:hint="eastAsia" w:ascii="Times New Roman"/>
          <w:color w:val="auto"/>
          <w:sz w:val="24"/>
          <w:szCs w:val="24"/>
          <w:highlight w:val="none"/>
        </w:rPr>
        <w:t>）</w:t>
      </w:r>
      <w:r>
        <w:rPr>
          <w:rFonts w:hint="eastAsia" w:ascii="Times New Roman" w:eastAsia="Times New Roman"/>
          <w:color w:val="auto"/>
          <w:sz w:val="24"/>
          <w:szCs w:val="24"/>
          <w:highlight w:val="none"/>
          <w:u w:val="single"/>
        </w:rPr>
        <w:t xml:space="preserve">                                     </w:t>
      </w:r>
    </w:p>
    <w:p w14:paraId="75DDD98F">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2</w:t>
      </w:r>
      <w:r>
        <w:rPr>
          <w:rFonts w:hint="eastAsia" w:ascii="Times New Roman"/>
          <w:color w:val="auto"/>
          <w:sz w:val="24"/>
          <w:szCs w:val="24"/>
          <w:highlight w:val="none"/>
        </w:rPr>
        <w:t>）</w:t>
      </w:r>
      <w:r>
        <w:rPr>
          <w:rFonts w:hint="eastAsia" w:ascii="Times New Roman" w:eastAsia="Times New Roman"/>
          <w:color w:val="auto"/>
          <w:sz w:val="24"/>
          <w:szCs w:val="24"/>
          <w:highlight w:val="none"/>
          <w:u w:val="single"/>
        </w:rPr>
        <w:t xml:space="preserve">                                     </w:t>
      </w:r>
    </w:p>
    <w:p w14:paraId="52B9E70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1.3.6</w:t>
      </w:r>
      <w:r>
        <w:rPr>
          <w:rFonts w:hint="eastAsia" w:ascii="Times New Roman"/>
          <w:color w:val="auto"/>
          <w:sz w:val="24"/>
          <w:szCs w:val="24"/>
          <w:highlight w:val="none"/>
        </w:rPr>
        <w:t xml:space="preserve"> 对于配合工程，承包人除不需要承办总包责任外，其他责任和义务同分包工程；发包人给予承包人</w:t>
      </w:r>
      <w:r>
        <w:rPr>
          <w:rFonts w:hint="eastAsia" w:ascii="Times New Roman" w:eastAsia="Times New Roman"/>
          <w:color w:val="auto"/>
          <w:sz w:val="24"/>
          <w:szCs w:val="24"/>
          <w:highlight w:val="none"/>
          <w:u w:val="single"/>
        </w:rPr>
        <w:t xml:space="preserve">    </w:t>
      </w:r>
      <w:r>
        <w:rPr>
          <w:rFonts w:hint="eastAsia" w:ascii="Times New Roman"/>
          <w:color w:val="auto"/>
          <w:sz w:val="24"/>
          <w:szCs w:val="24"/>
          <w:highlight w:val="none"/>
        </w:rPr>
        <w:t>万元作为承包人承担配合工作的配合费用。</w:t>
      </w:r>
    </w:p>
    <w:p w14:paraId="6AC55567">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1.3.7</w:t>
      </w:r>
      <w:r>
        <w:rPr>
          <w:rFonts w:hint="eastAsia" w:ascii="Times New Roman"/>
          <w:color w:val="auto"/>
          <w:sz w:val="24"/>
          <w:szCs w:val="24"/>
          <w:highlight w:val="none"/>
        </w:rPr>
        <w:t xml:space="preserve"> 凡在与已交工工程有关联的部位施工时，必须提前向甲方提出书面联系单，经甲方同意，并签字后方可施工。</w:t>
      </w:r>
    </w:p>
    <w:p w14:paraId="35A97FF8">
      <w:pPr>
        <w:keepNext/>
        <w:keepLines/>
        <w:spacing w:before="120" w:beforeLines="0" w:after="120" w:afterLines="0" w:line="360" w:lineRule="auto"/>
        <w:ind w:firstLine="480" w:firstLineChars="200"/>
        <w:outlineLvl w:val="3"/>
        <w:rPr>
          <w:rFonts w:hint="eastAsia" w:ascii="Times New Roman" w:eastAsia="Times New Roman"/>
          <w:color w:val="auto"/>
          <w:sz w:val="24"/>
          <w:szCs w:val="28"/>
          <w:highlight w:val="none"/>
        </w:rPr>
      </w:pPr>
      <w:r>
        <w:rPr>
          <w:rFonts w:hint="eastAsia" w:ascii="Times New Roman" w:eastAsia="黑体"/>
          <w:color w:val="auto"/>
          <w:sz w:val="24"/>
          <w:szCs w:val="28"/>
          <w:highlight w:val="none"/>
        </w:rPr>
        <w:t>2</w:t>
      </w:r>
      <w:r>
        <w:rPr>
          <w:rFonts w:hint="eastAsia" w:ascii="Times New Roman" w:eastAsia="Times New Roman"/>
          <w:color w:val="auto"/>
          <w:sz w:val="24"/>
          <w:szCs w:val="28"/>
          <w:highlight w:val="none"/>
        </w:rPr>
        <w:t>1.4</w:t>
      </w:r>
      <w:r>
        <w:rPr>
          <w:rFonts w:hint="eastAsia" w:ascii="Times New Roman" w:eastAsia="黑体"/>
          <w:color w:val="auto"/>
          <w:sz w:val="24"/>
          <w:szCs w:val="28"/>
          <w:highlight w:val="none"/>
        </w:rPr>
        <w:t xml:space="preserve"> 结算</w:t>
      </w:r>
    </w:p>
    <w:p w14:paraId="1E5BFB5D">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1.4.1</w:t>
      </w:r>
      <w:r>
        <w:rPr>
          <w:rFonts w:hint="eastAsia" w:ascii="Times New Roman"/>
          <w:color w:val="auto"/>
          <w:sz w:val="24"/>
          <w:szCs w:val="24"/>
          <w:highlight w:val="none"/>
        </w:rPr>
        <w:t xml:space="preserve"> 承包人的投标报价（合同价款）是承包人基于业主提供的资料和现场数据及承包人的解释和现场考察计算出来的，覆盖了完成合同义务所包括的一切工作，不得以漏项或考虑不周提出索赔。</w:t>
      </w:r>
    </w:p>
    <w:p w14:paraId="116D0A1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1.4.2</w:t>
      </w:r>
      <w:r>
        <w:rPr>
          <w:rFonts w:hint="eastAsia" w:ascii="Times New Roman"/>
          <w:color w:val="auto"/>
          <w:sz w:val="24"/>
          <w:szCs w:val="24"/>
          <w:highlight w:val="none"/>
        </w:rPr>
        <w:t xml:space="preserve"> 水电费的结算：</w:t>
      </w:r>
    </w:p>
    <w:p w14:paraId="18BC5B5B">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1</w:t>
      </w:r>
      <w:r>
        <w:rPr>
          <w:rFonts w:hint="eastAsia" w:ascii="Times New Roman"/>
          <w:color w:val="auto"/>
          <w:sz w:val="24"/>
          <w:szCs w:val="24"/>
          <w:highlight w:val="none"/>
        </w:rPr>
        <w:t>）发包人在现场安装计量装置，承包人负责施工期间的保护，并在工程移交的同时完好地移交给发包人。</w:t>
      </w:r>
    </w:p>
    <w:p w14:paraId="0FC5080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2</w:t>
      </w:r>
      <w:r>
        <w:rPr>
          <w:rFonts w:hint="eastAsia" w:ascii="Times New Roman"/>
          <w:color w:val="auto"/>
          <w:sz w:val="24"/>
          <w:szCs w:val="24"/>
          <w:highlight w:val="none"/>
        </w:rPr>
        <w:t>）承包人投标报价已经包含水电费用，工程结算时按照发包人实际缴纳的水电费在结算价（税前）中扣除。</w:t>
      </w:r>
    </w:p>
    <w:p w14:paraId="344E66A2">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w:t>
      </w:r>
      <w:r>
        <w:rPr>
          <w:rFonts w:hint="eastAsia" w:ascii="Times New Roman" w:eastAsia="Times New Roman"/>
          <w:color w:val="auto"/>
          <w:sz w:val="24"/>
          <w:szCs w:val="24"/>
          <w:highlight w:val="none"/>
        </w:rPr>
        <w:t>3</w:t>
      </w:r>
      <w:r>
        <w:rPr>
          <w:rFonts w:hint="eastAsia" w:ascii="Times New Roman"/>
          <w:color w:val="auto"/>
          <w:sz w:val="24"/>
          <w:szCs w:val="24"/>
          <w:highlight w:val="none"/>
        </w:rPr>
        <w:t>）因承包人保护不善造成计量装置损坏，承包人负责修复，并承担由此造成的增加费用（包括修复费用和水电损失费用以及可能发生的罚款或其他费用）。</w:t>
      </w:r>
    </w:p>
    <w:p w14:paraId="5063E8D8">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21.4.3 发包人供应材料设备的结算：材料按照总价的</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%计取保管费（材料数量最多不超过设计文件的用量（可以计算定额损耗））；设备按照总价的</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%计取保管费；此费用仅计取税金。</w:t>
      </w:r>
    </w:p>
    <w:p w14:paraId="44F1D6C4">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1.4.4</w:t>
      </w:r>
      <w:r>
        <w:rPr>
          <w:rFonts w:hint="eastAsia" w:ascii="Times New Roman"/>
          <w:color w:val="auto"/>
          <w:sz w:val="24"/>
          <w:szCs w:val="24"/>
          <w:highlight w:val="none"/>
        </w:rPr>
        <w:t xml:space="preserve"> 分包工程的总承包配合费和配合工程的配合费：分包工程的总承包配合费按照分包工程价格确定，一次包死，不随分包工程结算价款的调整而调整；配合工程的配合费也一次包死；该两项费用仅计取税金。</w:t>
      </w:r>
    </w:p>
    <w:p w14:paraId="13F28496">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1.4.</w:t>
      </w:r>
      <w:r>
        <w:rPr>
          <w:rFonts w:hint="eastAsia" w:ascii="Times New Roman"/>
          <w:color w:val="auto"/>
          <w:sz w:val="24"/>
          <w:szCs w:val="24"/>
          <w:highlight w:val="none"/>
        </w:rPr>
        <w:t>5 对于发包人提供的工程量清单中工程量的错误，承包人未在招标文件规定的异议截止日期前提出异议并附计算书的，工程结算时不再调整。</w:t>
      </w:r>
    </w:p>
    <w:p w14:paraId="51DAA3FD">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1.4.</w:t>
      </w:r>
      <w:r>
        <w:rPr>
          <w:rFonts w:hint="eastAsia" w:ascii="Times New Roman"/>
          <w:color w:val="auto"/>
          <w:sz w:val="24"/>
          <w:szCs w:val="24"/>
          <w:highlight w:val="none"/>
        </w:rPr>
        <w:t>6 若工程量清单遗漏项目或清单多项或清单项目工程量误差超过±3%且招标人未在规定的时间前进行修正并重新发布，且工程量清单遗漏项目、清单多项和清单项目（工程量误差超过±3%）的合计金额增减幅度超过签约合同价3%，招标人仅对超过的部分予以调整，其中工程量清单遗漏项目、清单多项按照合同约定的变更估价规定执行，清单项目（工程量误差超过±3%）按照中标（成交）单价执行</w:t>
      </w:r>
      <w:r>
        <w:rPr>
          <w:rStyle w:val="23"/>
          <w:rFonts w:hint="default" w:ascii="Times New Roman"/>
          <w:color w:val="auto"/>
          <w:sz w:val="24"/>
          <w:szCs w:val="24"/>
          <w:highlight w:val="none"/>
        </w:rPr>
        <w:footnoteReference w:id="6"/>
      </w:r>
      <w:r>
        <w:rPr>
          <w:rFonts w:hint="eastAsia" w:ascii="Times New Roman"/>
          <w:color w:val="auto"/>
          <w:sz w:val="24"/>
          <w:szCs w:val="24"/>
          <w:highlight w:val="none"/>
        </w:rPr>
        <w:t>。</w:t>
      </w:r>
    </w:p>
    <w:p w14:paraId="2EBC0F93">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w:t>
      </w:r>
      <w:r>
        <w:rPr>
          <w:rFonts w:hint="eastAsia" w:ascii="Times New Roman" w:eastAsia="Times New Roman"/>
          <w:color w:val="auto"/>
          <w:sz w:val="24"/>
          <w:szCs w:val="24"/>
          <w:highlight w:val="none"/>
        </w:rPr>
        <w:t>1.4.</w:t>
      </w:r>
      <w:r>
        <w:rPr>
          <w:rFonts w:hint="eastAsia" w:ascii="Times New Roman"/>
          <w:color w:val="auto"/>
          <w:sz w:val="24"/>
          <w:szCs w:val="24"/>
          <w:highlight w:val="none"/>
        </w:rPr>
        <w:t>7 对于发包人提供的工程量清单中的清单项目，承包人没有报价的，发包人认为视同该项价格已经包括在其他项目中。</w:t>
      </w:r>
    </w:p>
    <w:p w14:paraId="2D100A1F">
      <w:pPr>
        <w:keepNext/>
        <w:keepLines/>
        <w:spacing w:before="120" w:beforeLines="0" w:after="120" w:afterLines="0" w:line="360" w:lineRule="auto"/>
        <w:ind w:firstLine="480" w:firstLineChars="200"/>
        <w:outlineLvl w:val="3"/>
        <w:rPr>
          <w:rFonts w:hint="eastAsia" w:ascii="Times New Roman" w:eastAsia="黑体"/>
          <w:color w:val="auto"/>
          <w:sz w:val="24"/>
          <w:szCs w:val="28"/>
          <w:highlight w:val="none"/>
        </w:rPr>
      </w:pPr>
      <w:r>
        <w:rPr>
          <w:rFonts w:hint="eastAsia" w:ascii="Times New Roman" w:eastAsia="黑体"/>
          <w:color w:val="auto"/>
          <w:sz w:val="24"/>
          <w:szCs w:val="28"/>
          <w:highlight w:val="none"/>
        </w:rPr>
        <w:t>21.5 其他</w:t>
      </w:r>
    </w:p>
    <w:p w14:paraId="1FF881DE">
      <w:pPr>
        <w:adjustRightIn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21.5.1 注册地不在合肥市行政区域范围（含四县一市）的中标人，应按照《纳税人跨县（市、区）提供建筑服务增值税征收管理暂行办法》（国家税务总局公告2016年第17号）规定，在建筑服务发生地及时足额预缴增值税。</w:t>
      </w:r>
    </w:p>
    <w:p w14:paraId="4EEAD67C">
      <w:pPr>
        <w:adjustRightInd w:val="0"/>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4"/>
          <w:highlight w:val="none"/>
        </w:rPr>
        <w:t>21.5.2 工程结算审核核减额超过报审金额10%的，其超过10%部分的造价咨询费用由施工单位（合同乙方）承担，建设单位在支付工程结算款时予以代扣，并支付给工程造价咨询单位。</w:t>
      </w:r>
    </w:p>
    <w:p w14:paraId="6B54E1C7">
      <w:pPr>
        <w:spacing w:beforeLines="0" w:afterLines="0" w:line="360" w:lineRule="auto"/>
        <w:rPr>
          <w:rFonts w:hint="eastAsia" w:ascii="Times New Roman"/>
          <w:b/>
          <w:color w:val="auto"/>
          <w:sz w:val="24"/>
          <w:szCs w:val="24"/>
          <w:highlight w:val="none"/>
        </w:rPr>
      </w:pPr>
    </w:p>
    <w:p w14:paraId="750733F0">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发包人：</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（公章）</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承包人：</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（公章）</w:t>
      </w:r>
    </w:p>
    <w:p w14:paraId="393B1A02">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法定代表人或其委托代理人：</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法定代表人或其委托代理人：</w:t>
      </w:r>
    </w:p>
    <w:p w14:paraId="07B2B5AC">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（签字）</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（签字）</w:t>
      </w:r>
    </w:p>
    <w:p w14:paraId="571F10FA">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组织机构代码：</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组织机构代码：</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p>
    <w:p w14:paraId="6FFAEADF">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地</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址：</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地</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址：</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34479430">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邮政编码：</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邮政编码：</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6BAB75DB">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法定代表人：</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法定代表人：</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49324114">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委托代理人：</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委托代理人：</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0EA1D4D7">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电</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话：</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电</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话：</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373F7B37">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传</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真：</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传</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真：</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73FDBC26">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电子信箱：</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电子信箱：</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0C6AC521">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开户银行：</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开户银行：</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p w14:paraId="16A85687">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账</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号：</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 xml:space="preserve">             账</w:t>
      </w:r>
      <w:r>
        <w:rPr>
          <w:rFonts w:hint="eastAsia" w:ascii="Times New Roman" w:eastAsia="Times New Roman"/>
          <w:color w:val="auto"/>
          <w:sz w:val="24"/>
          <w:szCs w:val="24"/>
          <w:highlight w:val="none"/>
        </w:rPr>
        <w:t xml:space="preserve">  </w:t>
      </w:r>
      <w:r>
        <w:rPr>
          <w:rFonts w:hint="eastAsia" w:ascii="Times New Roman"/>
          <w:color w:val="auto"/>
          <w:sz w:val="24"/>
          <w:szCs w:val="24"/>
          <w:highlight w:val="none"/>
        </w:rPr>
        <w:t>号：</w:t>
      </w:r>
      <w:r>
        <w:rPr>
          <w:rFonts w:hint="eastAsia" w:ascii="Times New Roman" w:cs="宋体"/>
          <w:color w:val="auto"/>
          <w:sz w:val="24"/>
          <w:szCs w:val="24"/>
          <w:highlight w:val="none"/>
          <w:u w:val="single"/>
        </w:rPr>
        <w:t></w:t>
      </w:r>
      <w:r>
        <w:rPr>
          <w:rFonts w:hint="eastAsia" w:ascii="Times New Roman" w:eastAsia="Times New Roman"/>
          <w:color w:val="auto"/>
          <w:sz w:val="24"/>
          <w:szCs w:val="24"/>
          <w:highlight w:val="none"/>
          <w:u w:val="single"/>
        </w:rPr>
        <w:t xml:space="preserve">     </w:t>
      </w:r>
    </w:p>
    <w:bookmarkEnd w:id="359"/>
    <w:p w14:paraId="4DC03A3A">
      <w:pPr>
        <w:spacing w:beforeLines="0" w:afterLines="0" w:line="360" w:lineRule="auto"/>
        <w:rPr>
          <w:rFonts w:hint="eastAsia" w:ascii="Times New Roman" w:eastAsia="Times New Roman"/>
          <w:b/>
          <w:color w:val="auto"/>
          <w:sz w:val="24"/>
          <w:szCs w:val="24"/>
          <w:highlight w:val="none"/>
        </w:rPr>
      </w:pPr>
      <w:r>
        <w:rPr>
          <w:rFonts w:hint="eastAsia" w:ascii="Times New Roman"/>
          <w:b/>
          <w:color w:val="auto"/>
          <w:sz w:val="24"/>
          <w:szCs w:val="24"/>
          <w:highlight w:val="none"/>
        </w:rPr>
        <w:t>附件</w:t>
      </w:r>
    </w:p>
    <w:p w14:paraId="70CB74FE">
      <w:pPr>
        <w:spacing w:beforeLines="0" w:afterLines="0" w:line="360" w:lineRule="auto"/>
        <w:rPr>
          <w:rFonts w:hint="eastAsia" w:ascii="Times New Roman" w:eastAsia="Times New Roman"/>
          <w:color w:val="auto"/>
          <w:sz w:val="24"/>
          <w:szCs w:val="24"/>
          <w:highlight w:val="none"/>
        </w:rPr>
      </w:pPr>
      <w:r>
        <w:rPr>
          <w:rFonts w:hint="eastAsia" w:ascii="Times New Roman"/>
          <w:color w:val="auto"/>
          <w:sz w:val="24"/>
          <w:szCs w:val="24"/>
          <w:highlight w:val="none"/>
        </w:rPr>
        <w:t>协议书附件：</w:t>
      </w:r>
    </w:p>
    <w:p w14:paraId="687DB2A9">
      <w:pPr>
        <w:spacing w:beforeLines="0" w:afterLines="0" w:line="360" w:lineRule="auto"/>
        <w:rPr>
          <w:rFonts w:hint="eastAsia" w:ascii="Times New Roman"/>
          <w:color w:val="auto"/>
          <w:sz w:val="24"/>
          <w:szCs w:val="24"/>
          <w:highlight w:val="none"/>
        </w:rPr>
      </w:pPr>
      <w:bookmarkStart w:id="893" w:name="_Toc128950221"/>
      <w:r>
        <w:rPr>
          <w:rFonts w:hint="eastAsia" w:ascii="Times New Roman"/>
          <w:color w:val="auto"/>
          <w:sz w:val="24"/>
          <w:szCs w:val="24"/>
          <w:highlight w:val="none"/>
        </w:rPr>
        <w:t>附件1：承包人承揽工程项目一览表</w:t>
      </w:r>
      <w:bookmarkEnd w:id="893"/>
    </w:p>
    <w:p w14:paraId="52E17977">
      <w:pPr>
        <w:spacing w:beforeLines="0" w:afterLines="0" w:line="360" w:lineRule="auto"/>
        <w:rPr>
          <w:rFonts w:hint="eastAsia" w:ascii="Times New Roman"/>
          <w:color w:val="auto"/>
          <w:sz w:val="24"/>
          <w:szCs w:val="24"/>
          <w:highlight w:val="none"/>
        </w:rPr>
      </w:pPr>
    </w:p>
    <w:p w14:paraId="2DFDAC9C">
      <w:pPr>
        <w:spacing w:beforeLines="0" w:afterLines="0" w:line="360" w:lineRule="auto"/>
        <w:rPr>
          <w:rFonts w:hint="eastAsia" w:ascii="Times New Roman"/>
          <w:color w:val="auto"/>
          <w:sz w:val="24"/>
          <w:szCs w:val="24"/>
          <w:highlight w:val="none"/>
        </w:rPr>
      </w:pPr>
      <w:r>
        <w:rPr>
          <w:rFonts w:hint="eastAsia" w:ascii="Times New Roman"/>
          <w:color w:val="auto"/>
          <w:sz w:val="24"/>
          <w:szCs w:val="24"/>
          <w:highlight w:val="none"/>
        </w:rPr>
        <w:t>专用合同条款附件：</w:t>
      </w:r>
    </w:p>
    <w:p w14:paraId="13170404">
      <w:pPr>
        <w:spacing w:beforeLines="0" w:afterLines="0" w:line="360" w:lineRule="auto"/>
        <w:rPr>
          <w:rFonts w:hint="eastAsia" w:ascii="Times New Roman"/>
          <w:color w:val="auto"/>
          <w:sz w:val="24"/>
          <w:szCs w:val="24"/>
          <w:highlight w:val="none"/>
        </w:rPr>
      </w:pPr>
      <w:bookmarkStart w:id="894" w:name="_Toc128950222"/>
      <w:r>
        <w:rPr>
          <w:rFonts w:hint="eastAsia" w:ascii="Times New Roman"/>
          <w:color w:val="auto"/>
          <w:sz w:val="24"/>
          <w:szCs w:val="24"/>
          <w:highlight w:val="none"/>
        </w:rPr>
        <w:t>附件2：发包人供应材料设备一览表</w:t>
      </w:r>
      <w:bookmarkEnd w:id="894"/>
    </w:p>
    <w:p w14:paraId="41E739F3">
      <w:pPr>
        <w:spacing w:beforeLines="0" w:afterLines="0" w:line="360" w:lineRule="auto"/>
        <w:rPr>
          <w:rFonts w:hint="eastAsia" w:ascii="Times New Roman"/>
          <w:color w:val="auto"/>
          <w:sz w:val="24"/>
          <w:szCs w:val="24"/>
          <w:highlight w:val="none"/>
        </w:rPr>
      </w:pPr>
      <w:bookmarkStart w:id="895" w:name="_Toc128950223"/>
      <w:r>
        <w:rPr>
          <w:rFonts w:hint="eastAsia" w:ascii="Times New Roman"/>
          <w:color w:val="auto"/>
          <w:sz w:val="24"/>
          <w:szCs w:val="24"/>
          <w:highlight w:val="none"/>
        </w:rPr>
        <w:t>附件3：工程质量保修书</w:t>
      </w:r>
      <w:bookmarkEnd w:id="895"/>
    </w:p>
    <w:p w14:paraId="1B2F47CA">
      <w:pPr>
        <w:spacing w:beforeLines="0" w:afterLines="0" w:line="360" w:lineRule="auto"/>
        <w:rPr>
          <w:rFonts w:hint="eastAsia" w:ascii="Times New Roman"/>
          <w:color w:val="auto"/>
          <w:sz w:val="24"/>
          <w:szCs w:val="24"/>
          <w:highlight w:val="none"/>
        </w:rPr>
      </w:pPr>
      <w:bookmarkStart w:id="896" w:name="_Toc128950224"/>
      <w:r>
        <w:rPr>
          <w:rFonts w:hint="eastAsia" w:ascii="Times New Roman"/>
          <w:color w:val="auto"/>
          <w:sz w:val="24"/>
          <w:szCs w:val="24"/>
          <w:highlight w:val="none"/>
        </w:rPr>
        <w:t>附件4：主要建设工程文件目录</w:t>
      </w:r>
      <w:bookmarkEnd w:id="896"/>
    </w:p>
    <w:p w14:paraId="7AC43552">
      <w:pPr>
        <w:spacing w:beforeLines="0" w:afterLines="0" w:line="360" w:lineRule="auto"/>
        <w:rPr>
          <w:rFonts w:hint="eastAsia" w:ascii="Times New Roman"/>
          <w:color w:val="auto"/>
          <w:sz w:val="24"/>
          <w:szCs w:val="24"/>
          <w:highlight w:val="none"/>
        </w:rPr>
      </w:pPr>
      <w:bookmarkStart w:id="897" w:name="_Toc128950225"/>
      <w:r>
        <w:rPr>
          <w:rFonts w:hint="eastAsia" w:ascii="Times New Roman"/>
          <w:color w:val="auto"/>
          <w:sz w:val="24"/>
          <w:szCs w:val="24"/>
          <w:highlight w:val="none"/>
        </w:rPr>
        <w:t>附件5：承包人用于本工程施工的机械设备表</w:t>
      </w:r>
      <w:bookmarkEnd w:id="897"/>
    </w:p>
    <w:p w14:paraId="695290FF">
      <w:pPr>
        <w:spacing w:beforeLines="0" w:afterLines="0" w:line="360" w:lineRule="auto"/>
        <w:rPr>
          <w:rFonts w:hint="eastAsia" w:ascii="Times New Roman"/>
          <w:color w:val="auto"/>
          <w:sz w:val="24"/>
          <w:szCs w:val="24"/>
          <w:highlight w:val="none"/>
        </w:rPr>
      </w:pPr>
      <w:bookmarkStart w:id="898" w:name="_Toc128950226"/>
      <w:r>
        <w:rPr>
          <w:rFonts w:hint="eastAsia" w:ascii="Times New Roman"/>
          <w:color w:val="auto"/>
          <w:sz w:val="24"/>
          <w:szCs w:val="24"/>
          <w:highlight w:val="none"/>
        </w:rPr>
        <w:t>附件6：承包人主要施工管理人员表</w:t>
      </w:r>
      <w:bookmarkEnd w:id="898"/>
    </w:p>
    <w:p w14:paraId="2DC9221B">
      <w:pPr>
        <w:spacing w:beforeLines="0" w:afterLines="0" w:line="360" w:lineRule="auto"/>
        <w:rPr>
          <w:rFonts w:hint="eastAsia" w:ascii="Times New Roman"/>
          <w:color w:val="auto"/>
          <w:sz w:val="24"/>
          <w:szCs w:val="24"/>
          <w:highlight w:val="none"/>
        </w:rPr>
      </w:pPr>
      <w:bookmarkStart w:id="899" w:name="_Toc128950227"/>
      <w:r>
        <w:rPr>
          <w:rFonts w:hint="eastAsia" w:ascii="Times New Roman"/>
          <w:color w:val="auto"/>
          <w:sz w:val="24"/>
          <w:szCs w:val="24"/>
          <w:highlight w:val="none"/>
        </w:rPr>
        <w:t>附件7：分包人主要施工管理人员表</w:t>
      </w:r>
      <w:bookmarkEnd w:id="899"/>
    </w:p>
    <w:p w14:paraId="5ADBCD14">
      <w:pPr>
        <w:spacing w:beforeLines="0" w:afterLines="0" w:line="360" w:lineRule="auto"/>
        <w:rPr>
          <w:rFonts w:hint="eastAsia" w:ascii="Times New Roman"/>
          <w:color w:val="auto"/>
          <w:sz w:val="24"/>
          <w:szCs w:val="24"/>
          <w:highlight w:val="none"/>
        </w:rPr>
      </w:pPr>
      <w:bookmarkStart w:id="900" w:name="_Toc128950228"/>
      <w:r>
        <w:rPr>
          <w:rFonts w:hint="eastAsia" w:ascii="Times New Roman"/>
          <w:color w:val="auto"/>
          <w:sz w:val="24"/>
          <w:szCs w:val="24"/>
          <w:highlight w:val="none"/>
        </w:rPr>
        <w:t>附件8：</w:t>
      </w:r>
      <w:bookmarkEnd w:id="900"/>
      <w:r>
        <w:rPr>
          <w:rFonts w:hint="eastAsia" w:ascii="Times New Roman"/>
          <w:color w:val="auto"/>
          <w:sz w:val="24"/>
          <w:szCs w:val="24"/>
          <w:highlight w:val="none"/>
        </w:rPr>
        <w:t>建设工程廉政责任书</w:t>
      </w:r>
    </w:p>
    <w:p w14:paraId="674D62A3">
      <w:pPr>
        <w:spacing w:beforeLines="0" w:afterLines="0" w:line="360" w:lineRule="auto"/>
        <w:rPr>
          <w:rFonts w:hint="eastAsia" w:ascii="Times New Roman"/>
          <w:color w:val="auto"/>
          <w:sz w:val="24"/>
          <w:szCs w:val="24"/>
          <w:highlight w:val="none"/>
        </w:rPr>
      </w:pPr>
      <w:bookmarkStart w:id="901" w:name="_Toc128950229"/>
      <w:r>
        <w:rPr>
          <w:rFonts w:hint="eastAsia" w:ascii="Times New Roman"/>
          <w:color w:val="auto"/>
          <w:sz w:val="24"/>
          <w:szCs w:val="24"/>
          <w:highlight w:val="none"/>
        </w:rPr>
        <w:t>附件9：履约保证金格式</w:t>
      </w:r>
      <w:bookmarkEnd w:id="901"/>
    </w:p>
    <w:p w14:paraId="6E5BC42D">
      <w:pPr>
        <w:spacing w:beforeLines="0" w:afterLines="0" w:line="360" w:lineRule="auto"/>
        <w:rPr>
          <w:rFonts w:hint="eastAsia" w:ascii="Times New Roman"/>
          <w:color w:val="auto"/>
          <w:sz w:val="24"/>
          <w:szCs w:val="24"/>
          <w:highlight w:val="none"/>
        </w:rPr>
      </w:pPr>
      <w:bookmarkStart w:id="902" w:name="_Toc128950230"/>
      <w:r>
        <w:rPr>
          <w:rFonts w:hint="eastAsia" w:ascii="Times New Roman"/>
          <w:color w:val="auto"/>
          <w:sz w:val="24"/>
          <w:szCs w:val="24"/>
          <w:highlight w:val="none"/>
        </w:rPr>
        <w:t>附件10：预付款担保格式</w:t>
      </w:r>
      <w:bookmarkEnd w:id="902"/>
    </w:p>
    <w:p w14:paraId="56702FA6">
      <w:pPr>
        <w:spacing w:beforeLines="0" w:afterLines="0" w:line="360" w:lineRule="auto"/>
        <w:rPr>
          <w:rFonts w:hint="eastAsia" w:ascii="Times New Roman"/>
          <w:color w:val="auto"/>
          <w:sz w:val="24"/>
          <w:szCs w:val="24"/>
          <w:highlight w:val="none"/>
        </w:rPr>
      </w:pPr>
      <w:bookmarkStart w:id="903" w:name="_Toc128950231"/>
      <w:r>
        <w:rPr>
          <w:rFonts w:hint="eastAsia" w:ascii="Times New Roman"/>
          <w:color w:val="auto"/>
          <w:sz w:val="24"/>
          <w:szCs w:val="24"/>
          <w:highlight w:val="none"/>
        </w:rPr>
        <w:t>附件11：支付担保格式</w:t>
      </w:r>
      <w:bookmarkEnd w:id="903"/>
    </w:p>
    <w:p w14:paraId="4EB7436E">
      <w:pPr>
        <w:spacing w:beforeLines="0" w:afterLines="0" w:line="360" w:lineRule="auto"/>
        <w:rPr>
          <w:rFonts w:hint="eastAsia" w:ascii="Times New Roman"/>
          <w:color w:val="auto"/>
          <w:sz w:val="24"/>
          <w:szCs w:val="24"/>
          <w:highlight w:val="none"/>
        </w:rPr>
      </w:pPr>
      <w:bookmarkStart w:id="904" w:name="_Toc128950232"/>
      <w:r>
        <w:rPr>
          <w:rFonts w:hint="eastAsia" w:ascii="Times New Roman"/>
          <w:color w:val="auto"/>
          <w:sz w:val="24"/>
          <w:szCs w:val="24"/>
          <w:highlight w:val="none"/>
        </w:rPr>
        <w:t>附件12：暂估价一览表</w:t>
      </w:r>
      <w:bookmarkEnd w:id="904"/>
    </w:p>
    <w:p w14:paraId="62B0A9F3">
      <w:pPr>
        <w:spacing w:beforeLines="0" w:afterLines="0" w:line="360" w:lineRule="auto"/>
        <w:rPr>
          <w:rFonts w:hint="eastAsia" w:ascii="Times New Roman"/>
          <w:color w:val="auto"/>
          <w:sz w:val="24"/>
          <w:szCs w:val="24"/>
          <w:highlight w:val="none"/>
        </w:rPr>
      </w:pPr>
      <w:bookmarkStart w:id="905" w:name="_Toc128950233"/>
      <w:r>
        <w:rPr>
          <w:rFonts w:hint="eastAsia" w:ascii="Times New Roman"/>
          <w:color w:val="auto"/>
          <w:sz w:val="24"/>
          <w:szCs w:val="24"/>
          <w:highlight w:val="none"/>
        </w:rPr>
        <w:t>附件13：安全生产合同</w:t>
      </w:r>
      <w:bookmarkEnd w:id="905"/>
    </w:p>
    <w:p w14:paraId="3330C28B">
      <w:pPr>
        <w:spacing w:beforeLines="0" w:afterLines="0" w:line="360" w:lineRule="auto"/>
        <w:rPr>
          <w:rFonts w:hint="eastAsia" w:ascii="Times New Roman"/>
          <w:color w:val="auto"/>
          <w:sz w:val="24"/>
          <w:szCs w:val="24"/>
          <w:highlight w:val="none"/>
        </w:rPr>
      </w:pPr>
      <w:bookmarkStart w:id="906" w:name="_Toc128950234"/>
      <w:r>
        <w:rPr>
          <w:rFonts w:hint="eastAsia" w:ascii="Times New Roman"/>
          <w:color w:val="auto"/>
          <w:sz w:val="24"/>
          <w:szCs w:val="24"/>
          <w:highlight w:val="none"/>
        </w:rPr>
        <w:t>附件14：项目经理质量终身责任制承诺</w:t>
      </w:r>
      <w:bookmarkEnd w:id="906"/>
    </w:p>
    <w:p w14:paraId="705079A1">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br w:type="page"/>
      </w:r>
      <w:bookmarkStart w:id="907" w:name="_Toc128950235"/>
      <w:r>
        <w:rPr>
          <w:rFonts w:hint="eastAsia" w:ascii="Times New Roman" w:eastAsia="黑体"/>
          <w:color w:val="auto"/>
          <w:sz w:val="24"/>
          <w:szCs w:val="24"/>
          <w:highlight w:val="none"/>
        </w:rPr>
        <w:t>附件</w:t>
      </w:r>
      <w:r>
        <w:rPr>
          <w:rFonts w:hint="eastAsia" w:ascii="Times New Roman" w:eastAsia="Times New Roman"/>
          <w:color w:val="auto"/>
          <w:sz w:val="24"/>
          <w:szCs w:val="24"/>
          <w:highlight w:val="none"/>
        </w:rPr>
        <w:t>1</w:t>
      </w:r>
      <w:r>
        <w:rPr>
          <w:rFonts w:hint="eastAsia" w:ascii="Times New Roman" w:eastAsia="黑体"/>
          <w:color w:val="auto"/>
          <w:sz w:val="24"/>
          <w:szCs w:val="24"/>
          <w:highlight w:val="none"/>
        </w:rPr>
        <w:t>：承包人承揽工程项目一览表</w:t>
      </w:r>
      <w:bookmarkEnd w:id="907"/>
    </w:p>
    <w:p w14:paraId="2E9ECFE6">
      <w:pPr>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承包人承揽工程项目一览表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79"/>
        <w:gridCol w:w="690"/>
        <w:gridCol w:w="1300"/>
        <w:gridCol w:w="690"/>
        <w:gridCol w:w="401"/>
        <w:gridCol w:w="690"/>
        <w:gridCol w:w="981"/>
        <w:gridCol w:w="1243"/>
        <w:gridCol w:w="691"/>
        <w:gridCol w:w="691"/>
      </w:tblGrid>
      <w:tr w14:paraId="26EE2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86"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5EFB33D2">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单位工程名称</w:t>
            </w:r>
          </w:p>
        </w:tc>
        <w:tc>
          <w:tcPr>
            <w:tcW w:w="413"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1B401E61">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建设规模</w:t>
            </w:r>
          </w:p>
        </w:tc>
        <w:tc>
          <w:tcPr>
            <w:tcW w:w="778"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6B0A2B46">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建筑面积（平方米）</w:t>
            </w:r>
          </w:p>
        </w:tc>
        <w:tc>
          <w:tcPr>
            <w:tcW w:w="413"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2597B944">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结构形式</w:t>
            </w:r>
          </w:p>
        </w:tc>
        <w:tc>
          <w:tcPr>
            <w:tcW w:w="240"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F697B44">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层数</w:t>
            </w:r>
          </w:p>
        </w:tc>
        <w:tc>
          <w:tcPr>
            <w:tcW w:w="413"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B2D90BF">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生产能力</w:t>
            </w:r>
          </w:p>
        </w:tc>
        <w:tc>
          <w:tcPr>
            <w:tcW w:w="587"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3075F828">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设备安装内容</w:t>
            </w:r>
          </w:p>
        </w:tc>
        <w:tc>
          <w:tcPr>
            <w:tcW w:w="744"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861F056">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合同价格（元）</w:t>
            </w:r>
          </w:p>
        </w:tc>
        <w:tc>
          <w:tcPr>
            <w:tcW w:w="413"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4389D6B">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开工日期</w:t>
            </w:r>
          </w:p>
        </w:tc>
        <w:tc>
          <w:tcPr>
            <w:tcW w:w="413"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6EDB3F79">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竣工日期</w:t>
            </w:r>
          </w:p>
        </w:tc>
      </w:tr>
      <w:tr w14:paraId="4E9BA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86" w:type="pct"/>
            <w:tcBorders>
              <w:top w:val="double" w:color="auto" w:sz="6" w:space="0"/>
              <w:left w:val="single" w:color="auto" w:sz="12" w:space="0"/>
              <w:bottom w:val="single" w:color="auto" w:sz="6" w:space="0"/>
              <w:right w:val="single" w:color="auto" w:sz="6" w:space="0"/>
              <w:tl2br w:val="nil"/>
              <w:tr2bl w:val="nil"/>
            </w:tcBorders>
            <w:noWrap w:val="0"/>
            <w:vAlign w:val="center"/>
          </w:tcPr>
          <w:p w14:paraId="7B0A6041">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E4646C3">
            <w:pPr>
              <w:keepNext/>
              <w:snapToGrid w:val="0"/>
              <w:spacing w:beforeLines="0" w:afterLines="0" w:line="360" w:lineRule="auto"/>
              <w:jc w:val="center"/>
              <w:rPr>
                <w:rFonts w:hint="eastAsia" w:ascii="Times New Roman" w:eastAsia="Times New Roman"/>
                <w:color w:val="auto"/>
                <w:sz w:val="22"/>
                <w:szCs w:val="21"/>
                <w:highlight w:val="none"/>
              </w:rPr>
            </w:pPr>
          </w:p>
        </w:tc>
        <w:tc>
          <w:tcPr>
            <w:tcW w:w="778"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A3634C7">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double" w:color="auto" w:sz="6" w:space="0"/>
              <w:left w:val="single" w:color="auto" w:sz="6" w:space="0"/>
              <w:bottom w:val="single" w:color="auto" w:sz="6" w:space="0"/>
              <w:right w:val="single" w:color="auto" w:sz="6" w:space="0"/>
              <w:tl2br w:val="nil"/>
              <w:tr2bl w:val="nil"/>
            </w:tcBorders>
            <w:noWrap w:val="0"/>
            <w:vAlign w:val="center"/>
          </w:tcPr>
          <w:p w14:paraId="7ACDE326">
            <w:pPr>
              <w:keepNext/>
              <w:snapToGrid w:val="0"/>
              <w:spacing w:beforeLines="0" w:afterLines="0" w:line="360" w:lineRule="auto"/>
              <w:jc w:val="center"/>
              <w:rPr>
                <w:rFonts w:hint="eastAsia" w:ascii="Times New Roman" w:eastAsia="Times New Roman"/>
                <w:color w:val="auto"/>
                <w:sz w:val="22"/>
                <w:szCs w:val="21"/>
                <w:highlight w:val="none"/>
              </w:rPr>
            </w:pPr>
          </w:p>
        </w:tc>
        <w:tc>
          <w:tcPr>
            <w:tcW w:w="240" w:type="pct"/>
            <w:tcBorders>
              <w:top w:val="double" w:color="auto" w:sz="6" w:space="0"/>
              <w:left w:val="single" w:color="auto" w:sz="6" w:space="0"/>
              <w:bottom w:val="single" w:color="auto" w:sz="6" w:space="0"/>
              <w:right w:val="single" w:color="auto" w:sz="6" w:space="0"/>
              <w:tl2br w:val="nil"/>
              <w:tr2bl w:val="nil"/>
            </w:tcBorders>
            <w:noWrap w:val="0"/>
            <w:vAlign w:val="center"/>
          </w:tcPr>
          <w:p w14:paraId="112748DF">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double" w:color="auto" w:sz="6" w:space="0"/>
              <w:left w:val="single" w:color="auto" w:sz="6" w:space="0"/>
              <w:bottom w:val="single" w:color="auto" w:sz="6" w:space="0"/>
              <w:right w:val="single" w:color="auto" w:sz="6" w:space="0"/>
              <w:tl2br w:val="nil"/>
              <w:tr2bl w:val="nil"/>
            </w:tcBorders>
            <w:noWrap w:val="0"/>
            <w:vAlign w:val="center"/>
          </w:tcPr>
          <w:p w14:paraId="4D6C3008">
            <w:pPr>
              <w:keepNext/>
              <w:snapToGrid w:val="0"/>
              <w:spacing w:beforeLines="0" w:afterLines="0" w:line="360" w:lineRule="auto"/>
              <w:jc w:val="center"/>
              <w:rPr>
                <w:rFonts w:hint="eastAsia" w:ascii="Times New Roman" w:eastAsia="Times New Roman"/>
                <w:color w:val="auto"/>
                <w:sz w:val="22"/>
                <w:szCs w:val="21"/>
                <w:highlight w:val="none"/>
              </w:rPr>
            </w:pPr>
          </w:p>
        </w:tc>
        <w:tc>
          <w:tcPr>
            <w:tcW w:w="587" w:type="pct"/>
            <w:tcBorders>
              <w:top w:val="double" w:color="auto" w:sz="6" w:space="0"/>
              <w:left w:val="single" w:color="auto" w:sz="6" w:space="0"/>
              <w:bottom w:val="single" w:color="auto" w:sz="6" w:space="0"/>
              <w:right w:val="single" w:color="auto" w:sz="6" w:space="0"/>
              <w:tl2br w:val="nil"/>
              <w:tr2bl w:val="nil"/>
            </w:tcBorders>
            <w:noWrap w:val="0"/>
            <w:vAlign w:val="center"/>
          </w:tcPr>
          <w:p w14:paraId="0E6FD5ED">
            <w:pPr>
              <w:keepNext/>
              <w:snapToGrid w:val="0"/>
              <w:spacing w:beforeLines="0" w:afterLines="0" w:line="360" w:lineRule="auto"/>
              <w:jc w:val="center"/>
              <w:rPr>
                <w:rFonts w:hint="eastAsia" w:ascii="Times New Roman" w:eastAsia="Times New Roman"/>
                <w:color w:val="auto"/>
                <w:sz w:val="22"/>
                <w:szCs w:val="21"/>
                <w:highlight w:val="none"/>
              </w:rPr>
            </w:pPr>
          </w:p>
        </w:tc>
        <w:tc>
          <w:tcPr>
            <w:tcW w:w="744"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8B692A2">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double" w:color="auto" w:sz="6" w:space="0"/>
              <w:left w:val="single" w:color="auto" w:sz="6" w:space="0"/>
              <w:bottom w:val="single" w:color="auto" w:sz="6" w:space="0"/>
              <w:right w:val="single" w:color="auto" w:sz="6" w:space="0"/>
              <w:tl2br w:val="nil"/>
              <w:tr2bl w:val="nil"/>
            </w:tcBorders>
            <w:noWrap w:val="0"/>
            <w:vAlign w:val="center"/>
          </w:tcPr>
          <w:p w14:paraId="056EBE6E">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2FBE5FDE">
            <w:pPr>
              <w:keepNext/>
              <w:snapToGrid w:val="0"/>
              <w:spacing w:beforeLines="0" w:afterLines="0" w:line="360" w:lineRule="auto"/>
              <w:jc w:val="center"/>
              <w:rPr>
                <w:rFonts w:hint="eastAsia" w:ascii="Times New Roman" w:eastAsia="Times New Roman"/>
                <w:color w:val="auto"/>
                <w:sz w:val="22"/>
                <w:szCs w:val="21"/>
                <w:highlight w:val="none"/>
              </w:rPr>
            </w:pPr>
          </w:p>
        </w:tc>
      </w:tr>
      <w:tr w14:paraId="46491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86" w:type="pct"/>
            <w:tcBorders>
              <w:top w:val="nil"/>
              <w:left w:val="single" w:color="auto" w:sz="12" w:space="0"/>
              <w:bottom w:val="single" w:color="auto" w:sz="6" w:space="0"/>
              <w:right w:val="single" w:color="auto" w:sz="6" w:space="0"/>
              <w:tl2br w:val="nil"/>
              <w:tr2bl w:val="nil"/>
            </w:tcBorders>
            <w:noWrap w:val="0"/>
            <w:vAlign w:val="center"/>
          </w:tcPr>
          <w:p w14:paraId="39658C88">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48775DDD">
            <w:pPr>
              <w:keepNext/>
              <w:snapToGrid w:val="0"/>
              <w:spacing w:beforeLines="0" w:afterLines="0" w:line="360" w:lineRule="auto"/>
              <w:jc w:val="center"/>
              <w:rPr>
                <w:rFonts w:hint="eastAsia" w:ascii="Times New Roman" w:eastAsia="Times New Roman"/>
                <w:color w:val="auto"/>
                <w:sz w:val="22"/>
                <w:szCs w:val="21"/>
                <w:highlight w:val="none"/>
              </w:rPr>
            </w:pPr>
          </w:p>
        </w:tc>
        <w:tc>
          <w:tcPr>
            <w:tcW w:w="778" w:type="pct"/>
            <w:tcBorders>
              <w:top w:val="nil"/>
              <w:left w:val="single" w:color="auto" w:sz="6" w:space="0"/>
              <w:bottom w:val="single" w:color="auto" w:sz="6" w:space="0"/>
              <w:right w:val="single" w:color="auto" w:sz="6" w:space="0"/>
              <w:tl2br w:val="nil"/>
              <w:tr2bl w:val="nil"/>
            </w:tcBorders>
            <w:noWrap w:val="0"/>
            <w:vAlign w:val="center"/>
          </w:tcPr>
          <w:p w14:paraId="320DC76F">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3384192E">
            <w:pPr>
              <w:keepNext/>
              <w:snapToGrid w:val="0"/>
              <w:spacing w:beforeLines="0" w:afterLines="0" w:line="360" w:lineRule="auto"/>
              <w:jc w:val="center"/>
              <w:rPr>
                <w:rFonts w:hint="eastAsia" w:ascii="Times New Roman" w:eastAsia="Times New Roman"/>
                <w:color w:val="auto"/>
                <w:sz w:val="22"/>
                <w:szCs w:val="21"/>
                <w:highlight w:val="none"/>
              </w:rPr>
            </w:pPr>
          </w:p>
        </w:tc>
        <w:tc>
          <w:tcPr>
            <w:tcW w:w="240" w:type="pct"/>
            <w:tcBorders>
              <w:top w:val="nil"/>
              <w:left w:val="single" w:color="auto" w:sz="6" w:space="0"/>
              <w:bottom w:val="single" w:color="auto" w:sz="6" w:space="0"/>
              <w:right w:val="single" w:color="auto" w:sz="6" w:space="0"/>
              <w:tl2br w:val="nil"/>
              <w:tr2bl w:val="nil"/>
            </w:tcBorders>
            <w:noWrap w:val="0"/>
            <w:vAlign w:val="center"/>
          </w:tcPr>
          <w:p w14:paraId="4556DA47">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021BBF30">
            <w:pPr>
              <w:keepNext/>
              <w:snapToGrid w:val="0"/>
              <w:spacing w:beforeLines="0" w:afterLines="0" w:line="360" w:lineRule="auto"/>
              <w:jc w:val="center"/>
              <w:rPr>
                <w:rFonts w:hint="eastAsia" w:ascii="Times New Roman" w:eastAsia="Times New Roman"/>
                <w:color w:val="auto"/>
                <w:sz w:val="22"/>
                <w:szCs w:val="21"/>
                <w:highlight w:val="none"/>
              </w:rPr>
            </w:pPr>
          </w:p>
        </w:tc>
        <w:tc>
          <w:tcPr>
            <w:tcW w:w="587" w:type="pct"/>
            <w:tcBorders>
              <w:top w:val="nil"/>
              <w:left w:val="single" w:color="auto" w:sz="6" w:space="0"/>
              <w:bottom w:val="single" w:color="auto" w:sz="6" w:space="0"/>
              <w:right w:val="single" w:color="auto" w:sz="6" w:space="0"/>
              <w:tl2br w:val="nil"/>
              <w:tr2bl w:val="nil"/>
            </w:tcBorders>
            <w:noWrap w:val="0"/>
            <w:vAlign w:val="center"/>
          </w:tcPr>
          <w:p w14:paraId="64CB7781">
            <w:pPr>
              <w:keepNext/>
              <w:snapToGrid w:val="0"/>
              <w:spacing w:beforeLines="0" w:afterLines="0" w:line="360" w:lineRule="auto"/>
              <w:jc w:val="center"/>
              <w:rPr>
                <w:rFonts w:hint="eastAsia" w:ascii="Times New Roman" w:eastAsia="Times New Roman"/>
                <w:color w:val="auto"/>
                <w:sz w:val="22"/>
                <w:szCs w:val="21"/>
                <w:highlight w:val="none"/>
              </w:rPr>
            </w:pPr>
          </w:p>
        </w:tc>
        <w:tc>
          <w:tcPr>
            <w:tcW w:w="744" w:type="pct"/>
            <w:tcBorders>
              <w:top w:val="nil"/>
              <w:left w:val="single" w:color="auto" w:sz="6" w:space="0"/>
              <w:bottom w:val="single" w:color="auto" w:sz="6" w:space="0"/>
              <w:right w:val="single" w:color="auto" w:sz="6" w:space="0"/>
              <w:tl2br w:val="nil"/>
              <w:tr2bl w:val="nil"/>
            </w:tcBorders>
            <w:noWrap w:val="0"/>
            <w:vAlign w:val="center"/>
          </w:tcPr>
          <w:p w14:paraId="44BB98C1">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18E9925C">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12" w:space="0"/>
              <w:tl2br w:val="nil"/>
              <w:tr2bl w:val="nil"/>
            </w:tcBorders>
            <w:noWrap w:val="0"/>
            <w:vAlign w:val="center"/>
          </w:tcPr>
          <w:p w14:paraId="7B84212C">
            <w:pPr>
              <w:keepNext/>
              <w:snapToGrid w:val="0"/>
              <w:spacing w:beforeLines="0" w:afterLines="0" w:line="360" w:lineRule="auto"/>
              <w:jc w:val="center"/>
              <w:rPr>
                <w:rFonts w:hint="eastAsia" w:ascii="Times New Roman" w:eastAsia="Times New Roman"/>
                <w:color w:val="auto"/>
                <w:sz w:val="22"/>
                <w:szCs w:val="21"/>
                <w:highlight w:val="none"/>
              </w:rPr>
            </w:pPr>
          </w:p>
        </w:tc>
      </w:tr>
      <w:tr w14:paraId="2DF8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86" w:type="pct"/>
            <w:tcBorders>
              <w:top w:val="nil"/>
              <w:left w:val="single" w:color="auto" w:sz="12" w:space="0"/>
              <w:bottom w:val="single" w:color="auto" w:sz="6" w:space="0"/>
              <w:right w:val="single" w:color="auto" w:sz="6" w:space="0"/>
              <w:tl2br w:val="nil"/>
              <w:tr2bl w:val="nil"/>
            </w:tcBorders>
            <w:noWrap w:val="0"/>
            <w:vAlign w:val="center"/>
          </w:tcPr>
          <w:p w14:paraId="303BE7E3">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3F00950D">
            <w:pPr>
              <w:keepNext/>
              <w:snapToGrid w:val="0"/>
              <w:spacing w:beforeLines="0" w:afterLines="0" w:line="360" w:lineRule="auto"/>
              <w:jc w:val="center"/>
              <w:rPr>
                <w:rFonts w:hint="eastAsia" w:ascii="Times New Roman" w:eastAsia="Times New Roman"/>
                <w:color w:val="auto"/>
                <w:sz w:val="22"/>
                <w:szCs w:val="21"/>
                <w:highlight w:val="none"/>
              </w:rPr>
            </w:pPr>
          </w:p>
        </w:tc>
        <w:tc>
          <w:tcPr>
            <w:tcW w:w="778" w:type="pct"/>
            <w:tcBorders>
              <w:top w:val="nil"/>
              <w:left w:val="single" w:color="auto" w:sz="6" w:space="0"/>
              <w:bottom w:val="single" w:color="auto" w:sz="6" w:space="0"/>
              <w:right w:val="single" w:color="auto" w:sz="6" w:space="0"/>
              <w:tl2br w:val="nil"/>
              <w:tr2bl w:val="nil"/>
            </w:tcBorders>
            <w:noWrap w:val="0"/>
            <w:vAlign w:val="center"/>
          </w:tcPr>
          <w:p w14:paraId="241DFFDD">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4FB9D9FA">
            <w:pPr>
              <w:keepNext/>
              <w:snapToGrid w:val="0"/>
              <w:spacing w:beforeLines="0" w:afterLines="0" w:line="360" w:lineRule="auto"/>
              <w:jc w:val="center"/>
              <w:rPr>
                <w:rFonts w:hint="eastAsia" w:ascii="Times New Roman" w:eastAsia="Times New Roman"/>
                <w:color w:val="auto"/>
                <w:sz w:val="22"/>
                <w:szCs w:val="21"/>
                <w:highlight w:val="none"/>
              </w:rPr>
            </w:pPr>
          </w:p>
        </w:tc>
        <w:tc>
          <w:tcPr>
            <w:tcW w:w="240" w:type="pct"/>
            <w:tcBorders>
              <w:top w:val="nil"/>
              <w:left w:val="single" w:color="auto" w:sz="6" w:space="0"/>
              <w:bottom w:val="single" w:color="auto" w:sz="6" w:space="0"/>
              <w:right w:val="single" w:color="auto" w:sz="6" w:space="0"/>
              <w:tl2br w:val="nil"/>
              <w:tr2bl w:val="nil"/>
            </w:tcBorders>
            <w:noWrap w:val="0"/>
            <w:vAlign w:val="center"/>
          </w:tcPr>
          <w:p w14:paraId="6ADCB630">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52C82FBC">
            <w:pPr>
              <w:keepNext/>
              <w:snapToGrid w:val="0"/>
              <w:spacing w:beforeLines="0" w:afterLines="0" w:line="360" w:lineRule="auto"/>
              <w:jc w:val="center"/>
              <w:rPr>
                <w:rFonts w:hint="eastAsia" w:ascii="Times New Roman" w:eastAsia="Times New Roman"/>
                <w:color w:val="auto"/>
                <w:sz w:val="22"/>
                <w:szCs w:val="21"/>
                <w:highlight w:val="none"/>
              </w:rPr>
            </w:pPr>
          </w:p>
        </w:tc>
        <w:tc>
          <w:tcPr>
            <w:tcW w:w="587" w:type="pct"/>
            <w:tcBorders>
              <w:top w:val="nil"/>
              <w:left w:val="single" w:color="auto" w:sz="6" w:space="0"/>
              <w:bottom w:val="single" w:color="auto" w:sz="6" w:space="0"/>
              <w:right w:val="single" w:color="auto" w:sz="6" w:space="0"/>
              <w:tl2br w:val="nil"/>
              <w:tr2bl w:val="nil"/>
            </w:tcBorders>
            <w:noWrap w:val="0"/>
            <w:vAlign w:val="center"/>
          </w:tcPr>
          <w:p w14:paraId="4FA18A2B">
            <w:pPr>
              <w:keepNext/>
              <w:snapToGrid w:val="0"/>
              <w:spacing w:beforeLines="0" w:afterLines="0" w:line="360" w:lineRule="auto"/>
              <w:jc w:val="center"/>
              <w:rPr>
                <w:rFonts w:hint="eastAsia" w:ascii="Times New Roman" w:eastAsia="Times New Roman"/>
                <w:color w:val="auto"/>
                <w:sz w:val="22"/>
                <w:szCs w:val="21"/>
                <w:highlight w:val="none"/>
              </w:rPr>
            </w:pPr>
          </w:p>
        </w:tc>
        <w:tc>
          <w:tcPr>
            <w:tcW w:w="744" w:type="pct"/>
            <w:tcBorders>
              <w:top w:val="nil"/>
              <w:left w:val="single" w:color="auto" w:sz="6" w:space="0"/>
              <w:bottom w:val="single" w:color="auto" w:sz="6" w:space="0"/>
              <w:right w:val="single" w:color="auto" w:sz="6" w:space="0"/>
              <w:tl2br w:val="nil"/>
              <w:tr2bl w:val="nil"/>
            </w:tcBorders>
            <w:noWrap w:val="0"/>
            <w:vAlign w:val="center"/>
          </w:tcPr>
          <w:p w14:paraId="099F11B6">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6" w:space="0"/>
              <w:tl2br w:val="nil"/>
              <w:tr2bl w:val="nil"/>
            </w:tcBorders>
            <w:noWrap w:val="0"/>
            <w:vAlign w:val="center"/>
          </w:tcPr>
          <w:p w14:paraId="6C730E12">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nil"/>
              <w:left w:val="single" w:color="auto" w:sz="6" w:space="0"/>
              <w:bottom w:val="single" w:color="auto" w:sz="6" w:space="0"/>
              <w:right w:val="single" w:color="auto" w:sz="12" w:space="0"/>
              <w:tl2br w:val="nil"/>
              <w:tr2bl w:val="nil"/>
            </w:tcBorders>
            <w:noWrap w:val="0"/>
            <w:vAlign w:val="center"/>
          </w:tcPr>
          <w:p w14:paraId="49834263">
            <w:pPr>
              <w:keepNext/>
              <w:snapToGrid w:val="0"/>
              <w:spacing w:beforeLines="0" w:afterLines="0" w:line="360" w:lineRule="auto"/>
              <w:jc w:val="center"/>
              <w:rPr>
                <w:rFonts w:hint="eastAsia" w:ascii="Times New Roman" w:eastAsia="Times New Roman"/>
                <w:color w:val="auto"/>
                <w:sz w:val="22"/>
                <w:szCs w:val="21"/>
                <w:highlight w:val="none"/>
              </w:rPr>
            </w:pPr>
          </w:p>
        </w:tc>
      </w:tr>
      <w:tr w14:paraId="504AE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86"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5DBFA762">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D2327E6">
            <w:pPr>
              <w:keepNext/>
              <w:snapToGrid w:val="0"/>
              <w:spacing w:beforeLines="0" w:afterLines="0" w:line="360" w:lineRule="auto"/>
              <w:jc w:val="center"/>
              <w:rPr>
                <w:rFonts w:hint="eastAsia" w:ascii="Times New Roman" w:eastAsia="Times New Roman"/>
                <w:color w:val="auto"/>
                <w:sz w:val="22"/>
                <w:szCs w:val="21"/>
                <w:highlight w:val="none"/>
              </w:rPr>
            </w:pPr>
          </w:p>
        </w:tc>
        <w:tc>
          <w:tcPr>
            <w:tcW w:w="778"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4B438D1">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F43171F">
            <w:pPr>
              <w:keepNext/>
              <w:snapToGrid w:val="0"/>
              <w:spacing w:beforeLines="0" w:afterLines="0" w:line="360" w:lineRule="auto"/>
              <w:jc w:val="center"/>
              <w:rPr>
                <w:rFonts w:hint="eastAsia" w:ascii="Times New Roman" w:eastAsia="Times New Roman"/>
                <w:color w:val="auto"/>
                <w:sz w:val="22"/>
                <w:szCs w:val="21"/>
                <w:highlight w:val="none"/>
              </w:rPr>
            </w:pPr>
          </w:p>
        </w:tc>
        <w:tc>
          <w:tcPr>
            <w:tcW w:w="240"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6978C315">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3E092E5A">
            <w:pPr>
              <w:keepNext/>
              <w:snapToGrid w:val="0"/>
              <w:spacing w:beforeLines="0" w:afterLines="0" w:line="360" w:lineRule="auto"/>
              <w:jc w:val="center"/>
              <w:rPr>
                <w:rFonts w:hint="eastAsia" w:ascii="Times New Roman" w:eastAsia="Times New Roman"/>
                <w:color w:val="auto"/>
                <w:sz w:val="22"/>
                <w:szCs w:val="21"/>
                <w:highlight w:val="none"/>
              </w:rPr>
            </w:pPr>
          </w:p>
        </w:tc>
        <w:tc>
          <w:tcPr>
            <w:tcW w:w="587"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5A5EE8F">
            <w:pPr>
              <w:keepNext/>
              <w:snapToGrid w:val="0"/>
              <w:spacing w:beforeLines="0" w:afterLines="0" w:line="360" w:lineRule="auto"/>
              <w:jc w:val="center"/>
              <w:rPr>
                <w:rFonts w:hint="eastAsia" w:ascii="Times New Roman" w:eastAsia="Times New Roman"/>
                <w:color w:val="auto"/>
                <w:sz w:val="22"/>
                <w:szCs w:val="21"/>
                <w:highlight w:val="none"/>
              </w:rPr>
            </w:pPr>
          </w:p>
        </w:tc>
        <w:tc>
          <w:tcPr>
            <w:tcW w:w="744"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1D1B340">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802F437">
            <w:pPr>
              <w:keepNext/>
              <w:snapToGrid w:val="0"/>
              <w:spacing w:beforeLines="0" w:afterLines="0" w:line="360" w:lineRule="auto"/>
              <w:jc w:val="center"/>
              <w:rPr>
                <w:rFonts w:hint="eastAsia" w:ascii="Times New Roman" w:eastAsia="Times New Roman"/>
                <w:color w:val="auto"/>
                <w:sz w:val="22"/>
                <w:szCs w:val="21"/>
                <w:highlight w:val="none"/>
              </w:rPr>
            </w:pPr>
          </w:p>
        </w:tc>
        <w:tc>
          <w:tcPr>
            <w:tcW w:w="413"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558F4552">
            <w:pPr>
              <w:keepNext/>
              <w:snapToGrid w:val="0"/>
              <w:spacing w:beforeLines="0" w:afterLines="0" w:line="360" w:lineRule="auto"/>
              <w:jc w:val="center"/>
              <w:rPr>
                <w:rFonts w:hint="eastAsia" w:ascii="Times New Roman" w:eastAsia="Times New Roman"/>
                <w:color w:val="auto"/>
                <w:sz w:val="22"/>
                <w:szCs w:val="21"/>
                <w:highlight w:val="none"/>
              </w:rPr>
            </w:pPr>
          </w:p>
        </w:tc>
      </w:tr>
    </w:tbl>
    <w:p w14:paraId="54401B0F">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黑体"/>
          <w:color w:val="auto"/>
          <w:sz w:val="24"/>
          <w:szCs w:val="24"/>
          <w:highlight w:val="none"/>
        </w:rPr>
        <w:br w:type="page"/>
      </w:r>
      <w:bookmarkStart w:id="908" w:name="_Toc128950236"/>
      <w:r>
        <w:rPr>
          <w:rFonts w:hint="eastAsia" w:ascii="Times New Roman" w:eastAsia="黑体"/>
          <w:color w:val="auto"/>
          <w:sz w:val="24"/>
          <w:szCs w:val="24"/>
          <w:highlight w:val="none"/>
        </w:rPr>
        <w:t>附</w:t>
      </w:r>
      <w:bookmarkStart w:id="909" w:name="_Toc267261692"/>
      <w:bookmarkStart w:id="910" w:name="_Toc296503225"/>
      <w:bookmarkStart w:id="911" w:name="_Toc296346726"/>
      <w:bookmarkStart w:id="912" w:name="_Toc296891053"/>
      <w:bookmarkStart w:id="913" w:name="_Toc296944564"/>
      <w:bookmarkStart w:id="914" w:name="_Toc296891265"/>
      <w:bookmarkStart w:id="915" w:name="_Toc296347224"/>
      <w:r>
        <w:rPr>
          <w:rFonts w:hint="eastAsia" w:ascii="Times New Roman" w:eastAsia="黑体"/>
          <w:color w:val="auto"/>
          <w:sz w:val="24"/>
          <w:szCs w:val="24"/>
          <w:highlight w:val="none"/>
        </w:rPr>
        <w:t>件</w:t>
      </w:r>
      <w:r>
        <w:rPr>
          <w:rFonts w:hint="eastAsia" w:ascii="Times New Roman" w:eastAsia="Times New Roman"/>
          <w:color w:val="auto"/>
          <w:sz w:val="24"/>
          <w:szCs w:val="24"/>
          <w:highlight w:val="none"/>
        </w:rPr>
        <w:t>2</w:t>
      </w:r>
      <w:r>
        <w:rPr>
          <w:rFonts w:hint="eastAsia" w:ascii="Times New Roman" w:eastAsia="黑体"/>
          <w:color w:val="auto"/>
          <w:sz w:val="24"/>
          <w:szCs w:val="24"/>
          <w:highlight w:val="none"/>
        </w:rPr>
        <w:t>：发包人供应材料设备一览表</w:t>
      </w:r>
      <w:bookmarkEnd w:id="908"/>
    </w:p>
    <w:bookmarkEnd w:id="909"/>
    <w:bookmarkEnd w:id="910"/>
    <w:bookmarkEnd w:id="911"/>
    <w:bookmarkEnd w:id="912"/>
    <w:bookmarkEnd w:id="913"/>
    <w:bookmarkEnd w:id="914"/>
    <w:bookmarkEnd w:id="915"/>
    <w:p w14:paraId="5E92B0D2">
      <w:pPr>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发包人供应材料设备一览表</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87"/>
        <w:gridCol w:w="1573"/>
        <w:gridCol w:w="923"/>
        <w:gridCol w:w="488"/>
        <w:gridCol w:w="488"/>
        <w:gridCol w:w="1140"/>
        <w:gridCol w:w="923"/>
        <w:gridCol w:w="923"/>
        <w:gridCol w:w="923"/>
        <w:gridCol w:w="488"/>
      </w:tblGrid>
      <w:tr w14:paraId="1D0A5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92"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462A613D">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序号</w:t>
            </w:r>
          </w:p>
        </w:tc>
        <w:tc>
          <w:tcPr>
            <w:tcW w:w="941"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2D5C983">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材料、设备品种</w:t>
            </w:r>
          </w:p>
        </w:tc>
        <w:tc>
          <w:tcPr>
            <w:tcW w:w="55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2CA16FAD">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规格型号</w:t>
            </w:r>
          </w:p>
        </w:tc>
        <w:tc>
          <w:tcPr>
            <w:tcW w:w="29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069450B5">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单位</w:t>
            </w:r>
          </w:p>
        </w:tc>
        <w:tc>
          <w:tcPr>
            <w:tcW w:w="29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8B5FB7C">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数量</w:t>
            </w:r>
          </w:p>
        </w:tc>
        <w:tc>
          <w:tcPr>
            <w:tcW w:w="68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F16AA17">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单价（元）</w:t>
            </w:r>
          </w:p>
        </w:tc>
        <w:tc>
          <w:tcPr>
            <w:tcW w:w="55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15666CF9">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质量等级</w:t>
            </w:r>
          </w:p>
        </w:tc>
        <w:tc>
          <w:tcPr>
            <w:tcW w:w="55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83652FD">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供应时间</w:t>
            </w:r>
          </w:p>
        </w:tc>
        <w:tc>
          <w:tcPr>
            <w:tcW w:w="55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61FF1172">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送达地点</w:t>
            </w:r>
          </w:p>
        </w:tc>
        <w:tc>
          <w:tcPr>
            <w:tcW w:w="292"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20021297">
            <w:pPr>
              <w:keepNext/>
              <w:snapToGrid w:val="0"/>
              <w:spacing w:beforeLines="0" w:afterLines="0" w:line="360" w:lineRule="auto"/>
              <w:jc w:val="center"/>
              <w:rPr>
                <w:rFonts w:hint="eastAsia" w:ascii="Times New Roman" w:eastAsia="Times New Roman"/>
                <w:color w:val="auto"/>
                <w:sz w:val="22"/>
                <w:szCs w:val="21"/>
                <w:highlight w:val="none"/>
              </w:rPr>
            </w:pPr>
            <w:r>
              <w:rPr>
                <w:rFonts w:hint="eastAsia" w:ascii="Times New Roman"/>
                <w:color w:val="auto"/>
                <w:sz w:val="22"/>
                <w:szCs w:val="21"/>
                <w:highlight w:val="none"/>
              </w:rPr>
              <w:t>备注</w:t>
            </w:r>
          </w:p>
        </w:tc>
      </w:tr>
      <w:tr w14:paraId="1124DF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292" w:type="pct"/>
            <w:tcBorders>
              <w:top w:val="double" w:color="auto" w:sz="6" w:space="0"/>
              <w:left w:val="single" w:color="auto" w:sz="12" w:space="0"/>
              <w:bottom w:val="single" w:color="auto" w:sz="6" w:space="0"/>
              <w:right w:val="single" w:color="auto" w:sz="6" w:space="0"/>
              <w:tl2br w:val="nil"/>
              <w:tr2bl w:val="nil"/>
            </w:tcBorders>
            <w:noWrap w:val="0"/>
            <w:vAlign w:val="center"/>
          </w:tcPr>
          <w:p w14:paraId="1B731CAB">
            <w:pPr>
              <w:keepNext/>
              <w:snapToGrid w:val="0"/>
              <w:spacing w:beforeLines="0" w:afterLines="0" w:line="360" w:lineRule="auto"/>
              <w:jc w:val="center"/>
              <w:rPr>
                <w:rFonts w:hint="eastAsia" w:ascii="Times New Roman" w:eastAsia="Times New Roman"/>
                <w:color w:val="auto"/>
                <w:sz w:val="22"/>
                <w:szCs w:val="21"/>
                <w:highlight w:val="none"/>
              </w:rPr>
            </w:pPr>
          </w:p>
        </w:tc>
        <w:tc>
          <w:tcPr>
            <w:tcW w:w="941"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7208E48">
            <w:pPr>
              <w:keepNext/>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21BC59E">
            <w:pPr>
              <w:keepNext/>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5F3FD4D0">
            <w:pPr>
              <w:keepNext/>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71AA5A57">
            <w:pPr>
              <w:keepNext/>
              <w:snapToGrid w:val="0"/>
              <w:spacing w:beforeLines="0" w:afterLines="0" w:line="360" w:lineRule="auto"/>
              <w:jc w:val="center"/>
              <w:rPr>
                <w:rFonts w:hint="eastAsia" w:ascii="Times New Roman" w:eastAsia="Times New Roman"/>
                <w:color w:val="auto"/>
                <w:sz w:val="22"/>
                <w:szCs w:val="21"/>
                <w:highlight w:val="none"/>
              </w:rPr>
            </w:pPr>
          </w:p>
        </w:tc>
        <w:tc>
          <w:tcPr>
            <w:tcW w:w="68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55C94215">
            <w:pPr>
              <w:keepNext/>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0F1A56CD">
            <w:pPr>
              <w:keepNext/>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9C2D2B3">
            <w:pPr>
              <w:keepNext/>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59A06228">
            <w:pPr>
              <w:keepNext/>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0915AA33">
            <w:pPr>
              <w:keepNext/>
              <w:snapToGrid w:val="0"/>
              <w:spacing w:beforeLines="0" w:afterLines="0" w:line="360" w:lineRule="auto"/>
              <w:jc w:val="center"/>
              <w:rPr>
                <w:rFonts w:hint="eastAsia" w:ascii="Times New Roman" w:eastAsia="Times New Roman"/>
                <w:color w:val="auto"/>
                <w:sz w:val="22"/>
                <w:szCs w:val="21"/>
                <w:highlight w:val="none"/>
              </w:rPr>
            </w:pPr>
          </w:p>
        </w:tc>
      </w:tr>
      <w:tr w14:paraId="3692C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292"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2BB89E10">
            <w:pPr>
              <w:snapToGrid w:val="0"/>
              <w:spacing w:beforeLines="0" w:afterLines="0" w:line="360" w:lineRule="auto"/>
              <w:jc w:val="center"/>
              <w:rPr>
                <w:rFonts w:hint="eastAsia" w:ascii="Times New Roman" w:eastAsia="Times New Roman"/>
                <w:color w:val="auto"/>
                <w:sz w:val="22"/>
                <w:szCs w:val="21"/>
                <w:highlight w:val="none"/>
              </w:rPr>
            </w:pPr>
          </w:p>
        </w:tc>
        <w:tc>
          <w:tcPr>
            <w:tcW w:w="9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48AB676">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965907A">
            <w:pPr>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3AE3A5">
            <w:pPr>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8C8C64B">
            <w:pPr>
              <w:snapToGrid w:val="0"/>
              <w:spacing w:beforeLines="0" w:afterLines="0" w:line="360" w:lineRule="auto"/>
              <w:jc w:val="center"/>
              <w:rPr>
                <w:rFonts w:hint="eastAsia" w:ascii="Times New Roman" w:eastAsia="Times New Roman"/>
                <w:color w:val="auto"/>
                <w:sz w:val="22"/>
                <w:szCs w:val="21"/>
                <w:highlight w:val="none"/>
              </w:rPr>
            </w:pPr>
          </w:p>
        </w:tc>
        <w:tc>
          <w:tcPr>
            <w:tcW w:w="68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16E0150">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D570C08">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F4E2FBF">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83843DD">
            <w:pPr>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45BF0102">
            <w:pPr>
              <w:snapToGrid w:val="0"/>
              <w:spacing w:beforeLines="0" w:afterLines="0" w:line="360" w:lineRule="auto"/>
              <w:jc w:val="center"/>
              <w:rPr>
                <w:rFonts w:hint="eastAsia" w:ascii="Times New Roman" w:eastAsia="Times New Roman"/>
                <w:color w:val="auto"/>
                <w:sz w:val="22"/>
                <w:szCs w:val="21"/>
                <w:highlight w:val="none"/>
              </w:rPr>
            </w:pPr>
          </w:p>
        </w:tc>
      </w:tr>
      <w:tr w14:paraId="4E132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292"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6AF4A1FC">
            <w:pPr>
              <w:snapToGrid w:val="0"/>
              <w:spacing w:beforeLines="0" w:afterLines="0" w:line="360" w:lineRule="auto"/>
              <w:jc w:val="center"/>
              <w:rPr>
                <w:rFonts w:hint="eastAsia" w:ascii="Times New Roman" w:eastAsia="Times New Roman"/>
                <w:color w:val="auto"/>
                <w:sz w:val="22"/>
                <w:szCs w:val="21"/>
                <w:highlight w:val="none"/>
              </w:rPr>
            </w:pPr>
          </w:p>
        </w:tc>
        <w:tc>
          <w:tcPr>
            <w:tcW w:w="941"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9798A32">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552E628">
            <w:pPr>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4876BAA">
            <w:pPr>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8D415C2">
            <w:pPr>
              <w:snapToGrid w:val="0"/>
              <w:spacing w:beforeLines="0" w:afterLines="0" w:line="360" w:lineRule="auto"/>
              <w:jc w:val="center"/>
              <w:rPr>
                <w:rFonts w:hint="eastAsia" w:ascii="Times New Roman" w:eastAsia="Times New Roman"/>
                <w:color w:val="auto"/>
                <w:sz w:val="22"/>
                <w:szCs w:val="21"/>
                <w:highlight w:val="none"/>
              </w:rPr>
            </w:pPr>
          </w:p>
        </w:tc>
        <w:tc>
          <w:tcPr>
            <w:tcW w:w="68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F1E4497">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CB34688">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03B932BC">
            <w:pPr>
              <w:snapToGrid w:val="0"/>
              <w:spacing w:beforeLines="0" w:afterLines="0" w:line="360" w:lineRule="auto"/>
              <w:jc w:val="center"/>
              <w:rPr>
                <w:rFonts w:hint="eastAsia" w:ascii="Times New Roman" w:eastAsia="Times New Roman"/>
                <w:color w:val="auto"/>
                <w:sz w:val="22"/>
                <w:szCs w:val="21"/>
                <w:highlight w:val="none"/>
              </w:rPr>
            </w:pPr>
          </w:p>
        </w:tc>
        <w:tc>
          <w:tcPr>
            <w:tcW w:w="55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CE1D8B6">
            <w:pPr>
              <w:snapToGrid w:val="0"/>
              <w:spacing w:beforeLines="0" w:afterLines="0" w:line="360" w:lineRule="auto"/>
              <w:jc w:val="center"/>
              <w:rPr>
                <w:rFonts w:hint="eastAsia" w:ascii="Times New Roman" w:eastAsia="Times New Roman"/>
                <w:color w:val="auto"/>
                <w:sz w:val="22"/>
                <w:szCs w:val="21"/>
                <w:highlight w:val="none"/>
              </w:rPr>
            </w:pPr>
          </w:p>
        </w:tc>
        <w:tc>
          <w:tcPr>
            <w:tcW w:w="292"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2D91D70A">
            <w:pPr>
              <w:snapToGrid w:val="0"/>
              <w:spacing w:beforeLines="0" w:afterLines="0" w:line="360" w:lineRule="auto"/>
              <w:jc w:val="center"/>
              <w:rPr>
                <w:rFonts w:hint="eastAsia" w:ascii="Times New Roman" w:eastAsia="Times New Roman"/>
                <w:color w:val="auto"/>
                <w:sz w:val="22"/>
                <w:szCs w:val="21"/>
                <w:highlight w:val="none"/>
              </w:rPr>
            </w:pPr>
          </w:p>
        </w:tc>
      </w:tr>
    </w:tbl>
    <w:p w14:paraId="32321335">
      <w:pPr>
        <w:spacing w:before="240" w:beforeLines="100" w:after="240" w:afterLines="100"/>
        <w:outlineLvl w:val="2"/>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bookmarkStart w:id="916" w:name="_Toc128950237"/>
      <w:r>
        <w:rPr>
          <w:rFonts w:hint="eastAsia" w:ascii="Times New Roman" w:eastAsia="黑体"/>
          <w:color w:val="auto"/>
          <w:sz w:val="24"/>
          <w:szCs w:val="24"/>
          <w:highlight w:val="none"/>
        </w:rPr>
        <w:t>附件3：工程质量保修书（房屋建筑工程）</w:t>
      </w:r>
      <w:bookmarkEnd w:id="916"/>
    </w:p>
    <w:p w14:paraId="55C819F9">
      <w:pPr>
        <w:adjustRightInd w:val="0"/>
        <w:snapToGrid w:val="0"/>
        <w:spacing w:before="120" w:beforeLines="50" w:after="120" w:afterLines="50" w:line="360" w:lineRule="auto"/>
        <w:jc w:val="center"/>
        <w:rPr>
          <w:rFonts w:hint="eastAsia" w:ascii="Times New Roman"/>
          <w:b/>
          <w:color w:val="auto"/>
          <w:sz w:val="24"/>
          <w:szCs w:val="24"/>
          <w:highlight w:val="none"/>
        </w:rPr>
      </w:pPr>
      <w:r>
        <w:rPr>
          <w:rFonts w:hint="eastAsia" w:ascii="Times New Roman"/>
          <w:b/>
          <w:color w:val="auto"/>
          <w:sz w:val="24"/>
          <w:szCs w:val="24"/>
          <w:highlight w:val="none"/>
        </w:rPr>
        <w:t>工程质量保修书</w:t>
      </w:r>
    </w:p>
    <w:p w14:paraId="5F2D55D0">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发包人（全称）：</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w:t>
      </w:r>
    </w:p>
    <w:p w14:paraId="0715F62C">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承包人（全称）：</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w:t>
      </w:r>
    </w:p>
    <w:p w14:paraId="5DDF78A7">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发包人和承包人根据《中华人民共和国建筑法》和《建设工程质量管理条例》，经协商一致就_______________（工程全称）签订工程质量保修书。</w:t>
      </w:r>
    </w:p>
    <w:p w14:paraId="0E083D14">
      <w:pPr>
        <w:adjustRightInd w:val="0"/>
        <w:snapToGrid w:val="0"/>
        <w:spacing w:beforeLines="0" w:afterLines="0" w:line="360" w:lineRule="auto"/>
        <w:ind w:firstLine="482" w:firstLineChars="200"/>
        <w:rPr>
          <w:rFonts w:hint="eastAsia" w:ascii="Times New Roman"/>
          <w:b/>
          <w:color w:val="auto"/>
          <w:sz w:val="24"/>
          <w:szCs w:val="21"/>
          <w:highlight w:val="none"/>
        </w:rPr>
      </w:pPr>
      <w:r>
        <w:rPr>
          <w:rFonts w:hint="eastAsia" w:ascii="Times New Roman"/>
          <w:b/>
          <w:color w:val="auto"/>
          <w:sz w:val="24"/>
          <w:szCs w:val="21"/>
          <w:highlight w:val="none"/>
        </w:rPr>
        <w:t>一、工程质量保修范围和内容</w:t>
      </w:r>
    </w:p>
    <w:p w14:paraId="4C5C0829">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承包人在质量保修期内，按照有关法律规定和合同约定，承担工程质量保修责任。</w:t>
      </w:r>
    </w:p>
    <w:p w14:paraId="582B74B3">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w:t>
      </w:r>
    </w:p>
    <w:p w14:paraId="62DED8CB">
      <w:pPr>
        <w:adjustRightInd w:val="0"/>
        <w:snapToGrid w:val="0"/>
        <w:spacing w:beforeLines="0" w:afterLines="0" w:line="360" w:lineRule="auto"/>
        <w:ind w:firstLine="472" w:firstLineChars="196"/>
        <w:rPr>
          <w:rFonts w:hint="eastAsia" w:ascii="Times New Roman"/>
          <w:b/>
          <w:color w:val="auto"/>
          <w:sz w:val="24"/>
          <w:szCs w:val="21"/>
          <w:highlight w:val="none"/>
        </w:rPr>
      </w:pPr>
      <w:r>
        <w:rPr>
          <w:rFonts w:hint="eastAsia" w:ascii="Times New Roman"/>
          <w:b/>
          <w:color w:val="auto"/>
          <w:sz w:val="24"/>
          <w:szCs w:val="21"/>
          <w:highlight w:val="none"/>
        </w:rPr>
        <w:t>二、质量保修期</w:t>
      </w:r>
    </w:p>
    <w:p w14:paraId="75BF0BA0">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根据《建设工程质量管理条例》及有关规定，工程的质量保修期如下：</w:t>
      </w:r>
    </w:p>
    <w:p w14:paraId="2A5D1E2D">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 地基基础工程和主体结构工程为设计文件规定的工程合理使用年限；</w:t>
      </w:r>
    </w:p>
    <w:p w14:paraId="6949489C">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 屋面防水工程、有防水要求的卫生间、房间和外墙面的防渗为</w:t>
      </w:r>
      <w:r>
        <w:rPr>
          <w:rFonts w:hint="eastAsia" w:ascii="Times New Roman"/>
          <w:color w:val="auto"/>
          <w:sz w:val="24"/>
          <w:szCs w:val="21"/>
          <w:highlight w:val="none"/>
          <w:u w:val="single"/>
        </w:rPr>
        <w:t>5</w:t>
      </w:r>
      <w:r>
        <w:rPr>
          <w:rFonts w:hint="eastAsia" w:ascii="Times New Roman"/>
          <w:color w:val="auto"/>
          <w:sz w:val="24"/>
          <w:szCs w:val="21"/>
          <w:highlight w:val="none"/>
        </w:rPr>
        <w:t>年；</w:t>
      </w:r>
    </w:p>
    <w:p w14:paraId="16F12FF5">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 装修工程为</w:t>
      </w:r>
      <w:r>
        <w:rPr>
          <w:rFonts w:hint="eastAsia" w:ascii="Times New Roman"/>
          <w:color w:val="auto"/>
          <w:sz w:val="24"/>
          <w:szCs w:val="21"/>
          <w:highlight w:val="none"/>
          <w:u w:val="single"/>
        </w:rPr>
        <w:t>2</w:t>
      </w:r>
      <w:r>
        <w:rPr>
          <w:rFonts w:hint="eastAsia" w:ascii="Times New Roman"/>
          <w:color w:val="auto"/>
          <w:sz w:val="24"/>
          <w:szCs w:val="21"/>
          <w:highlight w:val="none"/>
        </w:rPr>
        <w:t>年；</w:t>
      </w:r>
    </w:p>
    <w:p w14:paraId="5CE183FC">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 电气管线、给排水管道、设备安装工程为</w:t>
      </w:r>
      <w:r>
        <w:rPr>
          <w:rFonts w:hint="eastAsia" w:ascii="Times New Roman"/>
          <w:color w:val="auto"/>
          <w:sz w:val="24"/>
          <w:szCs w:val="21"/>
          <w:highlight w:val="none"/>
          <w:u w:val="single"/>
        </w:rPr>
        <w:t>2</w:t>
      </w:r>
      <w:r>
        <w:rPr>
          <w:rFonts w:hint="eastAsia" w:ascii="Times New Roman"/>
          <w:color w:val="auto"/>
          <w:sz w:val="24"/>
          <w:szCs w:val="21"/>
          <w:highlight w:val="none"/>
        </w:rPr>
        <w:t>年；</w:t>
      </w:r>
    </w:p>
    <w:p w14:paraId="692697C1">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5. 供热与供冷系统为</w:t>
      </w:r>
      <w:r>
        <w:rPr>
          <w:rFonts w:hint="eastAsia" w:ascii="Times New Roman"/>
          <w:color w:val="auto"/>
          <w:sz w:val="24"/>
          <w:szCs w:val="21"/>
          <w:highlight w:val="none"/>
          <w:u w:val="single"/>
        </w:rPr>
        <w:t>2</w:t>
      </w:r>
      <w:r>
        <w:rPr>
          <w:rFonts w:hint="eastAsia" w:ascii="Times New Roman"/>
          <w:color w:val="auto"/>
          <w:sz w:val="24"/>
          <w:szCs w:val="21"/>
          <w:highlight w:val="none"/>
        </w:rPr>
        <w:t>个采暖期、供冷期；</w:t>
      </w:r>
    </w:p>
    <w:p w14:paraId="1A289344">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6. 住宅小区内的给排水设施、道路等配套工程为</w:t>
      </w:r>
      <w:r>
        <w:rPr>
          <w:rFonts w:hint="eastAsia" w:ascii="Times New Roman"/>
          <w:color w:val="auto"/>
          <w:sz w:val="24"/>
          <w:szCs w:val="21"/>
          <w:highlight w:val="none"/>
          <w:u w:val="single"/>
        </w:rPr>
        <w:t>2</w:t>
      </w:r>
      <w:r>
        <w:rPr>
          <w:rFonts w:hint="eastAsia" w:ascii="Times New Roman"/>
          <w:color w:val="auto"/>
          <w:sz w:val="24"/>
          <w:szCs w:val="21"/>
          <w:highlight w:val="none"/>
        </w:rPr>
        <w:t>年；</w:t>
      </w:r>
    </w:p>
    <w:p w14:paraId="0C10F2FC">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7. 其他项目保修期限约定如下：</w:t>
      </w:r>
      <w:r>
        <w:rPr>
          <w:rFonts w:hint="eastAsia" w:ascii="Times New Roman"/>
          <w:color w:val="auto"/>
          <w:sz w:val="24"/>
          <w:szCs w:val="21"/>
          <w:highlight w:val="none"/>
          <w:u w:val="single"/>
        </w:rPr>
        <w:t>保温工程5年</w:t>
      </w:r>
      <w:r>
        <w:rPr>
          <w:rFonts w:hint="eastAsia" w:ascii="Times New Roman"/>
          <w:color w:val="auto"/>
          <w:sz w:val="24"/>
          <w:szCs w:val="21"/>
          <w:highlight w:val="none"/>
        </w:rPr>
        <w:t>。</w:t>
      </w:r>
    </w:p>
    <w:p w14:paraId="486C8119">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质量保修期自工程竣工验收合格之日起计算。</w:t>
      </w:r>
    </w:p>
    <w:p w14:paraId="51BA2719">
      <w:pPr>
        <w:adjustRightInd w:val="0"/>
        <w:snapToGrid w:val="0"/>
        <w:spacing w:beforeLines="0" w:afterLines="0" w:line="360" w:lineRule="auto"/>
        <w:ind w:firstLine="482" w:firstLineChars="200"/>
        <w:rPr>
          <w:rFonts w:hint="eastAsia" w:ascii="Times New Roman"/>
          <w:b/>
          <w:color w:val="auto"/>
          <w:sz w:val="24"/>
          <w:szCs w:val="21"/>
          <w:highlight w:val="none"/>
        </w:rPr>
      </w:pPr>
      <w:r>
        <w:rPr>
          <w:rFonts w:hint="eastAsia" w:ascii="Times New Roman"/>
          <w:b/>
          <w:color w:val="auto"/>
          <w:sz w:val="24"/>
          <w:szCs w:val="21"/>
          <w:highlight w:val="none"/>
        </w:rPr>
        <w:t>三、缺陷责任期</w:t>
      </w:r>
    </w:p>
    <w:p w14:paraId="14A3A03B">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工程缺陷责任期为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，缺陷责任期自工程竣工验收合格之日起计算。单位工程先于全部工程进行验收，单位工程缺陷责任期自单位工程验收合格之日起算。</w:t>
      </w:r>
    </w:p>
    <w:p w14:paraId="57BEC8AE">
      <w:pPr>
        <w:adjustRightInd w:val="0"/>
        <w:snapToGrid w:val="0"/>
        <w:spacing w:beforeLines="0" w:afterLines="0" w:line="360" w:lineRule="auto"/>
        <w:ind w:firstLine="480" w:firstLineChars="200"/>
        <w:rPr>
          <w:rFonts w:hint="eastAsia" w:ascii="Times New Roman"/>
          <w:b/>
          <w:color w:val="auto"/>
          <w:sz w:val="24"/>
          <w:szCs w:val="21"/>
          <w:highlight w:val="none"/>
        </w:rPr>
      </w:pPr>
      <w:r>
        <w:rPr>
          <w:rFonts w:hint="eastAsia" w:ascii="Times New Roman"/>
          <w:color w:val="auto"/>
          <w:sz w:val="24"/>
          <w:szCs w:val="21"/>
          <w:highlight w:val="none"/>
        </w:rPr>
        <w:t>缺陷责任期终止后，发包人应退还剩余的质量保证金。</w:t>
      </w:r>
    </w:p>
    <w:p w14:paraId="33045065">
      <w:pPr>
        <w:adjustRightInd w:val="0"/>
        <w:snapToGrid w:val="0"/>
        <w:spacing w:beforeLines="0" w:afterLines="0" w:line="360" w:lineRule="auto"/>
        <w:ind w:firstLine="482" w:firstLineChars="200"/>
        <w:rPr>
          <w:rFonts w:hint="eastAsia" w:ascii="Times New Roman"/>
          <w:b/>
          <w:color w:val="auto"/>
          <w:sz w:val="24"/>
          <w:szCs w:val="21"/>
          <w:highlight w:val="none"/>
        </w:rPr>
      </w:pPr>
      <w:r>
        <w:rPr>
          <w:rFonts w:hint="eastAsia" w:ascii="Times New Roman"/>
          <w:b/>
          <w:color w:val="auto"/>
          <w:sz w:val="24"/>
          <w:szCs w:val="21"/>
          <w:highlight w:val="none"/>
        </w:rPr>
        <w:t>四、质量保修责任</w:t>
      </w:r>
    </w:p>
    <w:p w14:paraId="08879DFD">
      <w:pPr>
        <w:adjustRightInd w:val="0"/>
        <w:snapToGrid w:val="0"/>
        <w:spacing w:beforeLines="0" w:afterLines="0" w:line="360" w:lineRule="auto"/>
        <w:ind w:firstLine="491" w:firstLineChars="205"/>
        <w:rPr>
          <w:rFonts w:hint="eastAsia" w:ascii="Times New Roman"/>
          <w:color w:val="auto"/>
          <w:sz w:val="24"/>
          <w:szCs w:val="21"/>
          <w:highlight w:val="none"/>
        </w:rPr>
      </w:pPr>
      <w:r>
        <w:rPr>
          <w:rFonts w:hint="eastAsia" w:ascii="Times New Roman"/>
          <w:color w:val="auto"/>
          <w:sz w:val="24"/>
          <w:szCs w:val="21"/>
          <w:highlight w:val="none"/>
        </w:rPr>
        <w:t>1. 属于保修范围、内容的项目，承包人应当在接到保修通知之日起7天内派人保修。承包人不在约定期限内派人保修的，发包人可以委托他人修理。</w:t>
      </w:r>
    </w:p>
    <w:p w14:paraId="646E974D">
      <w:pPr>
        <w:adjustRightInd w:val="0"/>
        <w:snapToGrid w:val="0"/>
        <w:spacing w:beforeLines="0" w:afterLines="0" w:line="360" w:lineRule="auto"/>
        <w:ind w:firstLine="491" w:firstLineChars="205"/>
        <w:rPr>
          <w:rFonts w:hint="eastAsia" w:ascii="Times New Roman"/>
          <w:color w:val="auto"/>
          <w:sz w:val="24"/>
          <w:szCs w:val="21"/>
          <w:highlight w:val="none"/>
        </w:rPr>
      </w:pPr>
      <w:r>
        <w:rPr>
          <w:rFonts w:hint="eastAsia" w:ascii="Times New Roman"/>
          <w:color w:val="auto"/>
          <w:sz w:val="24"/>
          <w:szCs w:val="21"/>
          <w:highlight w:val="none"/>
        </w:rPr>
        <w:t>2. 发生紧急事故需抢修的，承包人在接到事故通知后，应当立即到达事故现场抢修。</w:t>
      </w:r>
    </w:p>
    <w:p w14:paraId="5BFAEF31">
      <w:pPr>
        <w:adjustRightInd w:val="0"/>
        <w:snapToGrid w:val="0"/>
        <w:spacing w:beforeLines="0" w:afterLines="0" w:line="360" w:lineRule="auto"/>
        <w:ind w:firstLine="491" w:firstLineChars="205"/>
        <w:rPr>
          <w:rFonts w:hint="eastAsia" w:ascii="Times New Roman"/>
          <w:color w:val="auto"/>
          <w:sz w:val="24"/>
          <w:szCs w:val="21"/>
          <w:highlight w:val="none"/>
        </w:rPr>
      </w:pPr>
      <w:r>
        <w:rPr>
          <w:rFonts w:hint="eastAsia" w:ascii="Times New Roman"/>
          <w:color w:val="auto"/>
          <w:sz w:val="24"/>
          <w:szCs w:val="21"/>
          <w:highlight w:val="none"/>
        </w:rPr>
        <w:t>3. 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BDD0C55">
      <w:pPr>
        <w:adjustRightInd w:val="0"/>
        <w:snapToGrid w:val="0"/>
        <w:spacing w:beforeLines="0" w:afterLines="0" w:line="360" w:lineRule="auto"/>
        <w:ind w:firstLine="491" w:firstLineChars="205"/>
        <w:rPr>
          <w:rFonts w:hint="eastAsia" w:ascii="Times New Roman"/>
          <w:color w:val="auto"/>
          <w:sz w:val="24"/>
          <w:szCs w:val="21"/>
          <w:highlight w:val="none"/>
        </w:rPr>
      </w:pPr>
      <w:r>
        <w:rPr>
          <w:rFonts w:hint="eastAsia" w:ascii="Times New Roman"/>
          <w:color w:val="auto"/>
          <w:sz w:val="24"/>
          <w:szCs w:val="21"/>
          <w:highlight w:val="none"/>
        </w:rPr>
        <w:t>4. 质量保修完成后，由发包人组织验收。</w:t>
      </w:r>
    </w:p>
    <w:p w14:paraId="398FAE69">
      <w:pPr>
        <w:adjustRightInd w:val="0"/>
        <w:snapToGrid w:val="0"/>
        <w:spacing w:beforeLines="0" w:afterLines="0" w:line="360" w:lineRule="auto"/>
        <w:ind w:firstLine="482" w:firstLineChars="200"/>
        <w:rPr>
          <w:rFonts w:hint="eastAsia" w:ascii="Times New Roman"/>
          <w:b/>
          <w:color w:val="auto"/>
          <w:sz w:val="24"/>
          <w:szCs w:val="21"/>
          <w:highlight w:val="none"/>
        </w:rPr>
      </w:pPr>
      <w:r>
        <w:rPr>
          <w:rFonts w:hint="eastAsia" w:ascii="Times New Roman"/>
          <w:b/>
          <w:color w:val="auto"/>
          <w:sz w:val="24"/>
          <w:szCs w:val="21"/>
          <w:highlight w:val="none"/>
        </w:rPr>
        <w:t>五、保修费用</w:t>
      </w:r>
    </w:p>
    <w:p w14:paraId="7CB4AA87">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保修费用由造成质量缺陷的责任方承担。</w:t>
      </w:r>
    </w:p>
    <w:p w14:paraId="4FDD6573">
      <w:pPr>
        <w:adjustRightInd w:val="0"/>
        <w:snapToGrid w:val="0"/>
        <w:spacing w:beforeLines="0" w:afterLines="0" w:line="360" w:lineRule="auto"/>
        <w:ind w:firstLine="482" w:firstLineChars="200"/>
        <w:rPr>
          <w:rFonts w:hint="eastAsia" w:ascii="Times New Roman"/>
          <w:b/>
          <w:color w:val="auto"/>
          <w:sz w:val="24"/>
          <w:szCs w:val="21"/>
          <w:highlight w:val="none"/>
        </w:rPr>
      </w:pPr>
      <w:r>
        <w:rPr>
          <w:rFonts w:hint="eastAsia" w:ascii="Times New Roman"/>
          <w:b/>
          <w:color w:val="auto"/>
          <w:sz w:val="24"/>
          <w:szCs w:val="21"/>
          <w:highlight w:val="none"/>
        </w:rPr>
        <w:t>六、双方约定的其他工程质量保修事项：</w:t>
      </w:r>
      <w:r>
        <w:rPr>
          <w:rFonts w:hint="eastAsia" w:ascii="Times New Roman"/>
          <w:b/>
          <w:color w:val="auto"/>
          <w:sz w:val="24"/>
          <w:szCs w:val="21"/>
          <w:highlight w:val="none"/>
          <w:u w:val="single"/>
        </w:rPr>
        <w:t xml:space="preserve">             </w:t>
      </w:r>
      <w:r>
        <w:rPr>
          <w:rFonts w:hint="eastAsia" w:ascii="Times New Roman"/>
          <w:b/>
          <w:color w:val="auto"/>
          <w:sz w:val="24"/>
          <w:szCs w:val="21"/>
          <w:highlight w:val="none"/>
        </w:rPr>
        <w:t>。</w:t>
      </w:r>
    </w:p>
    <w:p w14:paraId="7EB91BF4">
      <w:pPr>
        <w:adjustRightInd w:val="0"/>
        <w:snapToGrid w:val="0"/>
        <w:spacing w:beforeLines="0" w:afterLines="0" w:line="360" w:lineRule="auto"/>
        <w:ind w:firstLine="456" w:firstLineChars="190"/>
        <w:rPr>
          <w:rFonts w:hint="eastAsia" w:ascii="Times New Roman"/>
          <w:color w:val="auto"/>
          <w:sz w:val="24"/>
          <w:szCs w:val="21"/>
          <w:highlight w:val="none"/>
        </w:rPr>
      </w:pPr>
      <w:r>
        <w:rPr>
          <w:rFonts w:hint="eastAsia" w:ascii="Times New Roman"/>
          <w:color w:val="auto"/>
          <w:sz w:val="24"/>
          <w:szCs w:val="21"/>
          <w:highlight w:val="none"/>
        </w:rPr>
        <w:t>工程质量保修书由发包人、承包人在工程竣工验收前共同签署，作为施工合同附件，其有效期限至保修期满。</w:t>
      </w:r>
    </w:p>
    <w:p w14:paraId="10A78D3F">
      <w:pPr>
        <w:adjustRightInd w:val="0"/>
        <w:snapToGrid w:val="0"/>
        <w:spacing w:beforeLines="0" w:afterLines="0" w:line="360" w:lineRule="auto"/>
        <w:ind w:firstLine="420"/>
        <w:rPr>
          <w:rFonts w:hint="eastAsia" w:ascii="Times New Roman"/>
          <w:color w:val="auto"/>
          <w:sz w:val="24"/>
          <w:szCs w:val="21"/>
          <w:highlight w:val="none"/>
        </w:rPr>
      </w:pPr>
    </w:p>
    <w:p w14:paraId="70068F2B">
      <w:pPr>
        <w:adjustRightInd w:val="0"/>
        <w:snapToGrid w:val="0"/>
        <w:spacing w:beforeLines="0" w:afterLines="0" w:line="360" w:lineRule="auto"/>
        <w:ind w:firstLine="420"/>
        <w:rPr>
          <w:rFonts w:hint="eastAsia" w:ascii="Times New Roman"/>
          <w:color w:val="auto"/>
          <w:sz w:val="24"/>
          <w:szCs w:val="21"/>
          <w:highlight w:val="none"/>
        </w:rPr>
      </w:pPr>
    </w:p>
    <w:p w14:paraId="2B9B18D1">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发包人（公章）：</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承包人（公章）：</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p>
    <w:p w14:paraId="553736E4">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地  址：</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地  址：</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4BE8E2F8">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法定代表人（签字）：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法定代表人（签字）：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6DCB9028">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委托代理人（签字）：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委托代理人（签字）：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11972271">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电  话：</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电  话：</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26604C57">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传  真：</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传  真：</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p>
    <w:p w14:paraId="204441FA">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开户银行：</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开户银行：</w:t>
      </w:r>
      <w:r>
        <w:rPr>
          <w:rFonts w:hint="eastAsia" w:ascii="Times New Roman" w:cs="宋体"/>
          <w:color w:val="auto"/>
          <w:sz w:val="24"/>
          <w:szCs w:val="21"/>
          <w:highlight w:val="none"/>
          <w:u w:val="single"/>
        </w:rPr>
        <w:t></w:t>
      </w:r>
    </w:p>
    <w:p w14:paraId="74209887">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账  号：</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账  号：</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0A394171">
      <w:pPr>
        <w:adjustRightInd w:val="0"/>
        <w:snapToGrid w:val="0"/>
        <w:spacing w:beforeLines="0" w:afterLines="0" w:line="360" w:lineRule="auto"/>
        <w:rPr>
          <w:rFonts w:hint="eastAsia" w:ascii="Times New Roman"/>
          <w:color w:val="auto"/>
          <w:sz w:val="24"/>
          <w:szCs w:val="24"/>
          <w:highlight w:val="none"/>
        </w:rPr>
      </w:pPr>
      <w:r>
        <w:rPr>
          <w:rFonts w:hint="eastAsia" w:ascii="Times New Roman"/>
          <w:color w:val="auto"/>
          <w:sz w:val="24"/>
          <w:szCs w:val="21"/>
          <w:highlight w:val="none"/>
        </w:rPr>
        <w:t>邮政编码：</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邮政编码：</w:t>
      </w:r>
      <w:r>
        <w:rPr>
          <w:rFonts w:hint="eastAsia" w:ascii="Times New Roman" w:cs="宋体"/>
          <w:color w:val="auto"/>
          <w:sz w:val="24"/>
          <w:szCs w:val="21"/>
          <w:highlight w:val="none"/>
          <w:u w:val="single"/>
        </w:rPr>
        <w:t></w:t>
      </w:r>
    </w:p>
    <w:p w14:paraId="26AA595B">
      <w:pPr>
        <w:spacing w:before="240" w:beforeLines="100" w:after="240" w:afterLines="100"/>
        <w:outlineLvl w:val="2"/>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bookmarkStart w:id="917" w:name="_Toc128950238"/>
      <w:r>
        <w:rPr>
          <w:rFonts w:hint="eastAsia" w:ascii="Times New Roman" w:eastAsia="黑体"/>
          <w:color w:val="auto"/>
          <w:sz w:val="24"/>
          <w:szCs w:val="24"/>
          <w:highlight w:val="none"/>
        </w:rPr>
        <w:t>附</w:t>
      </w:r>
      <w:bookmarkStart w:id="918" w:name="_Toc296891054"/>
      <w:bookmarkStart w:id="919" w:name="_Toc296944565"/>
      <w:bookmarkStart w:id="920" w:name="_Toc296346727"/>
      <w:bookmarkStart w:id="921" w:name="_Toc296503226"/>
      <w:bookmarkStart w:id="922" w:name="_Toc267261693"/>
      <w:bookmarkStart w:id="923" w:name="_Toc296891266"/>
      <w:bookmarkStart w:id="924" w:name="_Toc296347225"/>
      <w:r>
        <w:rPr>
          <w:rFonts w:hint="eastAsia" w:ascii="Times New Roman" w:eastAsia="黑体"/>
          <w:color w:val="auto"/>
          <w:sz w:val="24"/>
          <w:szCs w:val="24"/>
          <w:highlight w:val="none"/>
        </w:rPr>
        <w:t>件</w:t>
      </w:r>
      <w:r>
        <w:rPr>
          <w:rFonts w:hint="eastAsia" w:ascii="Times New Roman" w:eastAsia="Times New Roman"/>
          <w:color w:val="auto"/>
          <w:sz w:val="24"/>
          <w:szCs w:val="24"/>
          <w:highlight w:val="none"/>
        </w:rPr>
        <w:t>3</w:t>
      </w:r>
      <w:r>
        <w:rPr>
          <w:rFonts w:hint="eastAsia" w:ascii="Times New Roman" w:eastAsia="黑体"/>
          <w:color w:val="auto"/>
          <w:sz w:val="24"/>
          <w:szCs w:val="24"/>
          <w:highlight w:val="none"/>
        </w:rPr>
        <w:t>：</w:t>
      </w:r>
      <w:bookmarkEnd w:id="918"/>
      <w:bookmarkEnd w:id="919"/>
      <w:bookmarkEnd w:id="920"/>
      <w:bookmarkEnd w:id="921"/>
      <w:bookmarkEnd w:id="922"/>
      <w:bookmarkEnd w:id="923"/>
      <w:bookmarkEnd w:id="924"/>
      <w:r>
        <w:rPr>
          <w:rFonts w:hint="eastAsia" w:ascii="Times New Roman" w:eastAsia="黑体"/>
          <w:color w:val="auto"/>
          <w:sz w:val="24"/>
          <w:szCs w:val="24"/>
          <w:highlight w:val="none"/>
        </w:rPr>
        <w:t>工程质量保修书（市政公用工程）</w:t>
      </w:r>
      <w:bookmarkEnd w:id="917"/>
    </w:p>
    <w:p w14:paraId="7829D9C4">
      <w:pPr>
        <w:adjustRightInd w:val="0"/>
        <w:snapToGrid w:val="0"/>
        <w:spacing w:beforeLines="0" w:afterLines="0" w:line="360" w:lineRule="auto"/>
        <w:jc w:val="center"/>
        <w:rPr>
          <w:rFonts w:hint="eastAsia" w:ascii="Times New Roman"/>
          <w:color w:val="auto"/>
          <w:sz w:val="28"/>
          <w:szCs w:val="28"/>
          <w:highlight w:val="none"/>
        </w:rPr>
      </w:pPr>
      <w:r>
        <w:rPr>
          <w:rFonts w:hint="eastAsia" w:ascii="Times New Roman"/>
          <w:color w:val="auto"/>
          <w:sz w:val="28"/>
          <w:szCs w:val="28"/>
          <w:highlight w:val="none"/>
        </w:rPr>
        <w:t>工程质量保修书</w:t>
      </w:r>
    </w:p>
    <w:p w14:paraId="79C27080">
      <w:pPr>
        <w:adjustRightInd w:val="0"/>
        <w:snapToGrid w:val="0"/>
        <w:spacing w:beforeLines="0" w:afterLines="0" w:line="360" w:lineRule="auto"/>
        <w:ind w:firstLine="480" w:firstLineChars="200"/>
        <w:rPr>
          <w:rFonts w:hint="eastAsia" w:ascii="Times New Roman"/>
          <w:color w:val="auto"/>
          <w:position w:val="14"/>
          <w:sz w:val="24"/>
          <w:szCs w:val="21"/>
          <w:highlight w:val="none"/>
        </w:rPr>
      </w:pPr>
      <w:r>
        <w:rPr>
          <w:rFonts w:hint="eastAsia" w:ascii="Times New Roman"/>
          <w:color w:val="auto"/>
          <w:position w:val="14"/>
          <w:sz w:val="24"/>
          <w:szCs w:val="21"/>
          <w:highlight w:val="none"/>
        </w:rPr>
        <w:t>发包人：_______________________________</w:t>
      </w:r>
    </w:p>
    <w:p w14:paraId="190D00E2">
      <w:pPr>
        <w:widowControl/>
        <w:adjustRightInd w:val="0"/>
        <w:snapToGrid w:val="0"/>
        <w:spacing w:beforeLines="0" w:afterLines="0" w:line="360" w:lineRule="auto"/>
        <w:ind w:firstLine="480" w:firstLineChars="200"/>
        <w:jc w:val="left"/>
        <w:rPr>
          <w:rFonts w:hint="eastAsia" w:ascii="Times New Roman"/>
          <w:color w:val="auto"/>
          <w:position w:val="14"/>
          <w:sz w:val="24"/>
          <w:szCs w:val="21"/>
          <w:highlight w:val="none"/>
        </w:rPr>
      </w:pPr>
      <w:r>
        <w:rPr>
          <w:rFonts w:hint="eastAsia" w:ascii="Times New Roman"/>
          <w:color w:val="auto"/>
          <w:position w:val="14"/>
          <w:sz w:val="24"/>
          <w:szCs w:val="21"/>
          <w:highlight w:val="none"/>
        </w:rPr>
        <w:t>承包人：_______________________________</w:t>
      </w:r>
    </w:p>
    <w:p w14:paraId="5B8A8DDC">
      <w:pPr>
        <w:widowControl/>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发包人、承包人根据《中华人民共和国建筑法》《建设工程质量管理条例》，参照《房屋建筑工程质量保修办法》，经协商一致，对______________________工程签订工程质量保修书。</w:t>
      </w:r>
    </w:p>
    <w:p w14:paraId="7D1686D8">
      <w:pPr>
        <w:widowControl/>
        <w:adjustRightInd w:val="0"/>
        <w:snapToGrid w:val="0"/>
        <w:spacing w:beforeLines="0" w:afterLines="0" w:line="360" w:lineRule="auto"/>
        <w:ind w:firstLine="482" w:firstLineChars="200"/>
        <w:jc w:val="left"/>
        <w:rPr>
          <w:rFonts w:hint="eastAsia" w:ascii="Times New Roman"/>
          <w:b/>
          <w:color w:val="auto"/>
          <w:position w:val="6"/>
          <w:sz w:val="24"/>
          <w:szCs w:val="21"/>
          <w:highlight w:val="none"/>
        </w:rPr>
      </w:pPr>
      <w:r>
        <w:rPr>
          <w:rFonts w:hint="eastAsia" w:ascii="Times New Roman"/>
          <w:b/>
          <w:color w:val="auto"/>
          <w:position w:val="6"/>
          <w:sz w:val="24"/>
          <w:szCs w:val="21"/>
          <w:highlight w:val="none"/>
        </w:rPr>
        <w:t>一、工程质量保修范围和内容</w:t>
      </w:r>
    </w:p>
    <w:p w14:paraId="15983AF0">
      <w:pPr>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按照《建设工程质量管理条例》及有关法律、法规、规章的管理规定，双方约定由施工单位在质量保修期内，承担本工程的质量保修责任。</w:t>
      </w:r>
    </w:p>
    <w:p w14:paraId="473BBF7C">
      <w:pPr>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质量保修范围和内容：______________________。因不可抗力或使用不当造成的质量缺陷，不属保修范围。</w:t>
      </w:r>
    </w:p>
    <w:p w14:paraId="1DB5C5A2">
      <w:pPr>
        <w:widowControl/>
        <w:adjustRightInd w:val="0"/>
        <w:snapToGrid w:val="0"/>
        <w:spacing w:beforeLines="0" w:afterLines="0" w:line="360" w:lineRule="auto"/>
        <w:ind w:firstLine="482" w:firstLineChars="200"/>
        <w:jc w:val="left"/>
        <w:rPr>
          <w:rFonts w:hint="eastAsia" w:ascii="Times New Roman"/>
          <w:b/>
          <w:color w:val="auto"/>
          <w:position w:val="6"/>
          <w:sz w:val="24"/>
          <w:szCs w:val="21"/>
          <w:highlight w:val="none"/>
        </w:rPr>
      </w:pPr>
      <w:r>
        <w:rPr>
          <w:rFonts w:hint="eastAsia" w:ascii="Times New Roman"/>
          <w:b/>
          <w:color w:val="auto"/>
          <w:position w:val="6"/>
          <w:sz w:val="24"/>
          <w:szCs w:val="21"/>
          <w:highlight w:val="none"/>
        </w:rPr>
        <w:t>二、质量保修期</w:t>
      </w:r>
    </w:p>
    <w:p w14:paraId="3A19493B">
      <w:pPr>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双方根据《建设工程质量管理条例》及有关规定，约定本工程的质量保修期如下：</w:t>
      </w:r>
    </w:p>
    <w:p w14:paraId="472222BA">
      <w:pPr>
        <w:widowControl/>
        <w:adjustRightInd w:val="0"/>
        <w:snapToGrid w:val="0"/>
        <w:spacing w:beforeLines="0" w:afterLines="0" w:line="360" w:lineRule="auto"/>
        <w:ind w:left="480" w:leftChars="200" w:firstLine="67" w:firstLineChars="28"/>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1. 主体结构和基础工程，为</w:t>
      </w:r>
      <w:r>
        <w:rPr>
          <w:rFonts w:hint="eastAsia" w:ascii="Times New Roman"/>
          <w:color w:val="auto"/>
          <w:position w:val="6"/>
          <w:sz w:val="24"/>
          <w:szCs w:val="21"/>
          <w:highlight w:val="none"/>
          <w:u w:val="single"/>
        </w:rPr>
        <w:t xml:space="preserve">     </w:t>
      </w:r>
      <w:r>
        <w:rPr>
          <w:rFonts w:hint="eastAsia" w:ascii="Times New Roman"/>
          <w:color w:val="auto"/>
          <w:position w:val="6"/>
          <w:sz w:val="24"/>
          <w:szCs w:val="21"/>
          <w:highlight w:val="none"/>
        </w:rPr>
        <w:t>年；</w:t>
      </w:r>
    </w:p>
    <w:p w14:paraId="0823B155">
      <w:pPr>
        <w:widowControl/>
        <w:adjustRightInd w:val="0"/>
        <w:snapToGrid w:val="0"/>
        <w:spacing w:beforeLines="0" w:afterLines="0" w:line="360" w:lineRule="auto"/>
        <w:ind w:left="480" w:leftChars="200" w:firstLine="67" w:firstLineChars="28"/>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2. _____________工程，为</w:t>
      </w:r>
      <w:r>
        <w:rPr>
          <w:rFonts w:hint="eastAsia" w:ascii="Times New Roman"/>
          <w:color w:val="auto"/>
          <w:position w:val="6"/>
          <w:sz w:val="24"/>
          <w:szCs w:val="21"/>
          <w:highlight w:val="none"/>
          <w:u w:val="single"/>
        </w:rPr>
        <w:t xml:space="preserve">     </w:t>
      </w:r>
      <w:r>
        <w:rPr>
          <w:rFonts w:hint="eastAsia" w:ascii="Times New Roman"/>
          <w:color w:val="auto"/>
          <w:position w:val="6"/>
          <w:sz w:val="24"/>
          <w:szCs w:val="21"/>
          <w:highlight w:val="none"/>
        </w:rPr>
        <w:t>年；</w:t>
      </w:r>
    </w:p>
    <w:p w14:paraId="7D4E351D">
      <w:pPr>
        <w:widowControl/>
        <w:adjustRightInd w:val="0"/>
        <w:snapToGrid w:val="0"/>
        <w:spacing w:beforeLines="0" w:afterLines="0" w:line="360" w:lineRule="auto"/>
        <w:ind w:left="480" w:leftChars="200" w:firstLine="67" w:firstLineChars="28"/>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3. _____________工程，为</w:t>
      </w:r>
      <w:r>
        <w:rPr>
          <w:rFonts w:hint="eastAsia" w:ascii="Times New Roman"/>
          <w:color w:val="auto"/>
          <w:position w:val="6"/>
          <w:sz w:val="24"/>
          <w:szCs w:val="21"/>
          <w:highlight w:val="none"/>
          <w:u w:val="single"/>
        </w:rPr>
        <w:t xml:space="preserve">     </w:t>
      </w:r>
      <w:r>
        <w:rPr>
          <w:rFonts w:hint="eastAsia" w:ascii="Times New Roman"/>
          <w:color w:val="auto"/>
          <w:position w:val="6"/>
          <w:sz w:val="24"/>
          <w:szCs w:val="21"/>
          <w:highlight w:val="none"/>
        </w:rPr>
        <w:t>年；</w:t>
      </w:r>
    </w:p>
    <w:p w14:paraId="3305EB0C">
      <w:pPr>
        <w:adjustRightInd w:val="0"/>
        <w:snapToGrid w:val="0"/>
        <w:spacing w:beforeLines="0" w:afterLines="0" w:line="360" w:lineRule="auto"/>
        <w:ind w:left="410" w:leftChars="171" w:firstLine="120" w:firstLineChars="50"/>
        <w:rPr>
          <w:rFonts w:hint="eastAsia" w:ascii="Times New Roman"/>
          <w:color w:val="auto"/>
          <w:position w:val="6"/>
          <w:sz w:val="24"/>
          <w:szCs w:val="21"/>
          <w:highlight w:val="none"/>
        </w:rPr>
      </w:pPr>
      <w:r>
        <w:rPr>
          <w:rFonts w:hint="eastAsia" w:ascii="Times New Roman"/>
          <w:color w:val="auto"/>
          <w:position w:val="6"/>
          <w:sz w:val="24"/>
          <w:szCs w:val="21"/>
          <w:highlight w:val="none"/>
        </w:rPr>
        <w:t xml:space="preserve">4. _____________工程，为 </w:t>
      </w:r>
      <w:r>
        <w:rPr>
          <w:rFonts w:hint="eastAsia" w:ascii="Times New Roman"/>
          <w:color w:val="auto"/>
          <w:position w:val="6"/>
          <w:sz w:val="24"/>
          <w:szCs w:val="21"/>
          <w:highlight w:val="none"/>
          <w:u w:val="single"/>
        </w:rPr>
        <w:t xml:space="preserve">     </w:t>
      </w:r>
      <w:r>
        <w:rPr>
          <w:rFonts w:hint="eastAsia" w:ascii="Times New Roman"/>
          <w:color w:val="auto"/>
          <w:position w:val="6"/>
          <w:sz w:val="24"/>
          <w:szCs w:val="21"/>
          <w:highlight w:val="none"/>
        </w:rPr>
        <w:t>年；</w:t>
      </w:r>
    </w:p>
    <w:p w14:paraId="6B766B8B">
      <w:pPr>
        <w:adjustRightInd w:val="0"/>
        <w:snapToGrid w:val="0"/>
        <w:spacing w:beforeLines="0" w:afterLines="0" w:line="360" w:lineRule="auto"/>
        <w:ind w:left="410" w:leftChars="171" w:firstLine="120" w:firstLineChars="50"/>
        <w:rPr>
          <w:rFonts w:hint="eastAsia" w:ascii="Times New Roman"/>
          <w:color w:val="auto"/>
          <w:position w:val="6"/>
          <w:sz w:val="24"/>
          <w:szCs w:val="21"/>
          <w:highlight w:val="none"/>
        </w:rPr>
      </w:pPr>
      <w:r>
        <w:rPr>
          <w:rFonts w:hint="eastAsia" w:ascii="Times New Roman"/>
          <w:color w:val="auto"/>
          <w:position w:val="6"/>
          <w:sz w:val="24"/>
          <w:szCs w:val="21"/>
          <w:highlight w:val="none"/>
        </w:rPr>
        <w:t>质量保修期自工程竣工验收合格之日起计算。</w:t>
      </w:r>
    </w:p>
    <w:p w14:paraId="31BD23D9">
      <w:pPr>
        <w:adjustRightInd w:val="0"/>
        <w:snapToGrid w:val="0"/>
        <w:spacing w:beforeLines="0" w:afterLines="0" w:line="360" w:lineRule="auto"/>
        <w:ind w:firstLine="482" w:firstLineChars="200"/>
        <w:rPr>
          <w:rFonts w:hint="eastAsia" w:ascii="Times New Roman"/>
          <w:b/>
          <w:color w:val="auto"/>
          <w:sz w:val="24"/>
          <w:szCs w:val="21"/>
          <w:highlight w:val="none"/>
        </w:rPr>
      </w:pPr>
      <w:r>
        <w:rPr>
          <w:rFonts w:hint="eastAsia" w:ascii="Times New Roman"/>
          <w:b/>
          <w:color w:val="auto"/>
          <w:sz w:val="24"/>
          <w:szCs w:val="21"/>
          <w:highlight w:val="none"/>
        </w:rPr>
        <w:t>三、缺陷责任期</w:t>
      </w:r>
    </w:p>
    <w:p w14:paraId="1C10106F">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工程缺陷责任期为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，缺陷责任期自工程竣工验收合格之日起计算。单位工程先于全部工程进行验收，单位工程缺陷责任期自单位工程验收合格之日起算。</w:t>
      </w:r>
    </w:p>
    <w:p w14:paraId="5F391738">
      <w:pPr>
        <w:adjustRightInd w:val="0"/>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缺陷责任期终止后，发包人应退还剩余的质量保证金。</w:t>
      </w:r>
    </w:p>
    <w:p w14:paraId="02A817F4">
      <w:pPr>
        <w:widowControl/>
        <w:adjustRightInd w:val="0"/>
        <w:snapToGrid w:val="0"/>
        <w:spacing w:beforeLines="0" w:afterLines="0" w:line="360" w:lineRule="auto"/>
        <w:ind w:firstLine="482" w:firstLineChars="200"/>
        <w:jc w:val="left"/>
        <w:rPr>
          <w:rFonts w:hint="eastAsia" w:ascii="Times New Roman"/>
          <w:b/>
          <w:color w:val="auto"/>
          <w:position w:val="6"/>
          <w:sz w:val="24"/>
          <w:szCs w:val="21"/>
          <w:highlight w:val="none"/>
        </w:rPr>
      </w:pPr>
      <w:r>
        <w:rPr>
          <w:rFonts w:hint="eastAsia" w:ascii="Times New Roman"/>
          <w:b/>
          <w:color w:val="auto"/>
          <w:sz w:val="24"/>
          <w:szCs w:val="21"/>
          <w:highlight w:val="none"/>
        </w:rPr>
        <w:t>四、质量保修责任</w:t>
      </w:r>
    </w:p>
    <w:p w14:paraId="45D0F34F">
      <w:pPr>
        <w:widowControl/>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1. 属于保修范围、内容的项目，承包人应当在接到保修通知之日起7天内派人保修。承包人不在约定期限内派人保修的，发包人可以委托他人修理。</w:t>
      </w:r>
    </w:p>
    <w:p w14:paraId="476340AC">
      <w:pPr>
        <w:widowControl/>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2. 发生紧急抢修事故的，承包人在接到事故通知后，应当立即到达事故现场抢修。</w:t>
      </w:r>
    </w:p>
    <w:p w14:paraId="51125D36">
      <w:pPr>
        <w:widowControl/>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3. 对于涉及结构安全的质量问题，应当立即向当地建设行政主管部门报告，采取安全防范措施；由原设计单位或者具有相应资质等级的设计单位提出保修方案，承包人实施保修。</w:t>
      </w:r>
    </w:p>
    <w:p w14:paraId="7703431A">
      <w:pPr>
        <w:widowControl/>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4. 质量保修完成后，由发包人组织验收。</w:t>
      </w:r>
    </w:p>
    <w:p w14:paraId="1AFF77CE">
      <w:pPr>
        <w:widowControl/>
        <w:adjustRightInd w:val="0"/>
        <w:snapToGrid w:val="0"/>
        <w:spacing w:beforeLines="0" w:afterLines="0" w:line="360" w:lineRule="auto"/>
        <w:ind w:firstLine="482" w:firstLineChars="200"/>
        <w:jc w:val="left"/>
        <w:rPr>
          <w:rFonts w:hint="eastAsia" w:ascii="Times New Roman"/>
          <w:b/>
          <w:color w:val="auto"/>
          <w:position w:val="6"/>
          <w:sz w:val="24"/>
          <w:szCs w:val="21"/>
          <w:highlight w:val="none"/>
        </w:rPr>
      </w:pPr>
      <w:r>
        <w:rPr>
          <w:rFonts w:hint="eastAsia" w:ascii="Times New Roman"/>
          <w:b/>
          <w:color w:val="auto"/>
          <w:position w:val="6"/>
          <w:sz w:val="24"/>
          <w:szCs w:val="21"/>
          <w:highlight w:val="none"/>
        </w:rPr>
        <w:t>五、保修费用</w:t>
      </w:r>
    </w:p>
    <w:p w14:paraId="10F6EF07">
      <w:pPr>
        <w:widowControl/>
        <w:adjustRightInd w:val="0"/>
        <w:snapToGrid w:val="0"/>
        <w:spacing w:beforeLines="0" w:afterLines="0" w:line="360" w:lineRule="auto"/>
        <w:ind w:firstLine="480" w:firstLineChars="200"/>
        <w:jc w:val="left"/>
        <w:rPr>
          <w:rFonts w:hint="eastAsia" w:ascii="Times New Roman"/>
          <w:color w:val="auto"/>
          <w:position w:val="6"/>
          <w:sz w:val="24"/>
          <w:szCs w:val="21"/>
          <w:highlight w:val="none"/>
        </w:rPr>
      </w:pPr>
      <w:r>
        <w:rPr>
          <w:rFonts w:hint="eastAsia" w:ascii="Times New Roman"/>
          <w:color w:val="auto"/>
          <w:position w:val="6"/>
          <w:sz w:val="24"/>
          <w:szCs w:val="21"/>
          <w:highlight w:val="none"/>
        </w:rPr>
        <w:t>保修费用由造成质量缺陷的责任方承担。</w:t>
      </w:r>
    </w:p>
    <w:p w14:paraId="4613D159">
      <w:pPr>
        <w:widowControl/>
        <w:adjustRightInd w:val="0"/>
        <w:snapToGrid w:val="0"/>
        <w:spacing w:beforeLines="0" w:afterLines="0" w:line="360" w:lineRule="auto"/>
        <w:ind w:firstLine="480" w:firstLineChars="200"/>
        <w:jc w:val="left"/>
        <w:rPr>
          <w:rFonts w:hint="eastAsia" w:ascii="Times New Roman"/>
          <w:b/>
          <w:color w:val="auto"/>
          <w:sz w:val="24"/>
          <w:szCs w:val="21"/>
          <w:highlight w:val="none"/>
        </w:rPr>
      </w:pPr>
      <w:r>
        <w:rPr>
          <w:rFonts w:hint="eastAsia" w:ascii="Times New Roman"/>
          <w:color w:val="auto"/>
          <w:position w:val="6"/>
          <w:sz w:val="24"/>
          <w:szCs w:val="21"/>
          <w:highlight w:val="none"/>
        </w:rPr>
        <w:t>六、</w:t>
      </w:r>
      <w:r>
        <w:rPr>
          <w:rFonts w:hint="eastAsia" w:ascii="Times New Roman"/>
          <w:b/>
          <w:color w:val="auto"/>
          <w:sz w:val="24"/>
          <w:szCs w:val="21"/>
          <w:highlight w:val="none"/>
        </w:rPr>
        <w:t>双方约定的其他工程质量保修事项：</w:t>
      </w:r>
      <w:r>
        <w:rPr>
          <w:rFonts w:hint="eastAsia" w:ascii="Times New Roman"/>
          <w:b/>
          <w:color w:val="auto"/>
          <w:sz w:val="24"/>
          <w:szCs w:val="21"/>
          <w:highlight w:val="none"/>
          <w:u w:val="single"/>
        </w:rPr>
        <w:t xml:space="preserve">             </w:t>
      </w:r>
      <w:r>
        <w:rPr>
          <w:rFonts w:hint="eastAsia" w:ascii="Times New Roman"/>
          <w:b/>
          <w:color w:val="auto"/>
          <w:sz w:val="24"/>
          <w:szCs w:val="21"/>
          <w:highlight w:val="none"/>
        </w:rPr>
        <w:t>。</w:t>
      </w:r>
    </w:p>
    <w:p w14:paraId="16181672">
      <w:pPr>
        <w:widowControl/>
        <w:adjustRightInd w:val="0"/>
        <w:snapToGrid w:val="0"/>
        <w:spacing w:beforeLines="0" w:afterLines="0" w:line="360" w:lineRule="auto"/>
        <w:ind w:firstLine="480" w:firstLineChars="200"/>
        <w:jc w:val="left"/>
        <w:rPr>
          <w:rFonts w:hint="eastAsia" w:ascii="Times New Roman"/>
          <w:color w:val="auto"/>
          <w:sz w:val="24"/>
          <w:szCs w:val="21"/>
          <w:highlight w:val="none"/>
        </w:rPr>
      </w:pPr>
      <w:r>
        <w:rPr>
          <w:rFonts w:hint="eastAsia" w:ascii="Times New Roman"/>
          <w:color w:val="auto"/>
          <w:position w:val="6"/>
          <w:sz w:val="24"/>
          <w:szCs w:val="21"/>
          <w:highlight w:val="none"/>
        </w:rPr>
        <w:t>本工程质量保修书，由施工合同发包人、承包人双方在竣工验收前共同签署，作为施工合同附件，其有效期限至保修期满。</w:t>
      </w:r>
    </w:p>
    <w:p w14:paraId="6F793EC1">
      <w:pPr>
        <w:adjustRightInd w:val="0"/>
        <w:snapToGrid w:val="0"/>
        <w:spacing w:beforeLines="0" w:afterLines="0" w:line="360" w:lineRule="auto"/>
        <w:ind w:firstLine="420"/>
        <w:rPr>
          <w:rFonts w:hint="eastAsia" w:ascii="Times New Roman"/>
          <w:color w:val="auto"/>
          <w:sz w:val="24"/>
          <w:szCs w:val="21"/>
          <w:highlight w:val="none"/>
        </w:rPr>
      </w:pPr>
    </w:p>
    <w:p w14:paraId="51C868F4">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发包人（公章）：</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承包人（公章）：</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7187D93D">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地  址：</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地  址：</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4491D90A">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法定代表人（签字）：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法定代表人（签字）：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4DD9228D">
      <w:pPr>
        <w:adjustRightInd w:val="0"/>
        <w:snapToGrid w:val="0"/>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委托代理人（签字）：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委托代理人（签字）：</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0815DF10">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电  话：</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电  话：</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1EED5DB8">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传  真：</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传  真：</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0DD20945">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开户银行：</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开户银行：</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312EA965">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账  号：</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账  号：</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3D3923AC">
      <w:pPr>
        <w:adjustRightInd w:val="0"/>
        <w:snapToGrid w:val="0"/>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邮政编码：</w:t>
      </w:r>
      <w:r>
        <w:rPr>
          <w:rFonts w:hint="eastAsia" w:ascii="Times New Roman"/>
          <w:color w:val="auto"/>
          <w:sz w:val="24"/>
          <w:szCs w:val="21"/>
          <w:highlight w:val="none"/>
          <w:u w:val="single"/>
        </w:rPr>
        <w:t xml:space="preserve"> </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邮政编码：</w:t>
      </w:r>
      <w:r>
        <w:rPr>
          <w:rFonts w:hint="eastAsia" w:ascii="Times New Roman" w:cs="宋体"/>
          <w:color w:val="auto"/>
          <w:sz w:val="24"/>
          <w:szCs w:val="21"/>
          <w:highlight w:val="none"/>
          <w:u w:val="single"/>
        </w:rPr>
        <w:t></w:t>
      </w:r>
      <w:r>
        <w:rPr>
          <w:rFonts w:hint="eastAsia" w:ascii="Times New Roman"/>
          <w:color w:val="auto"/>
          <w:sz w:val="24"/>
          <w:szCs w:val="21"/>
          <w:highlight w:val="none"/>
          <w:u w:val="single"/>
        </w:rPr>
        <w:t xml:space="preserve">   </w:t>
      </w:r>
    </w:p>
    <w:p w14:paraId="27BB53AB">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Times New Roman"/>
          <w:b/>
          <w:color w:val="auto"/>
          <w:sz w:val="24"/>
          <w:szCs w:val="24"/>
          <w:highlight w:val="none"/>
        </w:rPr>
        <w:br w:type="page"/>
      </w:r>
      <w:bookmarkStart w:id="925" w:name="_Toc128950239"/>
      <w:r>
        <w:rPr>
          <w:rFonts w:hint="eastAsia" w:ascii="Times New Roman" w:eastAsia="黑体"/>
          <w:color w:val="auto"/>
          <w:sz w:val="24"/>
          <w:szCs w:val="24"/>
          <w:highlight w:val="none"/>
        </w:rPr>
        <w:t>附件</w:t>
      </w:r>
      <w:r>
        <w:rPr>
          <w:rFonts w:hint="eastAsia" w:ascii="Times New Roman" w:eastAsia="Times New Roman"/>
          <w:color w:val="auto"/>
          <w:sz w:val="24"/>
          <w:szCs w:val="24"/>
          <w:highlight w:val="none"/>
        </w:rPr>
        <w:t>4</w:t>
      </w:r>
      <w:r>
        <w:rPr>
          <w:rFonts w:hint="eastAsia" w:ascii="Times New Roman" w:eastAsia="黑体"/>
          <w:color w:val="auto"/>
          <w:sz w:val="24"/>
          <w:szCs w:val="24"/>
          <w:highlight w:val="none"/>
        </w:rPr>
        <w:t>：主要建设工程文件目录</w:t>
      </w:r>
      <w:bookmarkEnd w:id="925"/>
    </w:p>
    <w:p w14:paraId="26D3B3E3">
      <w:pPr>
        <w:spacing w:before="120" w:beforeLines="50" w:after="120" w:afterLines="5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主要建设工程文件目录</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805"/>
        <w:gridCol w:w="1180"/>
        <w:gridCol w:w="1341"/>
        <w:gridCol w:w="1148"/>
        <w:gridCol w:w="1341"/>
        <w:gridCol w:w="1541"/>
      </w:tblGrid>
      <w:tr w14:paraId="667DD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80"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7427B135">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文件名称</w:t>
            </w:r>
          </w:p>
        </w:tc>
        <w:tc>
          <w:tcPr>
            <w:tcW w:w="706"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3737F58">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套数</w:t>
            </w:r>
          </w:p>
        </w:tc>
        <w:tc>
          <w:tcPr>
            <w:tcW w:w="80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D561C0C">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费用（元）</w:t>
            </w:r>
          </w:p>
        </w:tc>
        <w:tc>
          <w:tcPr>
            <w:tcW w:w="687"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0593970C">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质量</w:t>
            </w:r>
          </w:p>
        </w:tc>
        <w:tc>
          <w:tcPr>
            <w:tcW w:w="80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6B31E2A">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移交时间</w:t>
            </w:r>
          </w:p>
        </w:tc>
        <w:tc>
          <w:tcPr>
            <w:tcW w:w="922"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2580B165">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责任人</w:t>
            </w:r>
          </w:p>
        </w:tc>
      </w:tr>
      <w:tr w14:paraId="51337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080" w:type="pct"/>
            <w:tcBorders>
              <w:top w:val="double" w:color="auto" w:sz="6" w:space="0"/>
              <w:left w:val="single" w:color="auto" w:sz="12" w:space="0"/>
              <w:bottom w:val="single" w:color="auto" w:sz="6" w:space="0"/>
              <w:right w:val="single" w:color="auto" w:sz="6" w:space="0"/>
              <w:tl2br w:val="nil"/>
              <w:tr2bl w:val="nil"/>
            </w:tcBorders>
            <w:noWrap w:val="0"/>
            <w:vAlign w:val="center"/>
          </w:tcPr>
          <w:p w14:paraId="7DD64CC6">
            <w:pPr>
              <w:keepNext/>
              <w:spacing w:beforeLines="0" w:afterLines="0"/>
              <w:jc w:val="center"/>
              <w:rPr>
                <w:rFonts w:hint="eastAsia" w:ascii="Times New Roman" w:eastAsia="Times New Roman"/>
                <w:color w:val="auto"/>
                <w:sz w:val="24"/>
                <w:szCs w:val="21"/>
                <w:highlight w:val="none"/>
              </w:rPr>
            </w:pPr>
          </w:p>
        </w:tc>
        <w:tc>
          <w:tcPr>
            <w:tcW w:w="706" w:type="pct"/>
            <w:tcBorders>
              <w:top w:val="double" w:color="auto" w:sz="6" w:space="0"/>
              <w:left w:val="single" w:color="auto" w:sz="6" w:space="0"/>
              <w:bottom w:val="single" w:color="auto" w:sz="6" w:space="0"/>
              <w:right w:val="single" w:color="auto" w:sz="6" w:space="0"/>
              <w:tl2br w:val="nil"/>
              <w:tr2bl w:val="nil"/>
            </w:tcBorders>
            <w:noWrap w:val="0"/>
            <w:vAlign w:val="center"/>
          </w:tcPr>
          <w:p w14:paraId="042D2727">
            <w:pPr>
              <w:keepNext/>
              <w:spacing w:beforeLines="0" w:afterLines="0"/>
              <w:jc w:val="center"/>
              <w:rPr>
                <w:rFonts w:hint="eastAsia" w:ascii="Times New Roman" w:eastAsia="Times New Roman"/>
                <w:color w:val="auto"/>
                <w:sz w:val="24"/>
                <w:szCs w:val="21"/>
                <w:highlight w:val="none"/>
              </w:rPr>
            </w:pPr>
          </w:p>
        </w:tc>
        <w:tc>
          <w:tcPr>
            <w:tcW w:w="80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7E8685E">
            <w:pPr>
              <w:keepNext/>
              <w:spacing w:beforeLines="0" w:afterLines="0"/>
              <w:jc w:val="center"/>
              <w:rPr>
                <w:rFonts w:hint="eastAsia" w:ascii="Times New Roman" w:eastAsia="Times New Roman"/>
                <w:color w:val="auto"/>
                <w:sz w:val="24"/>
                <w:szCs w:val="21"/>
                <w:highlight w:val="none"/>
              </w:rPr>
            </w:pPr>
          </w:p>
        </w:tc>
        <w:tc>
          <w:tcPr>
            <w:tcW w:w="687" w:type="pct"/>
            <w:tcBorders>
              <w:top w:val="double" w:color="auto" w:sz="6" w:space="0"/>
              <w:left w:val="single" w:color="auto" w:sz="6" w:space="0"/>
              <w:bottom w:val="single" w:color="auto" w:sz="6" w:space="0"/>
              <w:right w:val="single" w:color="auto" w:sz="6" w:space="0"/>
              <w:tl2br w:val="nil"/>
              <w:tr2bl w:val="nil"/>
            </w:tcBorders>
            <w:noWrap w:val="0"/>
            <w:vAlign w:val="center"/>
          </w:tcPr>
          <w:p w14:paraId="519D9587">
            <w:pPr>
              <w:keepNext/>
              <w:spacing w:beforeLines="0" w:afterLines="0"/>
              <w:jc w:val="center"/>
              <w:rPr>
                <w:rFonts w:hint="eastAsia" w:ascii="Times New Roman" w:eastAsia="Times New Roman"/>
                <w:color w:val="auto"/>
                <w:sz w:val="24"/>
                <w:szCs w:val="21"/>
                <w:highlight w:val="none"/>
              </w:rPr>
            </w:pPr>
          </w:p>
        </w:tc>
        <w:tc>
          <w:tcPr>
            <w:tcW w:w="80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4EF8B960">
            <w:pPr>
              <w:keepNext/>
              <w:spacing w:beforeLines="0" w:afterLines="0"/>
              <w:jc w:val="center"/>
              <w:rPr>
                <w:rFonts w:hint="eastAsia" w:ascii="Times New Roman" w:eastAsia="Times New Roman"/>
                <w:color w:val="auto"/>
                <w:sz w:val="24"/>
                <w:szCs w:val="21"/>
                <w:highlight w:val="none"/>
              </w:rPr>
            </w:pPr>
          </w:p>
        </w:tc>
        <w:tc>
          <w:tcPr>
            <w:tcW w:w="922"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1BB6D6C9">
            <w:pPr>
              <w:keepNext/>
              <w:spacing w:beforeLines="0" w:afterLines="0"/>
              <w:jc w:val="center"/>
              <w:rPr>
                <w:rFonts w:hint="eastAsia" w:ascii="Times New Roman" w:eastAsia="Times New Roman"/>
                <w:color w:val="auto"/>
                <w:sz w:val="24"/>
                <w:szCs w:val="21"/>
                <w:highlight w:val="none"/>
              </w:rPr>
            </w:pPr>
          </w:p>
        </w:tc>
      </w:tr>
      <w:tr w14:paraId="0D5D0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080" w:type="pct"/>
            <w:tcBorders>
              <w:top w:val="nil"/>
              <w:left w:val="single" w:color="auto" w:sz="12" w:space="0"/>
              <w:bottom w:val="single" w:color="auto" w:sz="6" w:space="0"/>
              <w:right w:val="single" w:color="auto" w:sz="6" w:space="0"/>
              <w:tl2br w:val="nil"/>
              <w:tr2bl w:val="nil"/>
            </w:tcBorders>
            <w:noWrap w:val="0"/>
            <w:vAlign w:val="center"/>
          </w:tcPr>
          <w:p w14:paraId="02DC190F">
            <w:pPr>
              <w:keepNext/>
              <w:spacing w:beforeLines="0" w:afterLines="0"/>
              <w:jc w:val="center"/>
              <w:rPr>
                <w:rFonts w:hint="eastAsia" w:ascii="Times New Roman" w:eastAsia="Times New Roman"/>
                <w:color w:val="auto"/>
                <w:sz w:val="24"/>
                <w:szCs w:val="21"/>
                <w:highlight w:val="none"/>
              </w:rPr>
            </w:pPr>
          </w:p>
        </w:tc>
        <w:tc>
          <w:tcPr>
            <w:tcW w:w="706" w:type="pct"/>
            <w:tcBorders>
              <w:top w:val="nil"/>
              <w:left w:val="single" w:color="auto" w:sz="6" w:space="0"/>
              <w:bottom w:val="single" w:color="auto" w:sz="6" w:space="0"/>
              <w:right w:val="single" w:color="auto" w:sz="6" w:space="0"/>
              <w:tl2br w:val="nil"/>
              <w:tr2bl w:val="nil"/>
            </w:tcBorders>
            <w:noWrap w:val="0"/>
            <w:vAlign w:val="center"/>
          </w:tcPr>
          <w:p w14:paraId="4FC3C997">
            <w:pPr>
              <w:keepNext/>
              <w:spacing w:beforeLines="0" w:afterLines="0"/>
              <w:jc w:val="center"/>
              <w:rPr>
                <w:rFonts w:hint="eastAsia" w:ascii="Times New Roman" w:eastAsia="Times New Roman"/>
                <w:color w:val="auto"/>
                <w:sz w:val="24"/>
                <w:szCs w:val="21"/>
                <w:highlight w:val="none"/>
              </w:rPr>
            </w:pPr>
          </w:p>
        </w:tc>
        <w:tc>
          <w:tcPr>
            <w:tcW w:w="802" w:type="pct"/>
            <w:tcBorders>
              <w:top w:val="nil"/>
              <w:left w:val="single" w:color="auto" w:sz="6" w:space="0"/>
              <w:bottom w:val="single" w:color="auto" w:sz="6" w:space="0"/>
              <w:right w:val="single" w:color="auto" w:sz="6" w:space="0"/>
              <w:tl2br w:val="nil"/>
              <w:tr2bl w:val="nil"/>
            </w:tcBorders>
            <w:noWrap w:val="0"/>
            <w:vAlign w:val="center"/>
          </w:tcPr>
          <w:p w14:paraId="2953376E">
            <w:pPr>
              <w:keepNext/>
              <w:spacing w:beforeLines="0" w:afterLines="0"/>
              <w:jc w:val="center"/>
              <w:rPr>
                <w:rFonts w:hint="eastAsia" w:ascii="Times New Roman" w:eastAsia="Times New Roman"/>
                <w:color w:val="auto"/>
                <w:sz w:val="24"/>
                <w:szCs w:val="21"/>
                <w:highlight w:val="none"/>
              </w:rPr>
            </w:pPr>
          </w:p>
        </w:tc>
        <w:tc>
          <w:tcPr>
            <w:tcW w:w="687" w:type="pct"/>
            <w:tcBorders>
              <w:top w:val="nil"/>
              <w:left w:val="single" w:color="auto" w:sz="6" w:space="0"/>
              <w:bottom w:val="single" w:color="auto" w:sz="6" w:space="0"/>
              <w:right w:val="single" w:color="auto" w:sz="6" w:space="0"/>
              <w:tl2br w:val="nil"/>
              <w:tr2bl w:val="nil"/>
            </w:tcBorders>
            <w:noWrap w:val="0"/>
            <w:vAlign w:val="center"/>
          </w:tcPr>
          <w:p w14:paraId="3E5631B2">
            <w:pPr>
              <w:keepNext/>
              <w:spacing w:beforeLines="0" w:afterLines="0"/>
              <w:jc w:val="center"/>
              <w:rPr>
                <w:rFonts w:hint="eastAsia" w:ascii="Times New Roman" w:eastAsia="Times New Roman"/>
                <w:color w:val="auto"/>
                <w:sz w:val="24"/>
                <w:szCs w:val="21"/>
                <w:highlight w:val="none"/>
              </w:rPr>
            </w:pPr>
          </w:p>
        </w:tc>
        <w:tc>
          <w:tcPr>
            <w:tcW w:w="802" w:type="pct"/>
            <w:tcBorders>
              <w:top w:val="nil"/>
              <w:left w:val="single" w:color="auto" w:sz="6" w:space="0"/>
              <w:bottom w:val="single" w:color="auto" w:sz="6" w:space="0"/>
              <w:right w:val="single" w:color="auto" w:sz="6" w:space="0"/>
              <w:tl2br w:val="nil"/>
              <w:tr2bl w:val="nil"/>
            </w:tcBorders>
            <w:noWrap w:val="0"/>
            <w:vAlign w:val="center"/>
          </w:tcPr>
          <w:p w14:paraId="2089FC21">
            <w:pPr>
              <w:keepNext/>
              <w:spacing w:beforeLines="0" w:afterLines="0"/>
              <w:jc w:val="center"/>
              <w:rPr>
                <w:rFonts w:hint="eastAsia" w:ascii="Times New Roman" w:eastAsia="Times New Roman"/>
                <w:color w:val="auto"/>
                <w:sz w:val="24"/>
                <w:szCs w:val="21"/>
                <w:highlight w:val="none"/>
              </w:rPr>
            </w:pPr>
          </w:p>
        </w:tc>
        <w:tc>
          <w:tcPr>
            <w:tcW w:w="922" w:type="pct"/>
            <w:tcBorders>
              <w:top w:val="nil"/>
              <w:left w:val="single" w:color="auto" w:sz="6" w:space="0"/>
              <w:bottom w:val="single" w:color="auto" w:sz="6" w:space="0"/>
              <w:right w:val="single" w:color="auto" w:sz="12" w:space="0"/>
              <w:tl2br w:val="nil"/>
              <w:tr2bl w:val="nil"/>
            </w:tcBorders>
            <w:noWrap w:val="0"/>
            <w:vAlign w:val="center"/>
          </w:tcPr>
          <w:p w14:paraId="32D9C3C7">
            <w:pPr>
              <w:keepNext/>
              <w:spacing w:beforeLines="0" w:afterLines="0"/>
              <w:jc w:val="center"/>
              <w:rPr>
                <w:rFonts w:hint="eastAsia" w:ascii="Times New Roman" w:eastAsia="Times New Roman"/>
                <w:color w:val="auto"/>
                <w:sz w:val="24"/>
                <w:szCs w:val="21"/>
                <w:highlight w:val="none"/>
              </w:rPr>
            </w:pPr>
          </w:p>
        </w:tc>
      </w:tr>
      <w:tr w14:paraId="62299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080"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6250A330">
            <w:pPr>
              <w:spacing w:beforeLines="0" w:afterLines="0"/>
              <w:jc w:val="center"/>
              <w:rPr>
                <w:rFonts w:hint="eastAsia" w:ascii="Times New Roman" w:eastAsia="Times New Roman"/>
                <w:color w:val="auto"/>
                <w:sz w:val="24"/>
                <w:szCs w:val="21"/>
                <w:highlight w:val="none"/>
              </w:rPr>
            </w:pPr>
          </w:p>
        </w:tc>
        <w:tc>
          <w:tcPr>
            <w:tcW w:w="7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77A084A">
            <w:pPr>
              <w:spacing w:beforeLines="0" w:afterLines="0"/>
              <w:jc w:val="center"/>
              <w:rPr>
                <w:rFonts w:hint="eastAsia" w:ascii="Times New Roman" w:eastAsia="Times New Roman"/>
                <w:color w:val="auto"/>
                <w:sz w:val="24"/>
                <w:szCs w:val="21"/>
                <w:highlight w:val="none"/>
              </w:rPr>
            </w:pPr>
          </w:p>
        </w:tc>
        <w:tc>
          <w:tcPr>
            <w:tcW w:w="8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C981988">
            <w:pPr>
              <w:spacing w:beforeLines="0" w:afterLines="0"/>
              <w:jc w:val="center"/>
              <w:rPr>
                <w:rFonts w:hint="eastAsia" w:ascii="Times New Roman" w:eastAsia="Times New Roman"/>
                <w:color w:val="auto"/>
                <w:sz w:val="24"/>
                <w:szCs w:val="21"/>
                <w:highlight w:val="none"/>
              </w:rPr>
            </w:pPr>
          </w:p>
        </w:tc>
        <w:tc>
          <w:tcPr>
            <w:tcW w:w="68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FCE6DD9">
            <w:pPr>
              <w:spacing w:beforeLines="0" w:afterLines="0"/>
              <w:jc w:val="center"/>
              <w:rPr>
                <w:rFonts w:hint="eastAsia" w:ascii="Times New Roman" w:eastAsia="Times New Roman"/>
                <w:color w:val="auto"/>
                <w:sz w:val="24"/>
                <w:szCs w:val="21"/>
                <w:highlight w:val="none"/>
              </w:rPr>
            </w:pPr>
          </w:p>
        </w:tc>
        <w:tc>
          <w:tcPr>
            <w:tcW w:w="8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8F0C8E7">
            <w:pPr>
              <w:spacing w:beforeLines="0" w:afterLines="0"/>
              <w:jc w:val="center"/>
              <w:rPr>
                <w:rFonts w:hint="eastAsia" w:ascii="Times New Roman" w:eastAsia="Times New Roman"/>
                <w:color w:val="auto"/>
                <w:sz w:val="24"/>
                <w:szCs w:val="21"/>
                <w:highlight w:val="none"/>
              </w:rPr>
            </w:pPr>
          </w:p>
        </w:tc>
        <w:tc>
          <w:tcPr>
            <w:tcW w:w="922"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5DDB931F">
            <w:pPr>
              <w:spacing w:beforeLines="0" w:afterLines="0"/>
              <w:jc w:val="center"/>
              <w:rPr>
                <w:rFonts w:hint="eastAsia" w:ascii="Times New Roman" w:eastAsia="Times New Roman"/>
                <w:color w:val="auto"/>
                <w:sz w:val="24"/>
                <w:szCs w:val="21"/>
                <w:highlight w:val="none"/>
              </w:rPr>
            </w:pPr>
          </w:p>
        </w:tc>
      </w:tr>
      <w:tr w14:paraId="616739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080"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06E1CAD6">
            <w:pPr>
              <w:spacing w:beforeLines="0" w:afterLines="0"/>
              <w:jc w:val="center"/>
              <w:rPr>
                <w:rFonts w:hint="eastAsia" w:ascii="Times New Roman" w:eastAsia="Times New Roman"/>
                <w:color w:val="auto"/>
                <w:sz w:val="24"/>
                <w:szCs w:val="21"/>
                <w:highlight w:val="none"/>
              </w:rPr>
            </w:pPr>
          </w:p>
        </w:tc>
        <w:tc>
          <w:tcPr>
            <w:tcW w:w="7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CC59A28">
            <w:pPr>
              <w:spacing w:beforeLines="0" w:afterLines="0"/>
              <w:jc w:val="center"/>
              <w:rPr>
                <w:rFonts w:hint="eastAsia" w:ascii="Times New Roman" w:eastAsia="Times New Roman"/>
                <w:color w:val="auto"/>
                <w:sz w:val="24"/>
                <w:szCs w:val="21"/>
                <w:highlight w:val="none"/>
              </w:rPr>
            </w:pPr>
          </w:p>
        </w:tc>
        <w:tc>
          <w:tcPr>
            <w:tcW w:w="8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12699B7">
            <w:pPr>
              <w:spacing w:beforeLines="0" w:afterLines="0"/>
              <w:jc w:val="center"/>
              <w:rPr>
                <w:rFonts w:hint="eastAsia" w:ascii="Times New Roman" w:eastAsia="Times New Roman"/>
                <w:color w:val="auto"/>
                <w:sz w:val="24"/>
                <w:szCs w:val="21"/>
                <w:highlight w:val="none"/>
              </w:rPr>
            </w:pPr>
          </w:p>
        </w:tc>
        <w:tc>
          <w:tcPr>
            <w:tcW w:w="68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A434181">
            <w:pPr>
              <w:spacing w:beforeLines="0" w:afterLines="0"/>
              <w:jc w:val="center"/>
              <w:rPr>
                <w:rFonts w:hint="eastAsia" w:ascii="Times New Roman" w:eastAsia="Times New Roman"/>
                <w:color w:val="auto"/>
                <w:sz w:val="24"/>
                <w:szCs w:val="21"/>
                <w:highlight w:val="none"/>
              </w:rPr>
            </w:pPr>
          </w:p>
        </w:tc>
        <w:tc>
          <w:tcPr>
            <w:tcW w:w="8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52CEBC3">
            <w:pPr>
              <w:spacing w:beforeLines="0" w:afterLines="0"/>
              <w:jc w:val="center"/>
              <w:rPr>
                <w:rFonts w:hint="eastAsia" w:ascii="Times New Roman" w:eastAsia="Times New Roman"/>
                <w:color w:val="auto"/>
                <w:sz w:val="24"/>
                <w:szCs w:val="21"/>
                <w:highlight w:val="none"/>
              </w:rPr>
            </w:pPr>
          </w:p>
        </w:tc>
        <w:tc>
          <w:tcPr>
            <w:tcW w:w="922"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1E9D10AE">
            <w:pPr>
              <w:spacing w:beforeLines="0" w:afterLines="0"/>
              <w:jc w:val="center"/>
              <w:rPr>
                <w:rFonts w:hint="eastAsia" w:ascii="Times New Roman" w:eastAsia="Times New Roman"/>
                <w:color w:val="auto"/>
                <w:sz w:val="24"/>
                <w:szCs w:val="21"/>
                <w:highlight w:val="none"/>
              </w:rPr>
            </w:pPr>
          </w:p>
        </w:tc>
      </w:tr>
      <w:tr w14:paraId="56EC0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080"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0EF91B55">
            <w:pPr>
              <w:spacing w:beforeLines="0" w:afterLines="0"/>
              <w:jc w:val="center"/>
              <w:rPr>
                <w:rFonts w:hint="eastAsia" w:ascii="Times New Roman" w:eastAsia="Times New Roman"/>
                <w:color w:val="auto"/>
                <w:sz w:val="24"/>
                <w:szCs w:val="21"/>
                <w:highlight w:val="none"/>
              </w:rPr>
            </w:pPr>
          </w:p>
        </w:tc>
        <w:tc>
          <w:tcPr>
            <w:tcW w:w="706"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12AA2A6">
            <w:pPr>
              <w:spacing w:beforeLines="0" w:afterLines="0"/>
              <w:jc w:val="center"/>
              <w:rPr>
                <w:rFonts w:hint="eastAsia" w:ascii="Times New Roman" w:eastAsia="Times New Roman"/>
                <w:color w:val="auto"/>
                <w:sz w:val="24"/>
                <w:szCs w:val="21"/>
                <w:highlight w:val="none"/>
              </w:rPr>
            </w:pPr>
          </w:p>
        </w:tc>
        <w:tc>
          <w:tcPr>
            <w:tcW w:w="80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F563F80">
            <w:pPr>
              <w:spacing w:beforeLines="0" w:afterLines="0"/>
              <w:jc w:val="center"/>
              <w:rPr>
                <w:rFonts w:hint="eastAsia" w:ascii="Times New Roman" w:eastAsia="Times New Roman"/>
                <w:color w:val="auto"/>
                <w:sz w:val="24"/>
                <w:szCs w:val="21"/>
                <w:highlight w:val="none"/>
              </w:rPr>
            </w:pPr>
          </w:p>
        </w:tc>
        <w:tc>
          <w:tcPr>
            <w:tcW w:w="687"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16945C1">
            <w:pPr>
              <w:spacing w:beforeLines="0" w:afterLines="0"/>
              <w:jc w:val="center"/>
              <w:rPr>
                <w:rFonts w:hint="eastAsia" w:ascii="Times New Roman" w:eastAsia="Times New Roman"/>
                <w:color w:val="auto"/>
                <w:sz w:val="24"/>
                <w:szCs w:val="21"/>
                <w:highlight w:val="none"/>
              </w:rPr>
            </w:pPr>
          </w:p>
        </w:tc>
        <w:tc>
          <w:tcPr>
            <w:tcW w:w="80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424E3AD">
            <w:pPr>
              <w:spacing w:beforeLines="0" w:afterLines="0"/>
              <w:jc w:val="center"/>
              <w:rPr>
                <w:rFonts w:hint="eastAsia" w:ascii="Times New Roman" w:eastAsia="Times New Roman"/>
                <w:color w:val="auto"/>
                <w:sz w:val="24"/>
                <w:szCs w:val="21"/>
                <w:highlight w:val="none"/>
              </w:rPr>
            </w:pPr>
          </w:p>
        </w:tc>
        <w:tc>
          <w:tcPr>
            <w:tcW w:w="922"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732157FF">
            <w:pPr>
              <w:spacing w:beforeLines="0" w:afterLines="0"/>
              <w:jc w:val="center"/>
              <w:rPr>
                <w:rFonts w:hint="eastAsia" w:ascii="Times New Roman" w:eastAsia="Times New Roman"/>
                <w:color w:val="auto"/>
                <w:sz w:val="24"/>
                <w:szCs w:val="21"/>
                <w:highlight w:val="none"/>
              </w:rPr>
            </w:pPr>
          </w:p>
        </w:tc>
      </w:tr>
    </w:tbl>
    <w:p w14:paraId="4F8D6277">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黑体"/>
          <w:color w:val="auto"/>
          <w:sz w:val="24"/>
          <w:szCs w:val="24"/>
          <w:highlight w:val="none"/>
        </w:rPr>
        <w:br w:type="page"/>
      </w:r>
      <w:bookmarkStart w:id="926" w:name="_Toc128950240"/>
      <w:r>
        <w:rPr>
          <w:rFonts w:hint="eastAsia" w:ascii="Times New Roman" w:eastAsia="黑体"/>
          <w:color w:val="auto"/>
          <w:sz w:val="24"/>
          <w:szCs w:val="24"/>
          <w:highlight w:val="none"/>
        </w:rPr>
        <w:t>附</w:t>
      </w:r>
      <w:bookmarkStart w:id="927" w:name="_Toc296891267"/>
      <w:bookmarkStart w:id="928" w:name="_Toc267261698"/>
      <w:bookmarkStart w:id="929" w:name="_Toc296347226"/>
      <w:bookmarkStart w:id="930" w:name="_Toc296346728"/>
      <w:bookmarkStart w:id="931" w:name="_Toc296891055"/>
      <w:bookmarkStart w:id="932" w:name="_Toc296944566"/>
      <w:bookmarkStart w:id="933" w:name="_Toc296503227"/>
      <w:r>
        <w:rPr>
          <w:rFonts w:hint="eastAsia" w:ascii="Times New Roman" w:eastAsia="黑体"/>
          <w:color w:val="auto"/>
          <w:sz w:val="24"/>
          <w:szCs w:val="24"/>
          <w:highlight w:val="none"/>
        </w:rPr>
        <w:t>件</w:t>
      </w:r>
      <w:r>
        <w:rPr>
          <w:rFonts w:hint="eastAsia" w:ascii="Times New Roman" w:eastAsia="Times New Roman"/>
          <w:color w:val="auto"/>
          <w:sz w:val="24"/>
          <w:szCs w:val="24"/>
          <w:highlight w:val="none"/>
        </w:rPr>
        <w:t>5</w:t>
      </w:r>
      <w:r>
        <w:rPr>
          <w:rFonts w:hint="eastAsia" w:ascii="Times New Roman" w:eastAsia="黑体"/>
          <w:color w:val="auto"/>
          <w:sz w:val="24"/>
          <w:szCs w:val="24"/>
          <w:highlight w:val="none"/>
        </w:rPr>
        <w:t>：承包人用于本工程施工的机械设备表</w:t>
      </w:r>
      <w:bookmarkEnd w:id="926"/>
    </w:p>
    <w:bookmarkEnd w:id="927"/>
    <w:bookmarkEnd w:id="928"/>
    <w:bookmarkEnd w:id="929"/>
    <w:bookmarkEnd w:id="930"/>
    <w:bookmarkEnd w:id="931"/>
    <w:bookmarkEnd w:id="932"/>
    <w:bookmarkEnd w:id="933"/>
    <w:p w14:paraId="42AE8CD7">
      <w:pPr>
        <w:spacing w:before="120" w:beforeLines="50" w:after="120" w:afterLines="5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承包人用于本工程施工的机械设备表</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89"/>
        <w:gridCol w:w="1324"/>
        <w:gridCol w:w="792"/>
        <w:gridCol w:w="662"/>
        <w:gridCol w:w="792"/>
        <w:gridCol w:w="897"/>
        <w:gridCol w:w="1382"/>
        <w:gridCol w:w="951"/>
        <w:gridCol w:w="867"/>
      </w:tblGrid>
      <w:tr w14:paraId="01443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412"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718467A0">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序号</w:t>
            </w:r>
          </w:p>
        </w:tc>
        <w:tc>
          <w:tcPr>
            <w:tcW w:w="79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0076548E">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机械或设备名称</w:t>
            </w:r>
          </w:p>
        </w:tc>
        <w:tc>
          <w:tcPr>
            <w:tcW w:w="474"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0E045A0F">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规格型号</w:t>
            </w:r>
          </w:p>
        </w:tc>
        <w:tc>
          <w:tcPr>
            <w:tcW w:w="396"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34FE228C">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数量</w:t>
            </w:r>
          </w:p>
        </w:tc>
        <w:tc>
          <w:tcPr>
            <w:tcW w:w="474"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174F4B80">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产地</w:t>
            </w:r>
          </w:p>
        </w:tc>
        <w:tc>
          <w:tcPr>
            <w:tcW w:w="537"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BF2E6BC">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制造年份</w:t>
            </w:r>
          </w:p>
        </w:tc>
        <w:tc>
          <w:tcPr>
            <w:tcW w:w="827"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18F35931">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额定功率（</w:t>
            </w:r>
            <w:r>
              <w:rPr>
                <w:rFonts w:hint="eastAsia" w:ascii="Times New Roman" w:eastAsia="Times New Roman"/>
                <w:color w:val="auto"/>
                <w:sz w:val="24"/>
                <w:szCs w:val="21"/>
                <w:highlight w:val="none"/>
              </w:rPr>
              <w:t>kW)</w:t>
            </w:r>
          </w:p>
        </w:tc>
        <w:tc>
          <w:tcPr>
            <w:tcW w:w="569"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2B9421C8">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生产能力</w:t>
            </w:r>
          </w:p>
        </w:tc>
        <w:tc>
          <w:tcPr>
            <w:tcW w:w="519"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7055398E">
            <w:pPr>
              <w:keepNext/>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备注</w:t>
            </w:r>
          </w:p>
        </w:tc>
      </w:tr>
      <w:tr w14:paraId="00404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12" w:type="pct"/>
            <w:tcBorders>
              <w:top w:val="double" w:color="auto" w:sz="6" w:space="0"/>
              <w:left w:val="single" w:color="auto" w:sz="12" w:space="0"/>
              <w:bottom w:val="single" w:color="auto" w:sz="6" w:space="0"/>
              <w:right w:val="single" w:color="auto" w:sz="6" w:space="0"/>
              <w:tl2br w:val="nil"/>
              <w:tr2bl w:val="nil"/>
            </w:tcBorders>
            <w:noWrap w:val="0"/>
            <w:vAlign w:val="center"/>
          </w:tcPr>
          <w:p w14:paraId="6B97FF69">
            <w:pPr>
              <w:keepNext/>
              <w:spacing w:beforeLines="0" w:afterLines="0"/>
              <w:jc w:val="center"/>
              <w:rPr>
                <w:rFonts w:hint="eastAsia" w:ascii="Times New Roman" w:eastAsia="Times New Roman"/>
                <w:color w:val="auto"/>
                <w:sz w:val="24"/>
                <w:szCs w:val="21"/>
                <w:highlight w:val="none"/>
              </w:rPr>
            </w:pPr>
          </w:p>
        </w:tc>
        <w:tc>
          <w:tcPr>
            <w:tcW w:w="792"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9DC866B">
            <w:pPr>
              <w:keepNext/>
              <w:spacing w:beforeLines="0" w:afterLines="0"/>
              <w:jc w:val="center"/>
              <w:rPr>
                <w:rFonts w:hint="eastAsia" w:ascii="Times New Roman" w:eastAsia="Times New Roman"/>
                <w:color w:val="auto"/>
                <w:sz w:val="24"/>
                <w:szCs w:val="21"/>
                <w:highlight w:val="none"/>
              </w:rPr>
            </w:pPr>
          </w:p>
        </w:tc>
        <w:tc>
          <w:tcPr>
            <w:tcW w:w="474"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E2C80EE">
            <w:pPr>
              <w:keepNext/>
              <w:spacing w:beforeLines="0" w:afterLines="0"/>
              <w:jc w:val="center"/>
              <w:rPr>
                <w:rFonts w:hint="eastAsia" w:ascii="Times New Roman" w:eastAsia="Times New Roman"/>
                <w:color w:val="auto"/>
                <w:sz w:val="24"/>
                <w:szCs w:val="21"/>
                <w:highlight w:val="none"/>
              </w:rPr>
            </w:pPr>
          </w:p>
        </w:tc>
        <w:tc>
          <w:tcPr>
            <w:tcW w:w="396"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F0A5D7C">
            <w:pPr>
              <w:keepNext/>
              <w:spacing w:beforeLines="0" w:afterLines="0"/>
              <w:jc w:val="center"/>
              <w:rPr>
                <w:rFonts w:hint="eastAsia" w:ascii="Times New Roman" w:eastAsia="Times New Roman"/>
                <w:color w:val="auto"/>
                <w:sz w:val="24"/>
                <w:szCs w:val="21"/>
                <w:highlight w:val="none"/>
              </w:rPr>
            </w:pPr>
          </w:p>
        </w:tc>
        <w:tc>
          <w:tcPr>
            <w:tcW w:w="474" w:type="pct"/>
            <w:tcBorders>
              <w:top w:val="double" w:color="auto" w:sz="6" w:space="0"/>
              <w:left w:val="single" w:color="auto" w:sz="6" w:space="0"/>
              <w:bottom w:val="single" w:color="auto" w:sz="6" w:space="0"/>
              <w:right w:val="single" w:color="auto" w:sz="6" w:space="0"/>
              <w:tl2br w:val="nil"/>
              <w:tr2bl w:val="nil"/>
            </w:tcBorders>
            <w:noWrap w:val="0"/>
            <w:vAlign w:val="center"/>
          </w:tcPr>
          <w:p w14:paraId="2DEC0853">
            <w:pPr>
              <w:keepNext/>
              <w:spacing w:beforeLines="0" w:afterLines="0"/>
              <w:jc w:val="center"/>
              <w:rPr>
                <w:rFonts w:hint="eastAsia" w:ascii="Times New Roman" w:eastAsia="Times New Roman"/>
                <w:color w:val="auto"/>
                <w:sz w:val="24"/>
                <w:szCs w:val="21"/>
                <w:highlight w:val="none"/>
              </w:rPr>
            </w:pPr>
          </w:p>
        </w:tc>
        <w:tc>
          <w:tcPr>
            <w:tcW w:w="537"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124D455">
            <w:pPr>
              <w:keepNext/>
              <w:spacing w:beforeLines="0" w:afterLines="0"/>
              <w:jc w:val="center"/>
              <w:rPr>
                <w:rFonts w:hint="eastAsia" w:ascii="Times New Roman" w:eastAsia="Times New Roman"/>
                <w:color w:val="auto"/>
                <w:sz w:val="24"/>
                <w:szCs w:val="21"/>
                <w:highlight w:val="none"/>
              </w:rPr>
            </w:pPr>
          </w:p>
        </w:tc>
        <w:tc>
          <w:tcPr>
            <w:tcW w:w="827" w:type="pct"/>
            <w:tcBorders>
              <w:top w:val="double" w:color="auto" w:sz="6" w:space="0"/>
              <w:left w:val="single" w:color="auto" w:sz="6" w:space="0"/>
              <w:bottom w:val="single" w:color="auto" w:sz="6" w:space="0"/>
              <w:right w:val="single" w:color="auto" w:sz="6" w:space="0"/>
              <w:tl2br w:val="nil"/>
              <w:tr2bl w:val="nil"/>
            </w:tcBorders>
            <w:noWrap w:val="0"/>
            <w:vAlign w:val="center"/>
          </w:tcPr>
          <w:p w14:paraId="1BD61E86">
            <w:pPr>
              <w:keepNext/>
              <w:spacing w:beforeLines="0" w:afterLines="0"/>
              <w:jc w:val="center"/>
              <w:rPr>
                <w:rFonts w:hint="eastAsia" w:ascii="Times New Roman" w:eastAsia="Times New Roman"/>
                <w:color w:val="auto"/>
                <w:sz w:val="24"/>
                <w:szCs w:val="21"/>
                <w:highlight w:val="none"/>
              </w:rPr>
            </w:pPr>
          </w:p>
        </w:tc>
        <w:tc>
          <w:tcPr>
            <w:tcW w:w="569" w:type="pct"/>
            <w:tcBorders>
              <w:top w:val="double" w:color="auto" w:sz="6" w:space="0"/>
              <w:left w:val="single" w:color="auto" w:sz="6" w:space="0"/>
              <w:bottom w:val="single" w:color="auto" w:sz="6" w:space="0"/>
              <w:right w:val="single" w:color="auto" w:sz="6" w:space="0"/>
              <w:tl2br w:val="nil"/>
              <w:tr2bl w:val="nil"/>
            </w:tcBorders>
            <w:noWrap w:val="0"/>
            <w:vAlign w:val="center"/>
          </w:tcPr>
          <w:p w14:paraId="19D41189">
            <w:pPr>
              <w:keepNext/>
              <w:spacing w:beforeLines="0" w:afterLines="0"/>
              <w:jc w:val="center"/>
              <w:rPr>
                <w:rFonts w:hint="eastAsia" w:ascii="Times New Roman" w:eastAsia="Times New Roman"/>
                <w:color w:val="auto"/>
                <w:sz w:val="24"/>
                <w:szCs w:val="21"/>
                <w:highlight w:val="none"/>
              </w:rPr>
            </w:pPr>
          </w:p>
        </w:tc>
        <w:tc>
          <w:tcPr>
            <w:tcW w:w="519"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3651477C">
            <w:pPr>
              <w:keepNext/>
              <w:spacing w:beforeLines="0" w:afterLines="0"/>
              <w:jc w:val="center"/>
              <w:rPr>
                <w:rFonts w:hint="eastAsia" w:ascii="Times New Roman" w:eastAsia="Times New Roman"/>
                <w:color w:val="auto"/>
                <w:sz w:val="24"/>
                <w:szCs w:val="21"/>
                <w:highlight w:val="none"/>
              </w:rPr>
            </w:pPr>
          </w:p>
        </w:tc>
      </w:tr>
      <w:tr w14:paraId="7AF30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12" w:type="pct"/>
            <w:tcBorders>
              <w:top w:val="nil"/>
              <w:left w:val="single" w:color="auto" w:sz="12" w:space="0"/>
              <w:bottom w:val="single" w:color="auto" w:sz="6" w:space="0"/>
              <w:right w:val="single" w:color="auto" w:sz="6" w:space="0"/>
              <w:tl2br w:val="nil"/>
              <w:tr2bl w:val="nil"/>
            </w:tcBorders>
            <w:noWrap w:val="0"/>
            <w:vAlign w:val="center"/>
          </w:tcPr>
          <w:p w14:paraId="1E5E248A">
            <w:pPr>
              <w:keepNext/>
              <w:spacing w:beforeLines="0" w:afterLines="0"/>
              <w:jc w:val="center"/>
              <w:rPr>
                <w:rFonts w:hint="eastAsia" w:ascii="Times New Roman" w:eastAsia="Times New Roman"/>
                <w:color w:val="auto"/>
                <w:sz w:val="24"/>
                <w:szCs w:val="21"/>
                <w:highlight w:val="none"/>
              </w:rPr>
            </w:pPr>
          </w:p>
        </w:tc>
        <w:tc>
          <w:tcPr>
            <w:tcW w:w="792" w:type="pct"/>
            <w:tcBorders>
              <w:top w:val="nil"/>
              <w:left w:val="single" w:color="auto" w:sz="6" w:space="0"/>
              <w:bottom w:val="single" w:color="auto" w:sz="6" w:space="0"/>
              <w:right w:val="single" w:color="auto" w:sz="6" w:space="0"/>
              <w:tl2br w:val="nil"/>
              <w:tr2bl w:val="nil"/>
            </w:tcBorders>
            <w:noWrap w:val="0"/>
            <w:vAlign w:val="center"/>
          </w:tcPr>
          <w:p w14:paraId="202BF4A0">
            <w:pPr>
              <w:keepNext/>
              <w:spacing w:beforeLines="0" w:afterLines="0"/>
              <w:jc w:val="center"/>
              <w:rPr>
                <w:rFonts w:hint="eastAsia" w:ascii="Times New Roman" w:eastAsia="Times New Roman"/>
                <w:color w:val="auto"/>
                <w:sz w:val="24"/>
                <w:szCs w:val="21"/>
                <w:highlight w:val="none"/>
              </w:rPr>
            </w:pPr>
          </w:p>
        </w:tc>
        <w:tc>
          <w:tcPr>
            <w:tcW w:w="474" w:type="pct"/>
            <w:tcBorders>
              <w:top w:val="nil"/>
              <w:left w:val="single" w:color="auto" w:sz="6" w:space="0"/>
              <w:bottom w:val="single" w:color="auto" w:sz="6" w:space="0"/>
              <w:right w:val="single" w:color="auto" w:sz="6" w:space="0"/>
              <w:tl2br w:val="nil"/>
              <w:tr2bl w:val="nil"/>
            </w:tcBorders>
            <w:noWrap w:val="0"/>
            <w:vAlign w:val="center"/>
          </w:tcPr>
          <w:p w14:paraId="1C6C05F9">
            <w:pPr>
              <w:keepNext/>
              <w:spacing w:beforeLines="0" w:afterLines="0"/>
              <w:jc w:val="center"/>
              <w:rPr>
                <w:rFonts w:hint="eastAsia" w:ascii="Times New Roman" w:eastAsia="Times New Roman"/>
                <w:color w:val="auto"/>
                <w:sz w:val="24"/>
                <w:szCs w:val="21"/>
                <w:highlight w:val="none"/>
              </w:rPr>
            </w:pPr>
          </w:p>
        </w:tc>
        <w:tc>
          <w:tcPr>
            <w:tcW w:w="396" w:type="pct"/>
            <w:tcBorders>
              <w:top w:val="nil"/>
              <w:left w:val="single" w:color="auto" w:sz="6" w:space="0"/>
              <w:bottom w:val="single" w:color="auto" w:sz="6" w:space="0"/>
              <w:right w:val="single" w:color="auto" w:sz="6" w:space="0"/>
              <w:tl2br w:val="nil"/>
              <w:tr2bl w:val="nil"/>
            </w:tcBorders>
            <w:noWrap w:val="0"/>
            <w:vAlign w:val="center"/>
          </w:tcPr>
          <w:p w14:paraId="268B3DB7">
            <w:pPr>
              <w:keepNext/>
              <w:spacing w:beforeLines="0" w:afterLines="0"/>
              <w:jc w:val="center"/>
              <w:rPr>
                <w:rFonts w:hint="eastAsia" w:ascii="Times New Roman" w:eastAsia="Times New Roman"/>
                <w:color w:val="auto"/>
                <w:sz w:val="24"/>
                <w:szCs w:val="21"/>
                <w:highlight w:val="none"/>
              </w:rPr>
            </w:pPr>
          </w:p>
        </w:tc>
        <w:tc>
          <w:tcPr>
            <w:tcW w:w="474" w:type="pct"/>
            <w:tcBorders>
              <w:top w:val="nil"/>
              <w:left w:val="single" w:color="auto" w:sz="6" w:space="0"/>
              <w:bottom w:val="single" w:color="auto" w:sz="6" w:space="0"/>
              <w:right w:val="single" w:color="auto" w:sz="6" w:space="0"/>
              <w:tl2br w:val="nil"/>
              <w:tr2bl w:val="nil"/>
            </w:tcBorders>
            <w:noWrap w:val="0"/>
            <w:vAlign w:val="center"/>
          </w:tcPr>
          <w:p w14:paraId="0BA11DFD">
            <w:pPr>
              <w:keepNext/>
              <w:spacing w:beforeLines="0" w:afterLines="0"/>
              <w:jc w:val="center"/>
              <w:rPr>
                <w:rFonts w:hint="eastAsia" w:ascii="Times New Roman" w:eastAsia="Times New Roman"/>
                <w:color w:val="auto"/>
                <w:sz w:val="24"/>
                <w:szCs w:val="21"/>
                <w:highlight w:val="none"/>
              </w:rPr>
            </w:pPr>
          </w:p>
        </w:tc>
        <w:tc>
          <w:tcPr>
            <w:tcW w:w="537" w:type="pct"/>
            <w:tcBorders>
              <w:top w:val="nil"/>
              <w:left w:val="single" w:color="auto" w:sz="6" w:space="0"/>
              <w:bottom w:val="single" w:color="auto" w:sz="6" w:space="0"/>
              <w:right w:val="single" w:color="auto" w:sz="6" w:space="0"/>
              <w:tl2br w:val="nil"/>
              <w:tr2bl w:val="nil"/>
            </w:tcBorders>
            <w:noWrap w:val="0"/>
            <w:vAlign w:val="center"/>
          </w:tcPr>
          <w:p w14:paraId="2A06CE6F">
            <w:pPr>
              <w:keepNext/>
              <w:spacing w:beforeLines="0" w:afterLines="0"/>
              <w:jc w:val="center"/>
              <w:rPr>
                <w:rFonts w:hint="eastAsia" w:ascii="Times New Roman" w:eastAsia="Times New Roman"/>
                <w:color w:val="auto"/>
                <w:sz w:val="24"/>
                <w:szCs w:val="21"/>
                <w:highlight w:val="none"/>
              </w:rPr>
            </w:pPr>
          </w:p>
        </w:tc>
        <w:tc>
          <w:tcPr>
            <w:tcW w:w="827" w:type="pct"/>
            <w:tcBorders>
              <w:top w:val="nil"/>
              <w:left w:val="single" w:color="auto" w:sz="6" w:space="0"/>
              <w:bottom w:val="single" w:color="auto" w:sz="6" w:space="0"/>
              <w:right w:val="single" w:color="auto" w:sz="6" w:space="0"/>
              <w:tl2br w:val="nil"/>
              <w:tr2bl w:val="nil"/>
            </w:tcBorders>
            <w:noWrap w:val="0"/>
            <w:vAlign w:val="center"/>
          </w:tcPr>
          <w:p w14:paraId="6818B96E">
            <w:pPr>
              <w:keepNext/>
              <w:spacing w:beforeLines="0" w:afterLines="0"/>
              <w:jc w:val="center"/>
              <w:rPr>
                <w:rFonts w:hint="eastAsia" w:ascii="Times New Roman" w:eastAsia="Times New Roman"/>
                <w:color w:val="auto"/>
                <w:sz w:val="24"/>
                <w:szCs w:val="21"/>
                <w:highlight w:val="none"/>
              </w:rPr>
            </w:pPr>
          </w:p>
        </w:tc>
        <w:tc>
          <w:tcPr>
            <w:tcW w:w="569" w:type="pct"/>
            <w:tcBorders>
              <w:top w:val="nil"/>
              <w:left w:val="single" w:color="auto" w:sz="6" w:space="0"/>
              <w:bottom w:val="single" w:color="auto" w:sz="6" w:space="0"/>
              <w:right w:val="single" w:color="auto" w:sz="6" w:space="0"/>
              <w:tl2br w:val="nil"/>
              <w:tr2bl w:val="nil"/>
            </w:tcBorders>
            <w:noWrap w:val="0"/>
            <w:vAlign w:val="center"/>
          </w:tcPr>
          <w:p w14:paraId="1151BE13">
            <w:pPr>
              <w:keepNext/>
              <w:spacing w:beforeLines="0" w:afterLines="0"/>
              <w:jc w:val="center"/>
              <w:rPr>
                <w:rFonts w:hint="eastAsia" w:ascii="Times New Roman" w:eastAsia="Times New Roman"/>
                <w:color w:val="auto"/>
                <w:sz w:val="24"/>
                <w:szCs w:val="21"/>
                <w:highlight w:val="none"/>
              </w:rPr>
            </w:pPr>
          </w:p>
        </w:tc>
        <w:tc>
          <w:tcPr>
            <w:tcW w:w="519" w:type="pct"/>
            <w:tcBorders>
              <w:top w:val="nil"/>
              <w:left w:val="single" w:color="auto" w:sz="6" w:space="0"/>
              <w:bottom w:val="single" w:color="auto" w:sz="6" w:space="0"/>
              <w:right w:val="single" w:color="auto" w:sz="12" w:space="0"/>
              <w:tl2br w:val="nil"/>
              <w:tr2bl w:val="nil"/>
            </w:tcBorders>
            <w:noWrap w:val="0"/>
            <w:vAlign w:val="center"/>
          </w:tcPr>
          <w:p w14:paraId="131EECF5">
            <w:pPr>
              <w:keepNext/>
              <w:spacing w:beforeLines="0" w:afterLines="0"/>
              <w:jc w:val="center"/>
              <w:rPr>
                <w:rFonts w:hint="eastAsia" w:ascii="Times New Roman" w:eastAsia="Times New Roman"/>
                <w:color w:val="auto"/>
                <w:sz w:val="24"/>
                <w:szCs w:val="21"/>
                <w:highlight w:val="none"/>
              </w:rPr>
            </w:pPr>
          </w:p>
        </w:tc>
      </w:tr>
      <w:tr w14:paraId="0221B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12"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61729EEF">
            <w:pPr>
              <w:spacing w:beforeLines="0" w:afterLines="0"/>
              <w:jc w:val="center"/>
              <w:rPr>
                <w:rFonts w:hint="eastAsia" w:ascii="Times New Roman" w:eastAsia="Times New Roman"/>
                <w:color w:val="auto"/>
                <w:sz w:val="24"/>
                <w:szCs w:val="21"/>
                <w:highlight w:val="none"/>
              </w:rPr>
            </w:pPr>
          </w:p>
        </w:tc>
        <w:tc>
          <w:tcPr>
            <w:tcW w:w="79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0D36FB5">
            <w:pPr>
              <w:spacing w:beforeLines="0" w:afterLines="0"/>
              <w:jc w:val="center"/>
              <w:rPr>
                <w:rFonts w:hint="eastAsia" w:ascii="Times New Roman" w:eastAsia="Times New Roman"/>
                <w:color w:val="auto"/>
                <w:sz w:val="24"/>
                <w:szCs w:val="21"/>
                <w:highlight w:val="none"/>
              </w:rPr>
            </w:pPr>
          </w:p>
        </w:tc>
        <w:tc>
          <w:tcPr>
            <w:tcW w:w="47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182C03E">
            <w:pPr>
              <w:spacing w:beforeLines="0" w:afterLines="0"/>
              <w:jc w:val="center"/>
              <w:rPr>
                <w:rFonts w:hint="eastAsia" w:ascii="Times New Roman" w:eastAsia="Times New Roman"/>
                <w:color w:val="auto"/>
                <w:sz w:val="24"/>
                <w:szCs w:val="21"/>
                <w:highlight w:val="none"/>
              </w:rPr>
            </w:pPr>
          </w:p>
        </w:tc>
        <w:tc>
          <w:tcPr>
            <w:tcW w:w="39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F75E9BD">
            <w:pPr>
              <w:spacing w:beforeLines="0" w:afterLines="0"/>
              <w:jc w:val="center"/>
              <w:rPr>
                <w:rFonts w:hint="eastAsia" w:ascii="Times New Roman" w:eastAsia="Times New Roman"/>
                <w:color w:val="auto"/>
                <w:sz w:val="24"/>
                <w:szCs w:val="21"/>
                <w:highlight w:val="none"/>
              </w:rPr>
            </w:pPr>
          </w:p>
        </w:tc>
        <w:tc>
          <w:tcPr>
            <w:tcW w:w="47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B2C1406">
            <w:pPr>
              <w:spacing w:beforeLines="0" w:afterLines="0"/>
              <w:jc w:val="center"/>
              <w:rPr>
                <w:rFonts w:hint="eastAsia" w:ascii="Times New Roman" w:eastAsia="Times New Roman"/>
                <w:color w:val="auto"/>
                <w:sz w:val="24"/>
                <w:szCs w:val="21"/>
                <w:highlight w:val="none"/>
              </w:rPr>
            </w:pPr>
          </w:p>
        </w:tc>
        <w:tc>
          <w:tcPr>
            <w:tcW w:w="53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714927A">
            <w:pPr>
              <w:spacing w:beforeLines="0" w:afterLines="0"/>
              <w:jc w:val="center"/>
              <w:rPr>
                <w:rFonts w:hint="eastAsia" w:ascii="Times New Roman" w:eastAsia="Times New Roman"/>
                <w:color w:val="auto"/>
                <w:sz w:val="24"/>
                <w:szCs w:val="21"/>
                <w:highlight w:val="none"/>
              </w:rPr>
            </w:pPr>
          </w:p>
        </w:tc>
        <w:tc>
          <w:tcPr>
            <w:tcW w:w="8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22D1E89">
            <w:pPr>
              <w:spacing w:beforeLines="0" w:afterLines="0"/>
              <w:jc w:val="center"/>
              <w:rPr>
                <w:rFonts w:hint="eastAsia" w:ascii="Times New Roman" w:eastAsia="Times New Roman"/>
                <w:color w:val="auto"/>
                <w:sz w:val="24"/>
                <w:szCs w:val="21"/>
                <w:highlight w:val="none"/>
              </w:rPr>
            </w:pPr>
          </w:p>
        </w:tc>
        <w:tc>
          <w:tcPr>
            <w:tcW w:w="56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C3EFB88">
            <w:pPr>
              <w:spacing w:beforeLines="0" w:afterLines="0"/>
              <w:jc w:val="center"/>
              <w:rPr>
                <w:rFonts w:hint="eastAsia" w:ascii="Times New Roman" w:eastAsia="Times New Roman"/>
                <w:color w:val="auto"/>
                <w:sz w:val="24"/>
                <w:szCs w:val="21"/>
                <w:highlight w:val="none"/>
              </w:rPr>
            </w:pPr>
          </w:p>
        </w:tc>
        <w:tc>
          <w:tcPr>
            <w:tcW w:w="51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0B4D8172">
            <w:pPr>
              <w:spacing w:beforeLines="0" w:afterLines="0"/>
              <w:jc w:val="center"/>
              <w:rPr>
                <w:rFonts w:hint="eastAsia" w:ascii="Times New Roman" w:eastAsia="Times New Roman"/>
                <w:color w:val="auto"/>
                <w:sz w:val="24"/>
                <w:szCs w:val="21"/>
                <w:highlight w:val="none"/>
              </w:rPr>
            </w:pPr>
          </w:p>
        </w:tc>
      </w:tr>
      <w:tr w14:paraId="3B206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12"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492C9401">
            <w:pPr>
              <w:spacing w:beforeLines="0" w:afterLines="0"/>
              <w:jc w:val="center"/>
              <w:rPr>
                <w:rFonts w:hint="eastAsia" w:ascii="Times New Roman" w:eastAsia="Times New Roman"/>
                <w:color w:val="auto"/>
                <w:sz w:val="24"/>
                <w:szCs w:val="21"/>
                <w:highlight w:val="none"/>
              </w:rPr>
            </w:pPr>
          </w:p>
        </w:tc>
        <w:tc>
          <w:tcPr>
            <w:tcW w:w="79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38A5D1">
            <w:pPr>
              <w:spacing w:beforeLines="0" w:afterLines="0"/>
              <w:jc w:val="center"/>
              <w:rPr>
                <w:rFonts w:hint="eastAsia" w:ascii="Times New Roman" w:eastAsia="Times New Roman"/>
                <w:color w:val="auto"/>
                <w:sz w:val="24"/>
                <w:szCs w:val="21"/>
                <w:highlight w:val="none"/>
              </w:rPr>
            </w:pPr>
          </w:p>
        </w:tc>
        <w:tc>
          <w:tcPr>
            <w:tcW w:w="47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A144A99">
            <w:pPr>
              <w:spacing w:beforeLines="0" w:afterLines="0"/>
              <w:jc w:val="center"/>
              <w:rPr>
                <w:rFonts w:hint="eastAsia" w:ascii="Times New Roman" w:eastAsia="Times New Roman"/>
                <w:color w:val="auto"/>
                <w:sz w:val="24"/>
                <w:szCs w:val="21"/>
                <w:highlight w:val="none"/>
              </w:rPr>
            </w:pPr>
          </w:p>
        </w:tc>
        <w:tc>
          <w:tcPr>
            <w:tcW w:w="39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2278802">
            <w:pPr>
              <w:spacing w:beforeLines="0" w:afterLines="0"/>
              <w:jc w:val="center"/>
              <w:rPr>
                <w:rFonts w:hint="eastAsia" w:ascii="Times New Roman" w:eastAsia="Times New Roman"/>
                <w:color w:val="auto"/>
                <w:sz w:val="24"/>
                <w:szCs w:val="21"/>
                <w:highlight w:val="none"/>
              </w:rPr>
            </w:pPr>
          </w:p>
        </w:tc>
        <w:tc>
          <w:tcPr>
            <w:tcW w:w="47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D6DF0A8">
            <w:pPr>
              <w:spacing w:beforeLines="0" w:afterLines="0"/>
              <w:jc w:val="center"/>
              <w:rPr>
                <w:rFonts w:hint="eastAsia" w:ascii="Times New Roman" w:eastAsia="Times New Roman"/>
                <w:color w:val="auto"/>
                <w:sz w:val="24"/>
                <w:szCs w:val="21"/>
                <w:highlight w:val="none"/>
              </w:rPr>
            </w:pPr>
          </w:p>
        </w:tc>
        <w:tc>
          <w:tcPr>
            <w:tcW w:w="53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455949D">
            <w:pPr>
              <w:spacing w:beforeLines="0" w:afterLines="0"/>
              <w:jc w:val="center"/>
              <w:rPr>
                <w:rFonts w:hint="eastAsia" w:ascii="Times New Roman" w:eastAsia="Times New Roman"/>
                <w:color w:val="auto"/>
                <w:sz w:val="24"/>
                <w:szCs w:val="21"/>
                <w:highlight w:val="none"/>
              </w:rPr>
            </w:pPr>
          </w:p>
        </w:tc>
        <w:tc>
          <w:tcPr>
            <w:tcW w:w="8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F7046DF">
            <w:pPr>
              <w:spacing w:beforeLines="0" w:afterLines="0"/>
              <w:jc w:val="center"/>
              <w:rPr>
                <w:rFonts w:hint="eastAsia" w:ascii="Times New Roman" w:eastAsia="Times New Roman"/>
                <w:color w:val="auto"/>
                <w:sz w:val="24"/>
                <w:szCs w:val="21"/>
                <w:highlight w:val="none"/>
              </w:rPr>
            </w:pPr>
          </w:p>
        </w:tc>
        <w:tc>
          <w:tcPr>
            <w:tcW w:w="56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7DC5F58">
            <w:pPr>
              <w:spacing w:beforeLines="0" w:afterLines="0"/>
              <w:jc w:val="center"/>
              <w:rPr>
                <w:rFonts w:hint="eastAsia" w:ascii="Times New Roman" w:eastAsia="Times New Roman"/>
                <w:color w:val="auto"/>
                <w:sz w:val="24"/>
                <w:szCs w:val="21"/>
                <w:highlight w:val="none"/>
              </w:rPr>
            </w:pPr>
          </w:p>
        </w:tc>
        <w:tc>
          <w:tcPr>
            <w:tcW w:w="51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7406C79A">
            <w:pPr>
              <w:spacing w:beforeLines="0" w:afterLines="0"/>
              <w:jc w:val="center"/>
              <w:rPr>
                <w:rFonts w:hint="eastAsia" w:ascii="Times New Roman" w:eastAsia="Times New Roman"/>
                <w:color w:val="auto"/>
                <w:sz w:val="24"/>
                <w:szCs w:val="21"/>
                <w:highlight w:val="none"/>
              </w:rPr>
            </w:pPr>
          </w:p>
        </w:tc>
      </w:tr>
      <w:tr w14:paraId="40BBE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12"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3F24F9AD">
            <w:pPr>
              <w:spacing w:beforeLines="0" w:afterLines="0"/>
              <w:jc w:val="center"/>
              <w:rPr>
                <w:rFonts w:hint="eastAsia" w:ascii="Times New Roman" w:eastAsia="Times New Roman"/>
                <w:color w:val="auto"/>
                <w:sz w:val="24"/>
                <w:szCs w:val="21"/>
                <w:highlight w:val="none"/>
              </w:rPr>
            </w:pPr>
          </w:p>
        </w:tc>
        <w:tc>
          <w:tcPr>
            <w:tcW w:w="79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3D8FED2A">
            <w:pPr>
              <w:spacing w:beforeLines="0" w:afterLines="0"/>
              <w:jc w:val="center"/>
              <w:rPr>
                <w:rFonts w:hint="eastAsia" w:ascii="Times New Roman" w:eastAsia="Times New Roman"/>
                <w:color w:val="auto"/>
                <w:sz w:val="24"/>
                <w:szCs w:val="21"/>
                <w:highlight w:val="none"/>
              </w:rPr>
            </w:pPr>
          </w:p>
        </w:tc>
        <w:tc>
          <w:tcPr>
            <w:tcW w:w="474"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3754806B">
            <w:pPr>
              <w:spacing w:beforeLines="0" w:afterLines="0"/>
              <w:jc w:val="center"/>
              <w:rPr>
                <w:rFonts w:hint="eastAsia" w:ascii="Times New Roman" w:eastAsia="Times New Roman"/>
                <w:color w:val="auto"/>
                <w:sz w:val="24"/>
                <w:szCs w:val="21"/>
                <w:highlight w:val="none"/>
              </w:rPr>
            </w:pPr>
          </w:p>
        </w:tc>
        <w:tc>
          <w:tcPr>
            <w:tcW w:w="396"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379787B">
            <w:pPr>
              <w:spacing w:beforeLines="0" w:afterLines="0"/>
              <w:jc w:val="center"/>
              <w:rPr>
                <w:rFonts w:hint="eastAsia" w:ascii="Times New Roman" w:eastAsia="Times New Roman"/>
                <w:color w:val="auto"/>
                <w:sz w:val="24"/>
                <w:szCs w:val="21"/>
                <w:highlight w:val="none"/>
              </w:rPr>
            </w:pPr>
          </w:p>
        </w:tc>
        <w:tc>
          <w:tcPr>
            <w:tcW w:w="474"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705D00D">
            <w:pPr>
              <w:spacing w:beforeLines="0" w:afterLines="0"/>
              <w:jc w:val="center"/>
              <w:rPr>
                <w:rFonts w:hint="eastAsia" w:ascii="Times New Roman" w:eastAsia="Times New Roman"/>
                <w:color w:val="auto"/>
                <w:sz w:val="24"/>
                <w:szCs w:val="21"/>
                <w:highlight w:val="none"/>
              </w:rPr>
            </w:pPr>
          </w:p>
        </w:tc>
        <w:tc>
          <w:tcPr>
            <w:tcW w:w="537"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3EFDD6C5">
            <w:pPr>
              <w:spacing w:beforeLines="0" w:afterLines="0"/>
              <w:jc w:val="center"/>
              <w:rPr>
                <w:rFonts w:hint="eastAsia" w:ascii="Times New Roman" w:eastAsia="Times New Roman"/>
                <w:color w:val="auto"/>
                <w:sz w:val="24"/>
                <w:szCs w:val="21"/>
                <w:highlight w:val="none"/>
              </w:rPr>
            </w:pPr>
          </w:p>
        </w:tc>
        <w:tc>
          <w:tcPr>
            <w:tcW w:w="827"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159C520">
            <w:pPr>
              <w:spacing w:beforeLines="0" w:afterLines="0"/>
              <w:jc w:val="center"/>
              <w:rPr>
                <w:rFonts w:hint="eastAsia" w:ascii="Times New Roman" w:eastAsia="Times New Roman"/>
                <w:color w:val="auto"/>
                <w:sz w:val="24"/>
                <w:szCs w:val="21"/>
                <w:highlight w:val="none"/>
              </w:rPr>
            </w:pPr>
          </w:p>
        </w:tc>
        <w:tc>
          <w:tcPr>
            <w:tcW w:w="569"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034CA0E">
            <w:pPr>
              <w:spacing w:beforeLines="0" w:afterLines="0"/>
              <w:jc w:val="center"/>
              <w:rPr>
                <w:rFonts w:hint="eastAsia" w:ascii="Times New Roman" w:eastAsia="Times New Roman"/>
                <w:color w:val="auto"/>
                <w:sz w:val="24"/>
                <w:szCs w:val="21"/>
                <w:highlight w:val="none"/>
              </w:rPr>
            </w:pPr>
          </w:p>
        </w:tc>
        <w:tc>
          <w:tcPr>
            <w:tcW w:w="519"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7F4AB52D">
            <w:pPr>
              <w:spacing w:beforeLines="0" w:afterLines="0"/>
              <w:jc w:val="center"/>
              <w:rPr>
                <w:rFonts w:hint="eastAsia" w:ascii="Times New Roman" w:eastAsia="Times New Roman"/>
                <w:color w:val="auto"/>
                <w:sz w:val="24"/>
                <w:szCs w:val="21"/>
                <w:highlight w:val="none"/>
              </w:rPr>
            </w:pPr>
          </w:p>
        </w:tc>
      </w:tr>
    </w:tbl>
    <w:p w14:paraId="6143AB35">
      <w:pPr>
        <w:spacing w:before="240" w:beforeLines="100" w:after="240" w:afterLines="100"/>
        <w:outlineLvl w:val="2"/>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bookmarkStart w:id="934" w:name="_Toc128950241"/>
      <w:r>
        <w:rPr>
          <w:rFonts w:hint="eastAsia" w:ascii="Times New Roman" w:eastAsia="黑体"/>
          <w:color w:val="auto"/>
          <w:sz w:val="24"/>
          <w:szCs w:val="24"/>
          <w:highlight w:val="none"/>
        </w:rPr>
        <w:t>附</w:t>
      </w:r>
      <w:bookmarkStart w:id="935" w:name="_Toc296503228"/>
      <w:bookmarkStart w:id="936" w:name="_Toc296891056"/>
      <w:bookmarkStart w:id="937" w:name="_Toc296944567"/>
      <w:bookmarkStart w:id="938" w:name="_Toc296347227"/>
      <w:bookmarkStart w:id="939" w:name="_Toc296891268"/>
      <w:bookmarkStart w:id="940" w:name="_Toc296346729"/>
      <w:bookmarkStart w:id="941" w:name="_Toc267261699"/>
      <w:r>
        <w:rPr>
          <w:rFonts w:hint="eastAsia" w:ascii="Times New Roman" w:eastAsia="黑体"/>
          <w:color w:val="auto"/>
          <w:sz w:val="24"/>
          <w:szCs w:val="24"/>
          <w:highlight w:val="none"/>
        </w:rPr>
        <w:t>件</w:t>
      </w:r>
      <w:bookmarkEnd w:id="935"/>
      <w:bookmarkEnd w:id="936"/>
      <w:bookmarkEnd w:id="937"/>
      <w:bookmarkEnd w:id="938"/>
      <w:bookmarkEnd w:id="939"/>
      <w:bookmarkEnd w:id="940"/>
      <w:bookmarkEnd w:id="941"/>
      <w:r>
        <w:rPr>
          <w:rFonts w:hint="eastAsia" w:ascii="Times New Roman" w:eastAsia="Times New Roman"/>
          <w:color w:val="auto"/>
          <w:sz w:val="24"/>
          <w:szCs w:val="24"/>
          <w:highlight w:val="none"/>
        </w:rPr>
        <w:t>6</w:t>
      </w:r>
      <w:r>
        <w:rPr>
          <w:rFonts w:hint="eastAsia" w:ascii="Times New Roman" w:eastAsia="黑体"/>
          <w:color w:val="auto"/>
          <w:sz w:val="24"/>
          <w:szCs w:val="24"/>
          <w:highlight w:val="none"/>
        </w:rPr>
        <w:t>：承包人主要施工管理人员表</w:t>
      </w:r>
      <w:bookmarkEnd w:id="934"/>
    </w:p>
    <w:p w14:paraId="2045563A">
      <w:pPr>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4"/>
          <w:highlight w:val="none"/>
        </w:rPr>
        <w:t>承包人主要施工管理人员表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65"/>
        <w:gridCol w:w="1048"/>
        <w:gridCol w:w="839"/>
        <w:gridCol w:w="839"/>
        <w:gridCol w:w="2141"/>
        <w:gridCol w:w="1924"/>
      </w:tblGrid>
      <w:tr w14:paraId="7A8BB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0FB19B40">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名称</w:t>
            </w:r>
          </w:p>
        </w:tc>
        <w:tc>
          <w:tcPr>
            <w:tcW w:w="627"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40A04B5">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姓名</w:t>
            </w:r>
          </w:p>
        </w:tc>
        <w:tc>
          <w:tcPr>
            <w:tcW w:w="50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7293979E">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职务</w:t>
            </w:r>
          </w:p>
        </w:tc>
        <w:tc>
          <w:tcPr>
            <w:tcW w:w="502"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32CFA8B3">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职称</w:t>
            </w:r>
          </w:p>
        </w:tc>
        <w:tc>
          <w:tcPr>
            <w:tcW w:w="1281"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B53776C">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主要资历、经验及承担过的项目</w:t>
            </w:r>
          </w:p>
        </w:tc>
        <w:tc>
          <w:tcPr>
            <w:tcW w:w="1151"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0393ADD3">
            <w:pPr>
              <w:keepNext/>
              <w:spacing w:beforeLines="0" w:afterLines="0" w:line="360" w:lineRule="auto"/>
              <w:jc w:val="center"/>
              <w:rPr>
                <w:rFonts w:hint="eastAsia" w:ascii="Times New Roman"/>
                <w:color w:val="auto"/>
                <w:sz w:val="24"/>
                <w:szCs w:val="21"/>
                <w:highlight w:val="none"/>
              </w:rPr>
            </w:pPr>
            <w:r>
              <w:rPr>
                <w:rFonts w:hint="eastAsia" w:ascii="Times New Roman"/>
                <w:color w:val="auto"/>
                <w:sz w:val="24"/>
                <w:szCs w:val="21"/>
                <w:highlight w:val="none"/>
              </w:rPr>
              <w:t>身份证号码</w:t>
            </w:r>
          </w:p>
        </w:tc>
      </w:tr>
      <w:tr w14:paraId="431C5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double" w:color="auto" w:sz="6" w:space="0"/>
              <w:left w:val="single" w:color="auto" w:sz="12" w:space="0"/>
              <w:bottom w:val="single" w:color="auto" w:sz="6" w:space="0"/>
              <w:right w:val="single" w:color="auto" w:sz="6" w:space="0"/>
              <w:tl2br w:val="nil"/>
              <w:tr2bl w:val="nil"/>
            </w:tcBorders>
            <w:noWrap w:val="0"/>
            <w:vAlign w:val="center"/>
          </w:tcPr>
          <w:p w14:paraId="23D020E5">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一、总部人员</w:t>
            </w:r>
          </w:p>
        </w:tc>
        <w:tc>
          <w:tcPr>
            <w:tcW w:w="1151"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4D96ECF2">
            <w:pPr>
              <w:keepNext/>
              <w:spacing w:beforeLines="0" w:afterLines="0" w:line="360" w:lineRule="auto"/>
              <w:jc w:val="center"/>
              <w:rPr>
                <w:rFonts w:hint="eastAsia" w:ascii="Times New Roman"/>
                <w:color w:val="auto"/>
                <w:sz w:val="24"/>
                <w:szCs w:val="21"/>
                <w:highlight w:val="none"/>
              </w:rPr>
            </w:pPr>
          </w:p>
        </w:tc>
      </w:tr>
      <w:tr w14:paraId="5BCB2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nil"/>
              <w:left w:val="single" w:color="auto" w:sz="12" w:space="0"/>
              <w:bottom w:val="nil"/>
              <w:right w:val="single" w:color="auto" w:sz="6" w:space="0"/>
              <w:tl2br w:val="nil"/>
              <w:tr2bl w:val="nil"/>
            </w:tcBorders>
            <w:noWrap w:val="0"/>
            <w:vAlign w:val="center"/>
          </w:tcPr>
          <w:p w14:paraId="0CDECE4C">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项目主管</w:t>
            </w:r>
          </w:p>
        </w:tc>
        <w:tc>
          <w:tcPr>
            <w:tcW w:w="627" w:type="pct"/>
            <w:tcBorders>
              <w:top w:val="nil"/>
              <w:left w:val="single" w:color="auto" w:sz="6" w:space="0"/>
              <w:bottom w:val="single" w:color="auto" w:sz="6" w:space="0"/>
              <w:right w:val="single" w:color="auto" w:sz="6" w:space="0"/>
              <w:tl2br w:val="nil"/>
              <w:tr2bl w:val="nil"/>
            </w:tcBorders>
            <w:noWrap w:val="0"/>
            <w:vAlign w:val="center"/>
          </w:tcPr>
          <w:p w14:paraId="42EA253F">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nil"/>
              <w:left w:val="single" w:color="auto" w:sz="6" w:space="0"/>
              <w:bottom w:val="single" w:color="auto" w:sz="6" w:space="0"/>
              <w:right w:val="single" w:color="auto" w:sz="6" w:space="0"/>
              <w:tl2br w:val="nil"/>
              <w:tr2bl w:val="nil"/>
            </w:tcBorders>
            <w:noWrap w:val="0"/>
            <w:vAlign w:val="center"/>
          </w:tcPr>
          <w:p w14:paraId="5690828B">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nil"/>
              <w:left w:val="single" w:color="auto" w:sz="6" w:space="0"/>
              <w:bottom w:val="single" w:color="auto" w:sz="6" w:space="0"/>
              <w:right w:val="single" w:color="auto" w:sz="6" w:space="0"/>
              <w:tl2br w:val="nil"/>
              <w:tr2bl w:val="nil"/>
            </w:tcBorders>
            <w:noWrap w:val="0"/>
            <w:vAlign w:val="center"/>
          </w:tcPr>
          <w:p w14:paraId="2BAF54AC">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nil"/>
              <w:left w:val="single" w:color="auto" w:sz="6" w:space="0"/>
              <w:bottom w:val="single" w:color="auto" w:sz="6" w:space="0"/>
              <w:right w:val="single" w:color="auto" w:sz="6" w:space="0"/>
              <w:tl2br w:val="nil"/>
              <w:tr2bl w:val="nil"/>
            </w:tcBorders>
            <w:noWrap w:val="0"/>
            <w:vAlign w:val="center"/>
          </w:tcPr>
          <w:p w14:paraId="173BCE24">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nil"/>
              <w:left w:val="single" w:color="auto" w:sz="6" w:space="0"/>
              <w:bottom w:val="single" w:color="auto" w:sz="6" w:space="0"/>
              <w:right w:val="single" w:color="auto" w:sz="12" w:space="0"/>
              <w:tl2br w:val="nil"/>
              <w:tr2bl w:val="nil"/>
            </w:tcBorders>
            <w:noWrap w:val="0"/>
            <w:vAlign w:val="center"/>
          </w:tcPr>
          <w:p w14:paraId="4A5454FC">
            <w:pPr>
              <w:keepNext/>
              <w:spacing w:beforeLines="0" w:afterLines="0" w:line="360" w:lineRule="auto"/>
              <w:jc w:val="center"/>
              <w:rPr>
                <w:rFonts w:hint="eastAsia" w:ascii="Times New Roman" w:eastAsia="Times New Roman"/>
                <w:color w:val="auto"/>
                <w:sz w:val="24"/>
                <w:szCs w:val="21"/>
                <w:highlight w:val="none"/>
              </w:rPr>
            </w:pPr>
          </w:p>
        </w:tc>
      </w:tr>
      <w:tr w14:paraId="29D9B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tcBorders>
              <w:top w:val="single" w:color="auto" w:sz="6" w:space="0"/>
              <w:left w:val="single" w:color="auto" w:sz="12" w:space="0"/>
              <w:bottom w:val="single" w:color="auto" w:sz="6" w:space="0"/>
              <w:right w:val="single" w:color="auto" w:sz="6" w:space="0"/>
              <w:tl2br w:val="nil"/>
              <w:tr2bl w:val="nil"/>
            </w:tcBorders>
            <w:noWrap w:val="0"/>
            <w:vAlign w:val="center"/>
          </w:tcPr>
          <w:p w14:paraId="68A6A0E7">
            <w:pPr>
              <w:spacing w:beforeLines="0" w:afterLines="0" w:line="360" w:lineRule="auto"/>
              <w:jc w:val="center"/>
              <w:rPr>
                <w:rFonts w:hint="eastAsia" w:ascii="Times New Roman"/>
                <w:color w:val="auto"/>
                <w:sz w:val="24"/>
                <w:szCs w:val="21"/>
                <w:highlight w:val="none"/>
              </w:rPr>
            </w:pPr>
            <w:r>
              <w:rPr>
                <w:rFonts w:hint="eastAsia" w:ascii="Times New Roman"/>
                <w:color w:val="auto"/>
                <w:sz w:val="24"/>
                <w:szCs w:val="21"/>
                <w:highlight w:val="none"/>
              </w:rPr>
              <w:t>其他人员</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92B739E">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CB5E896">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037DF75">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B83263B">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EEB487F">
            <w:pPr>
              <w:keepNext/>
              <w:spacing w:beforeLines="0" w:afterLines="0" w:line="360" w:lineRule="auto"/>
              <w:jc w:val="center"/>
              <w:rPr>
                <w:rFonts w:hint="eastAsia" w:ascii="Times New Roman" w:eastAsia="Times New Roman"/>
                <w:color w:val="auto"/>
                <w:sz w:val="24"/>
                <w:szCs w:val="21"/>
                <w:highlight w:val="none"/>
              </w:rPr>
            </w:pPr>
          </w:p>
        </w:tc>
      </w:tr>
      <w:tr w14:paraId="0F867E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2473011B">
            <w:pPr>
              <w:spacing w:beforeLines="0" w:afterLines="0" w:line="360" w:lineRule="auto"/>
              <w:jc w:val="center"/>
              <w:rPr>
                <w:rFonts w:hint="eastAsia" w:ascii="Times New Roman" w:eastAsia="Times New Roman"/>
                <w:color w:val="auto"/>
                <w:sz w:val="24"/>
                <w:szCs w:val="21"/>
                <w:highlight w:val="none"/>
              </w:rPr>
            </w:pP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8FF9371">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3FA07AE">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633860A">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F591118">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0D58845">
            <w:pPr>
              <w:keepNext/>
              <w:spacing w:beforeLines="0" w:afterLines="0" w:line="360" w:lineRule="auto"/>
              <w:jc w:val="center"/>
              <w:rPr>
                <w:rFonts w:hint="eastAsia" w:ascii="Times New Roman" w:eastAsia="Times New Roman"/>
                <w:color w:val="auto"/>
                <w:sz w:val="24"/>
                <w:szCs w:val="21"/>
                <w:highlight w:val="none"/>
              </w:rPr>
            </w:pPr>
          </w:p>
        </w:tc>
      </w:tr>
      <w:tr w14:paraId="1DFBA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top w:val="single" w:color="auto" w:sz="6" w:space="0"/>
              <w:left w:val="single" w:color="auto" w:sz="12" w:space="0"/>
              <w:bottom w:val="nil"/>
              <w:right w:val="single" w:color="auto" w:sz="6" w:space="0"/>
              <w:tl2br w:val="nil"/>
              <w:tr2bl w:val="nil"/>
            </w:tcBorders>
            <w:noWrap w:val="0"/>
            <w:vAlign w:val="center"/>
          </w:tcPr>
          <w:p w14:paraId="40ED14C9">
            <w:pPr>
              <w:spacing w:beforeLines="0" w:afterLines="0" w:line="360" w:lineRule="auto"/>
              <w:jc w:val="center"/>
              <w:rPr>
                <w:rFonts w:hint="eastAsia" w:ascii="Times New Roman"/>
                <w:color w:val="auto"/>
                <w:sz w:val="24"/>
                <w:szCs w:val="21"/>
                <w:highlight w:val="none"/>
              </w:rPr>
            </w:pP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C00796B">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129D007">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68E15C5">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78AF703">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B338F87">
            <w:pPr>
              <w:keepNext/>
              <w:spacing w:beforeLines="0" w:afterLines="0" w:line="360" w:lineRule="auto"/>
              <w:jc w:val="center"/>
              <w:rPr>
                <w:rFonts w:hint="eastAsia" w:ascii="Times New Roman" w:eastAsia="Times New Roman"/>
                <w:color w:val="auto"/>
                <w:sz w:val="24"/>
                <w:szCs w:val="21"/>
                <w:highlight w:val="none"/>
              </w:rPr>
            </w:pPr>
          </w:p>
        </w:tc>
      </w:tr>
      <w:tr w14:paraId="67D90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single" w:color="auto" w:sz="6" w:space="0"/>
              <w:left w:val="single" w:color="auto" w:sz="12" w:space="0"/>
              <w:bottom w:val="single" w:color="auto" w:sz="6" w:space="0"/>
              <w:right w:val="single" w:color="auto" w:sz="6" w:space="0"/>
              <w:tl2br w:val="nil"/>
              <w:tr2bl w:val="nil"/>
            </w:tcBorders>
            <w:noWrap w:val="0"/>
            <w:vAlign w:val="center"/>
          </w:tcPr>
          <w:p w14:paraId="303DE7BF">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二、现场人员</w:t>
            </w: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1CCE05C4">
            <w:pPr>
              <w:keepNext/>
              <w:spacing w:beforeLines="0" w:afterLines="0" w:line="360" w:lineRule="auto"/>
              <w:jc w:val="center"/>
              <w:rPr>
                <w:rFonts w:hint="eastAsia" w:ascii="Times New Roman"/>
                <w:color w:val="auto"/>
                <w:sz w:val="24"/>
                <w:szCs w:val="21"/>
                <w:highlight w:val="none"/>
              </w:rPr>
            </w:pPr>
          </w:p>
        </w:tc>
      </w:tr>
      <w:tr w14:paraId="0C114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2372F231">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项目经理</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D2BC897">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114A481">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34F1A48">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EC394F5">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12B9233C">
            <w:pPr>
              <w:keepNext/>
              <w:spacing w:beforeLines="0" w:afterLines="0" w:line="360" w:lineRule="auto"/>
              <w:jc w:val="center"/>
              <w:rPr>
                <w:rFonts w:hint="eastAsia" w:ascii="Times New Roman" w:eastAsia="Times New Roman"/>
                <w:color w:val="auto"/>
                <w:sz w:val="24"/>
                <w:szCs w:val="21"/>
                <w:highlight w:val="none"/>
              </w:rPr>
            </w:pPr>
          </w:p>
        </w:tc>
      </w:tr>
      <w:tr w14:paraId="03D8E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2F6F14B1">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项目副经理</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2F6F08E">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D943D7B">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A516486">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54E8B0F">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0C10EBF">
            <w:pPr>
              <w:keepNext/>
              <w:spacing w:beforeLines="0" w:afterLines="0" w:line="360" w:lineRule="auto"/>
              <w:jc w:val="center"/>
              <w:rPr>
                <w:rFonts w:hint="eastAsia" w:ascii="Times New Roman" w:eastAsia="Times New Roman"/>
                <w:color w:val="auto"/>
                <w:sz w:val="24"/>
                <w:szCs w:val="21"/>
                <w:highlight w:val="none"/>
              </w:rPr>
            </w:pPr>
          </w:p>
        </w:tc>
      </w:tr>
      <w:tr w14:paraId="35F67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0BB29264">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项目技术负责人</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DC98329">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350CBCE">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D73B0B0">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A871D7C">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D244AAA">
            <w:pPr>
              <w:keepNext/>
              <w:spacing w:beforeLines="0" w:afterLines="0" w:line="360" w:lineRule="auto"/>
              <w:jc w:val="center"/>
              <w:rPr>
                <w:rFonts w:hint="eastAsia" w:ascii="Times New Roman" w:eastAsia="Times New Roman"/>
                <w:color w:val="auto"/>
                <w:sz w:val="24"/>
                <w:szCs w:val="21"/>
                <w:highlight w:val="none"/>
              </w:rPr>
            </w:pPr>
          </w:p>
        </w:tc>
      </w:tr>
      <w:tr w14:paraId="5C0F1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666927E5">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施工员</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D6BD541">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7405914">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F5EDED3">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304DD38">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17445041">
            <w:pPr>
              <w:keepNext/>
              <w:spacing w:beforeLines="0" w:afterLines="0" w:line="360" w:lineRule="auto"/>
              <w:jc w:val="center"/>
              <w:rPr>
                <w:rFonts w:hint="eastAsia" w:ascii="Times New Roman" w:eastAsia="Times New Roman"/>
                <w:color w:val="auto"/>
                <w:sz w:val="24"/>
                <w:szCs w:val="21"/>
                <w:highlight w:val="none"/>
              </w:rPr>
            </w:pPr>
          </w:p>
        </w:tc>
      </w:tr>
      <w:tr w14:paraId="38A24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167E269D">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质检员（质量员）</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5673FC1">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02AE79F">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4AA6BA4">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ED8DBDE">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6EA864F">
            <w:pPr>
              <w:keepNext/>
              <w:spacing w:beforeLines="0" w:afterLines="0" w:line="360" w:lineRule="auto"/>
              <w:jc w:val="center"/>
              <w:rPr>
                <w:rFonts w:hint="eastAsia" w:ascii="Times New Roman" w:eastAsia="Times New Roman"/>
                <w:color w:val="auto"/>
                <w:sz w:val="24"/>
                <w:szCs w:val="21"/>
                <w:highlight w:val="none"/>
              </w:rPr>
            </w:pPr>
          </w:p>
        </w:tc>
      </w:tr>
      <w:tr w14:paraId="528A8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1D0A5A97">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安全员</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4CAB744">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BE179D9">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A67AFFD">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60092EB">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0FF12CD">
            <w:pPr>
              <w:keepNext/>
              <w:spacing w:beforeLines="0" w:afterLines="0" w:line="360" w:lineRule="auto"/>
              <w:jc w:val="center"/>
              <w:rPr>
                <w:rFonts w:hint="eastAsia" w:ascii="Times New Roman" w:eastAsia="Times New Roman"/>
                <w:color w:val="auto"/>
                <w:sz w:val="24"/>
                <w:szCs w:val="21"/>
                <w:highlight w:val="none"/>
              </w:rPr>
            </w:pPr>
          </w:p>
        </w:tc>
      </w:tr>
      <w:tr w14:paraId="633AE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51BDEEBF">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资料员</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A1E2D8A">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64F2AA9">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44192A2">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7D7CEB0">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01590D39">
            <w:pPr>
              <w:keepNext/>
              <w:spacing w:beforeLines="0" w:afterLines="0" w:line="360" w:lineRule="auto"/>
              <w:jc w:val="center"/>
              <w:rPr>
                <w:rFonts w:hint="eastAsia" w:ascii="Times New Roman" w:eastAsia="Times New Roman"/>
                <w:color w:val="auto"/>
                <w:sz w:val="24"/>
                <w:szCs w:val="21"/>
                <w:highlight w:val="none"/>
              </w:rPr>
            </w:pPr>
          </w:p>
        </w:tc>
      </w:tr>
      <w:tr w14:paraId="3C3C6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tcBorders>
              <w:top w:val="single" w:color="auto" w:sz="6" w:space="0"/>
              <w:left w:val="single" w:color="auto" w:sz="12" w:space="0"/>
              <w:bottom w:val="single" w:color="auto" w:sz="6" w:space="0"/>
              <w:right w:val="single" w:color="auto" w:sz="6" w:space="0"/>
              <w:tl2br w:val="nil"/>
              <w:tr2bl w:val="nil"/>
            </w:tcBorders>
            <w:noWrap w:val="0"/>
            <w:vAlign w:val="center"/>
          </w:tcPr>
          <w:p w14:paraId="457A8902">
            <w:pPr>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其他人员</w:t>
            </w: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930BAA1">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195FFF6">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8494B81">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93B0836">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06EF14B0">
            <w:pPr>
              <w:keepNext/>
              <w:spacing w:beforeLines="0" w:afterLines="0" w:line="360" w:lineRule="auto"/>
              <w:jc w:val="center"/>
              <w:rPr>
                <w:rFonts w:hint="eastAsia" w:ascii="Times New Roman" w:eastAsia="Times New Roman"/>
                <w:color w:val="auto"/>
                <w:sz w:val="24"/>
                <w:szCs w:val="21"/>
                <w:highlight w:val="none"/>
              </w:rPr>
            </w:pPr>
          </w:p>
        </w:tc>
      </w:tr>
      <w:tr w14:paraId="69932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7B432CC9">
            <w:pPr>
              <w:keepNext/>
              <w:spacing w:beforeLines="0" w:afterLines="0" w:line="360" w:lineRule="auto"/>
              <w:jc w:val="center"/>
              <w:rPr>
                <w:rFonts w:hint="eastAsia" w:ascii="Times New Roman" w:eastAsia="Times New Roman"/>
                <w:color w:val="auto"/>
                <w:sz w:val="24"/>
                <w:szCs w:val="21"/>
                <w:highlight w:val="none"/>
              </w:rPr>
            </w:pPr>
          </w:p>
        </w:tc>
        <w:tc>
          <w:tcPr>
            <w:tcW w:w="627" w:type="pct"/>
            <w:tcBorders>
              <w:top w:val="single" w:color="auto" w:sz="6" w:space="0"/>
              <w:left w:val="single" w:color="auto" w:sz="6" w:space="0"/>
              <w:bottom w:val="nil"/>
              <w:right w:val="single" w:color="auto" w:sz="6" w:space="0"/>
              <w:tl2br w:val="nil"/>
              <w:tr2bl w:val="nil"/>
            </w:tcBorders>
            <w:noWrap w:val="0"/>
            <w:vAlign w:val="center"/>
          </w:tcPr>
          <w:p w14:paraId="0ECEF011">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nil"/>
              <w:right w:val="single" w:color="auto" w:sz="6" w:space="0"/>
              <w:tl2br w:val="nil"/>
              <w:tr2bl w:val="nil"/>
            </w:tcBorders>
            <w:noWrap w:val="0"/>
            <w:vAlign w:val="center"/>
          </w:tcPr>
          <w:p w14:paraId="6085FC55">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nil"/>
              <w:right w:val="single" w:color="auto" w:sz="6" w:space="0"/>
              <w:tl2br w:val="nil"/>
              <w:tr2bl w:val="nil"/>
            </w:tcBorders>
            <w:noWrap w:val="0"/>
            <w:vAlign w:val="center"/>
          </w:tcPr>
          <w:p w14:paraId="0F740561">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nil"/>
              <w:right w:val="single" w:color="auto" w:sz="6" w:space="0"/>
              <w:tl2br w:val="nil"/>
              <w:tr2bl w:val="nil"/>
            </w:tcBorders>
            <w:noWrap w:val="0"/>
            <w:vAlign w:val="center"/>
          </w:tcPr>
          <w:p w14:paraId="2D418D00">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nil"/>
              <w:right w:val="single" w:color="auto" w:sz="12" w:space="0"/>
              <w:tl2br w:val="nil"/>
              <w:tr2bl w:val="nil"/>
            </w:tcBorders>
            <w:noWrap w:val="0"/>
            <w:vAlign w:val="center"/>
          </w:tcPr>
          <w:p w14:paraId="2CD85649">
            <w:pPr>
              <w:keepNext/>
              <w:spacing w:beforeLines="0" w:afterLines="0" w:line="360" w:lineRule="auto"/>
              <w:jc w:val="center"/>
              <w:rPr>
                <w:rFonts w:hint="eastAsia" w:ascii="Times New Roman" w:eastAsia="Times New Roman"/>
                <w:color w:val="auto"/>
                <w:sz w:val="24"/>
                <w:szCs w:val="21"/>
                <w:highlight w:val="none"/>
              </w:rPr>
            </w:pPr>
          </w:p>
        </w:tc>
      </w:tr>
      <w:tr w14:paraId="4BE9C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096188D3">
            <w:pPr>
              <w:keepNext/>
              <w:spacing w:beforeLines="0" w:afterLines="0" w:line="360" w:lineRule="auto"/>
              <w:jc w:val="center"/>
              <w:rPr>
                <w:rFonts w:hint="eastAsia" w:ascii="Times New Roman" w:eastAsia="Times New Roman"/>
                <w:color w:val="auto"/>
                <w:sz w:val="24"/>
                <w:szCs w:val="21"/>
                <w:highlight w:val="none"/>
              </w:rPr>
            </w:pP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9A7CE3E">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CC953C3">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A782394">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759C6A1">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DDBAC4B">
            <w:pPr>
              <w:keepNext/>
              <w:spacing w:beforeLines="0" w:afterLines="0" w:line="360" w:lineRule="auto"/>
              <w:jc w:val="center"/>
              <w:rPr>
                <w:rFonts w:hint="eastAsia" w:ascii="Times New Roman" w:eastAsia="Times New Roman"/>
                <w:color w:val="auto"/>
                <w:sz w:val="24"/>
                <w:szCs w:val="21"/>
                <w:highlight w:val="none"/>
              </w:rPr>
            </w:pPr>
          </w:p>
        </w:tc>
      </w:tr>
      <w:tr w14:paraId="490F9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1ACEC2BE">
            <w:pPr>
              <w:keepNext/>
              <w:spacing w:beforeLines="0" w:afterLines="0" w:line="360" w:lineRule="auto"/>
              <w:jc w:val="center"/>
              <w:rPr>
                <w:rFonts w:hint="eastAsia" w:ascii="Times New Roman" w:eastAsia="Times New Roman"/>
                <w:color w:val="auto"/>
                <w:sz w:val="24"/>
                <w:szCs w:val="21"/>
                <w:highlight w:val="none"/>
              </w:rPr>
            </w:pP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C19CD7C">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5C0456">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A15A6FA">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E32ED24">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E9E917E">
            <w:pPr>
              <w:keepNext/>
              <w:spacing w:beforeLines="0" w:afterLines="0" w:line="360" w:lineRule="auto"/>
              <w:jc w:val="center"/>
              <w:rPr>
                <w:rFonts w:hint="eastAsia" w:ascii="Times New Roman" w:eastAsia="Times New Roman"/>
                <w:color w:val="auto"/>
                <w:sz w:val="24"/>
                <w:szCs w:val="21"/>
                <w:highlight w:val="none"/>
              </w:rPr>
            </w:pPr>
          </w:p>
        </w:tc>
      </w:tr>
      <w:tr w14:paraId="123A3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1DBBD98D">
            <w:pPr>
              <w:keepNext/>
              <w:spacing w:beforeLines="0" w:afterLines="0" w:line="360" w:lineRule="auto"/>
              <w:jc w:val="center"/>
              <w:rPr>
                <w:rFonts w:hint="eastAsia" w:ascii="Times New Roman" w:eastAsia="Times New Roman"/>
                <w:color w:val="auto"/>
                <w:sz w:val="24"/>
                <w:szCs w:val="21"/>
                <w:highlight w:val="none"/>
              </w:rPr>
            </w:pPr>
          </w:p>
        </w:tc>
        <w:tc>
          <w:tcPr>
            <w:tcW w:w="62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EE3E2AD">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8915502">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2E3762B">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CE465C2">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31D828D4">
            <w:pPr>
              <w:keepNext/>
              <w:spacing w:beforeLines="0" w:afterLines="0" w:line="360" w:lineRule="auto"/>
              <w:jc w:val="center"/>
              <w:rPr>
                <w:rFonts w:hint="eastAsia" w:ascii="Times New Roman" w:eastAsia="Times New Roman"/>
                <w:color w:val="auto"/>
                <w:sz w:val="24"/>
                <w:szCs w:val="21"/>
                <w:highlight w:val="none"/>
              </w:rPr>
            </w:pPr>
          </w:p>
        </w:tc>
      </w:tr>
      <w:tr w14:paraId="1D5543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top w:val="single" w:color="auto" w:sz="6" w:space="0"/>
              <w:left w:val="single" w:color="auto" w:sz="12" w:space="0"/>
              <w:bottom w:val="single" w:color="auto" w:sz="12" w:space="0"/>
              <w:right w:val="single" w:color="auto" w:sz="6" w:space="0"/>
              <w:tl2br w:val="nil"/>
              <w:tr2bl w:val="nil"/>
            </w:tcBorders>
            <w:noWrap w:val="0"/>
            <w:vAlign w:val="center"/>
          </w:tcPr>
          <w:p w14:paraId="52821F89">
            <w:pPr>
              <w:keepNext/>
              <w:spacing w:beforeLines="0" w:afterLines="0" w:line="360" w:lineRule="auto"/>
              <w:jc w:val="center"/>
              <w:rPr>
                <w:rFonts w:hint="eastAsia" w:ascii="Times New Roman" w:eastAsia="Times New Roman"/>
                <w:color w:val="auto"/>
                <w:sz w:val="24"/>
                <w:szCs w:val="21"/>
                <w:highlight w:val="none"/>
              </w:rPr>
            </w:pPr>
          </w:p>
        </w:tc>
        <w:tc>
          <w:tcPr>
            <w:tcW w:w="627"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99DBA21">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332465A">
            <w:pPr>
              <w:keepNext/>
              <w:spacing w:beforeLines="0" w:afterLines="0" w:line="360" w:lineRule="auto"/>
              <w:jc w:val="center"/>
              <w:rPr>
                <w:rFonts w:hint="eastAsia" w:ascii="Times New Roman" w:eastAsia="Times New Roman"/>
                <w:color w:val="auto"/>
                <w:sz w:val="24"/>
                <w:szCs w:val="21"/>
                <w:highlight w:val="none"/>
              </w:rPr>
            </w:pPr>
          </w:p>
        </w:tc>
        <w:tc>
          <w:tcPr>
            <w:tcW w:w="502"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D9E816A">
            <w:pPr>
              <w:keepNext/>
              <w:spacing w:beforeLines="0" w:afterLines="0" w:line="360" w:lineRule="auto"/>
              <w:jc w:val="center"/>
              <w:rPr>
                <w:rFonts w:hint="eastAsia" w:ascii="Times New Roman" w:eastAsia="Times New Roman"/>
                <w:color w:val="auto"/>
                <w:sz w:val="24"/>
                <w:szCs w:val="21"/>
                <w:highlight w:val="none"/>
              </w:rPr>
            </w:pPr>
          </w:p>
        </w:tc>
        <w:tc>
          <w:tcPr>
            <w:tcW w:w="1281"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ABC5650">
            <w:pPr>
              <w:keepNext/>
              <w:spacing w:beforeLines="0" w:afterLines="0" w:line="360" w:lineRule="auto"/>
              <w:jc w:val="center"/>
              <w:rPr>
                <w:rFonts w:hint="eastAsia" w:ascii="Times New Roman" w:eastAsia="Times New Roman"/>
                <w:color w:val="auto"/>
                <w:sz w:val="24"/>
                <w:szCs w:val="21"/>
                <w:highlight w:val="none"/>
              </w:rPr>
            </w:pPr>
          </w:p>
        </w:tc>
        <w:tc>
          <w:tcPr>
            <w:tcW w:w="1151"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7337F63A">
            <w:pPr>
              <w:keepNext/>
              <w:spacing w:beforeLines="0" w:afterLines="0" w:line="360" w:lineRule="auto"/>
              <w:jc w:val="center"/>
              <w:rPr>
                <w:rFonts w:hint="eastAsia" w:ascii="Times New Roman" w:eastAsia="Times New Roman"/>
                <w:color w:val="auto"/>
                <w:sz w:val="24"/>
                <w:szCs w:val="21"/>
                <w:highlight w:val="none"/>
              </w:rPr>
            </w:pPr>
          </w:p>
        </w:tc>
      </w:tr>
    </w:tbl>
    <w:p w14:paraId="3FACC8F2">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br w:type="page"/>
      </w:r>
      <w:bookmarkStart w:id="942" w:name="_Toc128950242"/>
      <w:r>
        <w:rPr>
          <w:rFonts w:hint="eastAsia" w:ascii="Times New Roman" w:eastAsia="黑体"/>
          <w:color w:val="auto"/>
          <w:sz w:val="24"/>
          <w:szCs w:val="24"/>
          <w:highlight w:val="none"/>
        </w:rPr>
        <w:t>附</w:t>
      </w:r>
      <w:bookmarkStart w:id="943" w:name="_Toc296346730"/>
      <w:bookmarkStart w:id="944" w:name="_Toc296944568"/>
      <w:bookmarkStart w:id="945" w:name="_Toc296891057"/>
      <w:bookmarkStart w:id="946" w:name="_Toc296503229"/>
      <w:bookmarkStart w:id="947" w:name="_Toc296891269"/>
      <w:bookmarkStart w:id="948" w:name="_Toc296347228"/>
      <w:r>
        <w:rPr>
          <w:rFonts w:hint="eastAsia" w:ascii="Times New Roman" w:eastAsia="黑体"/>
          <w:color w:val="auto"/>
          <w:sz w:val="24"/>
          <w:szCs w:val="24"/>
          <w:highlight w:val="none"/>
        </w:rPr>
        <w:t>件</w:t>
      </w:r>
      <w:r>
        <w:rPr>
          <w:rFonts w:hint="eastAsia" w:ascii="Times New Roman" w:eastAsia="Times New Roman"/>
          <w:color w:val="auto"/>
          <w:sz w:val="24"/>
          <w:szCs w:val="24"/>
          <w:highlight w:val="none"/>
        </w:rPr>
        <w:t>7</w:t>
      </w:r>
      <w:r>
        <w:rPr>
          <w:rFonts w:hint="eastAsia" w:ascii="Times New Roman" w:eastAsia="黑体"/>
          <w:color w:val="auto"/>
          <w:sz w:val="24"/>
          <w:szCs w:val="24"/>
          <w:highlight w:val="none"/>
        </w:rPr>
        <w:t>：分包人主要施工管理人员表</w:t>
      </w:r>
      <w:bookmarkEnd w:id="942"/>
    </w:p>
    <w:bookmarkEnd w:id="943"/>
    <w:bookmarkEnd w:id="944"/>
    <w:bookmarkEnd w:id="945"/>
    <w:bookmarkEnd w:id="946"/>
    <w:bookmarkEnd w:id="947"/>
    <w:bookmarkEnd w:id="948"/>
    <w:p w14:paraId="2DBF30DB">
      <w:pPr>
        <w:spacing w:before="120" w:beforeLines="50" w:after="120" w:afterLines="50" w:line="360" w:lineRule="auto"/>
        <w:jc w:val="center"/>
        <w:rPr>
          <w:rFonts w:hint="eastAsia" w:ascii="Times New Roman" w:eastAsia="Times New Roman"/>
          <w:b/>
          <w:color w:val="auto"/>
          <w:sz w:val="24"/>
          <w:szCs w:val="21"/>
          <w:highlight w:val="none"/>
        </w:rPr>
      </w:pPr>
      <w:r>
        <w:rPr>
          <w:rFonts w:hint="eastAsia" w:ascii="Times New Roman"/>
          <w:b/>
          <w:color w:val="auto"/>
          <w:sz w:val="24"/>
          <w:szCs w:val="21"/>
          <w:highlight w:val="none"/>
        </w:rPr>
        <w:t>分包人主要施工管理人员表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412"/>
        <w:gridCol w:w="1071"/>
        <w:gridCol w:w="857"/>
        <w:gridCol w:w="623"/>
        <w:gridCol w:w="3157"/>
        <w:gridCol w:w="1236"/>
      </w:tblGrid>
      <w:tr w14:paraId="32EC0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40BE4FB9">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名称</w:t>
            </w:r>
          </w:p>
        </w:tc>
        <w:tc>
          <w:tcPr>
            <w:tcW w:w="641"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8B4EAB3">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姓名</w:t>
            </w:r>
          </w:p>
        </w:tc>
        <w:tc>
          <w:tcPr>
            <w:tcW w:w="513"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14D19ED3">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职务</w:t>
            </w:r>
          </w:p>
        </w:tc>
        <w:tc>
          <w:tcPr>
            <w:tcW w:w="373"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0930C434">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职称</w:t>
            </w:r>
          </w:p>
        </w:tc>
        <w:tc>
          <w:tcPr>
            <w:tcW w:w="1889"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2196022E">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主要资历、经验及承担过的项目</w:t>
            </w:r>
          </w:p>
        </w:tc>
        <w:tc>
          <w:tcPr>
            <w:tcW w:w="739"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48002D72">
            <w:pPr>
              <w:keepNext/>
              <w:spacing w:beforeLines="0" w:afterLines="0" w:line="360" w:lineRule="auto"/>
              <w:jc w:val="center"/>
              <w:rPr>
                <w:rFonts w:hint="eastAsia" w:ascii="Times New Roman"/>
                <w:color w:val="auto"/>
                <w:sz w:val="24"/>
                <w:szCs w:val="21"/>
                <w:highlight w:val="none"/>
              </w:rPr>
            </w:pPr>
            <w:r>
              <w:rPr>
                <w:rFonts w:hint="eastAsia" w:ascii="Times New Roman"/>
                <w:color w:val="auto"/>
                <w:sz w:val="24"/>
                <w:szCs w:val="21"/>
                <w:highlight w:val="none"/>
              </w:rPr>
              <w:t>身份证号码</w:t>
            </w:r>
          </w:p>
        </w:tc>
      </w:tr>
      <w:tr w14:paraId="712BD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261" w:type="pct"/>
            <w:gridSpan w:val="5"/>
            <w:tcBorders>
              <w:top w:val="double" w:color="auto" w:sz="6" w:space="0"/>
              <w:left w:val="single" w:color="auto" w:sz="12" w:space="0"/>
              <w:bottom w:val="single" w:color="auto" w:sz="6" w:space="0"/>
              <w:right w:val="single" w:color="auto" w:sz="6" w:space="0"/>
              <w:tl2br w:val="nil"/>
              <w:tr2bl w:val="nil"/>
            </w:tcBorders>
            <w:noWrap w:val="0"/>
            <w:vAlign w:val="center"/>
          </w:tcPr>
          <w:p w14:paraId="466BAD47">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一、总部人员</w:t>
            </w:r>
          </w:p>
        </w:tc>
        <w:tc>
          <w:tcPr>
            <w:tcW w:w="739"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422BDDBE">
            <w:pPr>
              <w:keepNext/>
              <w:spacing w:beforeLines="0" w:afterLines="0" w:line="360" w:lineRule="auto"/>
              <w:jc w:val="center"/>
              <w:rPr>
                <w:rFonts w:hint="eastAsia" w:ascii="Times New Roman"/>
                <w:color w:val="auto"/>
                <w:sz w:val="24"/>
                <w:szCs w:val="21"/>
                <w:highlight w:val="none"/>
              </w:rPr>
            </w:pPr>
          </w:p>
        </w:tc>
      </w:tr>
      <w:tr w14:paraId="6547F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nil"/>
              <w:left w:val="single" w:color="auto" w:sz="12" w:space="0"/>
              <w:bottom w:val="nil"/>
              <w:right w:val="single" w:color="auto" w:sz="6" w:space="0"/>
              <w:tl2br w:val="nil"/>
              <w:tr2bl w:val="nil"/>
            </w:tcBorders>
            <w:noWrap w:val="0"/>
            <w:vAlign w:val="center"/>
          </w:tcPr>
          <w:p w14:paraId="3DDD7457">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项目主管</w:t>
            </w:r>
          </w:p>
        </w:tc>
        <w:tc>
          <w:tcPr>
            <w:tcW w:w="641" w:type="pct"/>
            <w:tcBorders>
              <w:top w:val="nil"/>
              <w:left w:val="single" w:color="auto" w:sz="6" w:space="0"/>
              <w:bottom w:val="single" w:color="auto" w:sz="6" w:space="0"/>
              <w:right w:val="single" w:color="auto" w:sz="6" w:space="0"/>
              <w:tl2br w:val="nil"/>
              <w:tr2bl w:val="nil"/>
            </w:tcBorders>
            <w:noWrap w:val="0"/>
            <w:vAlign w:val="center"/>
          </w:tcPr>
          <w:p w14:paraId="001AF861">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nil"/>
              <w:left w:val="single" w:color="auto" w:sz="6" w:space="0"/>
              <w:bottom w:val="single" w:color="auto" w:sz="6" w:space="0"/>
              <w:right w:val="single" w:color="auto" w:sz="6" w:space="0"/>
              <w:tl2br w:val="nil"/>
              <w:tr2bl w:val="nil"/>
            </w:tcBorders>
            <w:noWrap w:val="0"/>
            <w:vAlign w:val="center"/>
          </w:tcPr>
          <w:p w14:paraId="3B9572D0">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nil"/>
              <w:left w:val="single" w:color="auto" w:sz="6" w:space="0"/>
              <w:bottom w:val="single" w:color="auto" w:sz="6" w:space="0"/>
              <w:right w:val="single" w:color="auto" w:sz="6" w:space="0"/>
              <w:tl2br w:val="nil"/>
              <w:tr2bl w:val="nil"/>
            </w:tcBorders>
            <w:noWrap w:val="0"/>
            <w:vAlign w:val="center"/>
          </w:tcPr>
          <w:p w14:paraId="506D051D">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nil"/>
              <w:left w:val="single" w:color="auto" w:sz="6" w:space="0"/>
              <w:bottom w:val="single" w:color="auto" w:sz="6" w:space="0"/>
              <w:right w:val="single" w:color="auto" w:sz="6" w:space="0"/>
              <w:tl2br w:val="nil"/>
              <w:tr2bl w:val="nil"/>
            </w:tcBorders>
            <w:noWrap w:val="0"/>
            <w:vAlign w:val="center"/>
          </w:tcPr>
          <w:p w14:paraId="33FAEEC4">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nil"/>
              <w:left w:val="single" w:color="auto" w:sz="6" w:space="0"/>
              <w:bottom w:val="single" w:color="auto" w:sz="6" w:space="0"/>
              <w:right w:val="single" w:color="auto" w:sz="12" w:space="0"/>
              <w:tl2br w:val="nil"/>
              <w:tr2bl w:val="nil"/>
            </w:tcBorders>
            <w:noWrap w:val="0"/>
            <w:vAlign w:val="center"/>
          </w:tcPr>
          <w:p w14:paraId="256D2E34">
            <w:pPr>
              <w:keepNext/>
              <w:spacing w:beforeLines="0" w:afterLines="0" w:line="360" w:lineRule="auto"/>
              <w:jc w:val="center"/>
              <w:rPr>
                <w:rFonts w:hint="eastAsia" w:ascii="Times New Roman" w:eastAsia="Times New Roman"/>
                <w:color w:val="auto"/>
                <w:sz w:val="24"/>
                <w:szCs w:val="21"/>
                <w:highlight w:val="none"/>
              </w:rPr>
            </w:pPr>
          </w:p>
        </w:tc>
      </w:tr>
      <w:tr w14:paraId="339AE3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restart"/>
            <w:tcBorders>
              <w:top w:val="single" w:color="auto" w:sz="6" w:space="0"/>
              <w:left w:val="single" w:color="auto" w:sz="12" w:space="0"/>
              <w:bottom w:val="single" w:color="auto" w:sz="6" w:space="0"/>
              <w:right w:val="single" w:color="auto" w:sz="6" w:space="0"/>
              <w:tl2br w:val="nil"/>
              <w:tr2bl w:val="nil"/>
            </w:tcBorders>
            <w:noWrap w:val="0"/>
            <w:vAlign w:val="center"/>
          </w:tcPr>
          <w:p w14:paraId="141F33F8">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其他人员</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024EE4A">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CAE6031">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89D73D3">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961D797">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17E985C">
            <w:pPr>
              <w:keepNext/>
              <w:spacing w:beforeLines="0" w:afterLines="0" w:line="360" w:lineRule="auto"/>
              <w:jc w:val="center"/>
              <w:rPr>
                <w:rFonts w:hint="eastAsia" w:ascii="Times New Roman" w:eastAsia="Times New Roman"/>
                <w:color w:val="auto"/>
                <w:sz w:val="24"/>
                <w:szCs w:val="21"/>
                <w:highlight w:val="none"/>
              </w:rPr>
            </w:pPr>
          </w:p>
        </w:tc>
      </w:tr>
      <w:tr w14:paraId="6A9C9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4A62B597">
            <w:pPr>
              <w:keepNext/>
              <w:spacing w:beforeLines="0" w:afterLines="0" w:line="360" w:lineRule="auto"/>
              <w:jc w:val="center"/>
              <w:rPr>
                <w:rFonts w:hint="eastAsia" w:ascii="Times New Roman" w:eastAsia="Times New Roman"/>
                <w:color w:val="auto"/>
                <w:sz w:val="24"/>
                <w:szCs w:val="21"/>
                <w:highlight w:val="none"/>
              </w:rPr>
            </w:pP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76627BD">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3D0C6A0">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1103228">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75B9D9A">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C198408">
            <w:pPr>
              <w:keepNext/>
              <w:spacing w:beforeLines="0" w:afterLines="0" w:line="360" w:lineRule="auto"/>
              <w:jc w:val="center"/>
              <w:rPr>
                <w:rFonts w:hint="eastAsia" w:ascii="Times New Roman" w:eastAsia="Times New Roman"/>
                <w:color w:val="auto"/>
                <w:sz w:val="24"/>
                <w:szCs w:val="21"/>
                <w:highlight w:val="none"/>
              </w:rPr>
            </w:pPr>
          </w:p>
        </w:tc>
      </w:tr>
      <w:tr w14:paraId="0E1AE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continue"/>
            <w:tcBorders>
              <w:top w:val="single" w:color="auto" w:sz="6" w:space="0"/>
              <w:left w:val="single" w:color="auto" w:sz="12" w:space="0"/>
              <w:bottom w:val="nil"/>
              <w:right w:val="single" w:color="auto" w:sz="6" w:space="0"/>
              <w:tl2br w:val="nil"/>
              <w:tr2bl w:val="nil"/>
            </w:tcBorders>
            <w:noWrap w:val="0"/>
            <w:vAlign w:val="center"/>
          </w:tcPr>
          <w:p w14:paraId="7775B53A">
            <w:pPr>
              <w:keepNext/>
              <w:spacing w:beforeLines="0" w:afterLines="0" w:line="360" w:lineRule="auto"/>
              <w:jc w:val="center"/>
              <w:rPr>
                <w:rFonts w:hint="eastAsia" w:ascii="Times New Roman" w:eastAsia="Times New Roman"/>
                <w:color w:val="auto"/>
                <w:sz w:val="24"/>
                <w:szCs w:val="21"/>
                <w:highlight w:val="none"/>
              </w:rPr>
            </w:pP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CEC48B7">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13DAD78">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3ECF22E">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84D9257">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CCA0C6E">
            <w:pPr>
              <w:keepNext/>
              <w:spacing w:beforeLines="0" w:afterLines="0" w:line="360" w:lineRule="auto"/>
              <w:jc w:val="center"/>
              <w:rPr>
                <w:rFonts w:hint="eastAsia" w:ascii="Times New Roman" w:eastAsia="Times New Roman"/>
                <w:color w:val="auto"/>
                <w:sz w:val="24"/>
                <w:szCs w:val="21"/>
                <w:highlight w:val="none"/>
              </w:rPr>
            </w:pPr>
          </w:p>
        </w:tc>
      </w:tr>
      <w:tr w14:paraId="4E4EA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261" w:type="pct"/>
            <w:gridSpan w:val="5"/>
            <w:tcBorders>
              <w:top w:val="single" w:color="auto" w:sz="6" w:space="0"/>
              <w:left w:val="single" w:color="auto" w:sz="12" w:space="0"/>
              <w:bottom w:val="single" w:color="auto" w:sz="6" w:space="0"/>
              <w:right w:val="single" w:color="auto" w:sz="6" w:space="0"/>
              <w:tl2br w:val="nil"/>
              <w:tr2bl w:val="nil"/>
            </w:tcBorders>
            <w:noWrap w:val="0"/>
            <w:vAlign w:val="center"/>
          </w:tcPr>
          <w:p w14:paraId="18A7DD5E">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二、现场人员</w:t>
            </w: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0BFD7270">
            <w:pPr>
              <w:keepNext/>
              <w:spacing w:beforeLines="0" w:afterLines="0" w:line="360" w:lineRule="auto"/>
              <w:jc w:val="center"/>
              <w:rPr>
                <w:rFonts w:hint="eastAsia" w:ascii="Times New Roman"/>
                <w:color w:val="auto"/>
                <w:sz w:val="24"/>
                <w:szCs w:val="21"/>
                <w:highlight w:val="none"/>
              </w:rPr>
            </w:pPr>
          </w:p>
        </w:tc>
      </w:tr>
      <w:tr w14:paraId="3DE88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40E34657">
            <w:pPr>
              <w:spacing w:beforeLines="0" w:afterLines="0" w:line="360" w:lineRule="auto"/>
              <w:jc w:val="center"/>
              <w:rPr>
                <w:rFonts w:hint="eastAsia" w:ascii="Times New Roman"/>
                <w:color w:val="auto"/>
                <w:sz w:val="24"/>
                <w:szCs w:val="22"/>
                <w:highlight w:val="none"/>
              </w:rPr>
            </w:pPr>
            <w:r>
              <w:rPr>
                <w:rFonts w:hint="eastAsia" w:ascii="Times New Roman"/>
                <w:color w:val="auto"/>
                <w:sz w:val="24"/>
                <w:szCs w:val="22"/>
                <w:highlight w:val="none"/>
              </w:rPr>
              <w:t>项目经理</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FE284E2">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A14C7B5">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0588140">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A563139">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4CAC3EDE">
            <w:pPr>
              <w:keepNext/>
              <w:spacing w:beforeLines="0" w:afterLines="0" w:line="360" w:lineRule="auto"/>
              <w:jc w:val="center"/>
              <w:rPr>
                <w:rFonts w:hint="eastAsia" w:ascii="Times New Roman" w:eastAsia="Times New Roman"/>
                <w:color w:val="auto"/>
                <w:sz w:val="24"/>
                <w:szCs w:val="21"/>
                <w:highlight w:val="none"/>
              </w:rPr>
            </w:pPr>
          </w:p>
        </w:tc>
      </w:tr>
      <w:tr w14:paraId="52F7F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657601BD">
            <w:pPr>
              <w:spacing w:beforeLines="0" w:afterLines="0" w:line="360" w:lineRule="auto"/>
              <w:jc w:val="center"/>
              <w:rPr>
                <w:rFonts w:hint="eastAsia" w:ascii="Times New Roman"/>
                <w:color w:val="auto"/>
                <w:sz w:val="24"/>
                <w:szCs w:val="22"/>
                <w:highlight w:val="none"/>
              </w:rPr>
            </w:pPr>
            <w:r>
              <w:rPr>
                <w:rFonts w:hint="eastAsia" w:ascii="Times New Roman"/>
                <w:color w:val="auto"/>
                <w:sz w:val="24"/>
                <w:szCs w:val="22"/>
                <w:highlight w:val="none"/>
              </w:rPr>
              <w:t>项目副经理</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FEBE22F">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211E3B1">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8B01902">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CB0FE5E">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D3CB92E">
            <w:pPr>
              <w:keepNext/>
              <w:spacing w:beforeLines="0" w:afterLines="0" w:line="360" w:lineRule="auto"/>
              <w:jc w:val="center"/>
              <w:rPr>
                <w:rFonts w:hint="eastAsia" w:ascii="Times New Roman" w:eastAsia="Times New Roman"/>
                <w:color w:val="auto"/>
                <w:sz w:val="24"/>
                <w:szCs w:val="21"/>
                <w:highlight w:val="none"/>
              </w:rPr>
            </w:pPr>
          </w:p>
        </w:tc>
      </w:tr>
      <w:tr w14:paraId="2ADDD9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04FDE8CC">
            <w:pPr>
              <w:spacing w:beforeLines="0" w:afterLines="0" w:line="360" w:lineRule="auto"/>
              <w:jc w:val="center"/>
              <w:rPr>
                <w:rFonts w:hint="eastAsia" w:ascii="Times New Roman"/>
                <w:color w:val="auto"/>
                <w:sz w:val="24"/>
                <w:szCs w:val="22"/>
                <w:highlight w:val="none"/>
              </w:rPr>
            </w:pPr>
            <w:r>
              <w:rPr>
                <w:rFonts w:hint="eastAsia" w:ascii="Times New Roman"/>
                <w:color w:val="auto"/>
                <w:sz w:val="24"/>
                <w:szCs w:val="22"/>
                <w:highlight w:val="none"/>
              </w:rPr>
              <w:t>项目技术负责人</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E0AD529">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884F835">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0369EFA">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FB089AE">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2C482E4">
            <w:pPr>
              <w:keepNext/>
              <w:spacing w:beforeLines="0" w:afterLines="0" w:line="360" w:lineRule="auto"/>
              <w:jc w:val="center"/>
              <w:rPr>
                <w:rFonts w:hint="eastAsia" w:ascii="Times New Roman" w:eastAsia="Times New Roman"/>
                <w:color w:val="auto"/>
                <w:sz w:val="24"/>
                <w:szCs w:val="21"/>
                <w:highlight w:val="none"/>
              </w:rPr>
            </w:pPr>
          </w:p>
        </w:tc>
      </w:tr>
      <w:tr w14:paraId="3456C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1F81BBAC">
            <w:pPr>
              <w:spacing w:beforeLines="0" w:afterLines="0" w:line="360" w:lineRule="auto"/>
              <w:jc w:val="center"/>
              <w:rPr>
                <w:rFonts w:hint="eastAsia" w:ascii="Times New Roman"/>
                <w:color w:val="auto"/>
                <w:sz w:val="24"/>
                <w:szCs w:val="22"/>
                <w:highlight w:val="none"/>
              </w:rPr>
            </w:pPr>
            <w:r>
              <w:rPr>
                <w:rFonts w:hint="eastAsia" w:ascii="Times New Roman"/>
                <w:color w:val="auto"/>
                <w:sz w:val="24"/>
                <w:szCs w:val="22"/>
                <w:highlight w:val="none"/>
              </w:rPr>
              <w:t>施工员</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8518EA0">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C49A93A">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12C787C">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DAEF2A">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1546F94C">
            <w:pPr>
              <w:keepNext/>
              <w:spacing w:beforeLines="0" w:afterLines="0" w:line="360" w:lineRule="auto"/>
              <w:jc w:val="center"/>
              <w:rPr>
                <w:rFonts w:hint="eastAsia" w:ascii="Times New Roman" w:eastAsia="Times New Roman"/>
                <w:color w:val="auto"/>
                <w:sz w:val="24"/>
                <w:szCs w:val="21"/>
                <w:highlight w:val="none"/>
              </w:rPr>
            </w:pPr>
          </w:p>
        </w:tc>
      </w:tr>
      <w:tr w14:paraId="272A2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75D99EC7">
            <w:pPr>
              <w:spacing w:beforeLines="0" w:afterLines="0" w:line="360" w:lineRule="auto"/>
              <w:jc w:val="center"/>
              <w:rPr>
                <w:rFonts w:hint="eastAsia" w:ascii="Times New Roman"/>
                <w:color w:val="auto"/>
                <w:sz w:val="24"/>
                <w:szCs w:val="22"/>
                <w:highlight w:val="none"/>
              </w:rPr>
            </w:pPr>
            <w:r>
              <w:rPr>
                <w:rFonts w:hint="eastAsia" w:ascii="Times New Roman"/>
                <w:color w:val="auto"/>
                <w:sz w:val="24"/>
                <w:szCs w:val="22"/>
                <w:highlight w:val="none"/>
              </w:rPr>
              <w:t>质检员（质量员）</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9EE5B7F">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798BBC9">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AE43C6A">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DA41ADF">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29EF51B8">
            <w:pPr>
              <w:keepNext/>
              <w:spacing w:beforeLines="0" w:afterLines="0" w:line="360" w:lineRule="auto"/>
              <w:jc w:val="center"/>
              <w:rPr>
                <w:rFonts w:hint="eastAsia" w:ascii="Times New Roman" w:eastAsia="Times New Roman"/>
                <w:color w:val="auto"/>
                <w:sz w:val="24"/>
                <w:szCs w:val="21"/>
                <w:highlight w:val="none"/>
              </w:rPr>
            </w:pPr>
          </w:p>
        </w:tc>
      </w:tr>
      <w:tr w14:paraId="734B1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0208845D">
            <w:pPr>
              <w:spacing w:beforeLines="0" w:afterLines="0" w:line="360" w:lineRule="auto"/>
              <w:jc w:val="center"/>
              <w:rPr>
                <w:rFonts w:hint="eastAsia" w:ascii="Times New Roman"/>
                <w:color w:val="auto"/>
                <w:sz w:val="24"/>
                <w:szCs w:val="22"/>
                <w:highlight w:val="none"/>
              </w:rPr>
            </w:pPr>
            <w:r>
              <w:rPr>
                <w:rFonts w:hint="eastAsia" w:ascii="Times New Roman"/>
                <w:color w:val="auto"/>
                <w:sz w:val="24"/>
                <w:szCs w:val="22"/>
                <w:highlight w:val="none"/>
              </w:rPr>
              <w:t>安全员</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77A27B9">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647F3B6">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B4DF1A5">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3C0A270">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4392CE62">
            <w:pPr>
              <w:keepNext/>
              <w:spacing w:beforeLines="0" w:afterLines="0" w:line="360" w:lineRule="auto"/>
              <w:jc w:val="center"/>
              <w:rPr>
                <w:rFonts w:hint="eastAsia" w:ascii="Times New Roman" w:eastAsia="Times New Roman"/>
                <w:color w:val="auto"/>
                <w:sz w:val="24"/>
                <w:szCs w:val="21"/>
                <w:highlight w:val="none"/>
              </w:rPr>
            </w:pPr>
          </w:p>
        </w:tc>
      </w:tr>
      <w:tr w14:paraId="24FD8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52E6E114">
            <w:pPr>
              <w:spacing w:beforeLines="0" w:afterLines="0" w:line="360" w:lineRule="auto"/>
              <w:jc w:val="center"/>
              <w:rPr>
                <w:rFonts w:hint="eastAsia" w:ascii="Times New Roman"/>
                <w:color w:val="auto"/>
                <w:sz w:val="24"/>
                <w:szCs w:val="22"/>
                <w:highlight w:val="none"/>
              </w:rPr>
            </w:pPr>
            <w:r>
              <w:rPr>
                <w:rFonts w:hint="eastAsia" w:ascii="Times New Roman"/>
                <w:color w:val="auto"/>
                <w:sz w:val="24"/>
                <w:szCs w:val="22"/>
                <w:highlight w:val="none"/>
              </w:rPr>
              <w:t>资料员</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8B19DFB">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5AEF9B8">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8B6CC2D">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A5DCAE6">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7928E4B8">
            <w:pPr>
              <w:keepNext/>
              <w:spacing w:beforeLines="0" w:afterLines="0" w:line="360" w:lineRule="auto"/>
              <w:jc w:val="center"/>
              <w:rPr>
                <w:rFonts w:hint="eastAsia" w:ascii="Times New Roman" w:eastAsia="Times New Roman"/>
                <w:color w:val="auto"/>
                <w:sz w:val="24"/>
                <w:szCs w:val="21"/>
                <w:highlight w:val="none"/>
              </w:rPr>
            </w:pPr>
          </w:p>
        </w:tc>
      </w:tr>
      <w:tr w14:paraId="7AC84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restart"/>
            <w:tcBorders>
              <w:top w:val="single" w:color="auto" w:sz="6" w:space="0"/>
              <w:left w:val="single" w:color="auto" w:sz="12" w:space="0"/>
              <w:bottom w:val="single" w:color="auto" w:sz="6" w:space="0"/>
              <w:right w:val="single" w:color="auto" w:sz="6" w:space="0"/>
              <w:tl2br w:val="nil"/>
              <w:tr2bl w:val="nil"/>
            </w:tcBorders>
            <w:noWrap w:val="0"/>
            <w:vAlign w:val="center"/>
          </w:tcPr>
          <w:p w14:paraId="0D9C07A4">
            <w:pPr>
              <w:keepNext/>
              <w:spacing w:beforeLines="0" w:afterLines="0" w:line="360" w:lineRule="auto"/>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其他人员</w:t>
            </w: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7656454">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A447B68">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E4523FB">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B10B345">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18E61CF2">
            <w:pPr>
              <w:keepNext/>
              <w:spacing w:beforeLines="0" w:afterLines="0" w:line="360" w:lineRule="auto"/>
              <w:jc w:val="center"/>
              <w:rPr>
                <w:rFonts w:hint="eastAsia" w:ascii="Times New Roman" w:eastAsia="Times New Roman"/>
                <w:color w:val="auto"/>
                <w:sz w:val="24"/>
                <w:szCs w:val="21"/>
                <w:highlight w:val="none"/>
              </w:rPr>
            </w:pPr>
          </w:p>
        </w:tc>
      </w:tr>
      <w:tr w14:paraId="4DCAF7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1F1F81BA">
            <w:pPr>
              <w:keepNext/>
              <w:spacing w:beforeLines="0" w:afterLines="0" w:line="360" w:lineRule="auto"/>
              <w:jc w:val="center"/>
              <w:rPr>
                <w:rFonts w:hint="eastAsia" w:ascii="Times New Roman" w:eastAsia="Times New Roman"/>
                <w:color w:val="auto"/>
                <w:sz w:val="24"/>
                <w:szCs w:val="21"/>
                <w:highlight w:val="none"/>
              </w:rPr>
            </w:pPr>
          </w:p>
        </w:tc>
        <w:tc>
          <w:tcPr>
            <w:tcW w:w="641" w:type="pct"/>
            <w:tcBorders>
              <w:top w:val="single" w:color="auto" w:sz="6" w:space="0"/>
              <w:left w:val="single" w:color="auto" w:sz="6" w:space="0"/>
              <w:bottom w:val="nil"/>
              <w:right w:val="single" w:color="auto" w:sz="6" w:space="0"/>
              <w:tl2br w:val="nil"/>
              <w:tr2bl w:val="nil"/>
            </w:tcBorders>
            <w:noWrap w:val="0"/>
            <w:vAlign w:val="center"/>
          </w:tcPr>
          <w:p w14:paraId="691DABC1">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nil"/>
              <w:right w:val="single" w:color="auto" w:sz="6" w:space="0"/>
              <w:tl2br w:val="nil"/>
              <w:tr2bl w:val="nil"/>
            </w:tcBorders>
            <w:noWrap w:val="0"/>
            <w:vAlign w:val="center"/>
          </w:tcPr>
          <w:p w14:paraId="137D6B4F">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nil"/>
              <w:right w:val="single" w:color="auto" w:sz="6" w:space="0"/>
              <w:tl2br w:val="nil"/>
              <w:tr2bl w:val="nil"/>
            </w:tcBorders>
            <w:noWrap w:val="0"/>
            <w:vAlign w:val="center"/>
          </w:tcPr>
          <w:p w14:paraId="29802171">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nil"/>
              <w:right w:val="single" w:color="auto" w:sz="6" w:space="0"/>
              <w:tl2br w:val="nil"/>
              <w:tr2bl w:val="nil"/>
            </w:tcBorders>
            <w:noWrap w:val="0"/>
            <w:vAlign w:val="center"/>
          </w:tcPr>
          <w:p w14:paraId="7BFA8DDF">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nil"/>
              <w:right w:val="single" w:color="auto" w:sz="12" w:space="0"/>
              <w:tl2br w:val="nil"/>
              <w:tr2bl w:val="nil"/>
            </w:tcBorders>
            <w:noWrap w:val="0"/>
            <w:vAlign w:val="center"/>
          </w:tcPr>
          <w:p w14:paraId="535FAA85">
            <w:pPr>
              <w:keepNext/>
              <w:spacing w:beforeLines="0" w:afterLines="0" w:line="360" w:lineRule="auto"/>
              <w:jc w:val="center"/>
              <w:rPr>
                <w:rFonts w:hint="eastAsia" w:ascii="Times New Roman" w:eastAsia="Times New Roman"/>
                <w:color w:val="auto"/>
                <w:sz w:val="24"/>
                <w:szCs w:val="21"/>
                <w:highlight w:val="none"/>
              </w:rPr>
            </w:pPr>
          </w:p>
        </w:tc>
      </w:tr>
      <w:tr w14:paraId="250E3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72F22491">
            <w:pPr>
              <w:keepNext/>
              <w:spacing w:beforeLines="0" w:afterLines="0" w:line="360" w:lineRule="auto"/>
              <w:jc w:val="center"/>
              <w:rPr>
                <w:rFonts w:hint="eastAsia" w:ascii="Times New Roman" w:eastAsia="Times New Roman"/>
                <w:color w:val="auto"/>
                <w:sz w:val="24"/>
                <w:szCs w:val="21"/>
                <w:highlight w:val="none"/>
              </w:rPr>
            </w:pP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B661BF0">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4001E8D">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12C955B">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039FB3C">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75EF485E">
            <w:pPr>
              <w:keepNext/>
              <w:spacing w:beforeLines="0" w:afterLines="0" w:line="360" w:lineRule="auto"/>
              <w:jc w:val="center"/>
              <w:rPr>
                <w:rFonts w:hint="eastAsia" w:ascii="Times New Roman" w:eastAsia="Times New Roman"/>
                <w:color w:val="auto"/>
                <w:sz w:val="24"/>
                <w:szCs w:val="21"/>
                <w:highlight w:val="none"/>
              </w:rPr>
            </w:pPr>
          </w:p>
        </w:tc>
      </w:tr>
      <w:tr w14:paraId="580EC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6EA90705">
            <w:pPr>
              <w:keepNext/>
              <w:spacing w:beforeLines="0" w:afterLines="0" w:line="360" w:lineRule="auto"/>
              <w:jc w:val="center"/>
              <w:rPr>
                <w:rFonts w:hint="eastAsia" w:ascii="Times New Roman" w:eastAsia="Times New Roman"/>
                <w:color w:val="auto"/>
                <w:sz w:val="24"/>
                <w:szCs w:val="21"/>
                <w:highlight w:val="none"/>
              </w:rPr>
            </w:pP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AFC9C71">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7FB54A9">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FB41D3A">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5EE7CB4">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D6C023C">
            <w:pPr>
              <w:keepNext/>
              <w:spacing w:beforeLines="0" w:afterLines="0" w:line="360" w:lineRule="auto"/>
              <w:jc w:val="center"/>
              <w:rPr>
                <w:rFonts w:hint="eastAsia" w:ascii="Times New Roman" w:eastAsia="Times New Roman"/>
                <w:color w:val="auto"/>
                <w:sz w:val="24"/>
                <w:szCs w:val="21"/>
                <w:highlight w:val="none"/>
              </w:rPr>
            </w:pPr>
          </w:p>
        </w:tc>
      </w:tr>
      <w:tr w14:paraId="29D07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3E432209">
            <w:pPr>
              <w:keepNext/>
              <w:spacing w:beforeLines="0" w:afterLines="0" w:line="360" w:lineRule="auto"/>
              <w:jc w:val="center"/>
              <w:rPr>
                <w:rFonts w:hint="eastAsia" w:ascii="Times New Roman" w:eastAsia="Times New Roman"/>
                <w:color w:val="auto"/>
                <w:sz w:val="24"/>
                <w:szCs w:val="21"/>
                <w:highlight w:val="none"/>
              </w:rPr>
            </w:pPr>
          </w:p>
        </w:tc>
        <w:tc>
          <w:tcPr>
            <w:tcW w:w="64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8301B01">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B97296F">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D082396">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F08135F">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47CCEE8">
            <w:pPr>
              <w:keepNext/>
              <w:spacing w:beforeLines="0" w:afterLines="0" w:line="360" w:lineRule="auto"/>
              <w:jc w:val="center"/>
              <w:rPr>
                <w:rFonts w:hint="eastAsia" w:ascii="Times New Roman" w:eastAsia="Times New Roman"/>
                <w:color w:val="auto"/>
                <w:sz w:val="24"/>
                <w:szCs w:val="21"/>
                <w:highlight w:val="none"/>
              </w:rPr>
            </w:pPr>
          </w:p>
        </w:tc>
      </w:tr>
      <w:tr w14:paraId="3B2DB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5" w:type="pct"/>
            <w:vMerge w:val="continue"/>
            <w:tcBorders>
              <w:top w:val="single" w:color="auto" w:sz="6" w:space="0"/>
              <w:left w:val="single" w:color="auto" w:sz="12" w:space="0"/>
              <w:bottom w:val="single" w:color="auto" w:sz="12" w:space="0"/>
              <w:right w:val="single" w:color="auto" w:sz="6" w:space="0"/>
              <w:tl2br w:val="nil"/>
              <w:tr2bl w:val="nil"/>
            </w:tcBorders>
            <w:noWrap w:val="0"/>
            <w:vAlign w:val="center"/>
          </w:tcPr>
          <w:p w14:paraId="12C1976F">
            <w:pPr>
              <w:keepNext/>
              <w:spacing w:beforeLines="0" w:afterLines="0" w:line="360" w:lineRule="auto"/>
              <w:jc w:val="center"/>
              <w:rPr>
                <w:rFonts w:hint="eastAsia" w:ascii="Times New Roman" w:eastAsia="Times New Roman"/>
                <w:color w:val="auto"/>
                <w:sz w:val="24"/>
                <w:szCs w:val="21"/>
                <w:highlight w:val="none"/>
              </w:rPr>
            </w:pPr>
          </w:p>
        </w:tc>
        <w:tc>
          <w:tcPr>
            <w:tcW w:w="641"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065D1D7">
            <w:pPr>
              <w:keepNext/>
              <w:spacing w:beforeLines="0" w:afterLines="0" w:line="360" w:lineRule="auto"/>
              <w:jc w:val="center"/>
              <w:rPr>
                <w:rFonts w:hint="eastAsia" w:ascii="Times New Roman" w:eastAsia="Times New Roman"/>
                <w:color w:val="auto"/>
                <w:sz w:val="24"/>
                <w:szCs w:val="21"/>
                <w:highlight w:val="none"/>
              </w:rPr>
            </w:pPr>
          </w:p>
        </w:tc>
        <w:tc>
          <w:tcPr>
            <w:tcW w:w="513"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555211A">
            <w:pPr>
              <w:keepNext/>
              <w:spacing w:beforeLines="0" w:afterLines="0" w:line="360" w:lineRule="auto"/>
              <w:jc w:val="center"/>
              <w:rPr>
                <w:rFonts w:hint="eastAsia" w:ascii="Times New Roman" w:eastAsia="Times New Roman"/>
                <w:color w:val="auto"/>
                <w:sz w:val="24"/>
                <w:szCs w:val="21"/>
                <w:highlight w:val="none"/>
              </w:rPr>
            </w:pPr>
          </w:p>
        </w:tc>
        <w:tc>
          <w:tcPr>
            <w:tcW w:w="373"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80D4837">
            <w:pPr>
              <w:keepNext/>
              <w:spacing w:beforeLines="0" w:afterLines="0" w:line="360" w:lineRule="auto"/>
              <w:jc w:val="center"/>
              <w:rPr>
                <w:rFonts w:hint="eastAsia" w:ascii="Times New Roman" w:eastAsia="Times New Roman"/>
                <w:color w:val="auto"/>
                <w:sz w:val="24"/>
                <w:szCs w:val="21"/>
                <w:highlight w:val="none"/>
              </w:rPr>
            </w:pPr>
          </w:p>
        </w:tc>
        <w:tc>
          <w:tcPr>
            <w:tcW w:w="1889"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76E49DA1">
            <w:pPr>
              <w:keepNext/>
              <w:spacing w:beforeLines="0" w:afterLines="0" w:line="360" w:lineRule="auto"/>
              <w:jc w:val="center"/>
              <w:rPr>
                <w:rFonts w:hint="eastAsia" w:ascii="Times New Roman" w:eastAsia="Times New Roman"/>
                <w:color w:val="auto"/>
                <w:sz w:val="24"/>
                <w:szCs w:val="21"/>
                <w:highlight w:val="none"/>
              </w:rPr>
            </w:pPr>
          </w:p>
        </w:tc>
        <w:tc>
          <w:tcPr>
            <w:tcW w:w="739"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134F74E7">
            <w:pPr>
              <w:keepNext/>
              <w:spacing w:beforeLines="0" w:afterLines="0" w:line="360" w:lineRule="auto"/>
              <w:jc w:val="center"/>
              <w:rPr>
                <w:rFonts w:hint="eastAsia" w:ascii="Times New Roman" w:eastAsia="Times New Roman"/>
                <w:color w:val="auto"/>
                <w:sz w:val="24"/>
                <w:szCs w:val="21"/>
                <w:highlight w:val="none"/>
              </w:rPr>
            </w:pPr>
          </w:p>
        </w:tc>
      </w:tr>
    </w:tbl>
    <w:p w14:paraId="22B9DBB6">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br w:type="page"/>
      </w:r>
      <w:bookmarkStart w:id="949" w:name="_Toc128950243"/>
      <w:r>
        <w:rPr>
          <w:rFonts w:hint="eastAsia" w:ascii="Times New Roman" w:eastAsia="黑体"/>
          <w:color w:val="auto"/>
          <w:sz w:val="24"/>
          <w:szCs w:val="24"/>
          <w:highlight w:val="none"/>
        </w:rPr>
        <w:t>附</w:t>
      </w:r>
      <w:bookmarkStart w:id="950" w:name="_Toc296891271"/>
      <w:bookmarkStart w:id="951" w:name="_Toc296503231"/>
      <w:bookmarkStart w:id="952" w:name="_Toc296944570"/>
      <w:bookmarkStart w:id="953" w:name="_Toc296891059"/>
      <w:bookmarkStart w:id="954" w:name="_Toc296346732"/>
      <w:bookmarkStart w:id="955" w:name="_Toc296347230"/>
      <w:r>
        <w:rPr>
          <w:rFonts w:hint="eastAsia" w:ascii="Times New Roman" w:eastAsia="黑体"/>
          <w:color w:val="auto"/>
          <w:sz w:val="24"/>
          <w:szCs w:val="24"/>
          <w:highlight w:val="none"/>
        </w:rPr>
        <w:t>件</w:t>
      </w:r>
      <w:r>
        <w:rPr>
          <w:rFonts w:hint="eastAsia" w:ascii="Times New Roman" w:eastAsia="Times New Roman"/>
          <w:color w:val="auto"/>
          <w:sz w:val="24"/>
          <w:szCs w:val="24"/>
          <w:highlight w:val="none"/>
        </w:rPr>
        <w:t>8</w:t>
      </w:r>
      <w:r>
        <w:rPr>
          <w:rFonts w:hint="eastAsia" w:ascii="Times New Roman" w:eastAsia="黑体"/>
          <w:color w:val="auto"/>
          <w:sz w:val="24"/>
          <w:szCs w:val="24"/>
          <w:highlight w:val="none"/>
        </w:rPr>
        <w:t>：</w:t>
      </w:r>
      <w:bookmarkEnd w:id="949"/>
      <w:r>
        <w:rPr>
          <w:rFonts w:hint="eastAsia" w:ascii="Times New Roman" w:eastAsia="黑体"/>
          <w:color w:val="auto"/>
          <w:sz w:val="24"/>
          <w:szCs w:val="24"/>
          <w:highlight w:val="none"/>
        </w:rPr>
        <w:t>建设工程廉政责任书</w:t>
      </w:r>
    </w:p>
    <w:bookmarkEnd w:id="950"/>
    <w:bookmarkEnd w:id="951"/>
    <w:bookmarkEnd w:id="952"/>
    <w:bookmarkEnd w:id="953"/>
    <w:bookmarkEnd w:id="954"/>
    <w:bookmarkEnd w:id="955"/>
    <w:p w14:paraId="7A9113AF">
      <w:pPr>
        <w:widowControl/>
        <w:spacing w:beforeLines="0" w:afterLines="0" w:line="360" w:lineRule="auto"/>
        <w:ind w:firstLine="643"/>
        <w:jc w:val="center"/>
        <w:rPr>
          <w:rFonts w:hint="eastAsia" w:ascii="Times New Roman" w:eastAsia="Times New Roman"/>
          <w:b/>
          <w:color w:val="auto"/>
          <w:sz w:val="32"/>
          <w:szCs w:val="32"/>
          <w:highlight w:val="none"/>
        </w:rPr>
      </w:pPr>
      <w:r>
        <w:rPr>
          <w:rFonts w:hint="eastAsia" w:ascii="Times New Roman"/>
          <w:b/>
          <w:color w:val="auto"/>
          <w:sz w:val="32"/>
          <w:szCs w:val="32"/>
          <w:highlight w:val="none"/>
        </w:rPr>
        <w:t>建设工程廉政责任书</w:t>
      </w:r>
    </w:p>
    <w:p w14:paraId="5828FA8A">
      <w:pPr>
        <w:spacing w:before="240" w:beforeLines="100" w:after="240" w:afterLines="100"/>
        <w:ind w:firstLine="480" w:firstLineChars="200"/>
        <w:outlineLvl w:val="2"/>
        <w:rPr>
          <w:rFonts w:hint="eastAsia" w:ascii="Times New Roman"/>
          <w:color w:val="auto"/>
          <w:sz w:val="24"/>
          <w:szCs w:val="21"/>
          <w:highlight w:val="none"/>
        </w:rPr>
      </w:pPr>
      <w:bookmarkStart w:id="956" w:name="_Toc128950244"/>
      <w:r>
        <w:rPr>
          <w:rFonts w:hint="eastAsia" w:ascii="Times New Roman"/>
          <w:color w:val="auto"/>
          <w:sz w:val="24"/>
          <w:szCs w:val="21"/>
          <w:highlight w:val="none"/>
        </w:rPr>
        <w:t>发包人：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w:t>
      </w:r>
    </w:p>
    <w:p w14:paraId="6BF246A7">
      <w:pPr>
        <w:spacing w:before="240" w:beforeLines="100" w:after="240" w:afterLines="100"/>
        <w:ind w:firstLine="480" w:firstLineChars="200"/>
        <w:outlineLvl w:val="2"/>
        <w:rPr>
          <w:rFonts w:hint="eastAsia" w:ascii="Times New Roman"/>
          <w:color w:val="auto"/>
          <w:sz w:val="24"/>
          <w:szCs w:val="21"/>
          <w:highlight w:val="none"/>
        </w:rPr>
      </w:pPr>
      <w:r>
        <w:rPr>
          <w:rFonts w:hint="eastAsia" w:ascii="Times New Roman"/>
          <w:color w:val="auto"/>
          <w:sz w:val="24"/>
          <w:szCs w:val="21"/>
          <w:highlight w:val="none"/>
        </w:rPr>
        <w:t>承包人：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w:t>
      </w:r>
    </w:p>
    <w:p w14:paraId="6E731007">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1C2BD456">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一、双方的责任</w:t>
      </w:r>
    </w:p>
    <w:p w14:paraId="234953B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1.1应严格遵守国家关于建设工程的有关法律、法规，相关政策，以及廉政建设的各项规定。</w:t>
      </w:r>
    </w:p>
    <w:p w14:paraId="3D42962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1.2严格执行建设工程合同文件，自觉按合同办事。</w:t>
      </w:r>
    </w:p>
    <w:p w14:paraId="1D05B36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1.3各项活动必须坚持公开、公平、公正、诚信、透明的原则(除法律法规另有规定者外)，不得为获取不正当的利益，损害国家、集体和对方利益，不得违反建设工程管理的规章制度。</w:t>
      </w:r>
    </w:p>
    <w:p w14:paraId="15CB520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1.4发现对方在业务活动中有违规、违纪、违法行为的，应及时提醒对方，情节严重的，应向其上级主管部门或纪检监察、司法等有关机关举报。</w:t>
      </w:r>
    </w:p>
    <w:p w14:paraId="76500F5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二、发包人责任</w:t>
      </w:r>
    </w:p>
    <w:p w14:paraId="545CCE4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发包人的领导和从事该建设工程项目的工作人员，在工程建设的事前、事中、事后应遵守以下规定：</w:t>
      </w:r>
    </w:p>
    <w:p w14:paraId="51FADD2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2.1不得向承包人和相关单位索要或接受回扣、礼金、有价证券、贵重物品和好处费、感谢费等。</w:t>
      </w:r>
    </w:p>
    <w:p w14:paraId="7903A07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2.2不得在承包人和相关单位报销任何应由发包人或个人支付的费用。</w:t>
      </w:r>
    </w:p>
    <w:p w14:paraId="054A3BC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2.3不得要求、暗示或接受承包人和相关单位为个人装修住房、婚丧嫁娶、配偶子女的工作安排以及出国(境)、旅游等提供方便。</w:t>
      </w:r>
    </w:p>
    <w:p w14:paraId="12322E70">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2.4不得参加有可能影响公正执行公务的承包人和相关单位的宴请、健身、娱乐等活动。</w:t>
      </w:r>
    </w:p>
    <w:p w14:paraId="364058F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2.5不得向承包人和相关单位介绍或为配偶、子女、亲属参与同发包人工程建设管理合同有关的业务活动；不得以任何理由要求承包人和相关单位使用某种产品、材料和设备。</w:t>
      </w:r>
    </w:p>
    <w:p w14:paraId="2E212849">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三、承包人责任</w:t>
      </w:r>
    </w:p>
    <w:p w14:paraId="6D6EA5D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应与发包人保持正常的业务交往，按照有关法律法规和程序开展业务工作，严格执行工程建设的有关方针、政策，执行工程建设强制性标准，并遵守以下规定：</w:t>
      </w:r>
    </w:p>
    <w:p w14:paraId="3B850D22">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3.1不得以任何理由向发包人及其工作人员索要、接受或赠送礼金、有价证券、贵重物品及回扣、好处费、感谢费等。</w:t>
      </w:r>
    </w:p>
    <w:p w14:paraId="2670B275">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3.2不得以任何理由为发包人和相关单位报销应由对方或个人支付的费用。</w:t>
      </w:r>
    </w:p>
    <w:p w14:paraId="4643EA3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3.3不得接受或暗示为发包人、相关单位或个人装修住房、婚丧嫁娶、配偶子女的工作安排以及出国(境)、旅游等提供方便。</w:t>
      </w:r>
    </w:p>
    <w:p w14:paraId="3124774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3.4不得以任何理由为发包人、相关单位或个人组织有可能影响公正执行公务的宴请、健身、娱乐等活动。</w:t>
      </w:r>
    </w:p>
    <w:p w14:paraId="1EE43C6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四、违约责任</w:t>
      </w:r>
    </w:p>
    <w:p w14:paraId="7DE8542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4.1发包人工作人员有违反本责任书第一、二条责任行为的，依据有关法律、法规给予处理；涉嫌犯罪的，移交司法机关追究刑事责任；给承包人单位造成经济损失的，应予以赔偿。</w:t>
      </w:r>
    </w:p>
    <w:p w14:paraId="7BF5CCE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4.2承包人工作人员有违反本责任书第一、三条责任行为的，依据有关法律法规处理；涉嫌犯罪的，移交司法机关追究刑事责任；给发包人单位造成经济损失的，应予以赔偿。</w:t>
      </w:r>
    </w:p>
    <w:p w14:paraId="255A90C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4.3本责任书作为建设工程合同的组成部分，与建设工程合同具有同等法律效力。经双方签署后立即生效。</w:t>
      </w:r>
    </w:p>
    <w:p w14:paraId="2B2EC50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五、责任书有效期</w:t>
      </w:r>
    </w:p>
    <w:p w14:paraId="323583A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本责任书的有效期为双方签署之日起至该工程项目竣工验收合格时止。</w:t>
      </w:r>
    </w:p>
    <w:p w14:paraId="69EC302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六、责任书份数</w:t>
      </w:r>
    </w:p>
    <w:p w14:paraId="146C5456">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本责任书一式二份，发包人承包人各执一份，具有同等效力。</w:t>
      </w:r>
    </w:p>
    <w:p w14:paraId="288A0730">
      <w:pPr>
        <w:spacing w:before="240" w:beforeLines="100" w:after="240" w:afterLines="100"/>
        <w:outlineLvl w:val="2"/>
        <w:rPr>
          <w:rFonts w:hint="eastAsia" w:ascii="Times New Roman"/>
          <w:color w:val="auto"/>
          <w:sz w:val="24"/>
          <w:szCs w:val="21"/>
          <w:highlight w:val="none"/>
        </w:rPr>
      </w:pPr>
    </w:p>
    <w:p w14:paraId="62ADA1CF">
      <w:pPr>
        <w:spacing w:before="240" w:beforeLines="100" w:after="240" w:afterLines="100"/>
        <w:outlineLvl w:val="2"/>
        <w:rPr>
          <w:rFonts w:hint="eastAsia" w:ascii="Times New Roman"/>
          <w:color w:val="auto"/>
          <w:sz w:val="24"/>
          <w:szCs w:val="21"/>
          <w:highlight w:val="none"/>
        </w:rPr>
      </w:pPr>
    </w:p>
    <w:p w14:paraId="204AC6A4">
      <w:pPr>
        <w:spacing w:before="240" w:beforeLines="100" w:after="240" w:afterLines="100"/>
        <w:outlineLvl w:val="2"/>
        <w:rPr>
          <w:rFonts w:hint="eastAsia" w:ascii="Times New Roman"/>
          <w:color w:val="auto"/>
          <w:sz w:val="24"/>
          <w:szCs w:val="21"/>
          <w:highlight w:val="none"/>
        </w:rPr>
      </w:pPr>
    </w:p>
    <w:p w14:paraId="0674C1E4">
      <w:pPr>
        <w:spacing w:before="240" w:beforeLines="100" w:after="240" w:afterLines="100"/>
        <w:outlineLvl w:val="2"/>
        <w:rPr>
          <w:rFonts w:hint="eastAsia" w:ascii="Times New Roman"/>
          <w:color w:val="auto"/>
          <w:sz w:val="24"/>
          <w:szCs w:val="21"/>
          <w:highlight w:val="none"/>
        </w:rPr>
      </w:pPr>
      <w:r>
        <w:rPr>
          <w:rFonts w:hint="eastAsia" w:ascii="Times New Roman"/>
          <w:color w:val="auto"/>
          <w:sz w:val="24"/>
          <w:szCs w:val="21"/>
          <w:highlight w:val="none"/>
        </w:rPr>
        <w:t xml:space="preserve">发包人： </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(公章)    承包人：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(公章)</w:t>
      </w:r>
    </w:p>
    <w:p w14:paraId="7FA16821">
      <w:pPr>
        <w:spacing w:before="240" w:beforeLines="100" w:after="240" w:afterLines="100"/>
        <w:outlineLvl w:val="2"/>
        <w:rPr>
          <w:rFonts w:hint="eastAsia" w:ascii="Times New Roman"/>
          <w:color w:val="auto"/>
          <w:sz w:val="24"/>
          <w:szCs w:val="21"/>
          <w:highlight w:val="none"/>
          <w:u w:val="single"/>
        </w:rPr>
      </w:pPr>
      <w:r>
        <w:rPr>
          <w:rFonts w:hint="eastAsia" w:ascii="Times New Roman"/>
          <w:color w:val="auto"/>
          <w:sz w:val="24"/>
          <w:szCs w:val="21"/>
          <w:highlight w:val="none"/>
        </w:rPr>
        <w:t>法定地址：</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法定地址：</w:t>
      </w:r>
      <w:r>
        <w:rPr>
          <w:rFonts w:hint="eastAsia" w:ascii="Times New Roman"/>
          <w:color w:val="auto"/>
          <w:sz w:val="24"/>
          <w:szCs w:val="21"/>
          <w:highlight w:val="none"/>
          <w:u w:val="single"/>
        </w:rPr>
        <w:t xml:space="preserve">                   </w:t>
      </w:r>
    </w:p>
    <w:p w14:paraId="7889ED0F">
      <w:pPr>
        <w:spacing w:before="240" w:beforeLines="100" w:after="240" w:afterLines="100"/>
        <w:outlineLvl w:val="2"/>
        <w:rPr>
          <w:rFonts w:hint="eastAsia" w:ascii="Times New Roman"/>
          <w:color w:val="auto"/>
          <w:sz w:val="24"/>
          <w:szCs w:val="21"/>
          <w:highlight w:val="none"/>
        </w:rPr>
      </w:pPr>
      <w:r>
        <w:rPr>
          <w:rFonts w:hint="eastAsia" w:ascii="Times New Roman"/>
          <w:color w:val="auto"/>
          <w:sz w:val="24"/>
          <w:szCs w:val="21"/>
          <w:highlight w:val="none"/>
        </w:rPr>
        <w:t>法定代表人或其                         法定代表人或其</w:t>
      </w:r>
    </w:p>
    <w:p w14:paraId="060972B4">
      <w:pPr>
        <w:spacing w:before="240" w:beforeLines="100" w:after="240" w:afterLines="100"/>
        <w:outlineLvl w:val="2"/>
        <w:rPr>
          <w:rFonts w:hint="eastAsia" w:ascii="Times New Roman"/>
          <w:color w:val="auto"/>
          <w:sz w:val="24"/>
          <w:szCs w:val="21"/>
          <w:highlight w:val="none"/>
        </w:rPr>
      </w:pPr>
      <w:r>
        <w:rPr>
          <w:rFonts w:hint="eastAsia" w:ascii="Times New Roman"/>
          <w:color w:val="auto"/>
          <w:sz w:val="24"/>
          <w:szCs w:val="21"/>
          <w:highlight w:val="none"/>
        </w:rPr>
        <w:t>委托代理人：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    委托代理人：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(签字)</w:t>
      </w:r>
    </w:p>
    <w:p w14:paraId="1AACBA83">
      <w:pPr>
        <w:spacing w:before="240" w:beforeLines="100" w:after="240" w:afterLines="100"/>
        <w:outlineLvl w:val="2"/>
        <w:rPr>
          <w:rFonts w:hint="eastAsia" w:ascii="Times New Roman"/>
          <w:color w:val="auto"/>
          <w:sz w:val="24"/>
          <w:szCs w:val="21"/>
          <w:highlight w:val="none"/>
          <w:u w:val="single"/>
        </w:rPr>
      </w:pPr>
      <w:r>
        <w:rPr>
          <w:rFonts w:hint="eastAsia" w:ascii="Times New Roman"/>
          <w:color w:val="auto"/>
          <w:sz w:val="24"/>
          <w:szCs w:val="21"/>
          <w:highlight w:val="none"/>
        </w:rPr>
        <w:t xml:space="preserve">电话： </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电话：</w:t>
      </w:r>
      <w:r>
        <w:rPr>
          <w:rFonts w:hint="eastAsia" w:ascii="Times New Roman"/>
          <w:color w:val="auto"/>
          <w:sz w:val="24"/>
          <w:szCs w:val="21"/>
          <w:highlight w:val="none"/>
          <w:u w:val="single"/>
        </w:rPr>
        <w:t xml:space="preserve">                       </w:t>
      </w:r>
    </w:p>
    <w:p w14:paraId="37E69B5A">
      <w:pPr>
        <w:spacing w:before="240" w:beforeLines="100" w:after="240" w:afterLines="100"/>
        <w:outlineLvl w:val="2"/>
        <w:rPr>
          <w:rFonts w:hint="eastAsia" w:ascii="Times New Roman"/>
          <w:color w:val="auto"/>
          <w:sz w:val="24"/>
          <w:szCs w:val="21"/>
          <w:highlight w:val="none"/>
          <w:u w:val="single"/>
        </w:rPr>
      </w:pPr>
      <w:r>
        <w:rPr>
          <w:rFonts w:hint="eastAsia" w:ascii="Times New Roman"/>
          <w:color w:val="auto"/>
          <w:sz w:val="24"/>
          <w:szCs w:val="21"/>
          <w:highlight w:val="none"/>
        </w:rPr>
        <w:t xml:space="preserve">传真： </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传真：</w:t>
      </w:r>
      <w:r>
        <w:rPr>
          <w:rFonts w:hint="eastAsia" w:ascii="Times New Roman"/>
          <w:color w:val="auto"/>
          <w:sz w:val="24"/>
          <w:szCs w:val="21"/>
          <w:highlight w:val="none"/>
          <w:u w:val="single"/>
        </w:rPr>
        <w:t xml:space="preserve">                       </w:t>
      </w:r>
    </w:p>
    <w:p w14:paraId="2A06191D">
      <w:pPr>
        <w:spacing w:before="240" w:beforeLines="100" w:after="240" w:afterLines="100"/>
        <w:outlineLvl w:val="2"/>
        <w:rPr>
          <w:rFonts w:hint="eastAsia" w:ascii="Times New Roman"/>
          <w:color w:val="auto"/>
          <w:sz w:val="24"/>
          <w:szCs w:val="21"/>
          <w:highlight w:val="none"/>
          <w:u w:val="single"/>
        </w:rPr>
      </w:pPr>
      <w:r>
        <w:rPr>
          <w:rFonts w:hint="eastAsia" w:ascii="Times New Roman"/>
          <w:color w:val="auto"/>
          <w:sz w:val="24"/>
          <w:szCs w:val="21"/>
          <w:highlight w:val="none"/>
        </w:rPr>
        <w:t>电子邮箱：</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电子邮箱：</w:t>
      </w:r>
      <w:r>
        <w:rPr>
          <w:rFonts w:hint="eastAsia" w:ascii="Times New Roman"/>
          <w:color w:val="auto"/>
          <w:sz w:val="24"/>
          <w:szCs w:val="21"/>
          <w:highlight w:val="none"/>
          <w:u w:val="single"/>
        </w:rPr>
        <w:t xml:space="preserve">                   </w:t>
      </w:r>
    </w:p>
    <w:p w14:paraId="73E42950">
      <w:pPr>
        <w:spacing w:before="240" w:beforeLines="100" w:after="240" w:afterLines="100"/>
        <w:outlineLvl w:val="2"/>
        <w:rPr>
          <w:rFonts w:hint="eastAsia" w:ascii="Times New Roman"/>
          <w:color w:val="auto"/>
          <w:sz w:val="24"/>
          <w:szCs w:val="21"/>
          <w:highlight w:val="none"/>
          <w:u w:val="single"/>
        </w:rPr>
      </w:pPr>
      <w:r>
        <w:rPr>
          <w:rFonts w:hint="eastAsia" w:ascii="Times New Roman"/>
          <w:color w:val="auto"/>
          <w:sz w:val="24"/>
          <w:szCs w:val="21"/>
          <w:highlight w:val="none"/>
        </w:rPr>
        <w:t>开户银行：</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开户银行：</w:t>
      </w:r>
      <w:r>
        <w:rPr>
          <w:rFonts w:hint="eastAsia" w:ascii="Times New Roman"/>
          <w:color w:val="auto"/>
          <w:sz w:val="24"/>
          <w:szCs w:val="21"/>
          <w:highlight w:val="none"/>
          <w:u w:val="single"/>
        </w:rPr>
        <w:t xml:space="preserve">                   </w:t>
      </w:r>
    </w:p>
    <w:p w14:paraId="1A5ED48A">
      <w:pPr>
        <w:spacing w:before="240" w:beforeLines="100" w:after="240" w:afterLines="100"/>
        <w:outlineLvl w:val="2"/>
        <w:rPr>
          <w:rFonts w:hint="eastAsia" w:ascii="Times New Roman"/>
          <w:color w:val="auto"/>
          <w:sz w:val="24"/>
          <w:szCs w:val="21"/>
          <w:highlight w:val="none"/>
        </w:rPr>
      </w:pPr>
      <w:r>
        <w:rPr>
          <w:rFonts w:hint="eastAsia" w:ascii="Times New Roman"/>
          <w:color w:val="auto"/>
          <w:sz w:val="24"/>
          <w:szCs w:val="21"/>
          <w:highlight w:val="none"/>
        </w:rPr>
        <w:t>账号：</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账号：</w:t>
      </w:r>
      <w:r>
        <w:rPr>
          <w:rFonts w:hint="eastAsia" w:ascii="Times New Roman"/>
          <w:color w:val="auto"/>
          <w:sz w:val="24"/>
          <w:szCs w:val="21"/>
          <w:highlight w:val="none"/>
          <w:u w:val="single"/>
        </w:rPr>
        <w:t xml:space="preserve">                       </w:t>
      </w:r>
    </w:p>
    <w:p w14:paraId="38244718">
      <w:pPr>
        <w:spacing w:before="240" w:beforeLines="100" w:after="240" w:afterLines="100"/>
        <w:outlineLvl w:val="2"/>
        <w:rPr>
          <w:rFonts w:hint="eastAsia" w:ascii="Times New Roman"/>
          <w:color w:val="auto"/>
          <w:sz w:val="24"/>
          <w:szCs w:val="21"/>
          <w:highlight w:val="none"/>
        </w:rPr>
      </w:pPr>
      <w:r>
        <w:rPr>
          <w:rFonts w:hint="eastAsia" w:ascii="Times New Roman"/>
          <w:color w:val="auto"/>
          <w:sz w:val="24"/>
          <w:szCs w:val="21"/>
          <w:highlight w:val="none"/>
        </w:rPr>
        <w:t>邮政编码：</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邮政编码：</w:t>
      </w:r>
      <w:r>
        <w:rPr>
          <w:rFonts w:hint="eastAsia" w:ascii="Times New Roman"/>
          <w:color w:val="auto"/>
          <w:sz w:val="24"/>
          <w:szCs w:val="21"/>
          <w:highlight w:val="none"/>
          <w:u w:val="single"/>
        </w:rPr>
        <w:t xml:space="preserve">                   </w:t>
      </w:r>
    </w:p>
    <w:p w14:paraId="5C260758">
      <w:pPr>
        <w:spacing w:before="240" w:beforeLines="100" w:after="240" w:afterLines="100"/>
        <w:outlineLvl w:val="2"/>
        <w:rPr>
          <w:rFonts w:hint="eastAsia" w:ascii="Times New Roman" w:eastAsia="黑体"/>
          <w:color w:val="auto"/>
          <w:sz w:val="24"/>
          <w:szCs w:val="24"/>
          <w:highlight w:val="none"/>
        </w:rPr>
      </w:pPr>
      <w:r>
        <w:rPr>
          <w:rFonts w:hint="eastAsia" w:ascii="Times New Roman"/>
          <w:color w:val="auto"/>
          <w:sz w:val="24"/>
          <w:szCs w:val="21"/>
          <w:highlight w:val="none"/>
        </w:rPr>
        <w:br w:type="page"/>
      </w:r>
      <w:r>
        <w:rPr>
          <w:rFonts w:hint="eastAsia" w:ascii="Times New Roman" w:eastAsia="黑体"/>
          <w:color w:val="auto"/>
          <w:sz w:val="24"/>
          <w:szCs w:val="24"/>
          <w:highlight w:val="none"/>
        </w:rPr>
        <w:t>附件9：履约保证金</w:t>
      </w:r>
      <w:bookmarkEnd w:id="956"/>
    </w:p>
    <w:p w14:paraId="6943CADA">
      <w:pPr>
        <w:spacing w:beforeLines="0" w:afterLines="0" w:line="360" w:lineRule="auto"/>
        <w:jc w:val="center"/>
        <w:rPr>
          <w:rFonts w:hint="eastAsia" w:hAnsi="宋体"/>
          <w:b/>
          <w:color w:val="auto"/>
          <w:sz w:val="32"/>
          <w:szCs w:val="32"/>
          <w:highlight w:val="none"/>
        </w:rPr>
      </w:pPr>
      <w:r>
        <w:rPr>
          <w:rFonts w:hint="eastAsia" w:hAnsi="宋体"/>
          <w:b/>
          <w:color w:val="auto"/>
          <w:sz w:val="32"/>
          <w:szCs w:val="32"/>
          <w:highlight w:val="none"/>
        </w:rPr>
        <w:t>履约保函示范文本</w:t>
      </w:r>
    </w:p>
    <w:p w14:paraId="7B3380D6">
      <w:pPr>
        <w:wordWrap w:val="0"/>
        <w:spacing w:beforeLines="0" w:afterLines="0" w:line="360" w:lineRule="auto"/>
        <w:jc w:val="right"/>
        <w:rPr>
          <w:rFonts w:hint="eastAsia" w:ascii="Times New Roman" w:eastAsia="Times New Roman"/>
          <w:color w:val="auto"/>
          <w:sz w:val="24"/>
          <w:szCs w:val="21"/>
          <w:highlight w:val="none"/>
        </w:rPr>
      </w:pPr>
      <w:r>
        <w:rPr>
          <w:rFonts w:hint="eastAsia" w:ascii="Times New Roman"/>
          <w:color w:val="auto"/>
          <w:sz w:val="24"/>
          <w:szCs w:val="21"/>
          <w:highlight w:val="none"/>
        </w:rPr>
        <w:t>编号：</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p>
    <w:p w14:paraId="6FBC1F7D">
      <w:pPr>
        <w:spacing w:beforeLines="0" w:afterLines="0" w:line="360" w:lineRule="auto"/>
        <w:rPr>
          <w:rFonts w:hint="eastAsia" w:ascii="Times New Roman" w:eastAsia="Times New Roman"/>
          <w:color w:val="auto"/>
          <w:sz w:val="24"/>
          <w:szCs w:val="21"/>
          <w:highlight w:val="none"/>
        </w:rPr>
      </w:pPr>
    </w:p>
    <w:p w14:paraId="26E13503">
      <w:pPr>
        <w:spacing w:beforeLines="0" w:afterLines="0" w:line="360" w:lineRule="auto"/>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（受益人名称）： </w:t>
      </w:r>
    </w:p>
    <w:p w14:paraId="7EE6D23C">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鉴于</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（以下简称“受益人</w:t>
      </w:r>
      <w:r>
        <w:rPr>
          <w:rFonts w:hint="eastAsia" w:ascii="Times New Roman" w:eastAsia="Times New Roman"/>
          <w:color w:val="auto"/>
          <w:sz w:val="24"/>
          <w:szCs w:val="21"/>
          <w:highlight w:val="none"/>
        </w:rPr>
        <w:t>”</w:t>
      </w:r>
      <w:r>
        <w:rPr>
          <w:rFonts w:hint="eastAsia" w:ascii="Times New Roman"/>
          <w:color w:val="auto"/>
          <w:sz w:val="24"/>
          <w:szCs w:val="21"/>
          <w:highlight w:val="none"/>
        </w:rPr>
        <w:t>）与</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（以下简称“申请人</w:t>
      </w:r>
      <w:r>
        <w:rPr>
          <w:rFonts w:hint="eastAsia" w:ascii="Times New Roman" w:eastAsia="Times New Roman"/>
          <w:color w:val="auto"/>
          <w:sz w:val="24"/>
          <w:szCs w:val="21"/>
          <w:highlight w:val="none"/>
        </w:rPr>
        <w:t>”</w:t>
      </w:r>
      <w:r>
        <w:rPr>
          <w:rFonts w:hint="eastAsia" w:ascii="Times New Roman"/>
          <w:color w:val="auto"/>
          <w:sz w:val="24"/>
          <w:szCs w:val="21"/>
          <w:highlight w:val="none"/>
        </w:rPr>
        <w:t>）于</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日就</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（标段编号）的</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（标段名称）</w:t>
      </w:r>
      <w:r>
        <w:rPr>
          <w:rFonts w:hint="eastAsia" w:ascii="Times New Roman"/>
          <w:color w:val="auto"/>
          <w:sz w:val="24"/>
          <w:szCs w:val="21"/>
          <w:highlight w:val="none"/>
        </w:rPr>
        <w:t>有关事项协商一致共同签订</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w:t>
      </w:r>
      <w:r>
        <w:rPr>
          <w:rFonts w:hint="eastAsia" w:ascii="Times New Roman"/>
          <w:color w:val="auto"/>
          <w:sz w:val="24"/>
          <w:szCs w:val="21"/>
          <w:highlight w:val="none"/>
        </w:rPr>
        <w:t xml:space="preserve">（以下简称“基础合同”），开立人根据基础合同了解到申请人为基础合同项下之承包人，受益人为基础合同项下之发包人，基于申请人的请求，开立人同意就申请人履行与受益人签订的基础合同项下的义务，向受益人提供不可撤销、不可转让的见索即付独立保函（以下简称“本保函”）。 </w:t>
      </w:r>
    </w:p>
    <w:p w14:paraId="44AEC6CC">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一、本保函担保范围：承包人未按照基础合同的约定履行义务，应当向受益人承担的违约责任和赔偿因此造成的损失、利息、律师费、诉讼费用等实现债权的费用。</w:t>
      </w:r>
    </w:p>
    <w:p w14:paraId="562322DF">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二、本保函担保金额最高不超过人民币（大写）</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元（</w:t>
      </w:r>
      <w:r>
        <w:rPr>
          <w:rFonts w:hint="eastAsia" w:ascii="Times New Roman" w:cs="宋体"/>
          <w:color w:val="auto"/>
          <w:sz w:val="24"/>
          <w:szCs w:val="21"/>
          <w:highlight w:val="none"/>
        </w:rPr>
        <w:t>¥</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 </w:t>
      </w:r>
    </w:p>
    <w:p w14:paraId="2ACD77D2">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三、本保函有效期自开立之日起至基础合同约定的缺陷责任期满之日止。 </w:t>
      </w:r>
    </w:p>
    <w:p w14:paraId="12B07EBA">
      <w:pPr>
        <w:spacing w:beforeLines="0" w:afterLines="0" w:line="360" w:lineRule="auto"/>
        <w:ind w:firstLine="480"/>
        <w:rPr>
          <w:rFonts w:hint="eastAsia" w:ascii="Times New Roman" w:eastAsia="Times New Roman"/>
          <w:color w:val="auto"/>
          <w:sz w:val="24"/>
          <w:szCs w:val="21"/>
          <w:highlight w:val="none"/>
        </w:rPr>
      </w:pPr>
      <w:bookmarkStart w:id="957" w:name="_Hlk40302764"/>
      <w:r>
        <w:rPr>
          <w:rFonts w:hint="eastAsia" w:ascii="Times New Roman"/>
          <w:color w:val="auto"/>
          <w:sz w:val="24"/>
          <w:szCs w:val="21"/>
          <w:highlight w:val="none"/>
        </w:rPr>
        <w:t>四、开立人承诺，在收到受益人发来的书面付款通知后的七日内无条件支付，前述书面付款通知即为付款要求之单据，且应满足以下要求：</w:t>
      </w:r>
    </w:p>
    <w:bookmarkEnd w:id="957"/>
    <w:p w14:paraId="15C994AE">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（1）付款通知到达的日期在本保函的有效期内；</w:t>
      </w:r>
    </w:p>
    <w:p w14:paraId="1E855E28">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（2）载明要求支付的金额；</w:t>
      </w:r>
    </w:p>
    <w:p w14:paraId="02316928">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（3）载明申请人违反合同义务的条款和内容；</w:t>
      </w:r>
    </w:p>
    <w:p w14:paraId="54F8D265">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（4）声明不存在合同文件约定或我国法律规定免除申请人或开立人支付责任的情形；</w:t>
      </w:r>
    </w:p>
    <w:p w14:paraId="3D64316C">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（5）付款通知应在本保函有效期内到达的地址是：</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725890C8">
      <w:pPr>
        <w:spacing w:beforeLines="0" w:afterLines="0" w:line="360" w:lineRule="auto"/>
        <w:ind w:firstLine="480" w:firstLineChars="200"/>
        <w:rPr>
          <w:rFonts w:hint="eastAsia" w:ascii="Times New Roman" w:eastAsia="Times New Roman"/>
          <w:color w:val="auto"/>
          <w:sz w:val="24"/>
          <w:szCs w:val="21"/>
          <w:highlight w:val="none"/>
        </w:rPr>
      </w:pPr>
      <w:bookmarkStart w:id="958" w:name="_Hlk40303486"/>
      <w:r>
        <w:rPr>
          <w:rFonts w:hint="eastAsia" w:ascii="Times New Roman"/>
          <w:color w:val="auto"/>
          <w:sz w:val="24"/>
          <w:szCs w:val="21"/>
          <w:highlight w:val="none"/>
        </w:rPr>
        <w:t>受益人发出的书面付款通知应由其法定代表人（负责人）或授权代理人签字并加盖公章。</w:t>
      </w:r>
      <w:bookmarkEnd w:id="958"/>
    </w:p>
    <w:p w14:paraId="703BBAD0">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五、本保函项下的权利不得转让，不得设定担保。受益人未经我方书面同意转 让本保函或其项下任何权利，对我方不发生法律效力。 </w:t>
      </w:r>
    </w:p>
    <w:p w14:paraId="1F8CD09F">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六、与本保函有关的基础合同不成立、不生效、无效、被撤销、被解除，不影响本保函的独立有效。 </w:t>
      </w:r>
    </w:p>
    <w:p w14:paraId="1A42FFF5">
      <w:pPr>
        <w:spacing w:beforeLines="0" w:afterLines="0" w:line="360" w:lineRule="auto"/>
        <w:ind w:firstLine="480" w:firstLineChars="200"/>
        <w:rPr>
          <w:rFonts w:hint="eastAsia" w:ascii="Times New Roman" w:eastAsia="Times New Roman"/>
          <w:color w:val="auto"/>
          <w:sz w:val="24"/>
          <w:szCs w:val="21"/>
          <w:highlight w:val="none"/>
        </w:rPr>
      </w:pPr>
      <w:bookmarkStart w:id="959" w:name="_Hlk40303383"/>
      <w:bookmarkStart w:id="960" w:name="_Hlk40354981"/>
      <w:r>
        <w:rPr>
          <w:rFonts w:hint="eastAsia" w:ascii="Times New Roman"/>
          <w:color w:val="auto"/>
          <w:sz w:val="24"/>
          <w:szCs w:val="21"/>
          <w:highlight w:val="none"/>
        </w:rPr>
        <w:t xml:space="preserve">七、本保函项下的义务和责任均在保函有效期到期后自动消灭。 </w:t>
      </w:r>
    </w:p>
    <w:p w14:paraId="18678B45">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八、本保函适用的法律为中华人民共和国法律，因本保函产生的纠纷案件，</w:t>
      </w:r>
      <w:bookmarkEnd w:id="959"/>
      <w:r>
        <w:rPr>
          <w:rFonts w:hint="eastAsia" w:ascii="Times New Roman"/>
          <w:color w:val="auto"/>
          <w:sz w:val="24"/>
          <w:szCs w:val="21"/>
          <w:highlight w:val="none"/>
        </w:rPr>
        <w:t>由受益人所在地人民法院管辖。</w:t>
      </w:r>
      <w:r>
        <w:rPr>
          <w:rFonts w:hint="eastAsia" w:ascii="Times New Roman" w:eastAsia="Times New Roman"/>
          <w:color w:val="auto"/>
          <w:sz w:val="24"/>
          <w:szCs w:val="21"/>
          <w:highlight w:val="none"/>
        </w:rPr>
        <w:t xml:space="preserve"> </w:t>
      </w:r>
    </w:p>
    <w:bookmarkEnd w:id="960"/>
    <w:p w14:paraId="76F769F2">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九、本保函自我方法定代表人或授权代表签字并加盖公章之日起生效。 </w:t>
      </w:r>
    </w:p>
    <w:p w14:paraId="02EB27CF">
      <w:pPr>
        <w:spacing w:beforeLines="0" w:afterLines="0" w:line="360" w:lineRule="auto"/>
        <w:ind w:firstLine="480" w:firstLineChars="200"/>
        <w:rPr>
          <w:rFonts w:hint="eastAsia" w:ascii="Times New Roman"/>
          <w:color w:val="auto"/>
          <w:sz w:val="24"/>
          <w:szCs w:val="21"/>
          <w:highlight w:val="none"/>
        </w:rPr>
      </w:pPr>
    </w:p>
    <w:p w14:paraId="273E2221">
      <w:pPr>
        <w:spacing w:beforeLines="0" w:afterLines="0" w:line="360" w:lineRule="auto"/>
        <w:ind w:firstLine="480" w:firstLineChars="200"/>
        <w:rPr>
          <w:rFonts w:hint="eastAsia" w:ascii="Times New Roman"/>
          <w:color w:val="auto"/>
          <w:sz w:val="24"/>
          <w:szCs w:val="21"/>
          <w:highlight w:val="none"/>
        </w:rPr>
      </w:pPr>
    </w:p>
    <w:p w14:paraId="26093F91">
      <w:pPr>
        <w:spacing w:beforeLines="0" w:afterLines="0" w:line="360" w:lineRule="auto"/>
        <w:ind w:firstLine="480" w:firstLineChars="200"/>
        <w:rPr>
          <w:rFonts w:hint="eastAsia" w:ascii="Times New Roman" w:eastAsia="Times New Roman"/>
          <w:color w:val="auto"/>
          <w:sz w:val="24"/>
          <w:szCs w:val="21"/>
          <w:highlight w:val="none"/>
        </w:rPr>
      </w:pPr>
    </w:p>
    <w:p w14:paraId="6F295667">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开 立 人：</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（公章） </w:t>
      </w:r>
    </w:p>
    <w:p w14:paraId="2C05E63D">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法定代表人（或授权代表）：</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（签字） </w:t>
      </w:r>
    </w:p>
    <w:p w14:paraId="037AC5DB">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地</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址：</w:t>
      </w:r>
      <w:r>
        <w:rPr>
          <w:rFonts w:hint="eastAsia" w:ascii="Times New Roman" w:eastAsia="Times New Roman"/>
          <w:color w:val="auto"/>
          <w:sz w:val="24"/>
          <w:szCs w:val="21"/>
          <w:highlight w:val="none"/>
          <w:u w:val="single"/>
        </w:rPr>
        <w:t xml:space="preserve">                                       </w:t>
      </w:r>
    </w:p>
    <w:p w14:paraId="42A7B7F5">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邮政编码：</w:t>
      </w:r>
      <w:r>
        <w:rPr>
          <w:rFonts w:hint="eastAsia" w:ascii="Times New Roman" w:eastAsia="Times New Roman"/>
          <w:color w:val="auto"/>
          <w:sz w:val="24"/>
          <w:szCs w:val="21"/>
          <w:highlight w:val="none"/>
          <w:u w:val="single"/>
        </w:rPr>
        <w:t xml:space="preserve">                 </w:t>
      </w:r>
    </w:p>
    <w:p w14:paraId="7408B822">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电</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话：</w:t>
      </w:r>
      <w:r>
        <w:rPr>
          <w:rFonts w:hint="eastAsia" w:ascii="Times New Roman" w:eastAsia="Times New Roman"/>
          <w:color w:val="auto"/>
          <w:sz w:val="24"/>
          <w:szCs w:val="21"/>
          <w:highlight w:val="none"/>
          <w:u w:val="single"/>
        </w:rPr>
        <w:t xml:space="preserve">                 </w:t>
      </w:r>
    </w:p>
    <w:p w14:paraId="31782CCD">
      <w:pPr>
        <w:spacing w:beforeLines="0" w:afterLines="0" w:line="360" w:lineRule="auto"/>
        <w:ind w:firstLine="480" w:firstLineChars="200"/>
        <w:rPr>
          <w:rFonts w:hint="eastAsia" w:ascii="Times New Roman" w:eastAsia="Times New Roman"/>
          <w:color w:val="auto"/>
          <w:sz w:val="24"/>
          <w:szCs w:val="21"/>
          <w:highlight w:val="none"/>
          <w:u w:val="single"/>
        </w:rPr>
      </w:pPr>
      <w:r>
        <w:rPr>
          <w:rFonts w:hint="eastAsia" w:ascii="Times New Roman"/>
          <w:color w:val="auto"/>
          <w:sz w:val="24"/>
          <w:szCs w:val="21"/>
          <w:highlight w:val="none"/>
        </w:rPr>
        <w:t>传</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真：</w:t>
      </w:r>
      <w:r>
        <w:rPr>
          <w:rFonts w:hint="eastAsia" w:ascii="Times New Roman" w:eastAsia="Times New Roman"/>
          <w:color w:val="auto"/>
          <w:sz w:val="24"/>
          <w:szCs w:val="21"/>
          <w:highlight w:val="none"/>
          <w:u w:val="single"/>
        </w:rPr>
        <w:t xml:space="preserve">                 </w:t>
      </w:r>
    </w:p>
    <w:p w14:paraId="616DB586">
      <w:pPr>
        <w:spacing w:beforeLines="0" w:afterLines="0" w:line="360" w:lineRule="auto"/>
        <w:ind w:left="1512" w:leftChars="200" w:hanging="1032" w:hangingChars="430"/>
        <w:rPr>
          <w:rFonts w:hint="eastAsia" w:ascii="Times New Roman" w:eastAsia="Times New Roman"/>
          <w:color w:val="auto"/>
          <w:sz w:val="24"/>
          <w:szCs w:val="21"/>
          <w:highlight w:val="none"/>
        </w:rPr>
      </w:pPr>
      <w:r>
        <w:rPr>
          <w:rFonts w:hint="eastAsia" w:ascii="Times New Roman"/>
          <w:color w:val="auto"/>
          <w:sz w:val="24"/>
          <w:szCs w:val="21"/>
          <w:highlight w:val="none"/>
        </w:rPr>
        <w:t>开立时间：</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日</w:t>
      </w:r>
    </w:p>
    <w:p w14:paraId="3FCC2140">
      <w:pPr>
        <w:spacing w:before="240" w:beforeLines="100" w:after="240" w:afterLines="100"/>
        <w:outlineLvl w:val="2"/>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br w:type="page"/>
      </w:r>
      <w:bookmarkStart w:id="961" w:name="_Toc128950245"/>
      <w:r>
        <w:rPr>
          <w:rFonts w:hint="eastAsia" w:ascii="Times New Roman" w:eastAsia="黑体"/>
          <w:color w:val="auto"/>
          <w:sz w:val="24"/>
          <w:szCs w:val="24"/>
          <w:highlight w:val="none"/>
        </w:rPr>
        <w:t>附</w:t>
      </w:r>
      <w:bookmarkStart w:id="962" w:name="_Toc296891060"/>
      <w:bookmarkStart w:id="963" w:name="_Toc296346733"/>
      <w:bookmarkStart w:id="964" w:name="_Toc296944571"/>
      <w:bookmarkStart w:id="965" w:name="_Toc267261702"/>
      <w:bookmarkStart w:id="966" w:name="_Toc296503232"/>
      <w:bookmarkStart w:id="967" w:name="_Toc296891272"/>
      <w:bookmarkStart w:id="968" w:name="_Toc296347231"/>
      <w:r>
        <w:rPr>
          <w:rFonts w:hint="eastAsia" w:ascii="Times New Roman" w:eastAsia="黑体"/>
          <w:color w:val="auto"/>
          <w:sz w:val="24"/>
          <w:szCs w:val="24"/>
          <w:highlight w:val="none"/>
        </w:rPr>
        <w:t>件10：预付款担保</w:t>
      </w:r>
      <w:bookmarkEnd w:id="961"/>
    </w:p>
    <w:bookmarkEnd w:id="962"/>
    <w:bookmarkEnd w:id="963"/>
    <w:bookmarkEnd w:id="964"/>
    <w:bookmarkEnd w:id="965"/>
    <w:bookmarkEnd w:id="966"/>
    <w:bookmarkEnd w:id="967"/>
    <w:bookmarkEnd w:id="968"/>
    <w:p w14:paraId="116EDD52">
      <w:pPr>
        <w:spacing w:beforeLines="0" w:afterLines="0" w:line="360" w:lineRule="auto"/>
        <w:jc w:val="center"/>
        <w:rPr>
          <w:rFonts w:hint="eastAsia" w:ascii="Times New Roman" w:eastAsia="Times New Roman"/>
          <w:b/>
          <w:color w:val="auto"/>
          <w:sz w:val="32"/>
          <w:szCs w:val="32"/>
          <w:highlight w:val="none"/>
        </w:rPr>
      </w:pPr>
      <w:r>
        <w:rPr>
          <w:rFonts w:hint="eastAsia" w:ascii="Times New Roman"/>
          <w:b/>
          <w:color w:val="auto"/>
          <w:sz w:val="32"/>
          <w:szCs w:val="32"/>
          <w:highlight w:val="none"/>
        </w:rPr>
        <w:t>预付款保函示范文本</w:t>
      </w:r>
    </w:p>
    <w:p w14:paraId="1E136583">
      <w:pPr>
        <w:wordWrap w:val="0"/>
        <w:spacing w:beforeLines="0" w:afterLines="0" w:line="360" w:lineRule="auto"/>
        <w:jc w:val="right"/>
        <w:rPr>
          <w:rFonts w:hint="eastAsia" w:ascii="Times New Roman" w:eastAsia="Times New Roman"/>
          <w:color w:val="auto"/>
          <w:sz w:val="24"/>
          <w:szCs w:val="21"/>
          <w:highlight w:val="none"/>
        </w:rPr>
      </w:pPr>
      <w:r>
        <w:rPr>
          <w:rFonts w:hint="eastAsia" w:ascii="Times New Roman"/>
          <w:color w:val="auto"/>
          <w:sz w:val="24"/>
          <w:szCs w:val="21"/>
          <w:highlight w:val="none"/>
        </w:rPr>
        <w:t>编号：</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p>
    <w:p w14:paraId="31382316">
      <w:pPr>
        <w:spacing w:beforeLines="0" w:afterLines="0" w:line="360" w:lineRule="auto"/>
        <w:rPr>
          <w:rFonts w:hint="eastAsia" w:ascii="Times New Roman" w:eastAsia="Times New Roman"/>
          <w:color w:val="auto"/>
          <w:sz w:val="24"/>
          <w:szCs w:val="21"/>
          <w:highlight w:val="none"/>
        </w:rPr>
      </w:pPr>
    </w:p>
    <w:p w14:paraId="7A9F42CE">
      <w:pPr>
        <w:spacing w:beforeLines="0" w:afterLines="0" w:line="360" w:lineRule="auto"/>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（受益人名称）： </w:t>
      </w:r>
    </w:p>
    <w:p w14:paraId="74506D4C">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鉴于</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（以下简称“受益人</w:t>
      </w:r>
      <w:r>
        <w:rPr>
          <w:rFonts w:hint="eastAsia" w:ascii="Times New Roman" w:eastAsia="Times New Roman"/>
          <w:color w:val="auto"/>
          <w:sz w:val="24"/>
          <w:szCs w:val="21"/>
          <w:highlight w:val="none"/>
        </w:rPr>
        <w:t>”</w:t>
      </w:r>
      <w:r>
        <w:rPr>
          <w:rFonts w:hint="eastAsia" w:ascii="Times New Roman"/>
          <w:color w:val="auto"/>
          <w:sz w:val="24"/>
          <w:szCs w:val="21"/>
          <w:highlight w:val="none"/>
        </w:rPr>
        <w:t>）与</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（以下简称“申请人</w:t>
      </w:r>
      <w:r>
        <w:rPr>
          <w:rFonts w:hint="eastAsia" w:ascii="Times New Roman" w:eastAsia="Times New Roman"/>
          <w:color w:val="auto"/>
          <w:sz w:val="24"/>
          <w:szCs w:val="21"/>
          <w:highlight w:val="none"/>
        </w:rPr>
        <w:t>”</w:t>
      </w:r>
      <w:r>
        <w:rPr>
          <w:rFonts w:hint="eastAsia" w:ascii="Times New Roman"/>
          <w:color w:val="auto"/>
          <w:sz w:val="24"/>
          <w:szCs w:val="21"/>
          <w:highlight w:val="none"/>
        </w:rPr>
        <w:t>）于</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日就</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（标段编号）的</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（标段名称）</w:t>
      </w:r>
      <w:r>
        <w:rPr>
          <w:rFonts w:hint="eastAsia" w:ascii="Times New Roman"/>
          <w:color w:val="auto"/>
          <w:sz w:val="24"/>
          <w:szCs w:val="21"/>
          <w:highlight w:val="none"/>
        </w:rPr>
        <w:t>有关事项协商一致共同签订</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w:t>
      </w:r>
      <w:r>
        <w:rPr>
          <w:rFonts w:hint="eastAsia" w:ascii="Times New Roman"/>
          <w:color w:val="auto"/>
          <w:sz w:val="24"/>
          <w:szCs w:val="21"/>
          <w:highlight w:val="none"/>
        </w:rPr>
        <w:t xml:space="preserve">（以下简称“基础合同”），开立人根据主合同了解到申请人为主合同项下之承包人，受益人为主合同项下之发包人，基于申请人的请求，开立人同意就申请人按照合同约定正确和合理地为合同目的使用预付款，向受益人提供不可撤销、不可转让的见索即付独立保函（以下简称“本保函”）。 </w:t>
      </w:r>
    </w:p>
    <w:p w14:paraId="6DFF40DD">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一、本保函担保范围：申请人未按照合同约定正确和合理地为合同目的使用预付款，应当向受益人承担的违约责任和赔偿因此造成的损失、利息、律师费、诉讼费用等实现债权的费用。</w:t>
      </w:r>
    </w:p>
    <w:p w14:paraId="01961074">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二、本保函担保金额最高不超过人民币（大写）</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元（¥</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 </w:t>
      </w:r>
    </w:p>
    <w:p w14:paraId="4CCEBBCC">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三、本保函有效期自开立之日起至发包人全额扣回预付款之日止。</w:t>
      </w:r>
    </w:p>
    <w:p w14:paraId="7CEC1B7E">
      <w:pPr>
        <w:spacing w:beforeLines="0" w:afterLines="0" w:line="400" w:lineRule="exact"/>
        <w:ind w:firstLine="480"/>
        <w:rPr>
          <w:rFonts w:hint="eastAsia" w:ascii="Times New Roman" w:eastAsia="Times New Roman"/>
          <w:color w:val="auto"/>
          <w:sz w:val="24"/>
          <w:szCs w:val="21"/>
          <w:highlight w:val="none"/>
        </w:rPr>
      </w:pPr>
      <w:r>
        <w:rPr>
          <w:rFonts w:hint="eastAsia" w:ascii="Times New Roman"/>
          <w:color w:val="auto"/>
          <w:sz w:val="24"/>
          <w:szCs w:val="21"/>
          <w:highlight w:val="none"/>
        </w:rPr>
        <w:t>四、开立人承诺，在收到受益人发来的书面付款通知后的七日内无条件支付，前述书面付款通知即为付款要求之单据，且应满足以下要求：</w:t>
      </w:r>
    </w:p>
    <w:p w14:paraId="7D1B69B1">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（1）付款通知到达的日期在本保函的有效期内；</w:t>
      </w:r>
    </w:p>
    <w:p w14:paraId="6ACE4B6B">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（2）载明要求支付的金额；</w:t>
      </w:r>
    </w:p>
    <w:p w14:paraId="2E6ACC88">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（3）载明申请人违反合同义务的条款和内容；</w:t>
      </w:r>
    </w:p>
    <w:p w14:paraId="7F310674">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（4）声明不存在合同文件约定或我国法律规定免除申请人或开立人支付责任的情形；</w:t>
      </w:r>
    </w:p>
    <w:p w14:paraId="1AB22762">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（5）付款通知应在本保函有效期内到达的地址是：</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w:t>
      </w:r>
    </w:p>
    <w:p w14:paraId="37723279">
      <w:pPr>
        <w:spacing w:beforeLines="0" w:afterLines="0" w:line="400" w:lineRule="exact"/>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    受益人发出的书面付款通知应由其法定代表人（负责人）或授权代理人签字并加盖公章。</w:t>
      </w:r>
    </w:p>
    <w:p w14:paraId="625F2BC0">
      <w:pPr>
        <w:spacing w:beforeLines="0" w:afterLines="0" w:line="400" w:lineRule="exact"/>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五、本保函项下的权利不得转让，不得设定担保。受益人未经开立人书面同意转让本保函或其项下任何权利，对开立人不发生法律效力。 </w:t>
      </w:r>
    </w:p>
    <w:p w14:paraId="4EBD9E03">
      <w:pPr>
        <w:spacing w:beforeLines="0" w:afterLines="0" w:line="400" w:lineRule="exact"/>
        <w:ind w:firstLine="480" w:firstLineChars="200"/>
        <w:rPr>
          <w:rStyle w:val="22"/>
          <w:rFonts w:hint="eastAsia" w:ascii="Times New Roman" w:eastAsia="Times New Roman"/>
          <w:color w:val="auto"/>
          <w:sz w:val="21"/>
          <w:szCs w:val="24"/>
          <w:highlight w:val="none"/>
        </w:rPr>
      </w:pPr>
      <w:r>
        <w:rPr>
          <w:rFonts w:hint="eastAsia" w:ascii="Times New Roman"/>
          <w:color w:val="auto"/>
          <w:sz w:val="24"/>
          <w:szCs w:val="21"/>
          <w:highlight w:val="none"/>
        </w:rPr>
        <w:t>六、本保函项下的基础交易不成立、不生效、无效、被撤销、被解除，不影响本保函的独立有效。</w:t>
      </w:r>
    </w:p>
    <w:p w14:paraId="5BC3D81C">
      <w:pPr>
        <w:spacing w:beforeLines="0" w:afterLines="0" w:line="400" w:lineRule="exact"/>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七、本保函项下的义务和责任均在保函有效期到期后自动消灭。 </w:t>
      </w:r>
    </w:p>
    <w:p w14:paraId="28227F4A">
      <w:pPr>
        <w:spacing w:beforeLines="0" w:afterLines="0" w:line="400" w:lineRule="exact"/>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八、本保函适用的法律为中华人民共和国法律，因本保函产生的纠纷案件，由受益人所在地人民法院管辖。</w:t>
      </w:r>
      <w:r>
        <w:rPr>
          <w:rFonts w:hint="eastAsia" w:ascii="Times New Roman" w:eastAsia="Times New Roman"/>
          <w:color w:val="auto"/>
          <w:sz w:val="24"/>
          <w:szCs w:val="21"/>
          <w:highlight w:val="none"/>
        </w:rPr>
        <w:t xml:space="preserve"> </w:t>
      </w:r>
    </w:p>
    <w:p w14:paraId="44276CAD">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 xml:space="preserve">九、本保函自我方法定代表人或授权代表签字并加盖公章之日起生效。 </w:t>
      </w:r>
    </w:p>
    <w:p w14:paraId="2717012B">
      <w:pPr>
        <w:spacing w:beforeLines="0" w:afterLines="0" w:line="360" w:lineRule="auto"/>
        <w:ind w:firstLine="480" w:firstLineChars="200"/>
        <w:rPr>
          <w:rFonts w:hint="eastAsia" w:ascii="Times New Roman" w:eastAsia="Times New Roman"/>
          <w:color w:val="auto"/>
          <w:sz w:val="24"/>
          <w:szCs w:val="21"/>
          <w:highlight w:val="none"/>
        </w:rPr>
      </w:pPr>
    </w:p>
    <w:p w14:paraId="021B38A1">
      <w:pPr>
        <w:spacing w:beforeLines="0" w:afterLines="0" w:line="360" w:lineRule="auto"/>
        <w:ind w:firstLine="480" w:firstLineChars="200"/>
        <w:rPr>
          <w:rFonts w:hint="eastAsia" w:ascii="Times New Roman" w:eastAsia="Times New Roman"/>
          <w:color w:val="auto"/>
          <w:sz w:val="24"/>
          <w:szCs w:val="21"/>
          <w:highlight w:val="none"/>
        </w:rPr>
      </w:pPr>
    </w:p>
    <w:p w14:paraId="442FA6C5">
      <w:pPr>
        <w:spacing w:beforeLines="0" w:afterLines="0" w:line="360" w:lineRule="auto"/>
        <w:ind w:firstLine="480" w:firstLineChars="200"/>
        <w:rPr>
          <w:rFonts w:hint="eastAsia" w:ascii="Times New Roman" w:eastAsia="Times New Roman"/>
          <w:color w:val="auto"/>
          <w:sz w:val="24"/>
          <w:szCs w:val="21"/>
          <w:highlight w:val="none"/>
        </w:rPr>
      </w:pPr>
    </w:p>
    <w:p w14:paraId="3564424D">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开 立 人：</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u w:val="single"/>
        </w:rPr>
        <w:t xml:space="preserve">             </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（公章） </w:t>
      </w:r>
    </w:p>
    <w:p w14:paraId="1C093137">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法定代表人（或授权代表）：</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 xml:space="preserve">（签字） </w:t>
      </w:r>
    </w:p>
    <w:p w14:paraId="15FC59BA">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地</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址：</w:t>
      </w:r>
      <w:r>
        <w:rPr>
          <w:rFonts w:hint="eastAsia" w:ascii="Times New Roman" w:eastAsia="Times New Roman"/>
          <w:color w:val="auto"/>
          <w:sz w:val="24"/>
          <w:szCs w:val="21"/>
          <w:highlight w:val="none"/>
          <w:u w:val="single"/>
        </w:rPr>
        <w:t xml:space="preserve">                                       </w:t>
      </w:r>
    </w:p>
    <w:p w14:paraId="5C75ABFB">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邮政编码：</w:t>
      </w:r>
      <w:r>
        <w:rPr>
          <w:rFonts w:hint="eastAsia" w:ascii="Times New Roman" w:eastAsia="Times New Roman"/>
          <w:color w:val="auto"/>
          <w:sz w:val="24"/>
          <w:szCs w:val="21"/>
          <w:highlight w:val="none"/>
          <w:u w:val="single"/>
        </w:rPr>
        <w:t xml:space="preserve">                 </w:t>
      </w:r>
    </w:p>
    <w:p w14:paraId="38BAEAE4">
      <w:pPr>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电</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话：</w:t>
      </w:r>
      <w:r>
        <w:rPr>
          <w:rFonts w:hint="eastAsia" w:ascii="Times New Roman" w:eastAsia="Times New Roman"/>
          <w:color w:val="auto"/>
          <w:sz w:val="24"/>
          <w:szCs w:val="21"/>
          <w:highlight w:val="none"/>
          <w:u w:val="single"/>
        </w:rPr>
        <w:t xml:space="preserve">                 </w:t>
      </w:r>
    </w:p>
    <w:p w14:paraId="645B195B">
      <w:pPr>
        <w:spacing w:beforeLines="0" w:afterLines="0" w:line="360" w:lineRule="auto"/>
        <w:ind w:firstLine="480" w:firstLineChars="200"/>
        <w:rPr>
          <w:rFonts w:hint="eastAsia" w:ascii="Times New Roman" w:eastAsia="Times New Roman"/>
          <w:color w:val="auto"/>
          <w:sz w:val="24"/>
          <w:szCs w:val="21"/>
          <w:highlight w:val="none"/>
          <w:u w:val="single"/>
        </w:rPr>
      </w:pPr>
      <w:r>
        <w:rPr>
          <w:rFonts w:hint="eastAsia" w:ascii="Times New Roman"/>
          <w:color w:val="auto"/>
          <w:sz w:val="24"/>
          <w:szCs w:val="21"/>
          <w:highlight w:val="none"/>
        </w:rPr>
        <w:t>传</w:t>
      </w:r>
      <w:r>
        <w:rPr>
          <w:rFonts w:hint="eastAsia" w:ascii="Times New Roman" w:eastAsia="Times New Roman"/>
          <w:color w:val="auto"/>
          <w:sz w:val="24"/>
          <w:szCs w:val="21"/>
          <w:highlight w:val="none"/>
        </w:rPr>
        <w:t xml:space="preserve">    </w:t>
      </w:r>
      <w:r>
        <w:rPr>
          <w:rFonts w:hint="eastAsia" w:ascii="Times New Roman"/>
          <w:color w:val="auto"/>
          <w:sz w:val="24"/>
          <w:szCs w:val="21"/>
          <w:highlight w:val="none"/>
        </w:rPr>
        <w:t>真：</w:t>
      </w:r>
      <w:r>
        <w:rPr>
          <w:rFonts w:hint="eastAsia" w:ascii="Times New Roman" w:eastAsia="Times New Roman"/>
          <w:color w:val="auto"/>
          <w:sz w:val="24"/>
          <w:szCs w:val="21"/>
          <w:highlight w:val="none"/>
          <w:u w:val="single"/>
        </w:rPr>
        <w:t xml:space="preserve">                 </w:t>
      </w:r>
    </w:p>
    <w:p w14:paraId="0177B721">
      <w:pPr>
        <w:spacing w:beforeLines="0" w:afterLines="0" w:line="360" w:lineRule="auto"/>
        <w:ind w:left="1512" w:leftChars="200" w:hanging="1032" w:hangingChars="430"/>
        <w:rPr>
          <w:rFonts w:hint="eastAsia" w:ascii="Times New Roman" w:eastAsia="Times New Roman"/>
          <w:color w:val="auto"/>
          <w:sz w:val="24"/>
          <w:szCs w:val="21"/>
          <w:highlight w:val="none"/>
        </w:rPr>
      </w:pPr>
      <w:r>
        <w:rPr>
          <w:rFonts w:hint="eastAsia" w:ascii="Times New Roman"/>
          <w:color w:val="auto"/>
          <w:sz w:val="24"/>
          <w:szCs w:val="21"/>
          <w:highlight w:val="none"/>
        </w:rPr>
        <w:t>开立时间：</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日</w:t>
      </w:r>
    </w:p>
    <w:p w14:paraId="04EAE2B9">
      <w:pPr>
        <w:spacing w:before="240" w:beforeLines="100" w:after="240" w:afterLines="100"/>
        <w:outlineLvl w:val="2"/>
        <w:rPr>
          <w:rFonts w:hint="eastAsia" w:ascii="Times New Roman" w:eastAsia="黑体"/>
          <w:color w:val="auto"/>
          <w:sz w:val="24"/>
          <w:szCs w:val="24"/>
          <w:highlight w:val="none"/>
        </w:rPr>
      </w:pPr>
      <w:r>
        <w:rPr>
          <w:rFonts w:hint="eastAsia" w:ascii="Times New Roman" w:eastAsia="Times New Roman"/>
          <w:b/>
          <w:color w:val="auto"/>
          <w:sz w:val="24"/>
          <w:szCs w:val="24"/>
          <w:highlight w:val="none"/>
        </w:rPr>
        <w:br w:type="page"/>
      </w:r>
      <w:bookmarkStart w:id="969" w:name="_Toc128950246"/>
      <w:r>
        <w:rPr>
          <w:rFonts w:hint="eastAsia" w:ascii="Times New Roman" w:eastAsia="黑体"/>
          <w:color w:val="auto"/>
          <w:sz w:val="24"/>
          <w:szCs w:val="24"/>
          <w:highlight w:val="none"/>
        </w:rPr>
        <w:t>附</w:t>
      </w:r>
      <w:bookmarkStart w:id="970" w:name="_Toc296503233"/>
      <w:bookmarkStart w:id="971" w:name="_Toc296347232"/>
      <w:bookmarkStart w:id="972" w:name="_Toc296891061"/>
      <w:bookmarkStart w:id="973" w:name="_Toc296346734"/>
      <w:bookmarkStart w:id="974" w:name="_Toc296891273"/>
      <w:bookmarkStart w:id="975" w:name="_Toc296944572"/>
      <w:r>
        <w:rPr>
          <w:rFonts w:hint="eastAsia" w:ascii="Times New Roman" w:eastAsia="黑体"/>
          <w:color w:val="auto"/>
          <w:sz w:val="24"/>
          <w:szCs w:val="24"/>
          <w:highlight w:val="none"/>
        </w:rPr>
        <w:t>件</w:t>
      </w:r>
      <w:r>
        <w:rPr>
          <w:rFonts w:hint="eastAsia" w:ascii="Times New Roman" w:eastAsia="Times New Roman"/>
          <w:color w:val="auto"/>
          <w:sz w:val="24"/>
          <w:szCs w:val="24"/>
          <w:highlight w:val="none"/>
        </w:rPr>
        <w:t>1</w:t>
      </w:r>
      <w:r>
        <w:rPr>
          <w:rFonts w:hint="eastAsia" w:ascii="Times New Roman" w:eastAsia="黑体"/>
          <w:color w:val="auto"/>
          <w:sz w:val="24"/>
          <w:szCs w:val="24"/>
          <w:highlight w:val="none"/>
        </w:rPr>
        <w:t>1：支付担保</w:t>
      </w:r>
      <w:bookmarkEnd w:id="969"/>
      <w:bookmarkEnd w:id="970"/>
      <w:bookmarkEnd w:id="971"/>
      <w:bookmarkEnd w:id="972"/>
      <w:bookmarkEnd w:id="973"/>
      <w:bookmarkEnd w:id="974"/>
      <w:bookmarkEnd w:id="975"/>
    </w:p>
    <w:p w14:paraId="0C261221">
      <w:pPr>
        <w:snapToGrid w:val="0"/>
        <w:spacing w:beforeLines="0" w:afterLines="0" w:line="520" w:lineRule="exact"/>
        <w:ind w:firstLine="640" w:firstLineChars="200"/>
        <w:jc w:val="center"/>
        <w:rPr>
          <w:rFonts w:hint="eastAsia" w:ascii="Times New Roman" w:eastAsia="Times New Roman"/>
          <w:color w:val="auto"/>
          <w:sz w:val="32"/>
          <w:szCs w:val="32"/>
          <w:highlight w:val="none"/>
        </w:rPr>
      </w:pPr>
      <w:r>
        <w:rPr>
          <w:rFonts w:hint="eastAsia" w:ascii="Times New Roman" w:eastAsia="方正仿宋_GB2312"/>
          <w:color w:val="auto"/>
          <w:sz w:val="32"/>
          <w:szCs w:val="32"/>
          <w:highlight w:val="none"/>
        </w:rPr>
        <w:t>支付保函示范文本</w:t>
      </w:r>
    </w:p>
    <w:p w14:paraId="5DF808BA">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编号：</w:t>
      </w:r>
      <w:r>
        <w:rPr>
          <w:rFonts w:hint="eastAsia" w:ascii="Times New Roman"/>
          <w:color w:val="auto"/>
          <w:sz w:val="24"/>
          <w:szCs w:val="21"/>
          <w:highlight w:val="none"/>
          <w:u w:val="single"/>
        </w:rPr>
        <w:t xml:space="preserve">           </w:t>
      </w:r>
    </w:p>
    <w:p w14:paraId="34D76298">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申请人：</w:t>
      </w:r>
      <w:r>
        <w:rPr>
          <w:rFonts w:hint="eastAsia" w:ascii="Times New Roman"/>
          <w:color w:val="auto"/>
          <w:sz w:val="24"/>
          <w:szCs w:val="21"/>
          <w:highlight w:val="none"/>
          <w:u w:val="single"/>
        </w:rPr>
        <w:t xml:space="preserve">         </w:t>
      </w:r>
    </w:p>
    <w:p w14:paraId="735A1607">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地址：</w:t>
      </w:r>
      <w:r>
        <w:rPr>
          <w:rFonts w:hint="eastAsia" w:ascii="Times New Roman"/>
          <w:color w:val="auto"/>
          <w:sz w:val="24"/>
          <w:szCs w:val="21"/>
          <w:highlight w:val="none"/>
          <w:u w:val="single"/>
        </w:rPr>
        <w:t xml:space="preserve">           </w:t>
      </w:r>
    </w:p>
    <w:p w14:paraId="2E7DD9C2">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受益人：</w:t>
      </w:r>
      <w:r>
        <w:rPr>
          <w:rFonts w:hint="eastAsia" w:ascii="Times New Roman"/>
          <w:color w:val="auto"/>
          <w:sz w:val="24"/>
          <w:szCs w:val="21"/>
          <w:highlight w:val="none"/>
          <w:u w:val="single"/>
        </w:rPr>
        <w:t xml:space="preserve">         </w:t>
      </w:r>
    </w:p>
    <w:p w14:paraId="0B4E04B6">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地址：</w:t>
      </w:r>
      <w:r>
        <w:rPr>
          <w:rFonts w:hint="eastAsia" w:ascii="Times New Roman"/>
          <w:color w:val="auto"/>
          <w:sz w:val="24"/>
          <w:szCs w:val="21"/>
          <w:highlight w:val="none"/>
          <w:u w:val="single"/>
        </w:rPr>
        <w:t xml:space="preserve">         </w:t>
      </w:r>
    </w:p>
    <w:p w14:paraId="7939C0AB">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开立人：</w:t>
      </w:r>
      <w:r>
        <w:rPr>
          <w:rFonts w:hint="eastAsia" w:ascii="Times New Roman"/>
          <w:color w:val="auto"/>
          <w:sz w:val="24"/>
          <w:szCs w:val="21"/>
          <w:highlight w:val="none"/>
          <w:u w:val="single"/>
        </w:rPr>
        <w:t xml:space="preserve">         </w:t>
      </w:r>
    </w:p>
    <w:p w14:paraId="4B5F58BE">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地址：</w:t>
      </w:r>
      <w:r>
        <w:rPr>
          <w:rFonts w:hint="eastAsia" w:ascii="Times New Roman"/>
          <w:color w:val="auto"/>
          <w:sz w:val="24"/>
          <w:szCs w:val="21"/>
          <w:highlight w:val="none"/>
          <w:u w:val="single"/>
        </w:rPr>
        <w:t xml:space="preserve">         </w:t>
      </w:r>
    </w:p>
    <w:p w14:paraId="42BCB798">
      <w:pPr>
        <w:spacing w:beforeLines="0" w:afterLines="0" w:line="360" w:lineRule="auto"/>
        <w:ind w:firstLine="480" w:firstLineChars="200"/>
        <w:rPr>
          <w:rFonts w:hint="eastAsia" w:ascii="Times New Roman"/>
          <w:color w:val="auto"/>
          <w:sz w:val="24"/>
          <w:szCs w:val="21"/>
          <w:highlight w:val="none"/>
        </w:rPr>
      </w:pPr>
    </w:p>
    <w:p w14:paraId="516A519E">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              （受益人名称）： </w:t>
      </w:r>
    </w:p>
    <w:p w14:paraId="2B225978">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鉴于</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（以下简称“受益人”）与</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（以下简称“申请人”）于</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日就 </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工程 （以下简称“本工程”）施工和有关事项协商一致共同签订《</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暂列金额、工程质量保修金以外的工程款）付款义务，向贵方提供不可撤销、不可转让的见索即付独立保函（以下简称“本保函”）。 </w:t>
      </w:r>
    </w:p>
    <w:p w14:paraId="7B029CF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一、本保函担保范围：在已达付款条件情况下，申请人未履行基础合同约定的工程款支付义务，应当向贵方承担的违约责任和赔偿因此造成的损失、利息、律师费、诉讼费用等实现债权的费用，但因贵方原因导致工期延误或贵方有其他违约情形导致申请人未履行基础合同约定的工程款支付义务的，我方不承担保证责任。</w:t>
      </w:r>
    </w:p>
    <w:p w14:paraId="700F9D15">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二、本保函担保金额最高不超过人民币</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（大写）</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元（¥</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w:t>
      </w:r>
    </w:p>
    <w:p w14:paraId="6A9E4E2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三、本保函有效期自开立之日起至基础合同约定的除暂列金额、工程质量保修金以外的全部工程结算款项支付之日后</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日止，最迟不超过</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日。 </w:t>
      </w:r>
    </w:p>
    <w:p w14:paraId="682D9320">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四、我方承诺，在本保函有效期内收到受益人发来的符合下列全部条件的书面单据后的      日内以上述担保金额为限无条件支付你方索赔金额：</w:t>
      </w:r>
    </w:p>
    <w:p w14:paraId="600C833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（一）本保函原件。</w:t>
      </w:r>
    </w:p>
    <w:p w14:paraId="629B464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（二）书面付款通知。该书面付款通知应同时满足以下要求：</w:t>
      </w:r>
    </w:p>
    <w:p w14:paraId="5DCB5B0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1.载明要求支付的金额（在已达付款条件情况下，申请人实际应付未付工程款金额）；</w:t>
      </w:r>
    </w:p>
    <w:p w14:paraId="693EF4F0">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2.载明申请人未履行基础合同约定的工程款支付义务的具体条款和内容；</w:t>
      </w:r>
    </w:p>
    <w:p w14:paraId="7FE3B3D8">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3、声明索赔款项并未由申请人或其代理人直接或间接地支付给你方；</w:t>
      </w:r>
    </w:p>
    <w:p w14:paraId="65BF2DD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4、声明不存在合同文件约定或我国法律规定免除申请人或开立人支付责任的情形；</w:t>
      </w:r>
    </w:p>
    <w:p w14:paraId="280AE8C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5、受益人发出的书面付款通知应由其为鉴明受益人法定代表人（负责人）或授权代理人签字并加盖公章。</w:t>
      </w:r>
    </w:p>
    <w:p w14:paraId="79574A50">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（三）其他书面单据：基础合同、已付款的业主工程款支付证书、工程量确认书。</w:t>
      </w:r>
    </w:p>
    <w:p w14:paraId="1D30508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（四）上述书面单据必须在本保函有效期内到达我方，到达的地址是：                               。</w:t>
      </w:r>
    </w:p>
    <w:p w14:paraId="34BE3AA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五、本保函项下的权利不得转让，不得设定担保。贵方未经我方书面同意转 让本保函或其项下任何权利，对我方不发生法律效力。 </w:t>
      </w:r>
    </w:p>
    <w:p w14:paraId="7E34608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六、与本保函有关的基础合同不成立、不生效、无效、被撤销、被解除，不影响本保函的独立有效。 </w:t>
      </w:r>
    </w:p>
    <w:p w14:paraId="0DF9CF6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60DA5E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八、本保函适用的法律为中华人民共和国法律，争议裁判管辖地为中华人民共和国                    。 </w:t>
      </w:r>
    </w:p>
    <w:p w14:paraId="574D029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九、本保函自我方法定代表人或授权代表签字并加盖公章之日起生效。 </w:t>
      </w:r>
    </w:p>
    <w:p w14:paraId="3B5739A8">
      <w:pPr>
        <w:spacing w:beforeLines="0" w:afterLines="0" w:line="360" w:lineRule="auto"/>
        <w:ind w:firstLine="480" w:firstLineChars="200"/>
        <w:rPr>
          <w:rFonts w:hint="eastAsia" w:ascii="Times New Roman"/>
          <w:color w:val="auto"/>
          <w:sz w:val="24"/>
          <w:szCs w:val="21"/>
          <w:highlight w:val="none"/>
        </w:rPr>
      </w:pPr>
    </w:p>
    <w:p w14:paraId="42F4BD9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开 立 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（公章） </w:t>
      </w:r>
    </w:p>
    <w:p w14:paraId="209C6B46">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法定代表人（或授权代表）：</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（签字） </w:t>
      </w:r>
    </w:p>
    <w:p w14:paraId="2A04C118">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地    址：</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    </w:t>
      </w:r>
    </w:p>
    <w:p w14:paraId="5A4B4EBB">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邮政编码：</w:t>
      </w:r>
      <w:r>
        <w:rPr>
          <w:rFonts w:hint="eastAsia" w:ascii="Times New Roman"/>
          <w:color w:val="auto"/>
          <w:sz w:val="24"/>
          <w:szCs w:val="21"/>
          <w:highlight w:val="none"/>
          <w:u w:val="single"/>
        </w:rPr>
        <w:t xml:space="preserve">                 </w:t>
      </w:r>
    </w:p>
    <w:p w14:paraId="29D9F087">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电    话：</w:t>
      </w:r>
      <w:r>
        <w:rPr>
          <w:rFonts w:hint="eastAsia" w:ascii="Times New Roman"/>
          <w:color w:val="auto"/>
          <w:sz w:val="24"/>
          <w:szCs w:val="21"/>
          <w:highlight w:val="none"/>
          <w:u w:val="single"/>
        </w:rPr>
        <w:t xml:space="preserve">                 </w:t>
      </w:r>
    </w:p>
    <w:p w14:paraId="2938D9A4">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传    真：</w:t>
      </w:r>
      <w:r>
        <w:rPr>
          <w:rFonts w:hint="eastAsia" w:ascii="Times New Roman"/>
          <w:color w:val="auto"/>
          <w:sz w:val="24"/>
          <w:szCs w:val="21"/>
          <w:highlight w:val="none"/>
          <w:u w:val="single"/>
        </w:rPr>
        <w:t xml:space="preserve">                 </w:t>
      </w:r>
    </w:p>
    <w:p w14:paraId="4CBFE1E2">
      <w:pPr>
        <w:spacing w:beforeLines="0" w:afterLines="0" w:line="360" w:lineRule="auto"/>
        <w:ind w:firstLine="480" w:firstLineChars="200"/>
        <w:rPr>
          <w:rFonts w:hint="eastAsia" w:ascii="Times New Roman" w:eastAsia="Times New Roman"/>
          <w:color w:val="auto"/>
          <w:sz w:val="24"/>
          <w:szCs w:val="24"/>
          <w:highlight w:val="none"/>
        </w:rPr>
      </w:pPr>
      <w:r>
        <w:rPr>
          <w:rFonts w:hint="eastAsia" w:ascii="Times New Roman"/>
          <w:color w:val="auto"/>
          <w:sz w:val="24"/>
          <w:szCs w:val="21"/>
          <w:highlight w:val="none"/>
        </w:rPr>
        <w:t>开立时间：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r>
        <w:rPr>
          <w:rFonts w:hint="eastAsia" w:ascii="Times New Roman"/>
          <w:color w:val="auto"/>
          <w:sz w:val="24"/>
          <w:szCs w:val="21"/>
          <w:highlight w:val="none"/>
        </w:rPr>
        <w:br w:type="page"/>
      </w:r>
      <w:bookmarkStart w:id="976" w:name="_Toc128950247"/>
      <w:r>
        <w:rPr>
          <w:rFonts w:hint="eastAsia" w:ascii="Times New Roman" w:eastAsia="黑体"/>
          <w:color w:val="auto"/>
          <w:sz w:val="24"/>
          <w:szCs w:val="24"/>
          <w:highlight w:val="none"/>
        </w:rPr>
        <w:t>附件</w:t>
      </w:r>
      <w:r>
        <w:rPr>
          <w:rFonts w:hint="eastAsia" w:ascii="Times New Roman" w:eastAsia="Times New Roman"/>
          <w:color w:val="auto"/>
          <w:sz w:val="24"/>
          <w:szCs w:val="24"/>
          <w:highlight w:val="none"/>
        </w:rPr>
        <w:t>1</w:t>
      </w:r>
      <w:r>
        <w:rPr>
          <w:rFonts w:hint="eastAsia" w:ascii="Times New Roman" w:eastAsia="黑体"/>
          <w:color w:val="auto"/>
          <w:sz w:val="24"/>
          <w:szCs w:val="24"/>
          <w:highlight w:val="none"/>
        </w:rPr>
        <w:t>2：暂估价一览表</w:t>
      </w:r>
      <w:bookmarkEnd w:id="976"/>
    </w:p>
    <w:p w14:paraId="2AE068D4">
      <w:pPr>
        <w:spacing w:before="120" w:beforeLines="50" w:after="120" w:afterLines="50" w:line="440" w:lineRule="exact"/>
        <w:jc w:val="center"/>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1</w:t>
      </w:r>
      <w:r>
        <w:rPr>
          <w:rFonts w:hint="eastAsia" w:ascii="Times New Roman"/>
          <w:color w:val="auto"/>
          <w:sz w:val="24"/>
          <w:szCs w:val="21"/>
          <w:highlight w:val="none"/>
        </w:rPr>
        <w:t>2</w:t>
      </w:r>
      <w:r>
        <w:rPr>
          <w:rFonts w:hint="eastAsia" w:ascii="Times New Roman" w:eastAsia="Times New Roman"/>
          <w:color w:val="auto"/>
          <w:sz w:val="24"/>
          <w:szCs w:val="21"/>
          <w:highlight w:val="none"/>
        </w:rPr>
        <w:t>-1</w:t>
      </w:r>
      <w:r>
        <w:rPr>
          <w:rFonts w:hint="eastAsia" w:ascii="Times New Roman"/>
          <w:color w:val="auto"/>
          <w:sz w:val="24"/>
          <w:szCs w:val="21"/>
          <w:highlight w:val="none"/>
        </w:rPr>
        <w:t>：材料暂估价表</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16"/>
        <w:gridCol w:w="1828"/>
        <w:gridCol w:w="782"/>
        <w:gridCol w:w="712"/>
        <w:gridCol w:w="1245"/>
        <w:gridCol w:w="1305"/>
        <w:gridCol w:w="1568"/>
      </w:tblGrid>
      <w:tr w14:paraId="370A9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48"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2758A2C9">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序号</w:t>
            </w:r>
          </w:p>
        </w:tc>
        <w:tc>
          <w:tcPr>
            <w:tcW w:w="1094"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171D0EA7">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名称</w:t>
            </w:r>
          </w:p>
        </w:tc>
        <w:tc>
          <w:tcPr>
            <w:tcW w:w="468"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3F06D4BF">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单位</w:t>
            </w:r>
          </w:p>
        </w:tc>
        <w:tc>
          <w:tcPr>
            <w:tcW w:w="426"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3940B1E4">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数量</w:t>
            </w:r>
          </w:p>
        </w:tc>
        <w:tc>
          <w:tcPr>
            <w:tcW w:w="745"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24B11511">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单价（元）</w:t>
            </w:r>
          </w:p>
        </w:tc>
        <w:tc>
          <w:tcPr>
            <w:tcW w:w="781"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9925F9B">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合价（元）</w:t>
            </w:r>
          </w:p>
        </w:tc>
        <w:tc>
          <w:tcPr>
            <w:tcW w:w="938"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3BAB1F7F">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备注</w:t>
            </w:r>
          </w:p>
        </w:tc>
      </w:tr>
      <w:tr w14:paraId="550A15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double" w:color="auto" w:sz="6" w:space="0"/>
              <w:left w:val="single" w:color="auto" w:sz="12" w:space="0"/>
              <w:bottom w:val="single" w:color="auto" w:sz="6" w:space="0"/>
              <w:right w:val="single" w:color="auto" w:sz="6" w:space="0"/>
              <w:tl2br w:val="nil"/>
              <w:tr2bl w:val="nil"/>
            </w:tcBorders>
            <w:noWrap w:val="0"/>
            <w:vAlign w:val="center"/>
          </w:tcPr>
          <w:p w14:paraId="1BECD48D">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double" w:color="auto" w:sz="6" w:space="0"/>
              <w:left w:val="single" w:color="auto" w:sz="6" w:space="0"/>
              <w:bottom w:val="single" w:color="auto" w:sz="6" w:space="0"/>
              <w:right w:val="single" w:color="auto" w:sz="6" w:space="0"/>
              <w:tl2br w:val="nil"/>
              <w:tr2bl w:val="nil"/>
            </w:tcBorders>
            <w:noWrap w:val="0"/>
            <w:vAlign w:val="center"/>
          </w:tcPr>
          <w:p w14:paraId="2D760A04">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81F780E">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6C6A7FF">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double" w:color="auto" w:sz="6" w:space="0"/>
              <w:left w:val="single" w:color="auto" w:sz="6" w:space="0"/>
              <w:bottom w:val="single" w:color="auto" w:sz="6" w:space="0"/>
              <w:right w:val="single" w:color="auto" w:sz="6" w:space="0"/>
              <w:tl2br w:val="nil"/>
              <w:tr2bl w:val="nil"/>
            </w:tcBorders>
            <w:noWrap w:val="0"/>
            <w:vAlign w:val="center"/>
          </w:tcPr>
          <w:p w14:paraId="46E20E9F">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double" w:color="auto" w:sz="6" w:space="0"/>
              <w:left w:val="single" w:color="auto" w:sz="6" w:space="0"/>
              <w:bottom w:val="single" w:color="auto" w:sz="6" w:space="0"/>
              <w:right w:val="single" w:color="auto" w:sz="6" w:space="0"/>
              <w:tl2br w:val="nil"/>
              <w:tr2bl w:val="nil"/>
            </w:tcBorders>
            <w:noWrap w:val="0"/>
            <w:vAlign w:val="center"/>
          </w:tcPr>
          <w:p w14:paraId="7D0D5C1F">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5A33BE89">
            <w:pPr>
              <w:keepNext/>
              <w:spacing w:beforeLines="0" w:afterLines="0" w:line="440" w:lineRule="exact"/>
              <w:jc w:val="center"/>
              <w:rPr>
                <w:rFonts w:hint="eastAsia" w:ascii="Times New Roman" w:eastAsia="Times New Roman"/>
                <w:color w:val="auto"/>
                <w:sz w:val="24"/>
                <w:szCs w:val="21"/>
                <w:highlight w:val="none"/>
              </w:rPr>
            </w:pPr>
          </w:p>
        </w:tc>
      </w:tr>
      <w:tr w14:paraId="25D42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nil"/>
              <w:left w:val="single" w:color="auto" w:sz="12" w:space="0"/>
              <w:bottom w:val="single" w:color="auto" w:sz="6" w:space="0"/>
              <w:right w:val="single" w:color="auto" w:sz="6" w:space="0"/>
              <w:tl2br w:val="nil"/>
              <w:tr2bl w:val="nil"/>
            </w:tcBorders>
            <w:noWrap w:val="0"/>
            <w:vAlign w:val="center"/>
          </w:tcPr>
          <w:p w14:paraId="16CFCC3B">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nil"/>
              <w:left w:val="single" w:color="auto" w:sz="6" w:space="0"/>
              <w:bottom w:val="single" w:color="auto" w:sz="6" w:space="0"/>
              <w:right w:val="single" w:color="auto" w:sz="6" w:space="0"/>
              <w:tl2br w:val="nil"/>
              <w:tr2bl w:val="nil"/>
            </w:tcBorders>
            <w:noWrap w:val="0"/>
            <w:vAlign w:val="center"/>
          </w:tcPr>
          <w:p w14:paraId="10549A5F">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nil"/>
              <w:left w:val="single" w:color="auto" w:sz="6" w:space="0"/>
              <w:bottom w:val="single" w:color="auto" w:sz="6" w:space="0"/>
              <w:right w:val="single" w:color="auto" w:sz="6" w:space="0"/>
              <w:tl2br w:val="nil"/>
              <w:tr2bl w:val="nil"/>
            </w:tcBorders>
            <w:noWrap w:val="0"/>
            <w:vAlign w:val="center"/>
          </w:tcPr>
          <w:p w14:paraId="651505F3">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nil"/>
              <w:left w:val="single" w:color="auto" w:sz="6" w:space="0"/>
              <w:bottom w:val="single" w:color="auto" w:sz="6" w:space="0"/>
              <w:right w:val="single" w:color="auto" w:sz="6" w:space="0"/>
              <w:tl2br w:val="nil"/>
              <w:tr2bl w:val="nil"/>
            </w:tcBorders>
            <w:noWrap w:val="0"/>
            <w:vAlign w:val="center"/>
          </w:tcPr>
          <w:p w14:paraId="23420C91">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nil"/>
              <w:left w:val="single" w:color="auto" w:sz="6" w:space="0"/>
              <w:bottom w:val="single" w:color="auto" w:sz="6" w:space="0"/>
              <w:right w:val="single" w:color="auto" w:sz="6" w:space="0"/>
              <w:tl2br w:val="nil"/>
              <w:tr2bl w:val="nil"/>
            </w:tcBorders>
            <w:noWrap w:val="0"/>
            <w:vAlign w:val="center"/>
          </w:tcPr>
          <w:p w14:paraId="38301D52">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nil"/>
              <w:left w:val="single" w:color="auto" w:sz="6" w:space="0"/>
              <w:bottom w:val="single" w:color="auto" w:sz="6" w:space="0"/>
              <w:right w:val="single" w:color="auto" w:sz="6" w:space="0"/>
              <w:tl2br w:val="nil"/>
              <w:tr2bl w:val="nil"/>
            </w:tcBorders>
            <w:noWrap w:val="0"/>
            <w:vAlign w:val="center"/>
          </w:tcPr>
          <w:p w14:paraId="44B98655">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nil"/>
              <w:left w:val="single" w:color="auto" w:sz="6" w:space="0"/>
              <w:bottom w:val="single" w:color="auto" w:sz="6" w:space="0"/>
              <w:right w:val="single" w:color="auto" w:sz="12" w:space="0"/>
              <w:tl2br w:val="nil"/>
              <w:tr2bl w:val="nil"/>
            </w:tcBorders>
            <w:noWrap w:val="0"/>
            <w:vAlign w:val="center"/>
          </w:tcPr>
          <w:p w14:paraId="78CD980A">
            <w:pPr>
              <w:keepNext/>
              <w:spacing w:beforeLines="0" w:afterLines="0" w:line="440" w:lineRule="exact"/>
              <w:jc w:val="center"/>
              <w:rPr>
                <w:rFonts w:hint="eastAsia" w:ascii="Times New Roman" w:eastAsia="Times New Roman"/>
                <w:color w:val="auto"/>
                <w:sz w:val="24"/>
                <w:szCs w:val="21"/>
                <w:highlight w:val="none"/>
              </w:rPr>
            </w:pPr>
          </w:p>
        </w:tc>
      </w:tr>
      <w:tr w14:paraId="092A9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2A08E8A0">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8DC6C21">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397DDD9">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CF12FFB">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74D20EC">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416487C">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FF6C57F">
            <w:pPr>
              <w:keepNext/>
              <w:spacing w:beforeLines="0" w:afterLines="0" w:line="440" w:lineRule="exact"/>
              <w:jc w:val="center"/>
              <w:rPr>
                <w:rFonts w:hint="eastAsia" w:ascii="Times New Roman" w:eastAsia="Times New Roman"/>
                <w:color w:val="auto"/>
                <w:sz w:val="24"/>
                <w:szCs w:val="21"/>
                <w:highlight w:val="none"/>
              </w:rPr>
            </w:pPr>
          </w:p>
        </w:tc>
      </w:tr>
      <w:tr w14:paraId="6C157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27E9B1E8">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EFC7C90">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6D1B812">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BF9137F">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C4C7E58">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98ECEA3">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7925CB1C">
            <w:pPr>
              <w:keepNext/>
              <w:spacing w:beforeLines="0" w:afterLines="0" w:line="440" w:lineRule="exact"/>
              <w:jc w:val="center"/>
              <w:rPr>
                <w:rFonts w:hint="eastAsia" w:ascii="Times New Roman" w:eastAsia="Times New Roman"/>
                <w:color w:val="auto"/>
                <w:sz w:val="24"/>
                <w:szCs w:val="21"/>
                <w:highlight w:val="none"/>
              </w:rPr>
            </w:pPr>
          </w:p>
        </w:tc>
      </w:tr>
      <w:tr w14:paraId="7E87B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29A2DEF6">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8E99D18">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53A0E60">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F7BCC28">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2BA92B75">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793788E">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7D47427A">
            <w:pPr>
              <w:keepNext/>
              <w:spacing w:beforeLines="0" w:afterLines="0" w:line="440" w:lineRule="exact"/>
              <w:jc w:val="center"/>
              <w:rPr>
                <w:rFonts w:hint="eastAsia" w:ascii="Times New Roman" w:eastAsia="Times New Roman"/>
                <w:color w:val="auto"/>
                <w:sz w:val="24"/>
                <w:szCs w:val="21"/>
                <w:highlight w:val="none"/>
              </w:rPr>
            </w:pPr>
          </w:p>
        </w:tc>
      </w:tr>
    </w:tbl>
    <w:p w14:paraId="4D085E74">
      <w:pPr>
        <w:spacing w:before="120" w:beforeLines="50" w:after="120" w:afterLines="50" w:line="440" w:lineRule="exact"/>
        <w:jc w:val="center"/>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1</w:t>
      </w:r>
      <w:r>
        <w:rPr>
          <w:rFonts w:hint="eastAsia" w:ascii="Times New Roman"/>
          <w:color w:val="auto"/>
          <w:sz w:val="24"/>
          <w:szCs w:val="21"/>
          <w:highlight w:val="none"/>
        </w:rPr>
        <w:t>2</w:t>
      </w:r>
      <w:r>
        <w:rPr>
          <w:rFonts w:hint="eastAsia" w:ascii="Times New Roman" w:eastAsia="Times New Roman"/>
          <w:color w:val="auto"/>
          <w:sz w:val="24"/>
          <w:szCs w:val="21"/>
          <w:highlight w:val="none"/>
        </w:rPr>
        <w:t>-2</w:t>
      </w:r>
      <w:r>
        <w:rPr>
          <w:rFonts w:hint="eastAsia" w:ascii="Times New Roman"/>
          <w:color w:val="auto"/>
          <w:sz w:val="24"/>
          <w:szCs w:val="21"/>
          <w:highlight w:val="none"/>
        </w:rPr>
        <w:t>：工程设备暂估价表</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16"/>
        <w:gridCol w:w="1828"/>
        <w:gridCol w:w="782"/>
        <w:gridCol w:w="712"/>
        <w:gridCol w:w="1245"/>
        <w:gridCol w:w="1305"/>
        <w:gridCol w:w="1568"/>
      </w:tblGrid>
      <w:tr w14:paraId="60BCC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26C2C04A">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序号</w:t>
            </w:r>
          </w:p>
        </w:tc>
        <w:tc>
          <w:tcPr>
            <w:tcW w:w="1094"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450450F1">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名称</w:t>
            </w:r>
          </w:p>
        </w:tc>
        <w:tc>
          <w:tcPr>
            <w:tcW w:w="468"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2303DB32">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单位</w:t>
            </w:r>
          </w:p>
        </w:tc>
        <w:tc>
          <w:tcPr>
            <w:tcW w:w="426"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2894CE67">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数量</w:t>
            </w:r>
          </w:p>
        </w:tc>
        <w:tc>
          <w:tcPr>
            <w:tcW w:w="745"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3F4C1FD4">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单价（元）</w:t>
            </w:r>
          </w:p>
        </w:tc>
        <w:tc>
          <w:tcPr>
            <w:tcW w:w="781"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1EFC46B">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合价（元）</w:t>
            </w:r>
          </w:p>
        </w:tc>
        <w:tc>
          <w:tcPr>
            <w:tcW w:w="938"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3BF08884">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备注</w:t>
            </w:r>
          </w:p>
        </w:tc>
      </w:tr>
      <w:tr w14:paraId="477A7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double" w:color="auto" w:sz="6" w:space="0"/>
              <w:left w:val="single" w:color="auto" w:sz="12" w:space="0"/>
              <w:bottom w:val="single" w:color="auto" w:sz="6" w:space="0"/>
              <w:right w:val="single" w:color="auto" w:sz="6" w:space="0"/>
              <w:tl2br w:val="nil"/>
              <w:tr2bl w:val="nil"/>
            </w:tcBorders>
            <w:noWrap w:val="0"/>
            <w:vAlign w:val="center"/>
          </w:tcPr>
          <w:p w14:paraId="65D12A10">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D49C8AE">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double" w:color="auto" w:sz="6" w:space="0"/>
              <w:left w:val="single" w:color="auto" w:sz="6" w:space="0"/>
              <w:bottom w:val="single" w:color="auto" w:sz="6" w:space="0"/>
              <w:right w:val="single" w:color="auto" w:sz="6" w:space="0"/>
              <w:tl2br w:val="nil"/>
              <w:tr2bl w:val="nil"/>
            </w:tcBorders>
            <w:noWrap w:val="0"/>
            <w:vAlign w:val="center"/>
          </w:tcPr>
          <w:p w14:paraId="6F93093E">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double" w:color="auto" w:sz="6" w:space="0"/>
              <w:left w:val="single" w:color="auto" w:sz="6" w:space="0"/>
              <w:bottom w:val="single" w:color="auto" w:sz="6" w:space="0"/>
              <w:right w:val="single" w:color="auto" w:sz="6" w:space="0"/>
              <w:tl2br w:val="nil"/>
              <w:tr2bl w:val="nil"/>
            </w:tcBorders>
            <w:noWrap w:val="0"/>
            <w:vAlign w:val="center"/>
          </w:tcPr>
          <w:p w14:paraId="45D77FDA">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double" w:color="auto" w:sz="6" w:space="0"/>
              <w:left w:val="single" w:color="auto" w:sz="6" w:space="0"/>
              <w:bottom w:val="single" w:color="auto" w:sz="6" w:space="0"/>
              <w:right w:val="single" w:color="auto" w:sz="6" w:space="0"/>
              <w:tl2br w:val="nil"/>
              <w:tr2bl w:val="nil"/>
            </w:tcBorders>
            <w:noWrap w:val="0"/>
            <w:vAlign w:val="center"/>
          </w:tcPr>
          <w:p w14:paraId="7CC2C70F">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double" w:color="auto" w:sz="6" w:space="0"/>
              <w:left w:val="single" w:color="auto" w:sz="6" w:space="0"/>
              <w:bottom w:val="single" w:color="auto" w:sz="6" w:space="0"/>
              <w:right w:val="single" w:color="auto" w:sz="6" w:space="0"/>
              <w:tl2br w:val="nil"/>
              <w:tr2bl w:val="nil"/>
            </w:tcBorders>
            <w:noWrap w:val="0"/>
            <w:vAlign w:val="center"/>
          </w:tcPr>
          <w:p w14:paraId="5223C1FD">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65A332CB">
            <w:pPr>
              <w:keepNext/>
              <w:spacing w:beforeLines="0" w:afterLines="0" w:line="440" w:lineRule="exact"/>
              <w:jc w:val="center"/>
              <w:rPr>
                <w:rFonts w:hint="eastAsia" w:ascii="Times New Roman" w:eastAsia="Times New Roman"/>
                <w:color w:val="auto"/>
                <w:sz w:val="24"/>
                <w:szCs w:val="21"/>
                <w:highlight w:val="none"/>
              </w:rPr>
            </w:pPr>
          </w:p>
        </w:tc>
      </w:tr>
      <w:tr w14:paraId="5F653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nil"/>
              <w:left w:val="single" w:color="auto" w:sz="12" w:space="0"/>
              <w:bottom w:val="single" w:color="auto" w:sz="6" w:space="0"/>
              <w:right w:val="single" w:color="auto" w:sz="6" w:space="0"/>
              <w:tl2br w:val="nil"/>
              <w:tr2bl w:val="nil"/>
            </w:tcBorders>
            <w:noWrap w:val="0"/>
            <w:vAlign w:val="center"/>
          </w:tcPr>
          <w:p w14:paraId="75DECFD1">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nil"/>
              <w:left w:val="single" w:color="auto" w:sz="6" w:space="0"/>
              <w:bottom w:val="single" w:color="auto" w:sz="6" w:space="0"/>
              <w:right w:val="single" w:color="auto" w:sz="6" w:space="0"/>
              <w:tl2br w:val="nil"/>
              <w:tr2bl w:val="nil"/>
            </w:tcBorders>
            <w:noWrap w:val="0"/>
            <w:vAlign w:val="center"/>
          </w:tcPr>
          <w:p w14:paraId="37CC26DE">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nil"/>
              <w:left w:val="single" w:color="auto" w:sz="6" w:space="0"/>
              <w:bottom w:val="single" w:color="auto" w:sz="6" w:space="0"/>
              <w:right w:val="single" w:color="auto" w:sz="6" w:space="0"/>
              <w:tl2br w:val="nil"/>
              <w:tr2bl w:val="nil"/>
            </w:tcBorders>
            <w:noWrap w:val="0"/>
            <w:vAlign w:val="center"/>
          </w:tcPr>
          <w:p w14:paraId="194807E7">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nil"/>
              <w:left w:val="single" w:color="auto" w:sz="6" w:space="0"/>
              <w:bottom w:val="single" w:color="auto" w:sz="6" w:space="0"/>
              <w:right w:val="single" w:color="auto" w:sz="6" w:space="0"/>
              <w:tl2br w:val="nil"/>
              <w:tr2bl w:val="nil"/>
            </w:tcBorders>
            <w:noWrap w:val="0"/>
            <w:vAlign w:val="center"/>
          </w:tcPr>
          <w:p w14:paraId="14167BF0">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nil"/>
              <w:left w:val="single" w:color="auto" w:sz="6" w:space="0"/>
              <w:bottom w:val="single" w:color="auto" w:sz="6" w:space="0"/>
              <w:right w:val="single" w:color="auto" w:sz="6" w:space="0"/>
              <w:tl2br w:val="nil"/>
              <w:tr2bl w:val="nil"/>
            </w:tcBorders>
            <w:noWrap w:val="0"/>
            <w:vAlign w:val="center"/>
          </w:tcPr>
          <w:p w14:paraId="60AAE92B">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nil"/>
              <w:left w:val="single" w:color="auto" w:sz="6" w:space="0"/>
              <w:bottom w:val="single" w:color="auto" w:sz="6" w:space="0"/>
              <w:right w:val="single" w:color="auto" w:sz="6" w:space="0"/>
              <w:tl2br w:val="nil"/>
              <w:tr2bl w:val="nil"/>
            </w:tcBorders>
            <w:noWrap w:val="0"/>
            <w:vAlign w:val="center"/>
          </w:tcPr>
          <w:p w14:paraId="69C86406">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nil"/>
              <w:left w:val="single" w:color="auto" w:sz="6" w:space="0"/>
              <w:bottom w:val="single" w:color="auto" w:sz="6" w:space="0"/>
              <w:right w:val="single" w:color="auto" w:sz="12" w:space="0"/>
              <w:tl2br w:val="nil"/>
              <w:tr2bl w:val="nil"/>
            </w:tcBorders>
            <w:noWrap w:val="0"/>
            <w:vAlign w:val="center"/>
          </w:tcPr>
          <w:p w14:paraId="09BFE19E">
            <w:pPr>
              <w:keepNext/>
              <w:spacing w:beforeLines="0" w:afterLines="0" w:line="440" w:lineRule="exact"/>
              <w:jc w:val="center"/>
              <w:rPr>
                <w:rFonts w:hint="eastAsia" w:ascii="Times New Roman" w:eastAsia="Times New Roman"/>
                <w:color w:val="auto"/>
                <w:sz w:val="24"/>
                <w:szCs w:val="21"/>
                <w:highlight w:val="none"/>
              </w:rPr>
            </w:pPr>
          </w:p>
        </w:tc>
      </w:tr>
      <w:tr w14:paraId="36A63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70E2128F">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F97AD80">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D8D620D">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076482D">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6135C83">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C303322">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435CCF53">
            <w:pPr>
              <w:keepNext/>
              <w:spacing w:beforeLines="0" w:afterLines="0" w:line="440" w:lineRule="exact"/>
              <w:jc w:val="center"/>
              <w:rPr>
                <w:rFonts w:hint="eastAsia" w:ascii="Times New Roman" w:eastAsia="Times New Roman"/>
                <w:color w:val="auto"/>
                <w:sz w:val="24"/>
                <w:szCs w:val="21"/>
                <w:highlight w:val="none"/>
              </w:rPr>
            </w:pPr>
          </w:p>
        </w:tc>
      </w:tr>
      <w:tr w14:paraId="7BBCC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121B7FE7">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19B64C0">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6C0F2CD7">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56DDC3B3">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66315D22">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29BD2CA">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552DB227">
            <w:pPr>
              <w:keepNext/>
              <w:spacing w:beforeLines="0" w:afterLines="0" w:line="440" w:lineRule="exact"/>
              <w:jc w:val="center"/>
              <w:rPr>
                <w:rFonts w:hint="eastAsia" w:ascii="Times New Roman" w:eastAsia="Times New Roman"/>
                <w:color w:val="auto"/>
                <w:sz w:val="24"/>
                <w:szCs w:val="21"/>
                <w:highlight w:val="none"/>
              </w:rPr>
            </w:pPr>
          </w:p>
        </w:tc>
      </w:tr>
    </w:tbl>
    <w:p w14:paraId="7073BF2C">
      <w:pPr>
        <w:spacing w:before="120" w:beforeLines="50" w:after="120" w:afterLines="50" w:line="440" w:lineRule="exact"/>
        <w:jc w:val="center"/>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rPr>
        <w:t>1</w:t>
      </w:r>
      <w:r>
        <w:rPr>
          <w:rFonts w:hint="eastAsia" w:ascii="Times New Roman"/>
          <w:color w:val="auto"/>
          <w:sz w:val="24"/>
          <w:szCs w:val="21"/>
          <w:highlight w:val="none"/>
        </w:rPr>
        <w:t>2</w:t>
      </w:r>
      <w:r>
        <w:rPr>
          <w:rFonts w:hint="eastAsia" w:ascii="Times New Roman" w:eastAsia="Times New Roman"/>
          <w:color w:val="auto"/>
          <w:sz w:val="24"/>
          <w:szCs w:val="21"/>
          <w:highlight w:val="none"/>
        </w:rPr>
        <w:t>-3</w:t>
      </w:r>
      <w:r>
        <w:rPr>
          <w:rFonts w:hint="eastAsia" w:ascii="Times New Roman"/>
          <w:color w:val="auto"/>
          <w:sz w:val="24"/>
          <w:szCs w:val="21"/>
          <w:highlight w:val="none"/>
        </w:rPr>
        <w:t>：专业工程暂估价表</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16"/>
        <w:gridCol w:w="1828"/>
        <w:gridCol w:w="782"/>
        <w:gridCol w:w="712"/>
        <w:gridCol w:w="1245"/>
        <w:gridCol w:w="1305"/>
        <w:gridCol w:w="1568"/>
      </w:tblGrid>
      <w:tr w14:paraId="0E42B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12" w:space="0"/>
              <w:left w:val="single" w:color="auto" w:sz="12" w:space="0"/>
              <w:bottom w:val="double" w:color="auto" w:sz="6" w:space="0"/>
              <w:right w:val="single" w:color="auto" w:sz="6" w:space="0"/>
              <w:tl2br w:val="nil"/>
              <w:tr2bl w:val="nil"/>
            </w:tcBorders>
            <w:noWrap w:val="0"/>
            <w:vAlign w:val="center"/>
          </w:tcPr>
          <w:p w14:paraId="5D1D716A">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序号</w:t>
            </w:r>
          </w:p>
        </w:tc>
        <w:tc>
          <w:tcPr>
            <w:tcW w:w="1094"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51582C2D">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名称</w:t>
            </w:r>
          </w:p>
        </w:tc>
        <w:tc>
          <w:tcPr>
            <w:tcW w:w="468"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3BD97760">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单位</w:t>
            </w:r>
          </w:p>
        </w:tc>
        <w:tc>
          <w:tcPr>
            <w:tcW w:w="426"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662CE18C">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数量</w:t>
            </w:r>
          </w:p>
        </w:tc>
        <w:tc>
          <w:tcPr>
            <w:tcW w:w="745"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02D109C4">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单价（元）</w:t>
            </w:r>
          </w:p>
        </w:tc>
        <w:tc>
          <w:tcPr>
            <w:tcW w:w="781" w:type="pct"/>
            <w:tcBorders>
              <w:top w:val="single" w:color="auto" w:sz="12" w:space="0"/>
              <w:left w:val="single" w:color="auto" w:sz="6" w:space="0"/>
              <w:bottom w:val="double" w:color="auto" w:sz="6" w:space="0"/>
              <w:right w:val="single" w:color="auto" w:sz="6" w:space="0"/>
              <w:tl2br w:val="nil"/>
              <w:tr2bl w:val="nil"/>
            </w:tcBorders>
            <w:noWrap w:val="0"/>
            <w:vAlign w:val="center"/>
          </w:tcPr>
          <w:p w14:paraId="150B59F7">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合价（元）</w:t>
            </w:r>
          </w:p>
        </w:tc>
        <w:tc>
          <w:tcPr>
            <w:tcW w:w="938" w:type="pct"/>
            <w:tcBorders>
              <w:top w:val="single" w:color="auto" w:sz="12" w:space="0"/>
              <w:left w:val="single" w:color="auto" w:sz="6" w:space="0"/>
              <w:bottom w:val="double" w:color="auto" w:sz="6" w:space="0"/>
              <w:right w:val="single" w:color="auto" w:sz="12" w:space="0"/>
              <w:tl2br w:val="nil"/>
              <w:tr2bl w:val="nil"/>
            </w:tcBorders>
            <w:noWrap w:val="0"/>
            <w:vAlign w:val="center"/>
          </w:tcPr>
          <w:p w14:paraId="75ED15E7">
            <w:pPr>
              <w:keepNext/>
              <w:spacing w:beforeLines="0" w:afterLines="0" w:line="440" w:lineRule="exact"/>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备注</w:t>
            </w:r>
          </w:p>
        </w:tc>
      </w:tr>
      <w:tr w14:paraId="65D50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double" w:color="auto" w:sz="6" w:space="0"/>
              <w:left w:val="single" w:color="auto" w:sz="12" w:space="0"/>
              <w:bottom w:val="single" w:color="auto" w:sz="6" w:space="0"/>
              <w:right w:val="single" w:color="auto" w:sz="6" w:space="0"/>
              <w:tl2br w:val="nil"/>
              <w:tr2bl w:val="nil"/>
            </w:tcBorders>
            <w:noWrap w:val="0"/>
            <w:vAlign w:val="center"/>
          </w:tcPr>
          <w:p w14:paraId="3A3F1C8E">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94EB086">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8E0098A">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double" w:color="auto" w:sz="6" w:space="0"/>
              <w:left w:val="single" w:color="auto" w:sz="6" w:space="0"/>
              <w:bottom w:val="single" w:color="auto" w:sz="6" w:space="0"/>
              <w:right w:val="single" w:color="auto" w:sz="6" w:space="0"/>
              <w:tl2br w:val="nil"/>
              <w:tr2bl w:val="nil"/>
            </w:tcBorders>
            <w:noWrap w:val="0"/>
            <w:vAlign w:val="center"/>
          </w:tcPr>
          <w:p w14:paraId="4E3EE59B">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double" w:color="auto" w:sz="6" w:space="0"/>
              <w:left w:val="single" w:color="auto" w:sz="6" w:space="0"/>
              <w:bottom w:val="single" w:color="auto" w:sz="6" w:space="0"/>
              <w:right w:val="single" w:color="auto" w:sz="6" w:space="0"/>
              <w:tl2br w:val="nil"/>
              <w:tr2bl w:val="nil"/>
            </w:tcBorders>
            <w:noWrap w:val="0"/>
            <w:vAlign w:val="center"/>
          </w:tcPr>
          <w:p w14:paraId="359A7A9B">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double" w:color="auto" w:sz="6" w:space="0"/>
              <w:left w:val="single" w:color="auto" w:sz="6" w:space="0"/>
              <w:bottom w:val="single" w:color="auto" w:sz="6" w:space="0"/>
              <w:right w:val="single" w:color="auto" w:sz="6" w:space="0"/>
              <w:tl2br w:val="nil"/>
              <w:tr2bl w:val="nil"/>
            </w:tcBorders>
            <w:noWrap w:val="0"/>
            <w:vAlign w:val="center"/>
          </w:tcPr>
          <w:p w14:paraId="566406A1">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double" w:color="auto" w:sz="6" w:space="0"/>
              <w:left w:val="single" w:color="auto" w:sz="6" w:space="0"/>
              <w:bottom w:val="single" w:color="auto" w:sz="6" w:space="0"/>
              <w:right w:val="single" w:color="auto" w:sz="12" w:space="0"/>
              <w:tl2br w:val="nil"/>
              <w:tr2bl w:val="nil"/>
            </w:tcBorders>
            <w:noWrap w:val="0"/>
            <w:vAlign w:val="center"/>
          </w:tcPr>
          <w:p w14:paraId="7CE6994A">
            <w:pPr>
              <w:keepNext/>
              <w:spacing w:beforeLines="0" w:afterLines="0" w:line="440" w:lineRule="exact"/>
              <w:jc w:val="center"/>
              <w:rPr>
                <w:rFonts w:hint="eastAsia" w:ascii="Times New Roman" w:eastAsia="Times New Roman"/>
                <w:color w:val="auto"/>
                <w:sz w:val="24"/>
                <w:szCs w:val="21"/>
                <w:highlight w:val="none"/>
              </w:rPr>
            </w:pPr>
          </w:p>
        </w:tc>
      </w:tr>
      <w:tr w14:paraId="7C69A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nil"/>
              <w:left w:val="single" w:color="auto" w:sz="12" w:space="0"/>
              <w:bottom w:val="single" w:color="auto" w:sz="6" w:space="0"/>
              <w:right w:val="single" w:color="auto" w:sz="6" w:space="0"/>
              <w:tl2br w:val="nil"/>
              <w:tr2bl w:val="nil"/>
            </w:tcBorders>
            <w:noWrap w:val="0"/>
            <w:vAlign w:val="center"/>
          </w:tcPr>
          <w:p w14:paraId="556C5226">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nil"/>
              <w:left w:val="single" w:color="auto" w:sz="6" w:space="0"/>
              <w:bottom w:val="single" w:color="auto" w:sz="6" w:space="0"/>
              <w:right w:val="single" w:color="auto" w:sz="6" w:space="0"/>
              <w:tl2br w:val="nil"/>
              <w:tr2bl w:val="nil"/>
            </w:tcBorders>
            <w:noWrap w:val="0"/>
            <w:vAlign w:val="center"/>
          </w:tcPr>
          <w:p w14:paraId="3CE9C7ED">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nil"/>
              <w:left w:val="single" w:color="auto" w:sz="6" w:space="0"/>
              <w:bottom w:val="single" w:color="auto" w:sz="6" w:space="0"/>
              <w:right w:val="single" w:color="auto" w:sz="6" w:space="0"/>
              <w:tl2br w:val="nil"/>
              <w:tr2bl w:val="nil"/>
            </w:tcBorders>
            <w:noWrap w:val="0"/>
            <w:vAlign w:val="center"/>
          </w:tcPr>
          <w:p w14:paraId="6C3ADF8F">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nil"/>
              <w:left w:val="single" w:color="auto" w:sz="6" w:space="0"/>
              <w:bottom w:val="single" w:color="auto" w:sz="6" w:space="0"/>
              <w:right w:val="single" w:color="auto" w:sz="6" w:space="0"/>
              <w:tl2br w:val="nil"/>
              <w:tr2bl w:val="nil"/>
            </w:tcBorders>
            <w:noWrap w:val="0"/>
            <w:vAlign w:val="center"/>
          </w:tcPr>
          <w:p w14:paraId="79DB7C2C">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nil"/>
              <w:left w:val="single" w:color="auto" w:sz="6" w:space="0"/>
              <w:bottom w:val="single" w:color="auto" w:sz="6" w:space="0"/>
              <w:right w:val="single" w:color="auto" w:sz="6" w:space="0"/>
              <w:tl2br w:val="nil"/>
              <w:tr2bl w:val="nil"/>
            </w:tcBorders>
            <w:noWrap w:val="0"/>
            <w:vAlign w:val="center"/>
          </w:tcPr>
          <w:p w14:paraId="06BA07CD">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nil"/>
              <w:left w:val="single" w:color="auto" w:sz="6" w:space="0"/>
              <w:bottom w:val="single" w:color="auto" w:sz="6" w:space="0"/>
              <w:right w:val="single" w:color="auto" w:sz="6" w:space="0"/>
              <w:tl2br w:val="nil"/>
              <w:tr2bl w:val="nil"/>
            </w:tcBorders>
            <w:noWrap w:val="0"/>
            <w:vAlign w:val="center"/>
          </w:tcPr>
          <w:p w14:paraId="474761F2">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nil"/>
              <w:left w:val="single" w:color="auto" w:sz="6" w:space="0"/>
              <w:bottom w:val="single" w:color="auto" w:sz="6" w:space="0"/>
              <w:right w:val="single" w:color="auto" w:sz="12" w:space="0"/>
              <w:tl2br w:val="nil"/>
              <w:tr2bl w:val="nil"/>
            </w:tcBorders>
            <w:noWrap w:val="0"/>
            <w:vAlign w:val="center"/>
          </w:tcPr>
          <w:p w14:paraId="3A757D62">
            <w:pPr>
              <w:keepNext/>
              <w:spacing w:beforeLines="0" w:afterLines="0" w:line="440" w:lineRule="exact"/>
              <w:jc w:val="center"/>
              <w:rPr>
                <w:rFonts w:hint="eastAsia" w:ascii="Times New Roman" w:eastAsia="Times New Roman"/>
                <w:color w:val="auto"/>
                <w:sz w:val="24"/>
                <w:szCs w:val="21"/>
                <w:highlight w:val="none"/>
              </w:rPr>
            </w:pPr>
          </w:p>
        </w:tc>
      </w:tr>
      <w:tr w14:paraId="51034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3CEADB07">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20CEC8">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2D29791">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7AB869E">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96D283D">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86A3F9">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459381D0">
            <w:pPr>
              <w:keepNext/>
              <w:spacing w:beforeLines="0" w:afterLines="0" w:line="440" w:lineRule="exact"/>
              <w:jc w:val="center"/>
              <w:rPr>
                <w:rFonts w:hint="eastAsia" w:ascii="Times New Roman" w:eastAsia="Times New Roman"/>
                <w:color w:val="auto"/>
                <w:sz w:val="24"/>
                <w:szCs w:val="21"/>
                <w:highlight w:val="none"/>
              </w:rPr>
            </w:pPr>
          </w:p>
        </w:tc>
      </w:tr>
      <w:tr w14:paraId="678D2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548"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108ED903">
            <w:pPr>
              <w:keepNext/>
              <w:spacing w:beforeLines="0" w:afterLines="0" w:line="440" w:lineRule="exact"/>
              <w:jc w:val="center"/>
              <w:rPr>
                <w:rFonts w:hint="eastAsia" w:ascii="Times New Roman" w:eastAsia="Times New Roman"/>
                <w:color w:val="auto"/>
                <w:sz w:val="24"/>
                <w:szCs w:val="21"/>
                <w:highlight w:val="none"/>
              </w:rPr>
            </w:pPr>
          </w:p>
        </w:tc>
        <w:tc>
          <w:tcPr>
            <w:tcW w:w="1094"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96B3820">
            <w:pPr>
              <w:keepNext/>
              <w:spacing w:beforeLines="0" w:afterLines="0" w:line="440" w:lineRule="exact"/>
              <w:jc w:val="center"/>
              <w:rPr>
                <w:rFonts w:hint="eastAsia" w:ascii="Times New Roman" w:eastAsia="Times New Roman"/>
                <w:color w:val="auto"/>
                <w:sz w:val="24"/>
                <w:szCs w:val="21"/>
                <w:highlight w:val="none"/>
              </w:rPr>
            </w:pPr>
          </w:p>
        </w:tc>
        <w:tc>
          <w:tcPr>
            <w:tcW w:w="468"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5865ADC">
            <w:pPr>
              <w:keepNext/>
              <w:spacing w:beforeLines="0" w:afterLines="0" w:line="440" w:lineRule="exact"/>
              <w:jc w:val="center"/>
              <w:rPr>
                <w:rFonts w:hint="eastAsia" w:ascii="Times New Roman" w:eastAsia="Times New Roman"/>
                <w:color w:val="auto"/>
                <w:sz w:val="24"/>
                <w:szCs w:val="21"/>
                <w:highlight w:val="none"/>
              </w:rPr>
            </w:pPr>
          </w:p>
        </w:tc>
        <w:tc>
          <w:tcPr>
            <w:tcW w:w="426"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2F78A1E">
            <w:pPr>
              <w:keepNext/>
              <w:spacing w:beforeLines="0" w:afterLines="0" w:line="440" w:lineRule="exact"/>
              <w:jc w:val="center"/>
              <w:rPr>
                <w:rFonts w:hint="eastAsia" w:ascii="Times New Roman" w:eastAsia="Times New Roman"/>
                <w:color w:val="auto"/>
                <w:sz w:val="24"/>
                <w:szCs w:val="21"/>
                <w:highlight w:val="none"/>
              </w:rPr>
            </w:pPr>
          </w:p>
        </w:tc>
        <w:tc>
          <w:tcPr>
            <w:tcW w:w="745"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1355B012">
            <w:pPr>
              <w:keepNext/>
              <w:spacing w:beforeLines="0" w:afterLines="0" w:line="440" w:lineRule="exact"/>
              <w:jc w:val="center"/>
              <w:rPr>
                <w:rFonts w:hint="eastAsia" w:ascii="Times New Roman" w:eastAsia="Times New Roman"/>
                <w:color w:val="auto"/>
                <w:sz w:val="24"/>
                <w:szCs w:val="21"/>
                <w:highlight w:val="none"/>
              </w:rPr>
            </w:pPr>
          </w:p>
        </w:tc>
        <w:tc>
          <w:tcPr>
            <w:tcW w:w="781"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41E9B59A">
            <w:pPr>
              <w:keepNext/>
              <w:spacing w:beforeLines="0" w:afterLines="0" w:line="440" w:lineRule="exact"/>
              <w:jc w:val="center"/>
              <w:rPr>
                <w:rFonts w:hint="eastAsia" w:ascii="Times New Roman" w:eastAsia="Times New Roman"/>
                <w:color w:val="auto"/>
                <w:sz w:val="24"/>
                <w:szCs w:val="21"/>
                <w:highlight w:val="none"/>
              </w:rPr>
            </w:pPr>
          </w:p>
        </w:tc>
        <w:tc>
          <w:tcPr>
            <w:tcW w:w="938"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2ED5CB0B">
            <w:pPr>
              <w:keepNext/>
              <w:spacing w:beforeLines="0" w:afterLines="0" w:line="440" w:lineRule="exact"/>
              <w:jc w:val="center"/>
              <w:rPr>
                <w:rFonts w:hint="eastAsia" w:ascii="Times New Roman" w:eastAsia="Times New Roman"/>
                <w:color w:val="auto"/>
                <w:sz w:val="24"/>
                <w:szCs w:val="21"/>
                <w:highlight w:val="none"/>
              </w:rPr>
            </w:pPr>
          </w:p>
        </w:tc>
      </w:tr>
    </w:tbl>
    <w:p w14:paraId="35A26D72">
      <w:pPr>
        <w:spacing w:beforeLines="0" w:afterLines="0"/>
        <w:rPr>
          <w:rFonts w:hint="eastAsia" w:ascii="Times New Roman" w:eastAsia="Times New Roman"/>
          <w:color w:val="auto"/>
          <w:sz w:val="24"/>
          <w:szCs w:val="21"/>
          <w:highlight w:val="none"/>
        </w:rPr>
      </w:pPr>
    </w:p>
    <w:p w14:paraId="18E78CEB">
      <w:pPr>
        <w:spacing w:before="240" w:beforeLines="100" w:after="240" w:afterLines="100"/>
        <w:outlineLvl w:val="2"/>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bookmarkStart w:id="977" w:name="_Toc128950248"/>
      <w:r>
        <w:rPr>
          <w:rFonts w:hint="eastAsia" w:ascii="Times New Roman" w:eastAsia="黑体"/>
          <w:color w:val="auto"/>
          <w:sz w:val="24"/>
          <w:szCs w:val="24"/>
          <w:highlight w:val="none"/>
        </w:rPr>
        <w:t>附件13：安全生产合同</w:t>
      </w:r>
      <w:bookmarkEnd w:id="977"/>
    </w:p>
    <w:p w14:paraId="1ACBCF92">
      <w:pPr>
        <w:spacing w:before="120" w:beforeLines="50" w:after="120" w:afterLines="50" w:line="360" w:lineRule="auto"/>
        <w:jc w:val="center"/>
        <w:rPr>
          <w:rFonts w:hint="eastAsia" w:ascii="Times New Roman"/>
          <w:b/>
          <w:color w:val="auto"/>
          <w:sz w:val="32"/>
          <w:szCs w:val="32"/>
          <w:highlight w:val="none"/>
        </w:rPr>
      </w:pPr>
      <w:bookmarkStart w:id="978" w:name="_Toc11475"/>
      <w:bookmarkStart w:id="979" w:name="_Toc23792"/>
      <w:r>
        <w:rPr>
          <w:rFonts w:hint="eastAsia" w:ascii="Times New Roman"/>
          <w:b/>
          <w:color w:val="auto"/>
          <w:sz w:val="32"/>
          <w:szCs w:val="32"/>
          <w:highlight w:val="none"/>
        </w:rPr>
        <w:t>安全生产合同</w:t>
      </w:r>
      <w:bookmarkEnd w:id="978"/>
      <w:bookmarkEnd w:id="979"/>
    </w:p>
    <w:p w14:paraId="42037AE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为在</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（项目名称）</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（标段）施工合同的实施过程中创造安全、高效的施工环境，切实搞好本项目的安全管理工作，本项目发包人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（发包人名称，以下简称“发包人”）与承包人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（承包人名称，以下简称“承包人”）特此签订安全生产合同：</w:t>
      </w:r>
    </w:p>
    <w:p w14:paraId="1C97DDB5">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1.发包人职责</w:t>
      </w:r>
    </w:p>
    <w:p w14:paraId="279E5C8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（1）严格遵守国家有关安全生产的法律法规，认真执行工程承包合同中的有关安全要求。</w:t>
      </w:r>
    </w:p>
    <w:p w14:paraId="087C58F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（2）按照“安全第一、预防为主”和坚持“管生产必须管安全”的原则进行安全生产管理，做到生产与安全工作同时计划、布置、检查、总结和评比。</w:t>
      </w:r>
    </w:p>
    <w:p w14:paraId="51703B08">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（3）重要的安全设施必须坚持与主体工程“三同时”的原则，即：同时设计、审批，同时施工，同时验收，投入使用。</w:t>
      </w:r>
    </w:p>
    <w:p w14:paraId="711AAFD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（4）定期召开安全生产调度会，及时传达中央及地方有关安全生产的精神。</w:t>
      </w:r>
    </w:p>
    <w:p w14:paraId="615FEBB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（5）组织对承包人施工现场安全生产检查，监督承包人及时处理发现的各种安全隐患。</w:t>
      </w:r>
    </w:p>
    <w:p w14:paraId="4E6DCEF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2.承包人职责</w:t>
      </w:r>
    </w:p>
    <w:p w14:paraId="37BF2632">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77135E8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1934087">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建设工程安全生产管理条例》及有关规定的配备专职安全生产管理人员，专职负责所有员工的安全和治安保卫工作及预防事故的发生。安全机构人员有权按有关规定发布指令，并采取保护性措施防止事故发生。</w:t>
      </w:r>
    </w:p>
    <w:p w14:paraId="6764E2C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（4）承包人在任何时候都应采取各种合理的预防措施，防止其员工发生任何违法、违禁、暴力或妨碍治安的行为。</w:t>
      </w:r>
    </w:p>
    <w:p w14:paraId="086730D7">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654E039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6726D379">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（7）操作人员上岗，必须按规定穿戴防护用品。施工负责人和安全检查员应随时检查劳动防护用品的穿戴情况，不按规定穿戴防护用品的人员不得上岗。</w:t>
      </w:r>
    </w:p>
    <w:p w14:paraId="4D719BA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（8）所有施工机具设备和高空作业的设备均应定期检查，并有安全员的签字记录，保证其经常处于完好状态；不合格的机具、设备和劳动保护用品严禁使用：</w:t>
      </w:r>
    </w:p>
    <w:p w14:paraId="2452E479">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（9）施工中采用新技术、新工艺、新设备、新材料时，必须制定相应的安全技术措施，施工现场必须具有相关的安全标志牌。</w:t>
      </w:r>
    </w:p>
    <w:p w14:paraId="2CBB86F7">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4846D76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（11）安全生产费用按照《建设工程安全生产管理条例》的相关规定使用和管理。</w:t>
      </w:r>
    </w:p>
    <w:p w14:paraId="32075D2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3.违约责任</w:t>
      </w:r>
    </w:p>
    <w:p w14:paraId="13346CA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如因发包人或承包人违约造成安全事故，将依法追究责任。</w:t>
      </w:r>
    </w:p>
    <w:p w14:paraId="5EA6759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4.本合同由双方法定代表人或其授权的代理人签署并加盖单位章后生效，全部工程竣工验收后失效。</w:t>
      </w:r>
    </w:p>
    <w:p w14:paraId="43AB16B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5.本合同正本—式</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份，副本</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份，合同双方各执正本—份，副本</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份，当正本与副本的内容不一致时，以正本为准。</w:t>
      </w:r>
    </w:p>
    <w:p w14:paraId="4D6091AA">
      <w:pPr>
        <w:spacing w:beforeLines="0" w:afterLines="0" w:line="360" w:lineRule="auto"/>
        <w:rPr>
          <w:rFonts w:hint="eastAsia" w:ascii="Times New Roman" w:eastAsia="隶书"/>
          <w:color w:val="auto"/>
          <w:sz w:val="24"/>
          <w:szCs w:val="21"/>
          <w:highlight w:val="none"/>
        </w:rPr>
      </w:pPr>
    </w:p>
    <w:p w14:paraId="594AFAE8">
      <w:pPr>
        <w:spacing w:beforeLines="0" w:afterLines="0" w:line="360" w:lineRule="auto"/>
        <w:rPr>
          <w:rFonts w:hint="eastAsia" w:ascii="Times New Roman" w:eastAsia="隶书"/>
          <w:color w:val="auto"/>
          <w:sz w:val="24"/>
          <w:szCs w:val="21"/>
          <w:highlight w:val="none"/>
        </w:rPr>
      </w:pPr>
    </w:p>
    <w:p w14:paraId="64C3D355">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发包人：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          承包人：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3D227CB8">
      <w:pPr>
        <w:spacing w:beforeLines="0" w:afterLines="0" w:line="360" w:lineRule="auto"/>
        <w:rPr>
          <w:rFonts w:hint="eastAsia" w:ascii="Times New Roman"/>
          <w:color w:val="auto"/>
          <w:sz w:val="24"/>
          <w:szCs w:val="21"/>
          <w:highlight w:val="none"/>
        </w:rPr>
      </w:pPr>
    </w:p>
    <w:p w14:paraId="40CF4478">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法定代表人或其委托代理人：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     法定代表人或其委托代理人：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w:t>
      </w:r>
    </w:p>
    <w:p w14:paraId="7E5E81EA">
      <w:pPr>
        <w:spacing w:beforeLines="0" w:afterLines="0" w:line="360" w:lineRule="auto"/>
        <w:rPr>
          <w:rFonts w:hint="eastAsia" w:ascii="Times New Roman"/>
          <w:color w:val="auto"/>
          <w:sz w:val="24"/>
          <w:szCs w:val="21"/>
          <w:highlight w:val="none"/>
        </w:rPr>
      </w:pPr>
    </w:p>
    <w:p w14:paraId="4776E26A">
      <w:pPr>
        <w:spacing w:beforeLines="0" w:afterLines="0" w:line="360" w:lineRule="auto"/>
        <w:ind w:firstLine="840"/>
        <w:rPr>
          <w:rFonts w:hint="eastAsia" w:ascii="Times New Roman"/>
          <w:color w:val="auto"/>
          <w:sz w:val="24"/>
          <w:szCs w:val="21"/>
          <w:highlight w:val="none"/>
        </w:rPr>
      </w:pP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 xml:space="preserve">日                </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6583DC83">
      <w:pPr>
        <w:spacing w:before="240" w:beforeLines="100" w:after="240" w:afterLines="100"/>
        <w:outlineLvl w:val="2"/>
        <w:rPr>
          <w:rFonts w:hint="eastAsia" w:ascii="Times New Roman" w:eastAsia="黑体"/>
          <w:color w:val="auto"/>
          <w:sz w:val="24"/>
          <w:szCs w:val="24"/>
          <w:highlight w:val="none"/>
        </w:rPr>
      </w:pPr>
      <w:r>
        <w:rPr>
          <w:rFonts w:hint="eastAsia" w:ascii="Times New Roman" w:eastAsia="Times New Roman"/>
          <w:color w:val="auto"/>
          <w:kern w:val="44"/>
          <w:sz w:val="32"/>
          <w:szCs w:val="44"/>
          <w:highlight w:val="none"/>
        </w:rPr>
        <w:br w:type="page"/>
      </w:r>
      <w:bookmarkStart w:id="980" w:name="_Toc128950249"/>
      <w:r>
        <w:rPr>
          <w:rFonts w:hint="eastAsia" w:ascii="Times New Roman" w:eastAsia="黑体"/>
          <w:color w:val="auto"/>
          <w:sz w:val="24"/>
          <w:szCs w:val="24"/>
          <w:highlight w:val="none"/>
        </w:rPr>
        <w:t>附件14：项目经理质量终身责任制承诺</w:t>
      </w:r>
      <w:bookmarkEnd w:id="980"/>
    </w:p>
    <w:p w14:paraId="1FDAB6B7">
      <w:pPr>
        <w:spacing w:before="120" w:beforeLines="50" w:after="120" w:afterLines="50" w:line="360" w:lineRule="auto"/>
        <w:jc w:val="center"/>
        <w:rPr>
          <w:rFonts w:hint="eastAsia" w:ascii="Times New Roman"/>
          <w:b/>
          <w:color w:val="auto"/>
          <w:sz w:val="32"/>
          <w:szCs w:val="32"/>
          <w:highlight w:val="none"/>
        </w:rPr>
      </w:pPr>
      <w:bookmarkStart w:id="981" w:name="_Toc19417"/>
      <w:bookmarkStart w:id="982" w:name="_Toc128950250"/>
      <w:bookmarkStart w:id="983" w:name="_Toc14540"/>
      <w:r>
        <w:rPr>
          <w:rFonts w:hint="eastAsia" w:ascii="Times New Roman"/>
          <w:b/>
          <w:color w:val="auto"/>
          <w:sz w:val="32"/>
          <w:szCs w:val="32"/>
          <w:highlight w:val="none"/>
        </w:rPr>
        <w:t>项目经理质量终身责任制承诺</w:t>
      </w:r>
      <w:bookmarkEnd w:id="981"/>
      <w:bookmarkEnd w:id="982"/>
      <w:bookmarkEnd w:id="983"/>
    </w:p>
    <w:p w14:paraId="1972CFAA">
      <w:pPr>
        <w:spacing w:beforeLines="0" w:afterLines="0" w:line="360" w:lineRule="auto"/>
        <w:rPr>
          <w:rFonts w:hint="eastAsia" w:ascii="Times New Roman"/>
          <w:color w:val="auto"/>
          <w:sz w:val="24"/>
          <w:szCs w:val="21"/>
          <w:highlight w:val="none"/>
        </w:rPr>
      </w:pPr>
      <w:r>
        <w:rPr>
          <w:rFonts w:hint="eastAsia" w:ascii="Times New Roman" w:cs="宋体"/>
          <w:color w:val="auto"/>
          <w:sz w:val="24"/>
          <w:szCs w:val="24"/>
          <w:highlight w:val="none"/>
        </w:rPr>
        <w:t>致：</w:t>
      </w:r>
      <w:r>
        <w:rPr>
          <w:rFonts w:hint="eastAsia" w:ascii="Times New Roman" w:cs="宋体"/>
          <w:color w:val="auto"/>
          <w:sz w:val="24"/>
          <w:szCs w:val="24"/>
          <w:highlight w:val="none"/>
          <w:u w:val="single"/>
        </w:rPr>
        <w:t>（招标人）</w:t>
      </w:r>
    </w:p>
    <w:p w14:paraId="5338F21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本人作为施工项目经理，承担相关质量终身责任，现郑重承诺如下：</w:t>
      </w:r>
    </w:p>
    <w:p w14:paraId="3C10428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一、在取得施工许可证后进行施工。</w:t>
      </w:r>
    </w:p>
    <w:p w14:paraId="05D294D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二、严格执行施工规范及标准。</w:t>
      </w:r>
    </w:p>
    <w:p w14:paraId="0E7A72E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三、严格按规定配备施工项目部关键岗位人员，并确保所有人员到岗履职。</w:t>
      </w:r>
    </w:p>
    <w:p w14:paraId="1D9D2B59">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四、严格按照经施工图审查机构审查合格的工程设计文件及合同约定的质量标准精心组织施工。</w:t>
      </w:r>
    </w:p>
    <w:p w14:paraId="2DE7F00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五、施工中采用合格的建筑材料、建筑构配件和设备等，并严格按规定执行见证取样制度。</w:t>
      </w:r>
    </w:p>
    <w:p w14:paraId="4EF5EF25">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六、建立、健全质量检查、验收制度，严格工序管理，做好隐蔽工程质量的检查和记录。</w:t>
      </w:r>
    </w:p>
    <w:p w14:paraId="56C62EB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七、对施工中出现的质量问题，及时进行整改。严格依法依规履行义务。</w:t>
      </w:r>
    </w:p>
    <w:p w14:paraId="20FB9AFE">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八、履行相关工程质量检查、验收及事故处理等职责。</w:t>
      </w:r>
    </w:p>
    <w:p w14:paraId="1E400965">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九、履行其他法律法规规定的职责。</w:t>
      </w:r>
    </w:p>
    <w:p w14:paraId="3813B229">
      <w:pPr>
        <w:spacing w:beforeLines="0" w:afterLines="0" w:line="360" w:lineRule="auto"/>
        <w:ind w:left="410" w:leftChars="171" w:firstLine="720" w:firstLineChars="300"/>
        <w:rPr>
          <w:rFonts w:hint="eastAsia" w:ascii="Times New Roman"/>
          <w:color w:val="auto"/>
          <w:sz w:val="24"/>
          <w:szCs w:val="21"/>
          <w:highlight w:val="none"/>
        </w:rPr>
      </w:pPr>
    </w:p>
    <w:p w14:paraId="429664BC">
      <w:pPr>
        <w:spacing w:beforeLines="0" w:afterLines="0" w:line="360" w:lineRule="auto"/>
        <w:ind w:left="410" w:leftChars="171" w:firstLine="720" w:firstLineChars="300"/>
        <w:rPr>
          <w:rFonts w:hint="eastAsia" w:ascii="Times New Roman"/>
          <w:color w:val="auto"/>
          <w:sz w:val="24"/>
          <w:szCs w:val="21"/>
          <w:highlight w:val="none"/>
        </w:rPr>
      </w:pPr>
    </w:p>
    <w:p w14:paraId="37BCA46A">
      <w:pPr>
        <w:spacing w:beforeLines="0" w:afterLines="0" w:line="360" w:lineRule="auto"/>
        <w:ind w:left="410" w:leftChars="171" w:firstLine="720" w:firstLineChars="300"/>
        <w:rPr>
          <w:rFonts w:hint="eastAsia" w:ascii="Times New Roman"/>
          <w:color w:val="auto"/>
          <w:sz w:val="24"/>
          <w:szCs w:val="21"/>
          <w:highlight w:val="none"/>
        </w:rPr>
      </w:pPr>
      <w:r>
        <w:rPr>
          <w:rFonts w:hint="eastAsia" w:ascii="Times New Roman"/>
          <w:color w:val="auto"/>
          <w:sz w:val="24"/>
          <w:szCs w:val="21"/>
          <w:highlight w:val="none"/>
        </w:rPr>
        <w:t>项目经理：</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w:t>
      </w:r>
    </w:p>
    <w:p w14:paraId="53D81FE1">
      <w:pPr>
        <w:spacing w:beforeLines="0" w:afterLines="0" w:line="360" w:lineRule="auto"/>
        <w:ind w:left="410" w:leftChars="171" w:firstLine="720" w:firstLineChars="300"/>
        <w:rPr>
          <w:rFonts w:hint="eastAsia" w:ascii="Times New Roman"/>
          <w:color w:val="auto"/>
          <w:sz w:val="24"/>
          <w:szCs w:val="21"/>
          <w:highlight w:val="none"/>
        </w:rPr>
      </w:pPr>
      <w:r>
        <w:rPr>
          <w:rFonts w:hint="eastAsia" w:ascii="Times New Roman"/>
          <w:color w:val="auto"/>
          <w:sz w:val="24"/>
          <w:szCs w:val="21"/>
          <w:highlight w:val="none"/>
        </w:rPr>
        <w:t>日期：_____年____月____日</w:t>
      </w:r>
    </w:p>
    <w:p w14:paraId="59BFA291">
      <w:pPr>
        <w:pStyle w:val="2"/>
        <w:spacing w:before="240" w:beforeLines="100" w:after="240" w:afterLines="100" w:line="240" w:lineRule="auto"/>
        <w:jc w:val="center"/>
        <w:rPr>
          <w:rFonts w:hint="eastAsia" w:ascii="Times New Roman" w:eastAsia="Times New Roman"/>
          <w:color w:val="auto"/>
          <w:sz w:val="32"/>
          <w:szCs w:val="44"/>
          <w:highlight w:val="none"/>
        </w:rPr>
      </w:pPr>
      <w:r>
        <w:rPr>
          <w:rFonts w:hint="eastAsia" w:ascii="Times New Roman" w:eastAsia="黑体"/>
          <w:color w:val="auto"/>
          <w:sz w:val="32"/>
          <w:szCs w:val="44"/>
          <w:highlight w:val="none"/>
        </w:rPr>
        <w:br w:type="page"/>
      </w:r>
      <w:r>
        <w:rPr>
          <w:rFonts w:hint="eastAsia" w:ascii="Times New Roman"/>
          <w:color w:val="auto"/>
          <w:sz w:val="32"/>
          <w:szCs w:val="44"/>
          <w:highlight w:val="none"/>
        </w:rPr>
        <w:t>第五章  工程量清单</w:t>
      </w:r>
    </w:p>
    <w:p w14:paraId="40BCF3DC">
      <w:pPr>
        <w:keepNext/>
        <w:keepLines/>
        <w:spacing w:before="240" w:beforeLines="100" w:after="240" w:afterLines="100"/>
        <w:outlineLvl w:val="1"/>
        <w:rPr>
          <w:rFonts w:hint="eastAsia" w:ascii="Times New Roman" w:eastAsia="Times New Roman"/>
          <w:color w:val="auto"/>
          <w:sz w:val="32"/>
          <w:szCs w:val="32"/>
          <w:highlight w:val="none"/>
        </w:rPr>
      </w:pPr>
      <w:bookmarkStart w:id="984" w:name="_Toc130919124"/>
      <w:bookmarkStart w:id="985" w:name="_Toc22767"/>
      <w:r>
        <w:rPr>
          <w:rFonts w:hint="eastAsia" w:ascii="Times New Roman" w:eastAsia="黑体"/>
          <w:color w:val="auto"/>
          <w:sz w:val="32"/>
          <w:szCs w:val="32"/>
          <w:highlight w:val="none"/>
        </w:rPr>
        <w:t>1. 计价依据</w:t>
      </w:r>
      <w:bookmarkEnd w:id="984"/>
      <w:bookmarkEnd w:id="985"/>
    </w:p>
    <w:p w14:paraId="7DF71D65">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 计价依据的确定符合国家法律法规、现行有关标准与规范，工程所在地的省、市工程定额和工程造价的规定以及工程造价信息要求。</w:t>
      </w:r>
    </w:p>
    <w:p w14:paraId="19942752">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 安全文明施工费按下表执行：</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2"/>
        <w:gridCol w:w="1414"/>
        <w:gridCol w:w="1420"/>
        <w:gridCol w:w="1420"/>
        <w:gridCol w:w="1420"/>
        <w:gridCol w:w="1427"/>
      </w:tblGrid>
      <w:tr w14:paraId="601D4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368F38">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项目名称</w:t>
            </w:r>
          </w:p>
        </w:tc>
        <w:tc>
          <w:tcPr>
            <w:tcW w:w="830"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AE77C">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计费基础</w:t>
            </w:r>
          </w:p>
        </w:tc>
        <w:tc>
          <w:tcPr>
            <w:tcW w:w="3339" w:type="pct"/>
            <w:gridSpan w:val="4"/>
            <w:tcBorders>
              <w:top w:val="single" w:color="000000" w:sz="4" w:space="0"/>
              <w:left w:val="single" w:color="000000" w:sz="4" w:space="0"/>
              <w:bottom w:val="single" w:color="000000" w:sz="4" w:space="0"/>
              <w:right w:val="single" w:color="000000" w:sz="4" w:space="0"/>
              <w:tl2br w:val="nil"/>
              <w:tr2bl w:val="nil"/>
            </w:tcBorders>
            <w:noWrap/>
            <w:vAlign w:val="center"/>
          </w:tcPr>
          <w:p w14:paraId="76E94AA5">
            <w:pPr>
              <w:widowControl/>
              <w:spacing w:beforeLines="0" w:afterLines="0"/>
              <w:jc w:val="center"/>
              <w:textAlignment w:val="center"/>
              <w:rPr>
                <w:rFonts w:hint="eastAsia" w:hAnsi="宋体" w:cs="宋体"/>
                <w:color w:val="auto"/>
                <w:sz w:val="24"/>
                <w:szCs w:val="24"/>
                <w:highlight w:val="none"/>
              </w:rPr>
            </w:pPr>
            <w:r>
              <w:rPr>
                <w:rFonts w:hint="eastAsia" w:hAnsi="宋体" w:cs="宋体"/>
                <w:color w:val="auto"/>
                <w:sz w:val="24"/>
                <w:szCs w:val="24"/>
                <w:highlight w:val="none"/>
                <w:lang w:bidi="ar"/>
              </w:rPr>
              <w:t>费率（%）</w:t>
            </w:r>
          </w:p>
        </w:tc>
      </w:tr>
      <w:tr w14:paraId="2A753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trPr>
        <w:tc>
          <w:tcPr>
            <w:tcW w:w="8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5C25AA88">
            <w:pPr>
              <w:spacing w:beforeLines="0" w:afterLines="0"/>
              <w:jc w:val="center"/>
              <w:rPr>
                <w:rFonts w:hint="eastAsia" w:hAnsi="宋体" w:cs="宋体"/>
                <w:color w:val="auto"/>
                <w:sz w:val="24"/>
                <w:szCs w:val="24"/>
                <w:highlight w:val="none"/>
              </w:rPr>
            </w:pPr>
          </w:p>
        </w:tc>
        <w:tc>
          <w:tcPr>
            <w:tcW w:w="83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377DEECB">
            <w:pPr>
              <w:spacing w:beforeLines="0" w:afterLines="0"/>
              <w:jc w:val="center"/>
              <w:rPr>
                <w:rFonts w:hint="eastAsia" w:hAnsi="宋体" w:cs="宋体"/>
                <w:color w:val="auto"/>
                <w:sz w:val="24"/>
                <w:szCs w:val="24"/>
                <w:highlight w:val="none"/>
              </w:rPr>
            </w:pPr>
          </w:p>
        </w:tc>
        <w:tc>
          <w:tcPr>
            <w:tcW w:w="834"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bottom"/>
          </w:tcPr>
          <w:p w14:paraId="152BA6D4">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建筑工程</w:t>
            </w:r>
          </w:p>
        </w:tc>
        <w:tc>
          <w:tcPr>
            <w:tcW w:w="834"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bottom"/>
          </w:tcPr>
          <w:p w14:paraId="76790F9B">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市政公用工程</w:t>
            </w:r>
          </w:p>
        </w:tc>
        <w:tc>
          <w:tcPr>
            <w:tcW w:w="834"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bottom"/>
          </w:tcPr>
          <w:p w14:paraId="5389D02F">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房屋修缮工程</w:t>
            </w:r>
          </w:p>
        </w:tc>
        <w:tc>
          <w:tcPr>
            <w:tcW w:w="836"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bottom"/>
          </w:tcPr>
          <w:p w14:paraId="3691137F">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市政设施养护维修工程</w:t>
            </w:r>
          </w:p>
        </w:tc>
      </w:tr>
      <w:tr w14:paraId="5325F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trPr>
        <w:tc>
          <w:tcPr>
            <w:tcW w:w="8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53E2D4F8">
            <w:pPr>
              <w:spacing w:beforeLines="0" w:afterLines="0"/>
              <w:jc w:val="center"/>
              <w:rPr>
                <w:rFonts w:hint="eastAsia" w:hAnsi="宋体" w:cs="宋体"/>
                <w:color w:val="auto"/>
                <w:sz w:val="24"/>
                <w:szCs w:val="24"/>
                <w:highlight w:val="none"/>
              </w:rPr>
            </w:pPr>
          </w:p>
        </w:tc>
        <w:tc>
          <w:tcPr>
            <w:tcW w:w="83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38FDA662">
            <w:pPr>
              <w:spacing w:beforeLines="0" w:afterLines="0"/>
              <w:jc w:val="center"/>
              <w:rPr>
                <w:rFonts w:hint="eastAsia" w:hAnsi="宋体" w:cs="宋体"/>
                <w:color w:val="auto"/>
                <w:sz w:val="24"/>
                <w:szCs w:val="24"/>
                <w:highlight w:val="none"/>
              </w:rPr>
            </w:pPr>
          </w:p>
        </w:tc>
        <w:tc>
          <w:tcPr>
            <w:tcW w:w="83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33F2709D">
            <w:pPr>
              <w:spacing w:beforeLines="0" w:afterLines="0"/>
              <w:jc w:val="center"/>
              <w:rPr>
                <w:rFonts w:hint="eastAsia" w:hAnsi="宋体" w:cs="宋体"/>
                <w:color w:val="auto"/>
                <w:sz w:val="24"/>
                <w:szCs w:val="24"/>
                <w:highlight w:val="none"/>
              </w:rPr>
            </w:pPr>
          </w:p>
        </w:tc>
        <w:tc>
          <w:tcPr>
            <w:tcW w:w="83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46E6BBD5">
            <w:pPr>
              <w:spacing w:beforeLines="0" w:afterLines="0"/>
              <w:jc w:val="center"/>
              <w:rPr>
                <w:rFonts w:hint="eastAsia" w:hAnsi="宋体" w:cs="宋体"/>
                <w:color w:val="auto"/>
                <w:sz w:val="24"/>
                <w:szCs w:val="24"/>
                <w:highlight w:val="none"/>
              </w:rPr>
            </w:pPr>
          </w:p>
        </w:tc>
        <w:tc>
          <w:tcPr>
            <w:tcW w:w="83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3ADF595F">
            <w:pPr>
              <w:spacing w:beforeLines="0" w:afterLines="0"/>
              <w:jc w:val="center"/>
              <w:rPr>
                <w:rFonts w:hint="eastAsia" w:hAnsi="宋体" w:cs="宋体"/>
                <w:color w:val="auto"/>
                <w:sz w:val="24"/>
                <w:szCs w:val="24"/>
                <w:highlight w:val="none"/>
              </w:rPr>
            </w:pPr>
          </w:p>
        </w:tc>
        <w:tc>
          <w:tcPr>
            <w:tcW w:w="83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669329CF">
            <w:pPr>
              <w:spacing w:beforeLines="0" w:afterLines="0"/>
              <w:jc w:val="center"/>
              <w:rPr>
                <w:rFonts w:hint="eastAsia" w:hAnsi="宋体" w:cs="宋体"/>
                <w:color w:val="auto"/>
                <w:sz w:val="24"/>
                <w:szCs w:val="24"/>
                <w:highlight w:val="none"/>
              </w:rPr>
            </w:pPr>
          </w:p>
        </w:tc>
      </w:tr>
      <w:tr w14:paraId="3E4CB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829"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3994FECF">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环境保护费</w:t>
            </w:r>
          </w:p>
        </w:tc>
        <w:tc>
          <w:tcPr>
            <w:tcW w:w="830"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C4C242">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定额人工费</w:t>
            </w:r>
            <w:r>
              <w:rPr>
                <w:rStyle w:val="30"/>
                <w:rFonts w:hint="eastAsia"/>
                <w:color w:val="auto"/>
                <w:sz w:val="24"/>
                <w:szCs w:val="24"/>
                <w:highlight w:val="none"/>
                <w:lang w:bidi="ar"/>
              </w:rPr>
              <w:t>+</w:t>
            </w:r>
            <w:r>
              <w:rPr>
                <w:rStyle w:val="29"/>
                <w:rFonts w:hint="eastAsia"/>
                <w:color w:val="auto"/>
                <w:sz w:val="24"/>
                <w:szCs w:val="24"/>
                <w:highlight w:val="none"/>
                <w:lang w:bidi="ar"/>
              </w:rPr>
              <w:t>定额机械费</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68040A47">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3.28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1978B028">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3.57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0D951F41">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1.00 </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36F01180">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3.57 </w:t>
            </w:r>
          </w:p>
        </w:tc>
      </w:tr>
      <w:tr w14:paraId="19D20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829"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65A1DEAA">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文明施工费</w:t>
            </w:r>
          </w:p>
        </w:tc>
        <w:tc>
          <w:tcPr>
            <w:tcW w:w="83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06D9733E">
            <w:pPr>
              <w:spacing w:beforeLines="0" w:afterLines="0"/>
              <w:jc w:val="center"/>
              <w:rPr>
                <w:rFonts w:hint="eastAsia" w:hAnsi="宋体" w:cs="宋体"/>
                <w:color w:val="auto"/>
                <w:sz w:val="24"/>
                <w:szCs w:val="24"/>
                <w:highlight w:val="none"/>
              </w:rPr>
            </w:pP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5090907E">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5.12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458AD785">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7.33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66C92380">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1.60 </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2706C418">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7.33 </w:t>
            </w:r>
          </w:p>
        </w:tc>
      </w:tr>
      <w:tr w14:paraId="5B87C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829"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25AFC094">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安全施工费</w:t>
            </w:r>
          </w:p>
        </w:tc>
        <w:tc>
          <w:tcPr>
            <w:tcW w:w="83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5ED9E7B7">
            <w:pPr>
              <w:spacing w:beforeLines="0" w:afterLines="0"/>
              <w:jc w:val="center"/>
              <w:rPr>
                <w:rFonts w:hint="eastAsia" w:hAnsi="宋体" w:cs="宋体"/>
                <w:color w:val="auto"/>
                <w:sz w:val="24"/>
                <w:szCs w:val="24"/>
                <w:highlight w:val="none"/>
              </w:rPr>
            </w:pP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678BC784">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4.13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3818D811">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5.28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6F3A11F9">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5.20 </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0935892E">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5.28 </w:t>
            </w:r>
          </w:p>
        </w:tc>
      </w:tr>
      <w:tr w14:paraId="116AC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829"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483022AB">
            <w:pPr>
              <w:widowControl/>
              <w:spacing w:beforeLines="0" w:afterLines="0"/>
              <w:jc w:val="center"/>
              <w:textAlignment w:val="bottom"/>
              <w:rPr>
                <w:rFonts w:hint="eastAsia" w:hAnsi="宋体" w:cs="宋体"/>
                <w:color w:val="auto"/>
                <w:sz w:val="24"/>
                <w:szCs w:val="24"/>
                <w:highlight w:val="none"/>
              </w:rPr>
            </w:pPr>
            <w:r>
              <w:rPr>
                <w:rFonts w:hint="eastAsia" w:hAnsi="宋体" w:cs="宋体"/>
                <w:color w:val="auto"/>
                <w:sz w:val="24"/>
                <w:szCs w:val="24"/>
                <w:highlight w:val="none"/>
                <w:lang w:bidi="ar"/>
              </w:rPr>
              <w:t>临时设施费</w:t>
            </w:r>
          </w:p>
        </w:tc>
        <w:tc>
          <w:tcPr>
            <w:tcW w:w="83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bottom"/>
          </w:tcPr>
          <w:p w14:paraId="3D25F89F">
            <w:pPr>
              <w:spacing w:beforeLines="0" w:afterLines="0"/>
              <w:jc w:val="center"/>
              <w:rPr>
                <w:rFonts w:hint="eastAsia" w:hAnsi="宋体" w:cs="宋体"/>
                <w:color w:val="auto"/>
                <w:sz w:val="24"/>
                <w:szCs w:val="24"/>
                <w:highlight w:val="none"/>
              </w:rPr>
            </w:pP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4FB245EF">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8.10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4579A500">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9.99 </w:t>
            </w:r>
          </w:p>
        </w:tc>
        <w:tc>
          <w:tcPr>
            <w:tcW w:w="834"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20C8AE8A">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3.20 </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0"/>
            <w:vAlign w:val="bottom"/>
          </w:tcPr>
          <w:p w14:paraId="56364A6B">
            <w:pPr>
              <w:widowControl/>
              <w:spacing w:beforeLines="0" w:afterLines="0"/>
              <w:jc w:val="center"/>
              <w:textAlignment w:val="bottom"/>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lang w:bidi="ar"/>
              </w:rPr>
              <w:t xml:space="preserve">7.99 </w:t>
            </w:r>
          </w:p>
        </w:tc>
      </w:tr>
    </w:tbl>
    <w:p w14:paraId="757D973A">
      <w:pPr>
        <w:adjustRightInd w:val="0"/>
        <w:snapToGrid w:val="0"/>
        <w:spacing w:beforeLines="0" w:afterLines="0" w:line="360" w:lineRule="auto"/>
        <w:rPr>
          <w:rFonts w:hint="eastAsia" w:ascii="Times New Roman"/>
          <w:color w:val="auto"/>
          <w:sz w:val="24"/>
          <w:szCs w:val="24"/>
          <w:highlight w:val="none"/>
        </w:rPr>
      </w:pPr>
    </w:p>
    <w:p w14:paraId="71049D7D">
      <w:pPr>
        <w:keepNext/>
        <w:keepLines/>
        <w:spacing w:before="240" w:beforeLines="100" w:after="240" w:afterLines="100"/>
        <w:outlineLvl w:val="1"/>
        <w:rPr>
          <w:rFonts w:hint="eastAsia" w:ascii="Times New Roman" w:eastAsia="黑体"/>
          <w:color w:val="auto"/>
          <w:sz w:val="32"/>
          <w:szCs w:val="32"/>
          <w:highlight w:val="none"/>
        </w:rPr>
      </w:pPr>
      <w:bookmarkStart w:id="986" w:name="_Toc130919125"/>
      <w:bookmarkStart w:id="987" w:name="_Toc1265"/>
      <w:r>
        <w:rPr>
          <w:rFonts w:hint="eastAsia" w:ascii="Times New Roman" w:eastAsia="黑体"/>
          <w:color w:val="auto"/>
          <w:sz w:val="32"/>
          <w:szCs w:val="32"/>
          <w:highlight w:val="none"/>
        </w:rPr>
        <w:t>2. 工程造价确定</w:t>
      </w:r>
      <w:bookmarkEnd w:id="986"/>
      <w:bookmarkEnd w:id="987"/>
    </w:p>
    <w:p w14:paraId="5D541D24">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2.1 本项目采用工程量清单计价。</w:t>
      </w:r>
    </w:p>
    <w:p w14:paraId="5E6F64B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2.2 除招标文件另有约定外，本项目计税采用增值税一般计税方法。</w:t>
      </w:r>
    </w:p>
    <w:p w14:paraId="1201D46C">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2.3 建设工程造价由分部分项工程费、措施项目费、不可竞争费、其他项目费和税金构成。</w:t>
      </w:r>
    </w:p>
    <w:p w14:paraId="50202C57">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2.4 分部分项工程项目清单采用综合单价计价。综合单价是指完成一个规定计量单位的分部分项工程和措施清单项目所需的人工费、材料和工程设备费、施工机具使用费和综合费（企业管理费和利润）以及一定范围内的风险费用。</w:t>
      </w:r>
    </w:p>
    <w:p w14:paraId="77A5BD25">
      <w:pPr>
        <w:keepNext/>
        <w:keepLines/>
        <w:spacing w:before="240" w:beforeLines="100" w:after="240" w:afterLines="100"/>
        <w:outlineLvl w:val="1"/>
        <w:rPr>
          <w:rFonts w:hint="eastAsia" w:ascii="Times New Roman" w:eastAsia="黑体"/>
          <w:color w:val="auto"/>
          <w:sz w:val="32"/>
          <w:szCs w:val="32"/>
          <w:highlight w:val="none"/>
        </w:rPr>
      </w:pPr>
      <w:bookmarkStart w:id="988" w:name="_Toc16638"/>
      <w:bookmarkStart w:id="989" w:name="_Toc130919126"/>
      <w:r>
        <w:rPr>
          <w:rFonts w:hint="eastAsia" w:ascii="Times New Roman" w:eastAsia="黑体"/>
          <w:color w:val="auto"/>
          <w:sz w:val="32"/>
          <w:szCs w:val="32"/>
          <w:highlight w:val="none"/>
        </w:rPr>
        <w:t>3. 招标工程量清单编制要求</w:t>
      </w:r>
      <w:bookmarkEnd w:id="988"/>
      <w:bookmarkEnd w:id="989"/>
    </w:p>
    <w:p w14:paraId="0713066C">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3.1 招标工程量清单编制依据如下：</w:t>
      </w:r>
    </w:p>
    <w:p w14:paraId="1047E61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（1）2018版安徽省建设工程计价依据（含修编版）、安徽省装配式建筑工程计价定额、安徽省房屋修缮工程计价定额、安徽省市政设施养护维修工程计价定额；</w:t>
      </w:r>
    </w:p>
    <w:p w14:paraId="7933E575">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（2）安徽省住房和城乡建设厅关于发布《安徽省建设工程计价依据动态调整（第1期）》的公告（公告第51号）；</w:t>
      </w:r>
    </w:p>
    <w:p w14:paraId="1862601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（3）关于贯彻执行《2018版安徽省建设工程计价依据动态调整（第1期）》的通知（合建监管〔2024〕13号）；</w:t>
      </w:r>
    </w:p>
    <w:p w14:paraId="7E29E407">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（4）建设工程设计文件及相关资料；</w:t>
      </w:r>
    </w:p>
    <w:p w14:paraId="16420EFD">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（5）与建设项目有关的标准、规范、技术资料；</w:t>
      </w:r>
    </w:p>
    <w:p w14:paraId="465F27B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（6）拟定的招标文件及其补充通知答疑纪要； </w:t>
      </w:r>
    </w:p>
    <w:p w14:paraId="2470E57E">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（7）施工现场情况、地勘水文资料、工程特点及常规施工方案；</w:t>
      </w:r>
    </w:p>
    <w:p w14:paraId="4B27D7F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（8）招标人对项目其他相关要求文件。</w:t>
      </w:r>
    </w:p>
    <w:p w14:paraId="227B9685">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3.2 招标工程量清单作为招标文件的组成部分，是编制最高投标限价、投标报价、计算工程量、调整合同价款、办理工程竣工结算以及工程索赔等的依据。</w:t>
      </w:r>
    </w:p>
    <w:p w14:paraId="079AB610">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3.3 投标人在投标报价过程中有责任和义务对招标人提供的工程量清单进行分析和核对，发现问题应按招标文件要求以书面形式告知招标人。</w:t>
      </w:r>
    </w:p>
    <w:p w14:paraId="20CD59FD">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3.4 工程量清单由分部分项工程量清单、措施项目清单、不可竞争项目清单、其他项目清单、税金项目清单组成。采用统一格式和表格，具体构成内容见“工程量清单”。</w:t>
      </w:r>
    </w:p>
    <w:p w14:paraId="1502787A">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3.5 分部分项工程量清单项目特征描述是结合本工程项目的实际情况予以描述的，对清单项目的技术和质量有要求的，见招标文件技术部分。措施项目清单中通用部分遵循计价规范编制，专业工程措施项目按规定和工程实际情况确定。</w:t>
      </w:r>
    </w:p>
    <w:p w14:paraId="049D29E7">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3.6 招标工程量清单编制范围应与招标文件中明确的工程招标范围一致。工程量清单的组成内容应当完整、项目特征描述应准确全面，与施工图纸保持一致。</w:t>
      </w:r>
    </w:p>
    <w:p w14:paraId="2381B9E7">
      <w:pPr>
        <w:keepNext/>
        <w:keepLines/>
        <w:spacing w:before="240" w:beforeLines="100" w:after="240" w:afterLines="100"/>
        <w:outlineLvl w:val="1"/>
        <w:rPr>
          <w:rFonts w:hint="eastAsia" w:ascii="Times New Roman" w:eastAsia="黑体"/>
          <w:color w:val="auto"/>
          <w:sz w:val="32"/>
          <w:szCs w:val="32"/>
          <w:highlight w:val="none"/>
        </w:rPr>
      </w:pPr>
      <w:bookmarkStart w:id="990" w:name="_Toc14024"/>
      <w:bookmarkStart w:id="991" w:name="_Toc130919127"/>
      <w:r>
        <w:rPr>
          <w:rFonts w:hint="eastAsia" w:ascii="Times New Roman" w:eastAsia="黑体"/>
          <w:color w:val="auto"/>
          <w:sz w:val="32"/>
          <w:szCs w:val="32"/>
          <w:highlight w:val="none"/>
        </w:rPr>
        <w:t>4. 最高投标限价编制要求</w:t>
      </w:r>
      <w:bookmarkEnd w:id="990"/>
      <w:bookmarkEnd w:id="991"/>
    </w:p>
    <w:p w14:paraId="15A68AE2">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4.1 最高投标限价编制依据如下：</w:t>
      </w:r>
    </w:p>
    <w:p w14:paraId="44393E40">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（1）2018版安徽省建设工程计价依据（含修编版）、安徽省装配式建筑工程计价定额、安徽省房屋修缮工程计价定额、安徽省市政设施养护维修工程计价定额；</w:t>
      </w:r>
    </w:p>
    <w:p w14:paraId="24FAFAD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（2）关于合肥市建设工程人工价格信息发布及计价应用工作的通知(合造价〔2021〕8号)；</w:t>
      </w:r>
    </w:p>
    <w:p w14:paraId="560402A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（3）安徽省住房和城乡建设厅关于发布《安徽省建设工程计价依据动态调整（第1期）》的公告》（公告第51号）；</w:t>
      </w:r>
    </w:p>
    <w:p w14:paraId="76A0AEB7">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（4）关于贯彻执行《2018版安徽省建设工程计价依据动态调整（第1期）》的通知（合建监管〔2024〕13号）；</w:t>
      </w:r>
    </w:p>
    <w:p w14:paraId="7D6D956A">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（5）建设工程设计文件及相关资料；</w:t>
      </w:r>
    </w:p>
    <w:p w14:paraId="02194FE2">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（6）与建设项目有关的标准、规范、技术资料；</w:t>
      </w:r>
    </w:p>
    <w:p w14:paraId="0C693BE3">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（7）招标文件及招标工程量清单及其补充通知答疑纪要； </w:t>
      </w:r>
    </w:p>
    <w:p w14:paraId="345E32C0">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（8）施工现场情况、工程特点及常规施工方案；</w:t>
      </w:r>
    </w:p>
    <w:p w14:paraId="3624FAAC">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（9）工程造价管理机构发布的工程造价信息；</w:t>
      </w:r>
    </w:p>
    <w:p w14:paraId="471AF40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（10）施工期间的风险因素；</w:t>
      </w:r>
    </w:p>
    <w:p w14:paraId="7597B6F3">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（11）其他相关材料。</w:t>
      </w:r>
    </w:p>
    <w:p w14:paraId="494DB63A">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4.2 最高投标限价为本次招标工程限定的最高投标限价，应当在工程所在地建设主管部门备案。最高投标限价不做上调或下浮。如最高投标限价超过批准的概算，招标人应将其报原概算审批部门审核。</w:t>
      </w:r>
    </w:p>
    <w:p w14:paraId="2359FA3B">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4.3 最高投标限价应采用工程单价计价，正确、全面地使用国家、省市标准、计价定额以及相关文件，成果文件质量应符合相关标准及规程的规定。最高投标限价包括分部分项工程费、措施项目费、不可竞争费、其他项目费和税金。</w:t>
      </w:r>
    </w:p>
    <w:p w14:paraId="47BDA01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4.4 分部分项工程费按本招标文件的分部分项工程量清单的项目特征描述及有关要求，结合第4.1款编制依据确定。</w:t>
      </w:r>
    </w:p>
    <w:p w14:paraId="578A55B3">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（1）综合单价中人工和施工机械台班单价按省级和工程所在地的市级工程造价管理机构公布的单价计算；</w:t>
      </w:r>
    </w:p>
    <w:p w14:paraId="7D770FA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（2）综合单价中材料、工程设备单价按省级和工程所在地的市级工程造价管理机构公布的单价以及本招标文件规定的暂估价、市场调查价格计算；</w:t>
      </w:r>
    </w:p>
    <w:p w14:paraId="0C51235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（3）本招标文件中列有材料、设备暂估价的，按暂估价计算；</w:t>
      </w:r>
    </w:p>
    <w:p w14:paraId="028A628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综合单价中人工、材料和施工机械台班消耗量均按2018版安徽省建设工程计价依据（含修编版）、安徽省装配式建筑工程计价定额、安徽省房屋修缮工程计价定额、安徽省市政设施养护维修工程计价定额、安徽省建设工程计价依据动态调整（第1期）中定额消耗量计算；</w:t>
      </w:r>
    </w:p>
    <w:p w14:paraId="51A246F7">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综合单价中综合费费率按2018版安徽省建设工程计价依据（含修编版）、安徽省装配式建筑工程计价定额、安徽省房屋修缮工程计价定额、安徽省市政设施养护维修工程计价定额及安徽省建设工程计价依据动态调整（第1期）计算；</w:t>
      </w:r>
    </w:p>
    <w:p w14:paraId="50D7DD64">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（6）综合单价中应包括招标文件约定的应由投标人承担的风险范围及其费用，风险按本招标文件第4.1款约定计算。</w:t>
      </w:r>
    </w:p>
    <w:p w14:paraId="0241798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4.5 计入分部分项工程量清单中技术措施项目清单，根据拟定的招标文件和常规施工方案确定。对于施工机械设备的选型根据工程特点和施工条件，本着经济实用、先进高效的原则确定。综合单价依据项目具体情况进行合理确定，复杂项目需按专家论证后的方案确定。</w:t>
      </w:r>
    </w:p>
    <w:p w14:paraId="7D11D233">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4.6 不可竞争费（含安全文明施工费、环境保护税）按本招标文件中的不可竞争项目清单编制确定。</w:t>
      </w:r>
    </w:p>
    <w:p w14:paraId="417FEFF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4.7 其他项目费用应按照下列规定计价：</w:t>
      </w:r>
    </w:p>
    <w:p w14:paraId="493E29B7">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（1）暂列金额按招标工程量清单中列出的金额填写；</w:t>
      </w:r>
    </w:p>
    <w:p w14:paraId="6DA157B8">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（2）专业工程暂估价按招标工程量清单中列出的金额填写；</w:t>
      </w:r>
    </w:p>
    <w:p w14:paraId="02C3545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（3）计日工按招标人列出项目和数量，结合第4.1款编制依据的要求确定综合单价并计算费用； </w:t>
      </w:r>
    </w:p>
    <w:p w14:paraId="13E112CB">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（4）总承包服务费根据招标文件列出的内容和要求计算。</w:t>
      </w:r>
    </w:p>
    <w:p w14:paraId="3CF1E1C8">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4.8 税金（增值税）按税金项目清单，结合第4.1款编制依据的要求编制，不得降低标准。</w:t>
      </w:r>
    </w:p>
    <w:p w14:paraId="2902F51F">
      <w:pPr>
        <w:keepNext/>
        <w:keepLines/>
        <w:spacing w:before="240" w:beforeLines="100" w:after="240" w:afterLines="100"/>
        <w:outlineLvl w:val="1"/>
        <w:rPr>
          <w:rFonts w:hint="eastAsia" w:ascii="Times New Roman" w:eastAsia="黑体"/>
          <w:color w:val="auto"/>
          <w:sz w:val="32"/>
          <w:szCs w:val="32"/>
          <w:highlight w:val="none"/>
        </w:rPr>
      </w:pPr>
      <w:bookmarkStart w:id="992" w:name="_Toc130919128"/>
      <w:bookmarkStart w:id="993" w:name="_Toc22790"/>
      <w:r>
        <w:rPr>
          <w:rFonts w:hint="eastAsia" w:ascii="Times New Roman" w:eastAsia="黑体"/>
          <w:color w:val="auto"/>
          <w:sz w:val="32"/>
          <w:szCs w:val="32"/>
          <w:highlight w:val="none"/>
        </w:rPr>
        <w:t>5. 投标报价参考编制要求</w:t>
      </w:r>
      <w:bookmarkEnd w:id="992"/>
      <w:bookmarkEnd w:id="993"/>
    </w:p>
    <w:p w14:paraId="5A512AC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5.1 投标报价编制参考依据如下：</w:t>
      </w:r>
    </w:p>
    <w:p w14:paraId="356403C1">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（1）2018版安徽省建设工程计价依据（含修编版）、安徽省装配式建筑工程计价定额、安徽省房屋修缮工程计价定额、安徽省市政设施养护维修工程计价定额、</w:t>
      </w:r>
      <w:r>
        <w:rPr>
          <w:rFonts w:hint="eastAsia" w:ascii="Times New Roman" w:cs="宋体"/>
          <w:color w:val="auto"/>
          <w:sz w:val="24"/>
          <w:szCs w:val="24"/>
          <w:highlight w:val="none"/>
        </w:rPr>
        <w:t>安徽省建设工程计价依据动态调整（第1期）</w:t>
      </w:r>
      <w:r>
        <w:rPr>
          <w:rFonts w:hint="eastAsia" w:ascii="Times New Roman"/>
          <w:color w:val="auto"/>
          <w:sz w:val="24"/>
          <w:szCs w:val="24"/>
          <w:highlight w:val="none"/>
        </w:rPr>
        <w:t>；</w:t>
      </w:r>
    </w:p>
    <w:p w14:paraId="233B3A21">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（2）关于合肥市建设工程人工价格信息发布及计价应用工作的通知(合造价〔2021〕8号)；</w:t>
      </w:r>
    </w:p>
    <w:p w14:paraId="54B926A1">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（3）安徽省住房和城乡建设厅关于发布《安徽省建设工程计价依据动态调整（第1期）》的公告（公告第51号）；</w:t>
      </w:r>
    </w:p>
    <w:p w14:paraId="5D79ED4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（4）关于贯彻执行《2018版安徽省建设工程计价依据动态调整（第1期）》的通知（合建监管〔2024〕13号）；</w:t>
      </w:r>
    </w:p>
    <w:p w14:paraId="3E04FE3A">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（5）建设工程设计文件及相关资料；</w:t>
      </w:r>
    </w:p>
    <w:p w14:paraId="7D4C45FC">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（6）与建设项目有关的标准、规范、技术资料；</w:t>
      </w:r>
    </w:p>
    <w:p w14:paraId="39541E8A">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（7）招标文件及招标工程量清单及其补充通知答疑纪要； </w:t>
      </w:r>
    </w:p>
    <w:p w14:paraId="21F9A69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（8）施工现场情况、工程特点及拟定的投标施工组织设计；</w:t>
      </w:r>
    </w:p>
    <w:p w14:paraId="518D0C15">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（9）市场价格信息或参照工程造价管理机构发布的工程造价信息；</w:t>
      </w:r>
    </w:p>
    <w:p w14:paraId="2042C9DC">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（10）合同执行期间由投标人承担的风险因素；</w:t>
      </w:r>
    </w:p>
    <w:p w14:paraId="2E778E51">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（11）其他相关材料。</w:t>
      </w:r>
    </w:p>
    <w:p w14:paraId="4E4813C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5.2 投标人应仔细阅读招标文件，了解拟投标合同段的全部工程内容。投标人的投标报价应是招标文件所确定的招标范围内全部工程内容的价格体现，但其投标报价不得低于投标人个别成本价。</w:t>
      </w:r>
    </w:p>
    <w:p w14:paraId="49F2019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5.3 投标人应按招标人提供的招标工程量清单填报综合单价和合价，未填报的综合单价和合价，视为此项费用已合在工程量清单的其他综合单价和合价中。</w:t>
      </w:r>
    </w:p>
    <w:p w14:paraId="4328F700">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5.4 分部分项工程费根据招标文件中的工程量清单项目及项目特征描述等确定综合单价。其中综合单价是指完成一个规定清单项目所需的人工费、材料和工程设备费、施工机具使用费和综合费（企业管理费和利润）以及一定范围内投标人承担的风险费用。</w:t>
      </w:r>
    </w:p>
    <w:p w14:paraId="230198D7">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5.5 措施项目费依据第5.1款编制依据确定。</w:t>
      </w:r>
    </w:p>
    <w:p w14:paraId="5139EACA">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5.6 不可竞争费（含安全文明施工费、环境保护税）根据工程量清单不可竞争项目，结合第5.1款编制依据确定，安全文明施工费费率不得调整。</w:t>
      </w:r>
    </w:p>
    <w:p w14:paraId="4FB6E8C2">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5.7 其他项目费用应按照下列规定计价：</w:t>
      </w:r>
    </w:p>
    <w:p w14:paraId="592D7D31">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（1）暂列金额按招标工程量清单中列出的金额填写，不得更改；</w:t>
      </w:r>
    </w:p>
    <w:p w14:paraId="6F30C191">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（2）专业工程暂估价按招标工程量清单中列出的金额填写，不得更改；</w:t>
      </w:r>
    </w:p>
    <w:p w14:paraId="3D2F47F5">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（3）计日工按招标人列出项目和数量，结合第5.1款编制依据的要求确定综合单价并计算费用； </w:t>
      </w:r>
    </w:p>
    <w:p w14:paraId="45C3605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（4）总承包服务费根据招标文件列出的内容和要求计算。</w:t>
      </w:r>
    </w:p>
    <w:p w14:paraId="3BB4796F">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5.8 税金（增值税）按税金项目清单，结合第5.1款编制依据的要求编制，不得调整。</w:t>
      </w:r>
    </w:p>
    <w:p w14:paraId="15F2E1D8">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5.9 投标报价编制注意事项</w:t>
      </w:r>
    </w:p>
    <w:p w14:paraId="3DB9923D">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除可调整价格的主要材料和甲供材及实行暂估价的材料及设备以外，其他由投标人自行采购的材料确定投标报价时应充分考虑材料价格上涨等市场风险因素，中标后不作调整，综合单价中的材料费应包含材料运杂费、采保费等一切应有费用；</w:t>
      </w:r>
    </w:p>
    <w:p w14:paraId="438A90B8">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（2）结算时实行暂估价的材料和设备的价差仅计取税金，不再计取其他费用；</w:t>
      </w:r>
    </w:p>
    <w:p w14:paraId="2A3F60D5">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本招标工程的施工地点为本须知前附表所述，投标人应自行到施工现场踏勘以充分了解工地位置、情况、道路、储存空间、装卸限制及任何其他足以影响投标报价的情况，任何因忽视或误解施工场地情况而导致的索赔或工期延长申请将不被批准。对于受施工现场场地限制，如需要另外寻找场地解决临时住宿、材料及设备堆放，由此所产生的费用应包含在投标报价范围内，招标人不再承担该费用；</w:t>
      </w:r>
    </w:p>
    <w:p w14:paraId="5C9B2FA2">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4）开标前，投标人应认真对照施工设计图纸等文件核对招标人提供的工程量清单，发现工程量存在项目划分误差、计量单位误差、数量误差、遗漏项目的，必须在招标文件规定的时间内向招标人提出异议或修正要求，否则招标人可不予答复；</w:t>
      </w:r>
    </w:p>
    <w:p w14:paraId="184A7F32">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5）招标人对异议或修正要求应进行核实，确认工程量清单项目误差在±3%（含±3%）以内的，招标人可不予调整工程量，投标人应将其误差考虑在综合单价内；若有遗漏项目或清单项目工程量误差超过±3%的，招标人应进行修正并重新公布准确的工程量清单；</w:t>
      </w:r>
    </w:p>
    <w:p w14:paraId="104838A5">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（6）除合同另有约定外，中标人在工程量清单报价书中所报的综合单价在施工图纸和合同约定范围一律不予调整；</w:t>
      </w:r>
    </w:p>
    <w:p w14:paraId="43E9EAF3">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（7）本招标工程不接受恶意不平衡报价。</w:t>
      </w:r>
    </w:p>
    <w:p w14:paraId="7F146DB1">
      <w:pPr>
        <w:keepNext/>
        <w:keepLines/>
        <w:spacing w:before="240" w:beforeLines="100" w:after="240" w:afterLines="100"/>
        <w:outlineLvl w:val="1"/>
        <w:rPr>
          <w:rFonts w:hint="eastAsia" w:ascii="Times New Roman" w:eastAsia="黑体"/>
          <w:color w:val="auto"/>
          <w:sz w:val="32"/>
          <w:szCs w:val="32"/>
          <w:highlight w:val="none"/>
        </w:rPr>
      </w:pPr>
      <w:bookmarkStart w:id="994" w:name="_Toc130919129"/>
      <w:bookmarkStart w:id="995" w:name="_Toc9004"/>
      <w:r>
        <w:rPr>
          <w:rFonts w:hint="eastAsia" w:ascii="Times New Roman" w:eastAsia="黑体"/>
          <w:color w:val="auto"/>
          <w:sz w:val="32"/>
          <w:szCs w:val="32"/>
          <w:highlight w:val="none"/>
        </w:rPr>
        <w:t>6. 工程量清单</w:t>
      </w:r>
      <w:bookmarkEnd w:id="994"/>
      <w:bookmarkEnd w:id="995"/>
    </w:p>
    <w:p w14:paraId="1BF653AF">
      <w:pPr>
        <w:adjustRightInd w:val="0"/>
        <w:snapToGrid w:val="0"/>
        <w:spacing w:beforeLines="0" w:afterLines="0" w:line="360" w:lineRule="auto"/>
        <w:ind w:firstLine="480" w:firstLineChars="200"/>
        <w:rPr>
          <w:rFonts w:hint="eastAsia" w:ascii="Times New Roman" w:eastAsia="黑体"/>
          <w:b/>
          <w:color w:val="auto"/>
          <w:kern w:val="44"/>
          <w:sz w:val="32"/>
          <w:szCs w:val="44"/>
          <w:highlight w:val="none"/>
        </w:rPr>
      </w:pPr>
      <w:r>
        <w:rPr>
          <w:rFonts w:hint="eastAsia" w:ascii="Times New Roman"/>
          <w:color w:val="auto"/>
          <w:sz w:val="24"/>
          <w:szCs w:val="24"/>
          <w:highlight w:val="none"/>
        </w:rPr>
        <w:t>另册。</w:t>
      </w:r>
    </w:p>
    <w:p w14:paraId="13E2B245">
      <w:pPr>
        <w:adjustRightInd w:val="0"/>
        <w:snapToGrid w:val="0"/>
        <w:spacing w:beforeLines="0" w:afterLines="0" w:line="360" w:lineRule="auto"/>
        <w:ind w:firstLine="643" w:firstLineChars="200"/>
        <w:rPr>
          <w:rFonts w:hint="eastAsia" w:ascii="Times New Roman" w:eastAsia="黑体"/>
          <w:b/>
          <w:color w:val="auto"/>
          <w:kern w:val="44"/>
          <w:sz w:val="32"/>
          <w:szCs w:val="44"/>
          <w:highlight w:val="none"/>
        </w:rPr>
      </w:pPr>
    </w:p>
    <w:p w14:paraId="226F5BE0">
      <w:pPr>
        <w:pStyle w:val="2"/>
        <w:spacing w:before="240" w:beforeLines="100" w:after="240" w:afterLines="100" w:line="240" w:lineRule="auto"/>
        <w:jc w:val="center"/>
        <w:rPr>
          <w:rFonts w:hint="eastAsia" w:ascii="Times New Roman"/>
          <w:color w:val="auto"/>
          <w:sz w:val="32"/>
          <w:szCs w:val="44"/>
          <w:highlight w:val="none"/>
        </w:rPr>
      </w:pPr>
      <w:r>
        <w:rPr>
          <w:rFonts w:hint="eastAsia" w:ascii="Times New Roman" w:eastAsia="黑体"/>
          <w:color w:val="auto"/>
          <w:sz w:val="32"/>
          <w:szCs w:val="44"/>
          <w:highlight w:val="none"/>
        </w:rPr>
        <w:br w:type="page"/>
      </w:r>
      <w:bookmarkStart w:id="996" w:name="_Toc13754"/>
      <w:r>
        <w:rPr>
          <w:rFonts w:hint="eastAsia" w:ascii="Times New Roman"/>
          <w:color w:val="auto"/>
          <w:sz w:val="32"/>
          <w:szCs w:val="44"/>
          <w:highlight w:val="none"/>
        </w:rPr>
        <w:t>第六章  图纸</w:t>
      </w:r>
      <w:bookmarkEnd w:id="996"/>
    </w:p>
    <w:p w14:paraId="12537B4F">
      <w:pPr>
        <w:adjustRightInd w:val="0"/>
        <w:snapToGrid w:val="0"/>
        <w:spacing w:beforeLines="0" w:afterLines="0" w:line="360" w:lineRule="auto"/>
        <w:ind w:firstLine="482" w:firstLineChars="200"/>
        <w:jc w:val="center"/>
        <w:rPr>
          <w:rFonts w:hint="eastAsia" w:ascii="Times New Roman"/>
          <w:b/>
          <w:color w:val="auto"/>
          <w:sz w:val="24"/>
          <w:szCs w:val="24"/>
          <w:highlight w:val="none"/>
        </w:rPr>
      </w:pPr>
      <w:r>
        <w:rPr>
          <w:rFonts w:hint="eastAsia" w:ascii="Times New Roman"/>
          <w:b/>
          <w:color w:val="auto"/>
          <w:sz w:val="24"/>
          <w:szCs w:val="24"/>
          <w:highlight w:val="none"/>
        </w:rPr>
        <w:t>（另册）</w:t>
      </w:r>
    </w:p>
    <w:p w14:paraId="12DDDD71">
      <w:pPr>
        <w:pStyle w:val="2"/>
        <w:spacing w:before="240" w:beforeLines="100" w:after="240" w:afterLines="100" w:line="240" w:lineRule="auto"/>
        <w:jc w:val="center"/>
        <w:rPr>
          <w:rFonts w:hint="eastAsia" w:ascii="Times New Roman" w:eastAsia="Times New Roman"/>
          <w:color w:val="auto"/>
          <w:sz w:val="32"/>
          <w:szCs w:val="44"/>
          <w:highlight w:val="none"/>
        </w:rPr>
      </w:pPr>
      <w:r>
        <w:rPr>
          <w:rFonts w:hint="eastAsia" w:ascii="Times New Roman"/>
          <w:color w:val="auto"/>
          <w:sz w:val="32"/>
          <w:szCs w:val="44"/>
          <w:highlight w:val="none"/>
        </w:rPr>
        <w:br w:type="page"/>
      </w:r>
      <w:bookmarkStart w:id="997" w:name="_Toc26003"/>
      <w:r>
        <w:rPr>
          <w:rFonts w:hint="eastAsia" w:ascii="Times New Roman"/>
          <w:color w:val="auto"/>
          <w:sz w:val="32"/>
          <w:szCs w:val="44"/>
          <w:highlight w:val="none"/>
        </w:rPr>
        <w:t>第七章  技术标准和要求</w:t>
      </w:r>
      <w:bookmarkEnd w:id="997"/>
    </w:p>
    <w:p w14:paraId="64BB07CB">
      <w:pPr>
        <w:adjustRightInd w:val="0"/>
        <w:snapToGrid w:val="0"/>
        <w:spacing w:beforeLines="0" w:afterLines="0" w:line="360" w:lineRule="auto"/>
        <w:ind w:firstLine="482" w:firstLineChars="200"/>
        <w:rPr>
          <w:rFonts w:hint="eastAsia" w:ascii="Times New Roman"/>
          <w:color w:val="auto"/>
          <w:sz w:val="24"/>
          <w:szCs w:val="24"/>
          <w:highlight w:val="none"/>
        </w:rPr>
      </w:pPr>
      <w:bookmarkStart w:id="998" w:name="_Toc130919132"/>
      <w:bookmarkStart w:id="999" w:name="_Toc25376"/>
      <w:bookmarkStart w:id="1000" w:name="_Toc128950260"/>
      <w:bookmarkStart w:id="1001" w:name="_Toc27195"/>
      <w:r>
        <w:rPr>
          <w:rFonts w:hint="eastAsia" w:ascii="Times New Roman"/>
          <w:b/>
          <w:color w:val="auto"/>
          <w:sz w:val="24"/>
          <w:szCs w:val="24"/>
          <w:highlight w:val="none"/>
        </w:rPr>
        <w:t>1. 一般要求</w:t>
      </w:r>
      <w:bookmarkEnd w:id="998"/>
    </w:p>
    <w:p w14:paraId="1CE9E234">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270D81BB">
      <w:pPr>
        <w:adjustRightInd w:val="0"/>
        <w:snapToGrid w:val="0"/>
        <w:spacing w:beforeLines="0" w:afterLines="0" w:line="360" w:lineRule="auto"/>
        <w:ind w:firstLine="482" w:firstLineChars="200"/>
        <w:rPr>
          <w:rFonts w:hint="eastAsia" w:ascii="Times New Roman"/>
          <w:color w:val="auto"/>
          <w:sz w:val="24"/>
          <w:szCs w:val="24"/>
          <w:highlight w:val="none"/>
        </w:rPr>
      </w:pPr>
      <w:bookmarkStart w:id="1002" w:name="_Toc130919133"/>
      <w:r>
        <w:rPr>
          <w:rFonts w:hint="eastAsia" w:ascii="Times New Roman"/>
          <w:b/>
          <w:color w:val="auto"/>
          <w:sz w:val="24"/>
          <w:szCs w:val="24"/>
          <w:highlight w:val="none"/>
        </w:rPr>
        <w:t>2. 特殊技术标准和要求</w:t>
      </w:r>
      <w:bookmarkEnd w:id="1002"/>
    </w:p>
    <w:p w14:paraId="5AC624FB">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3F8F3CB4">
      <w:pPr>
        <w:adjustRightInd w:val="0"/>
        <w:snapToGrid w:val="0"/>
        <w:spacing w:beforeLines="0" w:afterLines="0" w:line="360" w:lineRule="auto"/>
        <w:ind w:firstLine="482" w:firstLineChars="200"/>
        <w:rPr>
          <w:rFonts w:hint="eastAsia" w:ascii="Times New Roman"/>
          <w:color w:val="auto"/>
          <w:sz w:val="24"/>
          <w:szCs w:val="24"/>
          <w:highlight w:val="none"/>
        </w:rPr>
      </w:pPr>
      <w:bookmarkStart w:id="1003" w:name="_Toc130919134"/>
      <w:r>
        <w:rPr>
          <w:rFonts w:hint="eastAsia" w:ascii="Times New Roman"/>
          <w:b/>
          <w:color w:val="auto"/>
          <w:sz w:val="24"/>
          <w:szCs w:val="24"/>
          <w:highlight w:val="none"/>
        </w:rPr>
        <w:t>3. 适用的国家、行业以及地方标准、规范和规程</w:t>
      </w:r>
      <w:bookmarkEnd w:id="1003"/>
    </w:p>
    <w:p w14:paraId="4DD80628">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 xml:space="preserve"> </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bookmarkEnd w:id="999"/>
    <w:bookmarkEnd w:id="1000"/>
    <w:bookmarkEnd w:id="1001"/>
    <w:p w14:paraId="3DC58DD6">
      <w:pPr>
        <w:adjustRightInd w:val="0"/>
        <w:snapToGrid w:val="0"/>
        <w:spacing w:beforeLines="0" w:afterLines="0" w:line="360" w:lineRule="auto"/>
        <w:ind w:firstLine="482" w:firstLineChars="200"/>
        <w:rPr>
          <w:rFonts w:hint="eastAsia" w:ascii="Times New Roman"/>
          <w:b/>
          <w:color w:val="auto"/>
          <w:sz w:val="24"/>
          <w:szCs w:val="24"/>
          <w:highlight w:val="none"/>
        </w:rPr>
      </w:pPr>
      <w:bookmarkStart w:id="1004" w:name="_Toc130919135"/>
      <w:r>
        <w:rPr>
          <w:rFonts w:hint="eastAsia" w:ascii="Times New Roman"/>
          <w:b/>
          <w:color w:val="auto"/>
          <w:sz w:val="24"/>
          <w:szCs w:val="24"/>
          <w:highlight w:val="none"/>
        </w:rPr>
        <w:t>4. 重点难点及危险性较大的分部分项工程</w:t>
      </w:r>
      <w:bookmarkEnd w:id="1004"/>
    </w:p>
    <w:p w14:paraId="78E5435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（1）本招标项目重点难点</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7BBAA480">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（2）本招标项目危险性较大的分部分项工程清单：</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4B5D7800">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（3）其他要求：</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379D63FD">
      <w:pPr>
        <w:adjustRightInd w:val="0"/>
        <w:snapToGrid w:val="0"/>
        <w:spacing w:beforeLines="0" w:afterLines="0" w:line="360" w:lineRule="auto"/>
        <w:ind w:firstLine="482" w:firstLineChars="200"/>
        <w:rPr>
          <w:rFonts w:hint="eastAsia" w:ascii="Times New Roman"/>
          <w:b/>
          <w:color w:val="auto"/>
          <w:sz w:val="24"/>
          <w:szCs w:val="24"/>
          <w:highlight w:val="none"/>
        </w:rPr>
      </w:pPr>
      <w:bookmarkStart w:id="1005" w:name="_Toc14360"/>
      <w:bookmarkStart w:id="1006" w:name="_Toc128950261"/>
      <w:bookmarkStart w:id="1007" w:name="_Toc15876"/>
      <w:bookmarkStart w:id="1008" w:name="_Toc130919136"/>
      <w:r>
        <w:rPr>
          <w:rFonts w:hint="eastAsia" w:ascii="Times New Roman"/>
          <w:b/>
          <w:color w:val="auto"/>
          <w:sz w:val="24"/>
          <w:szCs w:val="24"/>
          <w:highlight w:val="none"/>
        </w:rPr>
        <w:t>5. 材料与设备要求</w:t>
      </w:r>
      <w:bookmarkEnd w:id="1005"/>
      <w:bookmarkEnd w:id="1006"/>
      <w:bookmarkEnd w:id="1007"/>
      <w:bookmarkEnd w:id="1008"/>
    </w:p>
    <w:p w14:paraId="371F8C5B">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（1）甲供材料由招标人提供，其他材料由中标人自行采购，</w:t>
      </w:r>
    </w:p>
    <w:p w14:paraId="2856576C">
      <w:pPr>
        <w:adjustRightInd w:val="0"/>
        <w:snapToGri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其中甲供材料（如有）：</w:t>
      </w:r>
      <w:r>
        <w:rPr>
          <w:rFonts w:hint="eastAsia" w:ascii="Times New Roman"/>
          <w:color w:val="auto"/>
          <w:sz w:val="24"/>
          <w:szCs w:val="24"/>
          <w:highlight w:val="none"/>
          <w:u w:val="single"/>
        </w:rPr>
        <w:t xml:space="preserve">                </w:t>
      </w:r>
    </w:p>
    <w:p w14:paraId="666937CE">
      <w:pPr>
        <w:adjustRightInd w:val="0"/>
        <w:snapToGrid w:val="0"/>
        <w:spacing w:beforeLines="0" w:afterLines="0" w:line="360" w:lineRule="auto"/>
        <w:ind w:firstLine="480" w:firstLineChars="200"/>
        <w:rPr>
          <w:rFonts w:hint="eastAsia" w:ascii="Times New Roman"/>
          <w:color w:val="auto"/>
          <w:sz w:val="24"/>
          <w:szCs w:val="24"/>
          <w:highlight w:val="none"/>
          <w:u w:val="single"/>
        </w:rPr>
      </w:pPr>
      <w:r>
        <w:rPr>
          <w:rFonts w:hint="eastAsia" w:ascii="Times New Roman"/>
          <w:color w:val="auto"/>
          <w:sz w:val="24"/>
          <w:szCs w:val="24"/>
          <w:highlight w:val="none"/>
        </w:rPr>
        <w:t>（2）参考品牌：</w:t>
      </w:r>
      <w:r>
        <w:rPr>
          <w:rFonts w:hint="eastAsia" w:ascii="Times New Roman"/>
          <w:color w:val="auto"/>
          <w:sz w:val="24"/>
          <w:szCs w:val="24"/>
          <w:highlight w:val="none"/>
          <w:u w:val="single"/>
        </w:rPr>
        <w:t xml:space="preserve">            </w:t>
      </w:r>
    </w:p>
    <w:p w14:paraId="21913781">
      <w:pPr>
        <w:adjustRightInd w:val="0"/>
        <w:snapToGrid w:val="0"/>
        <w:spacing w:beforeLines="0" w:afterLines="0" w:line="360" w:lineRule="auto"/>
        <w:ind w:firstLine="482" w:firstLineChars="200"/>
        <w:jc w:val="center"/>
        <w:rPr>
          <w:rFonts w:hint="eastAsia" w:ascii="Times New Roman"/>
          <w:color w:val="auto"/>
          <w:sz w:val="24"/>
          <w:szCs w:val="24"/>
          <w:highlight w:val="none"/>
        </w:rPr>
      </w:pPr>
      <w:bookmarkStart w:id="1009" w:name="_Toc26853"/>
      <w:r>
        <w:rPr>
          <w:rFonts w:hint="eastAsia" w:ascii="Times New Roman"/>
          <w:b/>
          <w:color w:val="auto"/>
          <w:sz w:val="24"/>
          <w:szCs w:val="24"/>
          <w:highlight w:val="none"/>
        </w:rPr>
        <w:t>品牌参考表（如要求）</w:t>
      </w:r>
      <w:bookmarkEnd w:id="1009"/>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6"/>
        <w:gridCol w:w="3368"/>
        <w:gridCol w:w="854"/>
        <w:gridCol w:w="854"/>
        <w:gridCol w:w="854"/>
        <w:gridCol w:w="855"/>
        <w:gridCol w:w="855"/>
      </w:tblGrid>
      <w:tr w14:paraId="0F45F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6077A1">
            <w:pPr>
              <w:adjustRightInd w:val="0"/>
              <w:snapToGrid w:val="0"/>
              <w:spacing w:beforeLines="0" w:afterLines="0" w:line="360" w:lineRule="auto"/>
              <w:rPr>
                <w:rFonts w:hint="eastAsia" w:ascii="Times New Roman"/>
                <w:b/>
                <w:color w:val="auto"/>
                <w:sz w:val="24"/>
                <w:szCs w:val="24"/>
                <w:highlight w:val="none"/>
              </w:rPr>
            </w:pPr>
            <w:r>
              <w:rPr>
                <w:rFonts w:hint="eastAsia" w:ascii="Times New Roman"/>
                <w:b/>
                <w:color w:val="auto"/>
                <w:sz w:val="24"/>
                <w:szCs w:val="24"/>
                <w:highlight w:val="none"/>
              </w:rPr>
              <w:t>序号</w:t>
            </w:r>
          </w:p>
        </w:tc>
        <w:tc>
          <w:tcPr>
            <w:tcW w:w="3763" w:type="dxa"/>
            <w:tcBorders>
              <w:top w:val="single" w:color="auto" w:sz="4" w:space="0"/>
              <w:left w:val="nil"/>
              <w:bottom w:val="single" w:color="auto" w:sz="4" w:space="0"/>
              <w:right w:val="single" w:color="auto" w:sz="4" w:space="0"/>
              <w:tl2br w:val="nil"/>
              <w:tr2bl w:val="nil"/>
            </w:tcBorders>
            <w:noWrap w:val="0"/>
            <w:vAlign w:val="center"/>
          </w:tcPr>
          <w:p w14:paraId="337AB267">
            <w:pPr>
              <w:adjustRightInd w:val="0"/>
              <w:snapToGrid w:val="0"/>
              <w:spacing w:beforeLines="0" w:afterLines="0" w:line="360" w:lineRule="auto"/>
              <w:ind w:firstLine="482" w:firstLineChars="200"/>
              <w:rPr>
                <w:rFonts w:hint="eastAsia" w:ascii="Times New Roman"/>
                <w:b/>
                <w:color w:val="auto"/>
                <w:sz w:val="24"/>
                <w:szCs w:val="24"/>
                <w:highlight w:val="none"/>
              </w:rPr>
            </w:pPr>
            <w:r>
              <w:rPr>
                <w:rFonts w:hint="eastAsia" w:ascii="Times New Roman"/>
                <w:b/>
                <w:color w:val="auto"/>
                <w:sz w:val="24"/>
                <w:szCs w:val="24"/>
                <w:highlight w:val="none"/>
              </w:rPr>
              <w:t>材料、设备名称</w:t>
            </w: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284B4C5A">
            <w:pPr>
              <w:adjustRightInd w:val="0"/>
              <w:snapToGrid w:val="0"/>
              <w:spacing w:beforeLines="0" w:afterLines="0" w:line="360" w:lineRule="auto"/>
              <w:rPr>
                <w:rFonts w:hint="eastAsia" w:ascii="Times New Roman"/>
                <w:b/>
                <w:color w:val="auto"/>
                <w:sz w:val="24"/>
                <w:szCs w:val="24"/>
                <w:highlight w:val="none"/>
              </w:rPr>
            </w:pPr>
            <w:r>
              <w:rPr>
                <w:rFonts w:hint="eastAsia" w:ascii="Times New Roman"/>
                <w:b/>
                <w:color w:val="auto"/>
                <w:sz w:val="24"/>
                <w:szCs w:val="24"/>
                <w:highlight w:val="none"/>
              </w:rPr>
              <w:t>品牌1</w:t>
            </w: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769AE845">
            <w:pPr>
              <w:adjustRightInd w:val="0"/>
              <w:snapToGrid w:val="0"/>
              <w:spacing w:beforeLines="0" w:afterLines="0" w:line="360" w:lineRule="auto"/>
              <w:rPr>
                <w:rFonts w:hint="eastAsia" w:ascii="Times New Roman"/>
                <w:b/>
                <w:color w:val="auto"/>
                <w:sz w:val="24"/>
                <w:szCs w:val="24"/>
                <w:highlight w:val="none"/>
              </w:rPr>
            </w:pPr>
            <w:r>
              <w:rPr>
                <w:rFonts w:hint="eastAsia" w:ascii="Times New Roman"/>
                <w:b/>
                <w:color w:val="auto"/>
                <w:sz w:val="24"/>
                <w:szCs w:val="24"/>
                <w:highlight w:val="none"/>
              </w:rPr>
              <w:t>品牌2</w:t>
            </w: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2E50AD8E">
            <w:pPr>
              <w:adjustRightInd w:val="0"/>
              <w:snapToGrid w:val="0"/>
              <w:spacing w:beforeLines="0" w:afterLines="0" w:line="360" w:lineRule="auto"/>
              <w:rPr>
                <w:rFonts w:hint="eastAsia" w:ascii="Times New Roman"/>
                <w:b/>
                <w:color w:val="auto"/>
                <w:sz w:val="24"/>
                <w:szCs w:val="24"/>
                <w:highlight w:val="none"/>
              </w:rPr>
            </w:pPr>
            <w:r>
              <w:rPr>
                <w:rFonts w:hint="eastAsia" w:ascii="Times New Roman"/>
                <w:b/>
                <w:color w:val="auto"/>
                <w:sz w:val="24"/>
                <w:szCs w:val="24"/>
                <w:highlight w:val="none"/>
              </w:rPr>
              <w:t>品牌3</w:t>
            </w: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5580AD2B">
            <w:pPr>
              <w:adjustRightInd w:val="0"/>
              <w:snapToGrid w:val="0"/>
              <w:spacing w:beforeLines="0" w:afterLines="0" w:line="360" w:lineRule="auto"/>
              <w:rPr>
                <w:rFonts w:hint="eastAsia" w:ascii="Times New Roman"/>
                <w:b/>
                <w:color w:val="auto"/>
                <w:sz w:val="24"/>
                <w:szCs w:val="24"/>
                <w:highlight w:val="none"/>
              </w:rPr>
            </w:pPr>
            <w:r>
              <w:rPr>
                <w:rFonts w:hint="eastAsia" w:ascii="Times New Roman"/>
                <w:b/>
                <w:color w:val="auto"/>
                <w:sz w:val="24"/>
                <w:szCs w:val="24"/>
                <w:highlight w:val="none"/>
              </w:rPr>
              <w:t>品牌4</w:t>
            </w: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3B5A3891">
            <w:pPr>
              <w:adjustRightInd w:val="0"/>
              <w:snapToGrid w:val="0"/>
              <w:spacing w:beforeLines="0" w:afterLines="0" w:line="360" w:lineRule="auto"/>
              <w:rPr>
                <w:rFonts w:hint="eastAsia" w:ascii="Times New Roman"/>
                <w:b/>
                <w:color w:val="auto"/>
                <w:sz w:val="24"/>
                <w:szCs w:val="24"/>
                <w:highlight w:val="none"/>
              </w:rPr>
            </w:pPr>
            <w:r>
              <w:rPr>
                <w:rFonts w:hint="eastAsia" w:ascii="Times New Roman"/>
                <w:b/>
                <w:color w:val="auto"/>
                <w:sz w:val="24"/>
                <w:szCs w:val="24"/>
                <w:highlight w:val="none"/>
              </w:rPr>
              <w:t>备注</w:t>
            </w:r>
          </w:p>
        </w:tc>
      </w:tr>
      <w:tr w14:paraId="567E7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l2br w:val="nil"/>
              <w:tr2bl w:val="nil"/>
            </w:tcBorders>
            <w:noWrap w:val="0"/>
            <w:vAlign w:val="center"/>
          </w:tcPr>
          <w:p w14:paraId="2E94177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1</w:t>
            </w:r>
          </w:p>
        </w:tc>
        <w:tc>
          <w:tcPr>
            <w:tcW w:w="3763" w:type="dxa"/>
            <w:tcBorders>
              <w:top w:val="nil"/>
              <w:left w:val="nil"/>
              <w:bottom w:val="single" w:color="auto" w:sz="4" w:space="0"/>
              <w:right w:val="single" w:color="auto" w:sz="4" w:space="0"/>
              <w:tl2br w:val="nil"/>
              <w:tr2bl w:val="nil"/>
            </w:tcBorders>
            <w:noWrap w:val="0"/>
            <w:vAlign w:val="center"/>
          </w:tcPr>
          <w:p w14:paraId="146466AA">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5B7FF5BD">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594ED488">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5408C13B">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044D6783">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nil"/>
              <w:left w:val="nil"/>
              <w:bottom w:val="single" w:color="auto" w:sz="4" w:space="0"/>
              <w:right w:val="single" w:color="auto" w:sz="4" w:space="0"/>
              <w:tl2br w:val="nil"/>
              <w:tr2bl w:val="nil"/>
            </w:tcBorders>
            <w:noWrap w:val="0"/>
            <w:vAlign w:val="center"/>
          </w:tcPr>
          <w:p w14:paraId="1A868E5C">
            <w:pPr>
              <w:adjustRightInd w:val="0"/>
              <w:snapToGrid w:val="0"/>
              <w:spacing w:beforeLines="0" w:afterLines="0" w:line="360" w:lineRule="auto"/>
              <w:ind w:firstLine="480" w:firstLineChars="200"/>
              <w:rPr>
                <w:rFonts w:hint="eastAsia" w:ascii="Times New Roman"/>
                <w:color w:val="auto"/>
                <w:sz w:val="24"/>
                <w:szCs w:val="24"/>
                <w:highlight w:val="none"/>
              </w:rPr>
            </w:pPr>
          </w:p>
        </w:tc>
      </w:tr>
      <w:tr w14:paraId="2FB5F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l2br w:val="nil"/>
              <w:tr2bl w:val="nil"/>
            </w:tcBorders>
            <w:noWrap w:val="0"/>
            <w:vAlign w:val="center"/>
          </w:tcPr>
          <w:p w14:paraId="3276806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2</w:t>
            </w:r>
          </w:p>
        </w:tc>
        <w:tc>
          <w:tcPr>
            <w:tcW w:w="3763" w:type="dxa"/>
            <w:tcBorders>
              <w:top w:val="nil"/>
              <w:left w:val="nil"/>
              <w:bottom w:val="single" w:color="auto" w:sz="4" w:space="0"/>
              <w:right w:val="single" w:color="auto" w:sz="4" w:space="0"/>
              <w:tl2br w:val="nil"/>
              <w:tr2bl w:val="nil"/>
            </w:tcBorders>
            <w:noWrap w:val="0"/>
            <w:vAlign w:val="center"/>
          </w:tcPr>
          <w:p w14:paraId="21B42A12">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6C16B940">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14E4C180">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77CE2EAD">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1BB2EEA0">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nil"/>
              <w:left w:val="nil"/>
              <w:bottom w:val="single" w:color="auto" w:sz="4" w:space="0"/>
              <w:right w:val="single" w:color="auto" w:sz="4" w:space="0"/>
              <w:tl2br w:val="nil"/>
              <w:tr2bl w:val="nil"/>
            </w:tcBorders>
            <w:noWrap w:val="0"/>
            <w:vAlign w:val="center"/>
          </w:tcPr>
          <w:p w14:paraId="5181693B">
            <w:pPr>
              <w:adjustRightInd w:val="0"/>
              <w:snapToGrid w:val="0"/>
              <w:spacing w:beforeLines="0" w:afterLines="0" w:line="360" w:lineRule="auto"/>
              <w:ind w:firstLine="480" w:firstLineChars="200"/>
              <w:rPr>
                <w:rFonts w:hint="eastAsia" w:ascii="Times New Roman"/>
                <w:color w:val="auto"/>
                <w:sz w:val="24"/>
                <w:szCs w:val="24"/>
                <w:highlight w:val="none"/>
              </w:rPr>
            </w:pPr>
          </w:p>
        </w:tc>
      </w:tr>
      <w:tr w14:paraId="09DD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17" w:type="dxa"/>
            <w:tcBorders>
              <w:top w:val="nil"/>
              <w:left w:val="single" w:color="auto" w:sz="4" w:space="0"/>
              <w:bottom w:val="single" w:color="auto" w:sz="4" w:space="0"/>
              <w:right w:val="single" w:color="auto" w:sz="4" w:space="0"/>
              <w:tl2br w:val="nil"/>
              <w:tr2bl w:val="nil"/>
            </w:tcBorders>
            <w:noWrap w:val="0"/>
            <w:vAlign w:val="center"/>
          </w:tcPr>
          <w:p w14:paraId="27CF7003">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w:t>
            </w:r>
          </w:p>
        </w:tc>
        <w:tc>
          <w:tcPr>
            <w:tcW w:w="3763" w:type="dxa"/>
            <w:tcBorders>
              <w:top w:val="nil"/>
              <w:left w:val="nil"/>
              <w:bottom w:val="single" w:color="auto" w:sz="4" w:space="0"/>
              <w:right w:val="single" w:color="auto" w:sz="4" w:space="0"/>
              <w:tl2br w:val="nil"/>
              <w:tr2bl w:val="nil"/>
            </w:tcBorders>
            <w:noWrap w:val="0"/>
            <w:vAlign w:val="center"/>
          </w:tcPr>
          <w:p w14:paraId="683A81FD">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79033701">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0A42F701">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5BFFD642">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single" w:color="auto" w:sz="4" w:space="0"/>
              <w:left w:val="nil"/>
              <w:bottom w:val="single" w:color="auto" w:sz="4" w:space="0"/>
              <w:right w:val="single" w:color="auto" w:sz="4" w:space="0"/>
              <w:tl2br w:val="nil"/>
              <w:tr2bl w:val="nil"/>
            </w:tcBorders>
            <w:noWrap w:val="0"/>
            <w:vAlign w:val="center"/>
          </w:tcPr>
          <w:p w14:paraId="31EEF9C9">
            <w:pPr>
              <w:adjustRightInd w:val="0"/>
              <w:snapToGrid w:val="0"/>
              <w:spacing w:beforeLines="0" w:afterLines="0" w:line="360" w:lineRule="auto"/>
              <w:ind w:firstLine="480" w:firstLineChars="200"/>
              <w:rPr>
                <w:rFonts w:hint="eastAsia" w:ascii="Times New Roman"/>
                <w:color w:val="auto"/>
                <w:sz w:val="24"/>
                <w:szCs w:val="24"/>
                <w:highlight w:val="none"/>
              </w:rPr>
            </w:pPr>
          </w:p>
        </w:tc>
        <w:tc>
          <w:tcPr>
            <w:tcW w:w="919" w:type="dxa"/>
            <w:tcBorders>
              <w:top w:val="nil"/>
              <w:left w:val="nil"/>
              <w:bottom w:val="single" w:color="auto" w:sz="4" w:space="0"/>
              <w:right w:val="single" w:color="auto" w:sz="4" w:space="0"/>
              <w:tl2br w:val="nil"/>
              <w:tr2bl w:val="nil"/>
            </w:tcBorders>
            <w:noWrap w:val="0"/>
            <w:vAlign w:val="center"/>
          </w:tcPr>
          <w:p w14:paraId="381638E9">
            <w:pPr>
              <w:adjustRightInd w:val="0"/>
              <w:snapToGrid w:val="0"/>
              <w:spacing w:beforeLines="0" w:afterLines="0" w:line="360" w:lineRule="auto"/>
              <w:ind w:firstLine="480" w:firstLineChars="200"/>
              <w:rPr>
                <w:rFonts w:hint="eastAsia" w:ascii="Times New Roman"/>
                <w:color w:val="auto"/>
                <w:sz w:val="24"/>
                <w:szCs w:val="24"/>
                <w:highlight w:val="none"/>
              </w:rPr>
            </w:pPr>
          </w:p>
        </w:tc>
      </w:tr>
    </w:tbl>
    <w:p w14:paraId="121D4EE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注：参考品牌不得少于三个，对于招标人参考品牌的材料、设备，投标人可选用参考品牌或不低于参考品牌技术性能指标的其他品牌；采用其他品牌的应在报价文件《招标人参考的材料品牌响应表》中注明并提供相关技术性能指标、业绩等供评标委员会评审，未在《招标人参考的材料品牌响应表》中注明且未提供相关技术性能指标、业绩，或经评标委员会评审未通过的，中标后只能从招标人参考品牌中进行选择，合同价格不予调整。</w:t>
      </w:r>
    </w:p>
    <w:p w14:paraId="4D63CB83">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t>如图纸中出现特定性、唯一性品牌的表述，该品牌仅作为参考，施工过程中不具有限定性。</w:t>
      </w:r>
    </w:p>
    <w:p w14:paraId="1D66D30F">
      <w:pPr>
        <w:adjustRightInd w:val="0"/>
        <w:snapToGrid w:val="0"/>
        <w:spacing w:beforeLines="0" w:afterLines="0" w:line="360" w:lineRule="auto"/>
        <w:ind w:firstLine="480" w:firstLineChars="200"/>
        <w:rPr>
          <w:rFonts w:hint="eastAsia" w:ascii="Times New Roman"/>
          <w:color w:val="auto"/>
          <w:sz w:val="24"/>
          <w:szCs w:val="24"/>
          <w:highlight w:val="none"/>
        </w:rPr>
      </w:pPr>
      <w:bookmarkStart w:id="1010" w:name="_Toc5973"/>
      <w:bookmarkStart w:id="1011" w:name="_Toc32732"/>
      <w:bookmarkStart w:id="1012" w:name="_Toc128950262"/>
      <w:r>
        <w:rPr>
          <w:rFonts w:hint="eastAsia" w:ascii="Times New Roman"/>
          <w:color w:val="auto"/>
          <w:sz w:val="24"/>
          <w:szCs w:val="24"/>
          <w:highlight w:val="none"/>
        </w:rPr>
        <w:t>（3）其他</w:t>
      </w:r>
      <w:bookmarkEnd w:id="1010"/>
      <w:bookmarkEnd w:id="1011"/>
      <w:bookmarkEnd w:id="1012"/>
    </w:p>
    <w:p w14:paraId="00E9ED06">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rPr>
        <w:sym w:font="Wingdings 2" w:char="0052"/>
      </w:r>
      <w:r>
        <w:rPr>
          <w:rFonts w:hint="eastAsia" w:ascii="Times New Roman"/>
          <w:color w:val="auto"/>
          <w:sz w:val="24"/>
          <w:szCs w:val="24"/>
          <w:highlight w:val="none"/>
        </w:rPr>
        <w:t>本工程采用商品砼。</w:t>
      </w:r>
    </w:p>
    <w:p w14:paraId="4125F1B9">
      <w:pPr>
        <w:adjustRightInd w:val="0"/>
        <w:snapToGrid w:val="0"/>
        <w:spacing w:beforeLines="0" w:afterLines="0" w:line="360" w:lineRule="auto"/>
        <w:ind w:firstLine="480" w:firstLineChars="200"/>
        <w:rPr>
          <w:rFonts w:hint="eastAsia" w:ascii="Times New Roman"/>
          <w:color w:val="auto"/>
          <w:sz w:val="24"/>
          <w:szCs w:val="24"/>
          <w:highlight w:val="none"/>
        </w:rPr>
      </w:pPr>
      <w:r>
        <w:rPr>
          <w:rFonts w:hint="eastAsia" w:ascii="Times New Roman"/>
          <w:color w:val="auto"/>
          <w:sz w:val="24"/>
          <w:szCs w:val="24"/>
          <w:highlight w:val="none"/>
          <w:lang w:eastAsia="zh-CN"/>
        </w:rPr>
        <w:t>☑</w:t>
      </w:r>
      <w:r>
        <w:rPr>
          <w:rFonts w:hint="eastAsia" w:ascii="Times New Roman"/>
          <w:color w:val="auto"/>
          <w:sz w:val="24"/>
          <w:szCs w:val="24"/>
          <w:highlight w:val="none"/>
        </w:rPr>
        <w:t>本项目采用预拌砂浆。</w:t>
      </w:r>
    </w:p>
    <w:p w14:paraId="463D655A">
      <w:pPr>
        <w:pStyle w:val="3"/>
        <w:pageBreakBefore w:val="0"/>
        <w:widowControl w:val="0"/>
        <w:numPr>
          <w:ilvl w:val="0"/>
          <w:numId w:val="0"/>
        </w:numPr>
        <w:kinsoku/>
        <w:wordWrap/>
        <w:overflowPunct/>
        <w:topLinePunct w:val="0"/>
        <w:autoSpaceDE/>
        <w:autoSpaceDN/>
        <w:bidi w:val="0"/>
        <w:spacing w:line="560" w:lineRule="exact"/>
        <w:ind w:leftChars="200"/>
        <w:textAlignment w:val="auto"/>
        <w:rPr>
          <w:rFonts w:hint="default" w:ascii="Arial" w:hAnsi="Arial" w:eastAsia="宋体" w:cs="Times New Roman"/>
          <w:b w:val="0"/>
          <w:bCs/>
          <w:color w:val="auto"/>
          <w:kern w:val="2"/>
          <w:sz w:val="36"/>
          <w:szCs w:val="28"/>
          <w:highlight w:val="none"/>
          <w:lang w:val="en-US" w:eastAsia="zh-CN" w:bidi="ar-SA"/>
        </w:rPr>
      </w:pPr>
      <w:bookmarkStart w:id="1013" w:name="_Toc130919137"/>
      <w:r>
        <w:rPr>
          <w:rFonts w:hint="eastAsia" w:ascii="Times New Roman"/>
          <w:color w:val="auto"/>
          <w:sz w:val="28"/>
          <w:szCs w:val="28"/>
          <w:highlight w:val="none"/>
        </w:rPr>
        <w:t xml:space="preserve">6. </w:t>
      </w:r>
      <w:bookmarkEnd w:id="1013"/>
      <w:r>
        <w:rPr>
          <w:rFonts w:hint="eastAsia" w:ascii="Times New Roman"/>
          <w:color w:val="auto"/>
          <w:sz w:val="28"/>
          <w:szCs w:val="28"/>
          <w:highlight w:val="none"/>
          <w:lang w:val="en-US" w:eastAsia="zh-CN"/>
        </w:rPr>
        <w:t>其他要求</w:t>
      </w:r>
    </w:p>
    <w:p w14:paraId="55EB817F">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本工程</w:t>
      </w:r>
      <w:r>
        <w:rPr>
          <w:rFonts w:hint="eastAsia" w:ascii="宋体" w:hAnsi="宋体" w:eastAsia="宋体" w:cs="宋体"/>
          <w:bCs/>
          <w:color w:val="auto"/>
          <w:sz w:val="24"/>
          <w:szCs w:val="24"/>
          <w:highlight w:val="none"/>
          <w:lang w:val="en-US" w:eastAsia="zh-CN"/>
        </w:rPr>
        <w:t>所有材料均须按业主单位要求进行封样管理</w:t>
      </w:r>
      <w:r>
        <w:rPr>
          <w:rFonts w:hint="eastAsia" w:ascii="宋体" w:hAnsi="宋体" w:eastAsia="宋体" w:cs="宋体"/>
          <w:bCs/>
          <w:color w:val="auto"/>
          <w:sz w:val="24"/>
          <w:szCs w:val="24"/>
          <w:highlight w:val="none"/>
        </w:rPr>
        <w:t>。</w:t>
      </w:r>
    </w:p>
    <w:p w14:paraId="3D14A805">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现场不得有建筑垃圾、生活垃圾、砼块等，满足后期所有验收、移交</w:t>
      </w:r>
      <w:r>
        <w:rPr>
          <w:rFonts w:hint="eastAsia" w:ascii="宋体" w:hAnsi="宋体" w:eastAsia="宋体" w:cs="宋体"/>
          <w:bCs/>
          <w:color w:val="auto"/>
          <w:sz w:val="24"/>
          <w:szCs w:val="24"/>
          <w:highlight w:val="none"/>
          <w:lang w:val="en-US" w:eastAsia="zh-CN"/>
        </w:rPr>
        <w:t>管理</w:t>
      </w:r>
      <w:r>
        <w:rPr>
          <w:rFonts w:hint="eastAsia" w:ascii="宋体" w:hAnsi="宋体" w:eastAsia="宋体" w:cs="宋体"/>
          <w:bCs/>
          <w:color w:val="auto"/>
          <w:sz w:val="24"/>
          <w:szCs w:val="24"/>
          <w:highlight w:val="none"/>
        </w:rPr>
        <w:t>单位等所有一切要求，所有工作内容费用均含在</w:t>
      </w:r>
      <w:r>
        <w:rPr>
          <w:rFonts w:hint="eastAsia" w:hAnsi="宋体" w:cs="宋体"/>
          <w:bCs/>
          <w:color w:val="auto"/>
          <w:sz w:val="24"/>
          <w:szCs w:val="24"/>
          <w:highlight w:val="none"/>
          <w:lang w:val="en-US" w:eastAsia="zh-CN"/>
        </w:rPr>
        <w:t>投标单位</w:t>
      </w:r>
      <w:r>
        <w:rPr>
          <w:rFonts w:hint="eastAsia"/>
          <w:color w:val="auto"/>
          <w:highlight w:val="none"/>
          <w:lang w:val="en-US" w:eastAsia="zh-CN"/>
        </w:rPr>
        <w:t>的综合单价中</w:t>
      </w: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自行考虑报价，</w:t>
      </w:r>
      <w:r>
        <w:rPr>
          <w:rFonts w:hint="eastAsia"/>
          <w:color w:val="auto"/>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不再调整。</w:t>
      </w:r>
    </w:p>
    <w:p w14:paraId="33AC66D6">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施工破除费用：</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应充分了解施工现场，做好现场踏勘工作。要充分考虑建筑垃圾</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特种作业、安全防护</w:t>
      </w:r>
      <w:r>
        <w:rPr>
          <w:rFonts w:hint="eastAsia" w:ascii="宋体" w:hAnsi="宋体" w:eastAsia="宋体" w:cs="宋体"/>
          <w:bCs/>
          <w:color w:val="auto"/>
          <w:sz w:val="24"/>
          <w:szCs w:val="24"/>
          <w:highlight w:val="none"/>
        </w:rPr>
        <w:t>等影响因素及不可预见费用，施工时的排水、清淤、换填、破除、清障及外运等相关费用，清单控制价不单独列项，</w:t>
      </w:r>
      <w:r>
        <w:rPr>
          <w:rFonts w:hint="eastAsia" w:hAnsi="宋体" w:cs="宋体"/>
          <w:bCs/>
          <w:color w:val="auto"/>
          <w:sz w:val="24"/>
          <w:szCs w:val="24"/>
          <w:highlight w:val="none"/>
          <w:lang w:val="en-US" w:eastAsia="zh-CN"/>
        </w:rPr>
        <w:t>中标人</w:t>
      </w:r>
      <w:r>
        <w:rPr>
          <w:rFonts w:hint="eastAsia" w:ascii="宋体" w:hAnsi="宋体" w:eastAsia="宋体" w:cs="宋体"/>
          <w:bCs/>
          <w:color w:val="auto"/>
          <w:sz w:val="24"/>
          <w:szCs w:val="24"/>
          <w:highlight w:val="none"/>
        </w:rPr>
        <w:t>根据设计图纸并结合现场踏勘情况综合考虑进行报价，费用含在报价中，</w:t>
      </w:r>
      <w:r>
        <w:rPr>
          <w:rFonts w:hint="eastAsia" w:hAnsi="宋体" w:cs="宋体"/>
          <w:bCs/>
          <w:color w:val="auto"/>
          <w:sz w:val="24"/>
          <w:szCs w:val="24"/>
          <w:highlight w:val="none"/>
          <w:lang w:val="en-US" w:eastAsia="zh-CN"/>
        </w:rPr>
        <w:t>中标后</w:t>
      </w:r>
      <w:r>
        <w:rPr>
          <w:rFonts w:hint="eastAsia" w:ascii="宋体" w:hAnsi="宋体" w:eastAsia="宋体" w:cs="宋体"/>
          <w:bCs/>
          <w:color w:val="auto"/>
          <w:sz w:val="24"/>
          <w:szCs w:val="24"/>
          <w:highlight w:val="none"/>
        </w:rPr>
        <w:t>不予调整，</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须按照图纸要求及相关规范完成上述工作内容并确保验收移交。</w:t>
      </w:r>
    </w:p>
    <w:p w14:paraId="2940B024">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施工便道、施工临时围挡，此项费用不在清单中单独列项，相关费用在报价中综合考虑，</w:t>
      </w:r>
      <w:r>
        <w:rPr>
          <w:rFonts w:hint="eastAsia" w:hAnsi="宋体" w:cs="宋体"/>
          <w:bCs/>
          <w:color w:val="auto"/>
          <w:sz w:val="24"/>
          <w:szCs w:val="24"/>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不予调整。</w:t>
      </w:r>
    </w:p>
    <w:p w14:paraId="45ADA8D4">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凡涉及到本次</w:t>
      </w:r>
      <w:r>
        <w:rPr>
          <w:rFonts w:hint="eastAsia" w:hAnsi="宋体" w:cs="宋体"/>
          <w:bCs/>
          <w:color w:val="auto"/>
          <w:sz w:val="24"/>
          <w:szCs w:val="24"/>
          <w:highlight w:val="none"/>
          <w:lang w:val="en-US" w:eastAsia="zh-CN"/>
        </w:rPr>
        <w:t>招标</w:t>
      </w:r>
      <w:r>
        <w:rPr>
          <w:rFonts w:hint="eastAsia" w:ascii="宋体" w:hAnsi="宋体" w:eastAsia="宋体" w:cs="宋体"/>
          <w:bCs/>
          <w:color w:val="auto"/>
          <w:sz w:val="24"/>
          <w:szCs w:val="24"/>
          <w:highlight w:val="none"/>
        </w:rPr>
        <w:t>范围内的所有试验、专家评审论证费、综合竣工验收费用、监测费（</w:t>
      </w:r>
      <w:r>
        <w:rPr>
          <w:rFonts w:hint="eastAsia" w:hAnsi="宋体" w:cs="宋体"/>
          <w:bCs/>
          <w:color w:val="auto"/>
          <w:sz w:val="24"/>
          <w:szCs w:val="24"/>
          <w:highlight w:val="none"/>
          <w:lang w:val="en-US" w:eastAsia="zh-CN"/>
        </w:rPr>
        <w:t>招标人</w:t>
      </w:r>
      <w:r>
        <w:rPr>
          <w:rFonts w:hint="eastAsia" w:ascii="宋体" w:hAnsi="宋体" w:eastAsia="宋体" w:cs="宋体"/>
          <w:bCs/>
          <w:color w:val="auto"/>
          <w:sz w:val="24"/>
          <w:szCs w:val="24"/>
          <w:highlight w:val="none"/>
        </w:rPr>
        <w:t>委托第三方检测不在内）</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二次消防验收</w:t>
      </w:r>
      <w:r>
        <w:rPr>
          <w:rFonts w:hint="eastAsia" w:ascii="宋体" w:hAnsi="宋体" w:eastAsia="宋体" w:cs="宋体"/>
          <w:bCs/>
          <w:color w:val="auto"/>
          <w:sz w:val="24"/>
          <w:szCs w:val="24"/>
          <w:highlight w:val="none"/>
        </w:rPr>
        <w:t>，不在清单中单独列项，相关费用在报价中综合考虑</w:t>
      </w:r>
      <w:r>
        <w:rPr>
          <w:rFonts w:hint="eastAsia" w:ascii="宋体" w:hAnsi="宋体" w:eastAsia="宋体" w:cs="宋体"/>
          <w:bCs/>
          <w:color w:val="auto"/>
          <w:sz w:val="24"/>
          <w:szCs w:val="24"/>
          <w:highlight w:val="none"/>
          <w:lang w:eastAsia="zh-CN"/>
        </w:rPr>
        <w:t>，</w:t>
      </w:r>
      <w:r>
        <w:rPr>
          <w:rFonts w:hint="eastAsia" w:hAnsi="宋体" w:cs="宋体"/>
          <w:bCs/>
          <w:color w:val="auto"/>
          <w:sz w:val="24"/>
          <w:szCs w:val="24"/>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不予调整。</w:t>
      </w:r>
    </w:p>
    <w:p w14:paraId="3EFFA6D1">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产权单位的管杆线及沿线市政管网、道路对接费，主要包括管网、线网、路网等与市政管网、线网、路网（包括与分包单位管网、线网、路网）等的无缝对接费；由</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自行踏看现场，充分考虑费用列入报价，此费用不在清单中单独列项，相关费用在报价中综合考虑，</w:t>
      </w:r>
      <w:r>
        <w:rPr>
          <w:rFonts w:hint="eastAsia" w:hAnsi="宋体" w:cs="宋体"/>
          <w:bCs/>
          <w:color w:val="auto"/>
          <w:sz w:val="24"/>
          <w:szCs w:val="24"/>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不予调整。</w:t>
      </w:r>
    </w:p>
    <w:p w14:paraId="5D476B79">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现场垃圾拆除及清理，主要包括场区范围内及施工范围内的各种附属物、构筑物等的拆除及外运，运输距离</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自行考虑，运距、弃土场、渣土费、保洁费用、现场踏勘自行报价，需满足合肥市及工程所属城管局等相关部门的要求</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且渣土运输必须釆用国四标准的新型环保运输车运输。由</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自行踏看现场，充分考虑费用列入报价，此费用不在清单中单独列项，相关费用在报价中综合考虑，</w:t>
      </w:r>
      <w:r>
        <w:rPr>
          <w:rFonts w:hint="eastAsia" w:hAnsi="宋体" w:cs="宋体"/>
          <w:bCs/>
          <w:color w:val="auto"/>
          <w:sz w:val="24"/>
          <w:szCs w:val="24"/>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不予调整。</w:t>
      </w:r>
    </w:p>
    <w:p w14:paraId="7005FC20">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预留洞口封堵，含门洞、室内管、井等在内的各种管道封堵；包括但不限于防火封堵、给水、排水、供水、电气、弱电等配套单位的洞口预埋、开洞、封堵（含一次封堵及二次封堵）、修复、清理等一切工序及费用，满足防火构造及防火封堵要求；由</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自行踏看现场，充分考虑费用列入报价，此费用不在清单中单独列项，相关费用在报价中综合考虑，</w:t>
      </w:r>
      <w:r>
        <w:rPr>
          <w:rFonts w:hint="eastAsia" w:hAnsi="宋体" w:cs="宋体"/>
          <w:bCs/>
          <w:color w:val="auto"/>
          <w:sz w:val="24"/>
          <w:szCs w:val="24"/>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不予调整。</w:t>
      </w:r>
    </w:p>
    <w:p w14:paraId="1B711EC1">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工程资料需按最新标准留存（照片、影像、视频等），文件、图纸等扫描及报审产生的费用不在清单中单独列项，相关费用在报价中综合考虑，</w:t>
      </w:r>
      <w:r>
        <w:rPr>
          <w:rFonts w:hint="eastAsia" w:hAnsi="宋体" w:cs="宋体"/>
          <w:bCs/>
          <w:color w:val="auto"/>
          <w:sz w:val="24"/>
          <w:szCs w:val="24"/>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不予调整。</w:t>
      </w:r>
    </w:p>
    <w:p w14:paraId="779CA6C3">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建筑工程一切险：包括但不限于（1）物质损失险；在保险期间内，保障工地范围内遭受如火灾、洪水等自然灾害或意外事故造成的物质损坏或灭失，保险人按本保险合同的约定负责赔偿。（2）第三者责任险；在保险期间内，因发生与所承保工程直接相关的意外事故引起工地内及邻近区域的第三者人身伤亡、疾病或车辆、房屋等财产损失,依法应由被保险人承担的经济赔偿责任，保险人按照保险合同约定负责赔偿。清单不单独列项，费用包含在</w:t>
      </w:r>
      <w:r>
        <w:rPr>
          <w:rFonts w:hint="eastAsia" w:ascii="宋体" w:hAnsi="宋体" w:eastAsia="宋体" w:cs="宋体"/>
          <w:bCs/>
          <w:color w:val="auto"/>
          <w:sz w:val="24"/>
          <w:szCs w:val="24"/>
          <w:highlight w:val="none"/>
          <w:lang w:val="en-US" w:eastAsia="zh-CN"/>
        </w:rPr>
        <w:t>投标报价</w:t>
      </w:r>
      <w:r>
        <w:rPr>
          <w:rFonts w:hint="eastAsia" w:ascii="宋体" w:hAnsi="宋体" w:eastAsia="宋体" w:cs="宋体"/>
          <w:bCs/>
          <w:color w:val="auto"/>
          <w:sz w:val="24"/>
          <w:szCs w:val="24"/>
          <w:highlight w:val="none"/>
        </w:rPr>
        <w:t>中，</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综合考虑后报价，</w:t>
      </w:r>
      <w:r>
        <w:rPr>
          <w:rFonts w:hint="eastAsia" w:hAnsi="宋体" w:cs="宋体"/>
          <w:bCs/>
          <w:color w:val="auto"/>
          <w:sz w:val="24"/>
          <w:szCs w:val="24"/>
          <w:highlight w:val="none"/>
          <w:lang w:val="en-US" w:eastAsia="zh-CN"/>
        </w:rPr>
        <w:t>中</w:t>
      </w:r>
      <w:r>
        <w:rPr>
          <w:rFonts w:hint="eastAsia" w:ascii="宋体" w:hAnsi="宋体" w:eastAsia="宋体" w:cs="宋体"/>
          <w:bCs/>
          <w:color w:val="auto"/>
          <w:sz w:val="24"/>
          <w:szCs w:val="24"/>
          <w:highlight w:val="none"/>
        </w:rPr>
        <w:t>标后不予调整。</w:t>
      </w:r>
    </w:p>
    <w:p w14:paraId="2EC83CB2">
      <w:pPr>
        <w:keepNext w:val="0"/>
        <w:keepLines w:val="0"/>
        <w:pageBreakBefore w:val="0"/>
        <w:widowControl w:val="0"/>
        <w:numPr>
          <w:ilvl w:val="0"/>
          <w:numId w:val="7"/>
        </w:numPr>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不论施工单位采用何种施工方法及调整施工顺序造成脚手架、垂直运输机械相关费用的增加均不得以任何理由办理签证，所有费用</w:t>
      </w:r>
      <w:r>
        <w:rPr>
          <w:rFonts w:hint="eastAsia"/>
          <w:color w:val="auto"/>
          <w:highlight w:val="none"/>
          <w:lang w:val="en-US" w:eastAsia="zh-CN"/>
        </w:rPr>
        <w:t>均包含在综合单价中</w:t>
      </w: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中标</w:t>
      </w:r>
      <w:r>
        <w:rPr>
          <w:rFonts w:hint="eastAsia" w:ascii="宋体" w:hAnsi="宋体" w:eastAsia="宋体" w:cs="宋体"/>
          <w:bCs/>
          <w:color w:val="auto"/>
          <w:sz w:val="24"/>
          <w:szCs w:val="24"/>
          <w:highlight w:val="none"/>
          <w:lang w:eastAsia="zh-CN"/>
        </w:rPr>
        <w:t>后</w:t>
      </w:r>
      <w:r>
        <w:rPr>
          <w:rFonts w:hint="eastAsia" w:ascii="宋体" w:hAnsi="宋体" w:eastAsia="宋体" w:cs="宋体"/>
          <w:bCs/>
          <w:color w:val="auto"/>
          <w:sz w:val="24"/>
          <w:szCs w:val="24"/>
          <w:highlight w:val="none"/>
        </w:rPr>
        <w:t>不予调整。</w:t>
      </w:r>
    </w:p>
    <w:p w14:paraId="557BE9E3">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施工期间</w:t>
      </w:r>
      <w:r>
        <w:rPr>
          <w:rFonts w:hint="eastAsia" w:ascii="宋体" w:hAnsi="宋体" w:eastAsia="宋体" w:cs="宋体"/>
          <w:bCs/>
          <w:color w:val="auto"/>
          <w:sz w:val="24"/>
          <w:szCs w:val="24"/>
          <w:highlight w:val="none"/>
          <w:lang w:eastAsia="zh-CN"/>
        </w:rPr>
        <w:t>，</w:t>
      </w:r>
      <w:r>
        <w:rPr>
          <w:rFonts w:hint="eastAsia" w:hAnsi="宋体" w:cs="宋体"/>
          <w:bCs/>
          <w:color w:val="auto"/>
          <w:sz w:val="24"/>
          <w:szCs w:val="24"/>
          <w:highlight w:val="none"/>
          <w:lang w:val="en-US" w:eastAsia="zh-CN"/>
        </w:rPr>
        <w:t>中标单位</w:t>
      </w:r>
      <w:r>
        <w:rPr>
          <w:rFonts w:hint="eastAsia" w:ascii="宋体" w:hAnsi="宋体" w:eastAsia="宋体" w:cs="宋体"/>
          <w:bCs/>
          <w:color w:val="auto"/>
          <w:sz w:val="24"/>
          <w:szCs w:val="24"/>
          <w:highlight w:val="none"/>
        </w:rPr>
        <w:t>必须在现场设置材料封样室</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需将合格样品且经监理</w:t>
      </w:r>
      <w:r>
        <w:rPr>
          <w:rFonts w:hint="eastAsia" w:ascii="宋体" w:hAnsi="宋体" w:eastAsia="宋体" w:cs="宋体"/>
          <w:bCs/>
          <w:color w:val="auto"/>
          <w:sz w:val="24"/>
          <w:szCs w:val="24"/>
          <w:highlight w:val="none"/>
          <w:lang w:eastAsia="zh-CN"/>
        </w:rPr>
        <w:t>、</w:t>
      </w:r>
      <w:r>
        <w:rPr>
          <w:rFonts w:hint="eastAsia" w:hAnsi="宋体" w:cs="宋体"/>
          <w:bCs/>
          <w:color w:val="auto"/>
          <w:sz w:val="24"/>
          <w:szCs w:val="24"/>
          <w:highlight w:val="none"/>
          <w:lang w:val="en-US" w:eastAsia="zh-CN"/>
        </w:rPr>
        <w:t>招标人</w:t>
      </w:r>
      <w:r>
        <w:rPr>
          <w:rFonts w:hint="eastAsia" w:ascii="宋体" w:hAnsi="宋体" w:eastAsia="宋体" w:cs="宋体"/>
          <w:bCs/>
          <w:color w:val="auto"/>
          <w:sz w:val="24"/>
          <w:szCs w:val="24"/>
          <w:highlight w:val="none"/>
        </w:rPr>
        <w:t>确认进行材料样品封样放置封样室</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按单体及类别规范放置</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如</w:t>
      </w:r>
      <w:r>
        <w:rPr>
          <w:rFonts w:hint="eastAsia" w:hAnsi="宋体" w:cs="宋体"/>
          <w:bCs/>
          <w:color w:val="auto"/>
          <w:sz w:val="24"/>
          <w:szCs w:val="24"/>
          <w:highlight w:val="none"/>
          <w:lang w:val="en-US" w:eastAsia="zh-CN"/>
        </w:rPr>
        <w:t>招标人</w:t>
      </w:r>
      <w:r>
        <w:rPr>
          <w:rFonts w:hint="eastAsia" w:ascii="宋体" w:hAnsi="宋体" w:eastAsia="宋体" w:cs="宋体"/>
          <w:bCs/>
          <w:color w:val="auto"/>
          <w:sz w:val="24"/>
          <w:szCs w:val="24"/>
          <w:highlight w:val="none"/>
        </w:rPr>
        <w:t>对本项目使用材料使用的颜色需要调整时</w:t>
      </w:r>
      <w:r>
        <w:rPr>
          <w:rFonts w:hint="eastAsia" w:ascii="宋体" w:hAnsi="宋体" w:eastAsia="宋体" w:cs="宋体"/>
          <w:bCs/>
          <w:color w:val="auto"/>
          <w:sz w:val="24"/>
          <w:szCs w:val="24"/>
          <w:highlight w:val="none"/>
          <w:lang w:eastAsia="zh-CN"/>
        </w:rPr>
        <w:t>，</w:t>
      </w:r>
      <w:r>
        <w:rPr>
          <w:rFonts w:hint="eastAsia" w:hAnsi="宋体" w:cs="宋体"/>
          <w:bCs/>
          <w:color w:val="auto"/>
          <w:sz w:val="24"/>
          <w:szCs w:val="24"/>
          <w:highlight w:val="none"/>
          <w:lang w:val="en-US" w:eastAsia="zh-CN"/>
        </w:rPr>
        <w:t>中标单位</w:t>
      </w:r>
      <w:r>
        <w:rPr>
          <w:rFonts w:hint="eastAsia" w:ascii="宋体" w:hAnsi="宋体" w:eastAsia="宋体" w:cs="宋体"/>
          <w:bCs/>
          <w:color w:val="auto"/>
          <w:sz w:val="24"/>
          <w:szCs w:val="24"/>
          <w:highlight w:val="none"/>
        </w:rPr>
        <w:t>必须无条件服从</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但费用不作调整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报价请</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自行考虑</w:t>
      </w:r>
      <w:r>
        <w:rPr>
          <w:rFonts w:hint="eastAsia" w:ascii="宋体" w:hAnsi="宋体" w:eastAsia="宋体" w:cs="宋体"/>
          <w:bCs/>
          <w:color w:val="auto"/>
          <w:sz w:val="24"/>
          <w:szCs w:val="24"/>
          <w:highlight w:val="none"/>
          <w:lang w:eastAsia="zh-CN"/>
        </w:rPr>
        <w:t>。</w:t>
      </w:r>
    </w:p>
    <w:p w14:paraId="709922ED">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eastAsia="zh-CN"/>
        </w:rPr>
      </w:pPr>
      <w:r>
        <w:rPr>
          <w:rFonts w:hint="eastAsia" w:hAnsi="宋体" w:cs="宋体"/>
          <w:bCs/>
          <w:color w:val="auto"/>
          <w:sz w:val="24"/>
          <w:szCs w:val="24"/>
          <w:highlight w:val="none"/>
          <w:lang w:val="en-US" w:eastAsia="zh-CN"/>
        </w:rPr>
        <w:t>中标单位</w:t>
      </w:r>
      <w:r>
        <w:rPr>
          <w:rFonts w:hint="eastAsia" w:ascii="宋体" w:hAnsi="宋体" w:eastAsia="宋体" w:cs="宋体"/>
          <w:bCs/>
          <w:color w:val="auto"/>
          <w:sz w:val="24"/>
          <w:szCs w:val="24"/>
          <w:highlight w:val="none"/>
        </w:rPr>
        <w:t>必须确保所有材料和设备的质量</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材料和设备的质量必须符合设计要求和相关规范的规定</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对于项目特征描述不全的</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必须</w:t>
      </w:r>
      <w:r>
        <w:rPr>
          <w:rFonts w:hint="eastAsia" w:ascii="仿宋_GB2312" w:hAnsi="仿宋_GB2312" w:eastAsia="仿宋_GB2312" w:cs="仿宋_GB2312"/>
          <w:bCs/>
          <w:color w:val="auto"/>
          <w:sz w:val="28"/>
          <w:szCs w:val="28"/>
          <w:highlight w:val="none"/>
        </w:rPr>
        <w:t>满足国家标准</w:t>
      </w:r>
      <w:r>
        <w:rPr>
          <w:rFonts w:hint="eastAsia" w:ascii="宋体" w:hAnsi="宋体" w:eastAsia="宋体" w:cs="宋体"/>
          <w:bCs/>
          <w:color w:val="auto"/>
          <w:sz w:val="24"/>
          <w:szCs w:val="24"/>
          <w:highlight w:val="none"/>
          <w:lang w:eastAsia="zh-CN"/>
        </w:rPr>
        <w:t>（含推荐标准）或行业标准。不得采用贴牌或仿冒产品，否则，视为违约。</w:t>
      </w:r>
    </w:p>
    <w:p w14:paraId="3470019E">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eastAsia="zh-CN"/>
        </w:rPr>
      </w:pP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应自行踏勘现场</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充分熟悉</w:t>
      </w:r>
      <w:r>
        <w:rPr>
          <w:rFonts w:hint="eastAsia" w:hAnsi="宋体" w:cs="宋体"/>
          <w:bCs/>
          <w:color w:val="auto"/>
          <w:sz w:val="24"/>
          <w:szCs w:val="24"/>
          <w:highlight w:val="none"/>
          <w:lang w:val="en-US" w:eastAsia="zh-CN"/>
        </w:rPr>
        <w:t>招标</w:t>
      </w:r>
      <w:r>
        <w:rPr>
          <w:rFonts w:hint="eastAsia" w:ascii="宋体" w:hAnsi="宋体" w:eastAsia="宋体" w:cs="宋体"/>
          <w:bCs/>
          <w:color w:val="auto"/>
          <w:sz w:val="24"/>
          <w:szCs w:val="24"/>
          <w:highlight w:val="none"/>
        </w:rPr>
        <w:t>文件</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施工图纸</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清单及答疑等</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同时对施工现场进行充分考察</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并对施工方法</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施工工艺内容</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费用进行充分考虑</w:t>
      </w:r>
      <w:r>
        <w:rPr>
          <w:rFonts w:hint="eastAsia" w:ascii="宋体" w:hAnsi="宋体" w:eastAsia="宋体" w:cs="宋体"/>
          <w:bCs/>
          <w:color w:val="auto"/>
          <w:sz w:val="24"/>
          <w:szCs w:val="24"/>
          <w:highlight w:val="none"/>
          <w:lang w:eastAsia="zh-CN"/>
        </w:rPr>
        <w:t>。</w:t>
      </w:r>
    </w:p>
    <w:p w14:paraId="33118DEA">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eastAsia="zh-CN"/>
        </w:rPr>
      </w:pP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lang w:eastAsia="zh-CN"/>
        </w:rPr>
        <w:t>因响应时技术、组织措施考虑不周，不能满足工程质量及安全目标要求的，在施工中按要求调整技术、组织措施、改变工程用材、方案才能达到质量、安全目标要求时，</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lang w:eastAsia="zh-CN"/>
        </w:rPr>
        <w:t>不能因此提出调价或增加费用的要求。</w:t>
      </w:r>
    </w:p>
    <w:p w14:paraId="30BBA03C">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未经</w:t>
      </w:r>
      <w:r>
        <w:rPr>
          <w:rFonts w:hint="eastAsia" w:hAnsi="宋体" w:cs="宋体"/>
          <w:bCs/>
          <w:color w:val="auto"/>
          <w:sz w:val="24"/>
          <w:szCs w:val="24"/>
          <w:highlight w:val="none"/>
          <w:lang w:val="en-US" w:eastAsia="zh-CN"/>
        </w:rPr>
        <w:t>招标人</w:t>
      </w:r>
      <w:r>
        <w:rPr>
          <w:rFonts w:hint="eastAsia" w:ascii="宋体" w:hAnsi="宋体" w:eastAsia="宋体" w:cs="宋体"/>
          <w:bCs/>
          <w:color w:val="auto"/>
          <w:sz w:val="24"/>
          <w:szCs w:val="24"/>
          <w:highlight w:val="none"/>
        </w:rPr>
        <w:t>批准</w:t>
      </w:r>
      <w:r>
        <w:rPr>
          <w:rFonts w:hint="eastAsia" w:ascii="宋体" w:hAnsi="宋体" w:eastAsia="宋体" w:cs="宋体"/>
          <w:bCs/>
          <w:color w:val="auto"/>
          <w:sz w:val="24"/>
          <w:szCs w:val="24"/>
          <w:highlight w:val="none"/>
          <w:lang w:eastAsia="zh-CN"/>
        </w:rPr>
        <w:t>，</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不得对工程进行任何变更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变更与调整中涉及的工程造价变化在履行审批程序后最终确定</w:t>
      </w:r>
      <w:r>
        <w:rPr>
          <w:rFonts w:hint="eastAsia" w:ascii="宋体" w:hAnsi="宋体" w:eastAsia="宋体" w:cs="宋体"/>
          <w:bCs/>
          <w:color w:val="auto"/>
          <w:sz w:val="24"/>
          <w:szCs w:val="24"/>
          <w:highlight w:val="none"/>
          <w:lang w:eastAsia="zh-CN"/>
        </w:rPr>
        <w:t>。</w:t>
      </w:r>
    </w:p>
    <w:p w14:paraId="7756A3DB">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所有竣工图等图纸均按</w:t>
      </w:r>
      <w:r>
        <w:rPr>
          <w:rFonts w:hint="eastAsia" w:hAnsi="宋体" w:cs="宋体"/>
          <w:bCs/>
          <w:color w:val="auto"/>
          <w:sz w:val="24"/>
          <w:szCs w:val="24"/>
          <w:highlight w:val="none"/>
          <w:lang w:val="en-US" w:eastAsia="zh-CN"/>
        </w:rPr>
        <w:t>招标人</w:t>
      </w:r>
      <w:r>
        <w:rPr>
          <w:rFonts w:hint="eastAsia" w:ascii="宋体" w:hAnsi="宋体" w:eastAsia="宋体" w:cs="宋体"/>
          <w:bCs/>
          <w:color w:val="auto"/>
          <w:sz w:val="24"/>
          <w:szCs w:val="24"/>
          <w:highlight w:val="none"/>
        </w:rPr>
        <w:t>需求提供</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费用请</w:t>
      </w:r>
      <w:r>
        <w:rPr>
          <w:rFonts w:hint="eastAsia" w:hAnsi="宋体" w:cs="宋体"/>
          <w:bCs/>
          <w:color w:val="auto"/>
          <w:sz w:val="24"/>
          <w:szCs w:val="24"/>
          <w:highlight w:val="none"/>
          <w:lang w:val="en-US" w:eastAsia="zh-CN"/>
        </w:rPr>
        <w:t>投标单位</w:t>
      </w:r>
      <w:r>
        <w:rPr>
          <w:rFonts w:hint="eastAsia" w:ascii="宋体" w:hAnsi="宋体" w:eastAsia="宋体" w:cs="宋体"/>
          <w:bCs/>
          <w:color w:val="auto"/>
          <w:sz w:val="24"/>
          <w:szCs w:val="24"/>
          <w:highlight w:val="none"/>
        </w:rPr>
        <w:t>在报价中综合考虑报价</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含在报价中</w:t>
      </w:r>
      <w:r>
        <w:rPr>
          <w:rFonts w:hint="eastAsia" w:ascii="宋体" w:hAnsi="宋体" w:eastAsia="宋体" w:cs="宋体"/>
          <w:bCs/>
          <w:color w:val="auto"/>
          <w:sz w:val="24"/>
          <w:szCs w:val="24"/>
          <w:highlight w:val="none"/>
          <w:lang w:eastAsia="zh-CN"/>
        </w:rPr>
        <w:t>。</w:t>
      </w:r>
    </w:p>
    <w:p w14:paraId="2D8C2D08">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施工单位须对施工现场进行充分考察</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并对施工方法</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施工工艺内容</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费用进行充分考虑</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施工后不得以未踏勘现场为由增加费用</w:t>
      </w:r>
      <w:r>
        <w:rPr>
          <w:rFonts w:hint="eastAsia" w:ascii="宋体" w:hAnsi="宋体" w:eastAsia="宋体" w:cs="宋体"/>
          <w:bCs/>
          <w:color w:val="auto"/>
          <w:sz w:val="24"/>
          <w:szCs w:val="24"/>
          <w:highlight w:val="none"/>
          <w:lang w:eastAsia="zh-CN"/>
        </w:rPr>
        <w:t>。</w:t>
      </w:r>
    </w:p>
    <w:p w14:paraId="72CD8FA4">
      <w:pPr>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中标人负责对相关人员进行考勤，每月底分类形成书面材料上报招标人。未提供相关书面材料的，处违约金 5000 元。 人员进场考核要求：中标人须在中标公示结束 5 日内完成人员选配工作，并将名单（姓名、岗位、资格、业绩、身份证号、联系方式、社保证明）上报至招标人。</w:t>
      </w:r>
    </w:p>
    <w:p w14:paraId="46896A6C">
      <w:pPr>
        <w:pStyle w:val="16"/>
        <w:keepNext w:val="0"/>
        <w:keepLines w:val="0"/>
        <w:pageBreakBefore w:val="0"/>
        <w:widowControl w:val="0"/>
        <w:numPr>
          <w:ilvl w:val="0"/>
          <w:numId w:val="7"/>
        </w:numPr>
        <w:kinsoku/>
        <w:wordWrap/>
        <w:overflowPunct/>
        <w:topLinePunct w:val="0"/>
        <w:autoSpaceDE/>
        <w:autoSpaceDN/>
        <w:bidi w:val="0"/>
        <w:spacing w:line="560" w:lineRule="exact"/>
        <w:ind w:left="0" w:leftChars="0" w:firstLine="480" w:firstLineChars="200"/>
        <w:jc w:val="lef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市政工程质量安全检查违约金标准及施工单位履责行为质量安全检查违约标准。</w:t>
      </w:r>
    </w:p>
    <w:p w14:paraId="621394D3">
      <w:pPr>
        <w:pStyle w:val="16"/>
        <w:numPr>
          <w:ilvl w:val="0"/>
          <w:numId w:val="0"/>
        </w:numPr>
        <w:ind w:leftChars="0"/>
        <w:jc w:val="left"/>
        <w:rPr>
          <w:rFonts w:hint="eastAsia" w:ascii="仿宋_GB2312" w:hAnsi="仿宋_GB2312" w:eastAsia="仿宋_GB2312" w:cs="仿宋_GB2312"/>
          <w:bCs/>
          <w:color w:val="auto"/>
          <w:kern w:val="2"/>
          <w:sz w:val="28"/>
          <w:szCs w:val="28"/>
          <w:highlight w:val="none"/>
          <w:lang w:val="en-US" w:eastAsia="zh-CN" w:bidi="ar-SA"/>
        </w:rPr>
      </w:pPr>
    </w:p>
    <w:tbl>
      <w:tblPr>
        <w:tblStyle w:val="17"/>
        <w:tblW w:w="8338" w:type="dxa"/>
        <w:tblInd w:w="93" w:type="dxa"/>
        <w:tblLayout w:type="fixed"/>
        <w:tblCellMar>
          <w:top w:w="0" w:type="dxa"/>
          <w:left w:w="108" w:type="dxa"/>
          <w:bottom w:w="0" w:type="dxa"/>
          <w:right w:w="108" w:type="dxa"/>
        </w:tblCellMar>
      </w:tblPr>
      <w:tblGrid>
        <w:gridCol w:w="465"/>
        <w:gridCol w:w="45"/>
        <w:gridCol w:w="840"/>
        <w:gridCol w:w="150"/>
        <w:gridCol w:w="4785"/>
        <w:gridCol w:w="961"/>
        <w:gridCol w:w="1088"/>
        <w:gridCol w:w="4"/>
      </w:tblGrid>
      <w:tr w14:paraId="18D9D72B">
        <w:tblPrEx>
          <w:tblCellMar>
            <w:top w:w="0" w:type="dxa"/>
            <w:left w:w="108" w:type="dxa"/>
            <w:bottom w:w="0" w:type="dxa"/>
            <w:right w:w="108" w:type="dxa"/>
          </w:tblCellMar>
        </w:tblPrEx>
        <w:trPr>
          <w:trHeight w:val="1022" w:hRule="atLeast"/>
        </w:trPr>
        <w:tc>
          <w:tcPr>
            <w:tcW w:w="8338" w:type="dxa"/>
            <w:gridSpan w:val="8"/>
            <w:tcBorders>
              <w:top w:val="nil"/>
              <w:left w:val="nil"/>
              <w:bottom w:val="nil"/>
              <w:right w:val="nil"/>
            </w:tcBorders>
            <w:noWrap w:val="0"/>
            <w:vAlign w:val="center"/>
          </w:tcPr>
          <w:p w14:paraId="21C86DAC">
            <w:pPr>
              <w:widowControl/>
              <w:jc w:val="center"/>
              <w:rPr>
                <w:rFonts w:ascii="宋体" w:hAnsi="宋体" w:cs="宋体"/>
                <w:b/>
                <w:color w:val="auto"/>
                <w:kern w:val="0"/>
                <w:sz w:val="21"/>
                <w:szCs w:val="21"/>
                <w:highlight w:val="none"/>
              </w:rPr>
            </w:pPr>
            <w:r>
              <w:rPr>
                <w:rFonts w:hint="eastAsia" w:ascii="微软雅黑" w:hAnsi="宋体" w:eastAsia="微软雅黑" w:cs="宋体"/>
                <w:b/>
                <w:color w:val="auto"/>
                <w:kern w:val="0"/>
                <w:sz w:val="44"/>
                <w:szCs w:val="44"/>
                <w:highlight w:val="none"/>
                <w:lang w:val="en-US" w:eastAsia="zh-CN"/>
              </w:rPr>
              <w:t>市政</w:t>
            </w:r>
            <w:r>
              <w:rPr>
                <w:rFonts w:hint="eastAsia" w:ascii="微软雅黑" w:hAnsi="宋体" w:eastAsia="微软雅黑" w:cs="宋体"/>
                <w:b/>
                <w:color w:val="auto"/>
                <w:kern w:val="0"/>
                <w:sz w:val="44"/>
                <w:szCs w:val="44"/>
                <w:highlight w:val="none"/>
              </w:rPr>
              <w:t>工程质量安全检查违约金标准</w:t>
            </w:r>
          </w:p>
        </w:tc>
      </w:tr>
      <w:tr w14:paraId="32E1A7BC">
        <w:tblPrEx>
          <w:tblCellMar>
            <w:top w:w="0" w:type="dxa"/>
            <w:left w:w="108" w:type="dxa"/>
            <w:bottom w:w="0" w:type="dxa"/>
            <w:right w:w="108" w:type="dxa"/>
          </w:tblCellMar>
        </w:tblPrEx>
        <w:trPr>
          <w:trHeight w:val="690" w:hRule="atLeast"/>
        </w:trPr>
        <w:tc>
          <w:tcPr>
            <w:tcW w:w="465" w:type="dxa"/>
            <w:vMerge w:val="restart"/>
            <w:tcBorders>
              <w:top w:val="single" w:color="000000" w:sz="4" w:space="0"/>
              <w:left w:val="single" w:color="000000" w:sz="4" w:space="0"/>
              <w:bottom w:val="single" w:color="000000" w:sz="4" w:space="0"/>
              <w:right w:val="single" w:color="000000" w:sz="4" w:space="0"/>
            </w:tcBorders>
            <w:noWrap w:val="0"/>
            <w:vAlign w:val="center"/>
          </w:tcPr>
          <w:p w14:paraId="4671C9F8">
            <w:pPr>
              <w:widowControl/>
              <w:jc w:val="center"/>
              <w:rPr>
                <w:rFonts w:ascii="仿宋_GB2312" w:hAnsi="宋体" w:eastAsia="仿宋_GB2312"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88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C1B69A0">
            <w:pPr>
              <w:widowControl/>
              <w:jc w:val="center"/>
              <w:rPr>
                <w:rFonts w:ascii="仿宋_GB2312" w:hAnsi="宋体" w:eastAsia="仿宋_GB2312" w:cs="宋体"/>
                <w:b/>
                <w:bCs/>
                <w:color w:val="auto"/>
                <w:kern w:val="0"/>
                <w:sz w:val="21"/>
                <w:szCs w:val="21"/>
                <w:highlight w:val="none"/>
              </w:rPr>
            </w:pPr>
            <w:r>
              <w:rPr>
                <w:rFonts w:hint="eastAsia" w:ascii="宋体" w:hAnsi="宋体" w:cs="宋体"/>
                <w:b/>
                <w:bCs/>
                <w:color w:val="auto"/>
                <w:kern w:val="0"/>
                <w:sz w:val="21"/>
                <w:szCs w:val="21"/>
                <w:highlight w:val="none"/>
              </w:rPr>
              <w:t>检查项目</w:t>
            </w:r>
          </w:p>
        </w:tc>
        <w:tc>
          <w:tcPr>
            <w:tcW w:w="493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2617995">
            <w:pPr>
              <w:widowControl/>
              <w:jc w:val="center"/>
              <w:rPr>
                <w:rFonts w:ascii="仿宋_GB2312" w:hAnsi="宋体" w:eastAsia="仿宋_GB2312" w:cs="宋体"/>
                <w:b/>
                <w:bCs/>
                <w:color w:val="auto"/>
                <w:kern w:val="0"/>
                <w:sz w:val="21"/>
                <w:szCs w:val="21"/>
                <w:highlight w:val="none"/>
              </w:rPr>
            </w:pPr>
            <w:r>
              <w:rPr>
                <w:rFonts w:hint="eastAsia" w:ascii="宋体" w:hAnsi="宋体" w:cs="宋体"/>
                <w:b/>
                <w:bCs/>
                <w:color w:val="auto"/>
                <w:kern w:val="0"/>
                <w:sz w:val="21"/>
                <w:szCs w:val="21"/>
                <w:highlight w:val="none"/>
              </w:rPr>
              <w:t>检查内容</w:t>
            </w:r>
          </w:p>
        </w:tc>
        <w:tc>
          <w:tcPr>
            <w:tcW w:w="2053" w:type="dxa"/>
            <w:gridSpan w:val="3"/>
            <w:tcBorders>
              <w:top w:val="single" w:color="000000" w:sz="4" w:space="0"/>
              <w:left w:val="nil"/>
              <w:bottom w:val="single" w:color="000000" w:sz="4" w:space="0"/>
              <w:right w:val="single" w:color="000000" w:sz="4" w:space="0"/>
            </w:tcBorders>
            <w:noWrap w:val="0"/>
            <w:vAlign w:val="center"/>
          </w:tcPr>
          <w:p w14:paraId="6DEE06F3">
            <w:pPr>
              <w:widowControl/>
              <w:jc w:val="center"/>
              <w:rPr>
                <w:rFonts w:ascii="仿宋_GB2312" w:hAnsi="宋体" w:eastAsia="仿宋_GB2312" w:cs="宋体"/>
                <w:b/>
                <w:bCs/>
                <w:color w:val="auto"/>
                <w:kern w:val="0"/>
                <w:sz w:val="21"/>
                <w:szCs w:val="21"/>
                <w:highlight w:val="none"/>
              </w:rPr>
            </w:pPr>
            <w:r>
              <w:rPr>
                <w:rFonts w:hint="eastAsia" w:ascii="宋体" w:hAnsi="宋体" w:cs="宋体"/>
                <w:b/>
                <w:bCs/>
                <w:color w:val="auto"/>
                <w:kern w:val="0"/>
                <w:sz w:val="21"/>
                <w:szCs w:val="21"/>
                <w:highlight w:val="none"/>
              </w:rPr>
              <w:t>违约金标准</w:t>
            </w:r>
            <w:r>
              <w:rPr>
                <w:rFonts w:hint="eastAsia" w:ascii="Malgun Gothic Semilight" w:hAnsi="Malgun Gothic Semilight" w:eastAsia="Malgun Gothic Semilight" w:cs="Malgun Gothic Semilight"/>
                <w:b/>
                <w:bCs/>
                <w:color w:val="auto"/>
                <w:kern w:val="0"/>
                <w:sz w:val="21"/>
                <w:szCs w:val="21"/>
                <w:highlight w:val="none"/>
              </w:rPr>
              <w:t>（</w:t>
            </w:r>
            <w:r>
              <w:rPr>
                <w:rFonts w:hint="eastAsia" w:ascii="宋体" w:hAnsi="宋体" w:cs="宋体"/>
                <w:b/>
                <w:bCs/>
                <w:color w:val="auto"/>
                <w:kern w:val="0"/>
                <w:sz w:val="21"/>
                <w:szCs w:val="21"/>
                <w:highlight w:val="none"/>
              </w:rPr>
              <w:t>元</w:t>
            </w:r>
            <w:r>
              <w:rPr>
                <w:rFonts w:hint="eastAsia" w:ascii="仿宋_GB2312" w:hAnsi="宋体" w:eastAsia="仿宋_GB2312" w:cs="宋体"/>
                <w:b/>
                <w:bCs/>
                <w:color w:val="auto"/>
                <w:kern w:val="0"/>
                <w:sz w:val="21"/>
                <w:szCs w:val="21"/>
                <w:highlight w:val="none"/>
              </w:rPr>
              <w:t>/</w:t>
            </w:r>
            <w:r>
              <w:rPr>
                <w:rFonts w:hint="eastAsia" w:ascii="宋体" w:hAnsi="宋体" w:cs="宋体"/>
                <w:b/>
                <w:bCs/>
                <w:color w:val="auto"/>
                <w:kern w:val="0"/>
                <w:sz w:val="21"/>
                <w:szCs w:val="21"/>
                <w:highlight w:val="none"/>
              </w:rPr>
              <w:t>条</w:t>
            </w:r>
            <w:r>
              <w:rPr>
                <w:rFonts w:hint="eastAsia" w:ascii="仿宋_GB2312" w:hAnsi="宋体" w:eastAsia="仿宋_GB2312" w:cs="宋体"/>
                <w:b/>
                <w:bCs/>
                <w:color w:val="auto"/>
                <w:kern w:val="0"/>
                <w:sz w:val="21"/>
                <w:szCs w:val="21"/>
                <w:highlight w:val="none"/>
              </w:rPr>
              <w:t>.</w:t>
            </w:r>
            <w:r>
              <w:rPr>
                <w:rFonts w:hint="eastAsia" w:ascii="宋体" w:hAnsi="宋体" w:cs="宋体"/>
                <w:b/>
                <w:bCs/>
                <w:color w:val="auto"/>
                <w:kern w:val="0"/>
                <w:sz w:val="21"/>
                <w:szCs w:val="21"/>
                <w:highlight w:val="none"/>
              </w:rPr>
              <w:t>支付</w:t>
            </w:r>
            <w:r>
              <w:rPr>
                <w:rFonts w:hint="eastAsia" w:ascii="Malgun Gothic Semilight" w:hAnsi="Malgun Gothic Semilight" w:eastAsia="Malgun Gothic Semilight" w:cs="Malgun Gothic Semilight"/>
                <w:b/>
                <w:bCs/>
                <w:color w:val="auto"/>
                <w:kern w:val="0"/>
                <w:sz w:val="21"/>
                <w:szCs w:val="21"/>
                <w:highlight w:val="none"/>
              </w:rPr>
              <w:t>）</w:t>
            </w:r>
          </w:p>
        </w:tc>
      </w:tr>
      <w:tr w14:paraId="452E9261">
        <w:tblPrEx>
          <w:tblCellMar>
            <w:top w:w="0" w:type="dxa"/>
            <w:left w:w="108" w:type="dxa"/>
            <w:bottom w:w="0" w:type="dxa"/>
            <w:right w:w="108" w:type="dxa"/>
          </w:tblCellMar>
        </w:tblPrEx>
        <w:trPr>
          <w:trHeight w:val="570" w:hRule="atLeast"/>
        </w:trPr>
        <w:tc>
          <w:tcPr>
            <w:tcW w:w="4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5949D6">
            <w:pPr>
              <w:widowControl/>
              <w:jc w:val="left"/>
              <w:rPr>
                <w:rFonts w:ascii="仿宋_GB2312" w:hAnsi="宋体" w:eastAsia="仿宋_GB2312" w:cs="宋体"/>
                <w:b/>
                <w:bCs/>
                <w:color w:val="auto"/>
                <w:kern w:val="0"/>
                <w:sz w:val="21"/>
                <w:szCs w:val="21"/>
                <w:highlight w:val="none"/>
              </w:rPr>
            </w:pPr>
          </w:p>
        </w:tc>
        <w:tc>
          <w:tcPr>
            <w:tcW w:w="88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2A0F6EF">
            <w:pPr>
              <w:widowControl/>
              <w:jc w:val="left"/>
              <w:rPr>
                <w:rFonts w:ascii="仿宋_GB2312" w:hAnsi="宋体" w:eastAsia="仿宋_GB2312" w:cs="宋体"/>
                <w:b/>
                <w:bCs/>
                <w:color w:val="auto"/>
                <w:kern w:val="0"/>
                <w:sz w:val="21"/>
                <w:szCs w:val="21"/>
                <w:highlight w:val="none"/>
              </w:rPr>
            </w:pPr>
          </w:p>
        </w:tc>
        <w:tc>
          <w:tcPr>
            <w:tcW w:w="493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DECD4EA">
            <w:pPr>
              <w:widowControl/>
              <w:jc w:val="left"/>
              <w:rPr>
                <w:rFonts w:ascii="仿宋_GB2312" w:hAnsi="宋体" w:eastAsia="仿宋_GB2312" w:cs="宋体"/>
                <w:b/>
                <w:bCs/>
                <w:color w:val="auto"/>
                <w:kern w:val="0"/>
                <w:sz w:val="21"/>
                <w:szCs w:val="21"/>
                <w:highlight w:val="none"/>
              </w:rPr>
            </w:pPr>
          </w:p>
        </w:tc>
        <w:tc>
          <w:tcPr>
            <w:tcW w:w="2053" w:type="dxa"/>
            <w:gridSpan w:val="3"/>
            <w:tcBorders>
              <w:top w:val="nil"/>
              <w:left w:val="nil"/>
              <w:bottom w:val="single" w:color="000000" w:sz="4" w:space="0"/>
              <w:right w:val="single" w:color="000000" w:sz="4" w:space="0"/>
            </w:tcBorders>
            <w:noWrap w:val="0"/>
            <w:vAlign w:val="center"/>
          </w:tcPr>
          <w:p w14:paraId="507E7AF1">
            <w:pPr>
              <w:widowControl/>
              <w:jc w:val="center"/>
              <w:rPr>
                <w:rFonts w:ascii="仿宋_GB2312" w:hAnsi="宋体" w:eastAsia="仿宋_GB2312" w:cs="宋体"/>
                <w:b/>
                <w:bCs/>
                <w:color w:val="auto"/>
                <w:kern w:val="0"/>
                <w:sz w:val="21"/>
                <w:szCs w:val="21"/>
                <w:highlight w:val="none"/>
              </w:rPr>
            </w:pPr>
            <w:r>
              <w:rPr>
                <w:rFonts w:hint="eastAsia" w:ascii="宋体" w:hAnsi="宋体" w:cs="宋体"/>
                <w:b/>
                <w:bCs/>
                <w:color w:val="auto"/>
                <w:kern w:val="0"/>
                <w:sz w:val="21"/>
                <w:szCs w:val="21"/>
                <w:highlight w:val="none"/>
              </w:rPr>
              <w:t>施工单位</w:t>
            </w:r>
          </w:p>
        </w:tc>
      </w:tr>
      <w:tr w14:paraId="3F606E1B">
        <w:tblPrEx>
          <w:tblCellMar>
            <w:top w:w="0" w:type="dxa"/>
            <w:left w:w="108" w:type="dxa"/>
            <w:bottom w:w="0" w:type="dxa"/>
            <w:right w:w="108" w:type="dxa"/>
          </w:tblCellMar>
        </w:tblPrEx>
        <w:trPr>
          <w:trHeight w:val="480"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04DADFF9">
            <w:pPr>
              <w:widowControl/>
              <w:jc w:val="center"/>
              <w:rPr>
                <w:b/>
                <w:color w:val="auto"/>
                <w:kern w:val="0"/>
                <w:sz w:val="21"/>
                <w:szCs w:val="21"/>
                <w:highlight w:val="none"/>
              </w:rPr>
            </w:pPr>
            <w:r>
              <w:rPr>
                <w:b/>
                <w:color w:val="auto"/>
                <w:kern w:val="0"/>
                <w:sz w:val="21"/>
                <w:szCs w:val="21"/>
                <w:highlight w:val="none"/>
              </w:rPr>
              <w:t>1</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4B7A59A2">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施工准备</w:t>
            </w:r>
          </w:p>
        </w:tc>
        <w:tc>
          <w:tcPr>
            <w:tcW w:w="4935" w:type="dxa"/>
            <w:gridSpan w:val="2"/>
            <w:tcBorders>
              <w:top w:val="nil"/>
              <w:left w:val="nil"/>
              <w:bottom w:val="single" w:color="000000" w:sz="4" w:space="0"/>
              <w:right w:val="single" w:color="000000" w:sz="4" w:space="0"/>
            </w:tcBorders>
            <w:noWrap w:val="0"/>
            <w:vAlign w:val="center"/>
          </w:tcPr>
          <w:p w14:paraId="3BA48640">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是否按要求进行</w:t>
            </w:r>
            <w:r>
              <w:rPr>
                <w:rFonts w:hint="eastAsia" w:ascii="宋体" w:hAnsi="宋体" w:cs="宋体"/>
                <w:b/>
                <w:color w:val="auto"/>
                <w:kern w:val="0"/>
                <w:sz w:val="21"/>
                <w:szCs w:val="21"/>
                <w:highlight w:val="none"/>
                <w:lang w:val="en-US" w:eastAsia="zh-CN"/>
              </w:rPr>
              <w:t>技术</w:t>
            </w:r>
            <w:r>
              <w:rPr>
                <w:rFonts w:hint="eastAsia" w:ascii="宋体" w:hAnsi="宋体" w:cs="宋体"/>
                <w:b/>
                <w:color w:val="auto"/>
                <w:kern w:val="0"/>
                <w:sz w:val="21"/>
                <w:szCs w:val="21"/>
                <w:highlight w:val="none"/>
              </w:rPr>
              <w:t>交底</w:t>
            </w:r>
          </w:p>
        </w:tc>
        <w:tc>
          <w:tcPr>
            <w:tcW w:w="2053" w:type="dxa"/>
            <w:gridSpan w:val="3"/>
            <w:tcBorders>
              <w:top w:val="nil"/>
              <w:left w:val="nil"/>
              <w:bottom w:val="single" w:color="000000" w:sz="4" w:space="0"/>
              <w:right w:val="single" w:color="000000" w:sz="4" w:space="0"/>
            </w:tcBorders>
            <w:noWrap w:val="0"/>
            <w:vAlign w:val="center"/>
          </w:tcPr>
          <w:p w14:paraId="38DD126E">
            <w:pPr>
              <w:widowControl/>
              <w:jc w:val="center"/>
              <w:rPr>
                <w:b/>
                <w:color w:val="auto"/>
                <w:kern w:val="0"/>
                <w:sz w:val="21"/>
                <w:szCs w:val="21"/>
                <w:highlight w:val="none"/>
              </w:rPr>
            </w:pPr>
            <w:r>
              <w:rPr>
                <w:b/>
                <w:color w:val="auto"/>
                <w:kern w:val="0"/>
                <w:sz w:val="21"/>
                <w:szCs w:val="21"/>
                <w:highlight w:val="none"/>
              </w:rPr>
              <w:t>1000</w:t>
            </w:r>
          </w:p>
        </w:tc>
      </w:tr>
      <w:tr w14:paraId="5D670BE0">
        <w:tblPrEx>
          <w:tblCellMar>
            <w:top w:w="0" w:type="dxa"/>
            <w:left w:w="108" w:type="dxa"/>
            <w:bottom w:w="0" w:type="dxa"/>
            <w:right w:w="108" w:type="dxa"/>
          </w:tblCellMar>
        </w:tblPrEx>
        <w:trPr>
          <w:trHeight w:val="49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0EF5BC1B">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10179CF5">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2B75F4D1">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施工测量是否满足规范要求</w:t>
            </w:r>
          </w:p>
        </w:tc>
        <w:tc>
          <w:tcPr>
            <w:tcW w:w="2053" w:type="dxa"/>
            <w:gridSpan w:val="3"/>
            <w:tcBorders>
              <w:top w:val="nil"/>
              <w:left w:val="nil"/>
              <w:bottom w:val="single" w:color="000000" w:sz="4" w:space="0"/>
              <w:right w:val="single" w:color="000000" w:sz="4" w:space="0"/>
            </w:tcBorders>
            <w:noWrap w:val="0"/>
            <w:vAlign w:val="center"/>
          </w:tcPr>
          <w:p w14:paraId="5B030F90">
            <w:pPr>
              <w:widowControl/>
              <w:jc w:val="center"/>
              <w:rPr>
                <w:b/>
                <w:color w:val="auto"/>
                <w:kern w:val="0"/>
                <w:sz w:val="21"/>
                <w:szCs w:val="21"/>
                <w:highlight w:val="none"/>
              </w:rPr>
            </w:pPr>
            <w:r>
              <w:rPr>
                <w:b/>
                <w:color w:val="auto"/>
                <w:kern w:val="0"/>
                <w:sz w:val="21"/>
                <w:szCs w:val="21"/>
                <w:highlight w:val="none"/>
              </w:rPr>
              <w:t>1000</w:t>
            </w:r>
          </w:p>
        </w:tc>
      </w:tr>
      <w:tr w14:paraId="75D128F5">
        <w:tblPrEx>
          <w:tblCellMar>
            <w:top w:w="0" w:type="dxa"/>
            <w:left w:w="108" w:type="dxa"/>
            <w:bottom w:w="0" w:type="dxa"/>
            <w:right w:w="108" w:type="dxa"/>
          </w:tblCellMar>
        </w:tblPrEx>
        <w:trPr>
          <w:trHeight w:val="82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5A970465">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58127EA7">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08E52E2A">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是否编制有针对性的施工组织设计</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各类专项方案</w:t>
            </w:r>
          </w:p>
        </w:tc>
        <w:tc>
          <w:tcPr>
            <w:tcW w:w="2053" w:type="dxa"/>
            <w:gridSpan w:val="3"/>
            <w:tcBorders>
              <w:top w:val="nil"/>
              <w:left w:val="nil"/>
              <w:bottom w:val="single" w:color="000000" w:sz="4" w:space="0"/>
              <w:right w:val="single" w:color="000000" w:sz="4" w:space="0"/>
            </w:tcBorders>
            <w:noWrap w:val="0"/>
            <w:vAlign w:val="center"/>
          </w:tcPr>
          <w:p w14:paraId="70E98F35">
            <w:pPr>
              <w:widowControl/>
              <w:jc w:val="center"/>
              <w:rPr>
                <w:b/>
                <w:color w:val="auto"/>
                <w:kern w:val="0"/>
                <w:sz w:val="21"/>
                <w:szCs w:val="21"/>
                <w:highlight w:val="none"/>
              </w:rPr>
            </w:pPr>
            <w:r>
              <w:rPr>
                <w:b/>
                <w:color w:val="auto"/>
                <w:kern w:val="0"/>
                <w:sz w:val="21"/>
                <w:szCs w:val="21"/>
                <w:highlight w:val="none"/>
              </w:rPr>
              <w:t>2000</w:t>
            </w:r>
          </w:p>
        </w:tc>
      </w:tr>
      <w:tr w14:paraId="665E00BF">
        <w:tblPrEx>
          <w:tblCellMar>
            <w:top w:w="0" w:type="dxa"/>
            <w:left w:w="108" w:type="dxa"/>
            <w:bottom w:w="0" w:type="dxa"/>
            <w:right w:w="108" w:type="dxa"/>
          </w:tblCellMar>
        </w:tblPrEx>
        <w:trPr>
          <w:trHeight w:val="73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7D74544C">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27311573">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1F35CE1B">
            <w:pPr>
              <w:widowControl/>
              <w:jc w:val="left"/>
              <w:rPr>
                <w:b/>
                <w:color w:val="auto"/>
                <w:kern w:val="0"/>
                <w:sz w:val="21"/>
                <w:szCs w:val="21"/>
                <w:highlight w:val="none"/>
              </w:rPr>
            </w:pPr>
            <w:r>
              <w:rPr>
                <w:b/>
                <w:color w:val="auto"/>
                <w:kern w:val="0"/>
                <w:sz w:val="21"/>
                <w:szCs w:val="21"/>
                <w:highlight w:val="none"/>
              </w:rPr>
              <w:t>4</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施工组织设计</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专项方案是否按规定进行审批</w:t>
            </w:r>
          </w:p>
        </w:tc>
        <w:tc>
          <w:tcPr>
            <w:tcW w:w="2053" w:type="dxa"/>
            <w:gridSpan w:val="3"/>
            <w:tcBorders>
              <w:top w:val="nil"/>
              <w:left w:val="nil"/>
              <w:bottom w:val="single" w:color="000000" w:sz="4" w:space="0"/>
              <w:right w:val="single" w:color="000000" w:sz="4" w:space="0"/>
            </w:tcBorders>
            <w:noWrap w:val="0"/>
            <w:vAlign w:val="center"/>
          </w:tcPr>
          <w:p w14:paraId="64C4F9CE">
            <w:pPr>
              <w:widowControl/>
              <w:jc w:val="center"/>
              <w:rPr>
                <w:b/>
                <w:color w:val="auto"/>
                <w:kern w:val="0"/>
                <w:sz w:val="21"/>
                <w:szCs w:val="21"/>
                <w:highlight w:val="none"/>
              </w:rPr>
            </w:pPr>
            <w:r>
              <w:rPr>
                <w:b/>
                <w:color w:val="auto"/>
                <w:kern w:val="0"/>
                <w:sz w:val="21"/>
                <w:szCs w:val="21"/>
                <w:highlight w:val="none"/>
              </w:rPr>
              <w:t>2000</w:t>
            </w:r>
          </w:p>
        </w:tc>
      </w:tr>
      <w:tr w14:paraId="4C3EF150">
        <w:tblPrEx>
          <w:tblCellMar>
            <w:top w:w="0" w:type="dxa"/>
            <w:left w:w="108" w:type="dxa"/>
            <w:bottom w:w="0" w:type="dxa"/>
            <w:right w:w="108" w:type="dxa"/>
          </w:tblCellMar>
        </w:tblPrEx>
        <w:trPr>
          <w:trHeight w:val="52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0A16C9D3">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7A6CD76A">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17C3AF8E">
            <w:pPr>
              <w:widowControl/>
              <w:jc w:val="left"/>
              <w:rPr>
                <w:b/>
                <w:color w:val="auto"/>
                <w:kern w:val="0"/>
                <w:sz w:val="21"/>
                <w:szCs w:val="21"/>
                <w:highlight w:val="none"/>
              </w:rPr>
            </w:pPr>
            <w:r>
              <w:rPr>
                <w:b/>
                <w:color w:val="auto"/>
                <w:kern w:val="0"/>
                <w:sz w:val="21"/>
                <w:szCs w:val="21"/>
                <w:highlight w:val="none"/>
              </w:rPr>
              <w:t>5</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是否按要求进行专家论证</w:t>
            </w:r>
          </w:p>
        </w:tc>
        <w:tc>
          <w:tcPr>
            <w:tcW w:w="2053" w:type="dxa"/>
            <w:gridSpan w:val="3"/>
            <w:tcBorders>
              <w:top w:val="nil"/>
              <w:left w:val="nil"/>
              <w:bottom w:val="single" w:color="000000" w:sz="4" w:space="0"/>
              <w:right w:val="single" w:color="000000" w:sz="4" w:space="0"/>
            </w:tcBorders>
            <w:noWrap w:val="0"/>
            <w:vAlign w:val="center"/>
          </w:tcPr>
          <w:p w14:paraId="721EC4C1">
            <w:pPr>
              <w:widowControl/>
              <w:jc w:val="center"/>
              <w:rPr>
                <w:b/>
                <w:color w:val="auto"/>
                <w:kern w:val="0"/>
                <w:sz w:val="21"/>
                <w:szCs w:val="21"/>
                <w:highlight w:val="none"/>
              </w:rPr>
            </w:pPr>
            <w:r>
              <w:rPr>
                <w:b/>
                <w:color w:val="auto"/>
                <w:kern w:val="0"/>
                <w:sz w:val="21"/>
                <w:szCs w:val="21"/>
                <w:highlight w:val="none"/>
              </w:rPr>
              <w:t>2000</w:t>
            </w:r>
          </w:p>
        </w:tc>
      </w:tr>
      <w:tr w14:paraId="089E47E8">
        <w:tblPrEx>
          <w:tblCellMar>
            <w:top w:w="0" w:type="dxa"/>
            <w:left w:w="108" w:type="dxa"/>
            <w:bottom w:w="0" w:type="dxa"/>
            <w:right w:w="108" w:type="dxa"/>
          </w:tblCellMar>
        </w:tblPrEx>
        <w:trPr>
          <w:trHeight w:val="750"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04ACE5C0">
            <w:pPr>
              <w:widowControl/>
              <w:jc w:val="center"/>
              <w:rPr>
                <w:b/>
                <w:color w:val="auto"/>
                <w:kern w:val="0"/>
                <w:sz w:val="21"/>
                <w:szCs w:val="21"/>
                <w:highlight w:val="none"/>
              </w:rPr>
            </w:pPr>
            <w:r>
              <w:rPr>
                <w:b/>
                <w:color w:val="auto"/>
                <w:kern w:val="0"/>
                <w:sz w:val="21"/>
                <w:szCs w:val="21"/>
                <w:highlight w:val="none"/>
              </w:rPr>
              <w:t>2</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1DB47227">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施工环境</w:t>
            </w:r>
          </w:p>
        </w:tc>
        <w:tc>
          <w:tcPr>
            <w:tcW w:w="4935" w:type="dxa"/>
            <w:gridSpan w:val="2"/>
            <w:tcBorders>
              <w:top w:val="nil"/>
              <w:left w:val="nil"/>
              <w:bottom w:val="single" w:color="000000" w:sz="4" w:space="0"/>
              <w:right w:val="single" w:color="000000" w:sz="4" w:space="0"/>
            </w:tcBorders>
            <w:noWrap w:val="0"/>
            <w:vAlign w:val="center"/>
          </w:tcPr>
          <w:p w14:paraId="582DFF42">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现场作业人员是否佩戴安全帽</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安全带或穿安全服</w:t>
            </w:r>
          </w:p>
        </w:tc>
        <w:tc>
          <w:tcPr>
            <w:tcW w:w="2053" w:type="dxa"/>
            <w:gridSpan w:val="3"/>
            <w:tcBorders>
              <w:top w:val="nil"/>
              <w:left w:val="nil"/>
              <w:bottom w:val="single" w:color="000000" w:sz="4" w:space="0"/>
              <w:right w:val="single" w:color="000000" w:sz="4" w:space="0"/>
            </w:tcBorders>
            <w:noWrap w:val="0"/>
            <w:vAlign w:val="center"/>
          </w:tcPr>
          <w:p w14:paraId="1930BFCD">
            <w:pPr>
              <w:widowControl/>
              <w:jc w:val="center"/>
              <w:rPr>
                <w:b/>
                <w:color w:val="auto"/>
                <w:kern w:val="0"/>
                <w:sz w:val="21"/>
                <w:szCs w:val="21"/>
                <w:highlight w:val="none"/>
              </w:rPr>
            </w:pPr>
            <w:r>
              <w:rPr>
                <w:b/>
                <w:color w:val="auto"/>
                <w:kern w:val="0"/>
                <w:sz w:val="21"/>
                <w:szCs w:val="21"/>
                <w:highlight w:val="none"/>
              </w:rPr>
              <w:t>500</w:t>
            </w:r>
          </w:p>
        </w:tc>
      </w:tr>
      <w:tr w14:paraId="79B0EF1E">
        <w:tblPrEx>
          <w:tblCellMar>
            <w:top w:w="0" w:type="dxa"/>
            <w:left w:w="108" w:type="dxa"/>
            <w:bottom w:w="0" w:type="dxa"/>
            <w:right w:w="108" w:type="dxa"/>
          </w:tblCellMar>
        </w:tblPrEx>
        <w:trPr>
          <w:trHeight w:val="78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1C8C7DDE">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72E399E7">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3F40CE85">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重大危险源</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危险区域是否设置安全警示标志</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标牌</w:t>
            </w:r>
          </w:p>
        </w:tc>
        <w:tc>
          <w:tcPr>
            <w:tcW w:w="2053" w:type="dxa"/>
            <w:gridSpan w:val="3"/>
            <w:tcBorders>
              <w:top w:val="nil"/>
              <w:left w:val="nil"/>
              <w:bottom w:val="single" w:color="000000" w:sz="4" w:space="0"/>
              <w:right w:val="single" w:color="000000" w:sz="4" w:space="0"/>
            </w:tcBorders>
            <w:noWrap w:val="0"/>
            <w:vAlign w:val="center"/>
          </w:tcPr>
          <w:p w14:paraId="3D865BB4">
            <w:pPr>
              <w:widowControl/>
              <w:jc w:val="center"/>
              <w:rPr>
                <w:b/>
                <w:color w:val="auto"/>
                <w:kern w:val="0"/>
                <w:sz w:val="21"/>
                <w:szCs w:val="21"/>
                <w:highlight w:val="none"/>
              </w:rPr>
            </w:pPr>
            <w:r>
              <w:rPr>
                <w:b/>
                <w:color w:val="auto"/>
                <w:kern w:val="0"/>
                <w:sz w:val="21"/>
                <w:szCs w:val="21"/>
                <w:highlight w:val="none"/>
              </w:rPr>
              <w:t>1000</w:t>
            </w:r>
          </w:p>
        </w:tc>
      </w:tr>
      <w:tr w14:paraId="5C6C8B5A">
        <w:tblPrEx>
          <w:tblCellMar>
            <w:top w:w="0" w:type="dxa"/>
            <w:left w:w="108" w:type="dxa"/>
            <w:bottom w:w="0" w:type="dxa"/>
            <w:right w:w="108" w:type="dxa"/>
          </w:tblCellMar>
        </w:tblPrEx>
        <w:trPr>
          <w:trHeight w:val="78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2371431B">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01CFE068">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4EF93B32">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施工区是否按要求设置围挡</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或设置不规范</w:t>
            </w:r>
          </w:p>
        </w:tc>
        <w:tc>
          <w:tcPr>
            <w:tcW w:w="2053" w:type="dxa"/>
            <w:gridSpan w:val="3"/>
            <w:tcBorders>
              <w:top w:val="nil"/>
              <w:left w:val="nil"/>
              <w:bottom w:val="single" w:color="000000" w:sz="4" w:space="0"/>
              <w:right w:val="single" w:color="000000" w:sz="4" w:space="0"/>
            </w:tcBorders>
            <w:noWrap w:val="0"/>
            <w:vAlign w:val="center"/>
          </w:tcPr>
          <w:p w14:paraId="0F68E9C7">
            <w:pPr>
              <w:widowControl/>
              <w:jc w:val="center"/>
              <w:rPr>
                <w:b/>
                <w:color w:val="auto"/>
                <w:kern w:val="0"/>
                <w:sz w:val="21"/>
                <w:szCs w:val="21"/>
                <w:highlight w:val="none"/>
              </w:rPr>
            </w:pPr>
            <w:r>
              <w:rPr>
                <w:b/>
                <w:color w:val="auto"/>
                <w:kern w:val="0"/>
                <w:sz w:val="21"/>
                <w:szCs w:val="21"/>
                <w:highlight w:val="none"/>
              </w:rPr>
              <w:t>1000</w:t>
            </w:r>
          </w:p>
        </w:tc>
      </w:tr>
      <w:tr w14:paraId="53AED59F">
        <w:tblPrEx>
          <w:tblCellMar>
            <w:top w:w="0" w:type="dxa"/>
            <w:left w:w="108" w:type="dxa"/>
            <w:bottom w:w="0" w:type="dxa"/>
            <w:right w:w="108" w:type="dxa"/>
          </w:tblCellMar>
        </w:tblPrEx>
        <w:trPr>
          <w:trHeight w:val="78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59526B57">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7179F71D">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1C1EECA7">
            <w:pPr>
              <w:widowControl/>
              <w:jc w:val="left"/>
              <w:rPr>
                <w:b/>
                <w:color w:val="auto"/>
                <w:kern w:val="0"/>
                <w:sz w:val="21"/>
                <w:szCs w:val="21"/>
                <w:highlight w:val="none"/>
              </w:rPr>
            </w:pPr>
            <w:r>
              <w:rPr>
                <w:b/>
                <w:color w:val="auto"/>
                <w:kern w:val="0"/>
                <w:sz w:val="21"/>
                <w:szCs w:val="21"/>
                <w:highlight w:val="none"/>
              </w:rPr>
              <w:t>4</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施工现场是否设置或采取冲洗等避免扬尘措施</w:t>
            </w:r>
          </w:p>
        </w:tc>
        <w:tc>
          <w:tcPr>
            <w:tcW w:w="2053" w:type="dxa"/>
            <w:gridSpan w:val="3"/>
            <w:tcBorders>
              <w:top w:val="nil"/>
              <w:left w:val="nil"/>
              <w:bottom w:val="single" w:color="000000" w:sz="4" w:space="0"/>
              <w:right w:val="single" w:color="000000" w:sz="4" w:space="0"/>
            </w:tcBorders>
            <w:noWrap w:val="0"/>
            <w:vAlign w:val="center"/>
          </w:tcPr>
          <w:p w14:paraId="701E9FC6">
            <w:pPr>
              <w:widowControl/>
              <w:jc w:val="center"/>
              <w:rPr>
                <w:b/>
                <w:color w:val="auto"/>
                <w:kern w:val="0"/>
                <w:sz w:val="21"/>
                <w:szCs w:val="21"/>
                <w:highlight w:val="none"/>
              </w:rPr>
            </w:pPr>
            <w:r>
              <w:rPr>
                <w:b/>
                <w:color w:val="auto"/>
                <w:kern w:val="0"/>
                <w:sz w:val="21"/>
                <w:szCs w:val="21"/>
                <w:highlight w:val="none"/>
              </w:rPr>
              <w:t>1000</w:t>
            </w:r>
          </w:p>
        </w:tc>
      </w:tr>
      <w:tr w14:paraId="10D9E153">
        <w:tblPrEx>
          <w:tblCellMar>
            <w:top w:w="0" w:type="dxa"/>
            <w:left w:w="108" w:type="dxa"/>
            <w:bottom w:w="0" w:type="dxa"/>
            <w:right w:w="108" w:type="dxa"/>
          </w:tblCellMar>
        </w:tblPrEx>
        <w:trPr>
          <w:trHeight w:val="97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6AC8E478">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76473D45">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615D2E57">
            <w:pPr>
              <w:widowControl/>
              <w:jc w:val="left"/>
              <w:rPr>
                <w:b/>
                <w:color w:val="auto"/>
                <w:kern w:val="0"/>
                <w:sz w:val="21"/>
                <w:szCs w:val="21"/>
                <w:highlight w:val="none"/>
              </w:rPr>
            </w:pPr>
            <w:r>
              <w:rPr>
                <w:b/>
                <w:color w:val="auto"/>
                <w:kern w:val="0"/>
                <w:sz w:val="21"/>
                <w:szCs w:val="21"/>
                <w:highlight w:val="none"/>
              </w:rPr>
              <w:t>5</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施工现场是否设置消防通道</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消防水源</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是否配备消防设施和足够的灭火器材</w:t>
            </w:r>
          </w:p>
        </w:tc>
        <w:tc>
          <w:tcPr>
            <w:tcW w:w="2053" w:type="dxa"/>
            <w:gridSpan w:val="3"/>
            <w:tcBorders>
              <w:top w:val="nil"/>
              <w:left w:val="nil"/>
              <w:bottom w:val="single" w:color="000000" w:sz="4" w:space="0"/>
              <w:right w:val="single" w:color="000000" w:sz="4" w:space="0"/>
            </w:tcBorders>
            <w:noWrap w:val="0"/>
            <w:vAlign w:val="center"/>
          </w:tcPr>
          <w:p w14:paraId="3FDA5879">
            <w:pPr>
              <w:widowControl/>
              <w:jc w:val="center"/>
              <w:rPr>
                <w:b/>
                <w:color w:val="auto"/>
                <w:kern w:val="0"/>
                <w:sz w:val="21"/>
                <w:szCs w:val="21"/>
                <w:highlight w:val="none"/>
              </w:rPr>
            </w:pPr>
            <w:r>
              <w:rPr>
                <w:b/>
                <w:color w:val="auto"/>
                <w:kern w:val="0"/>
                <w:sz w:val="21"/>
                <w:szCs w:val="21"/>
                <w:highlight w:val="none"/>
              </w:rPr>
              <w:t>1000</w:t>
            </w:r>
          </w:p>
        </w:tc>
      </w:tr>
      <w:tr w14:paraId="67703946">
        <w:tblPrEx>
          <w:tblCellMar>
            <w:top w:w="0" w:type="dxa"/>
            <w:left w:w="108" w:type="dxa"/>
            <w:bottom w:w="0" w:type="dxa"/>
            <w:right w:w="108" w:type="dxa"/>
          </w:tblCellMar>
        </w:tblPrEx>
        <w:trPr>
          <w:trHeight w:val="75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6F3F4D08">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0EF62731">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00591607">
            <w:pPr>
              <w:widowControl/>
              <w:jc w:val="left"/>
              <w:rPr>
                <w:b/>
                <w:color w:val="auto"/>
                <w:kern w:val="0"/>
                <w:sz w:val="21"/>
                <w:szCs w:val="21"/>
                <w:highlight w:val="none"/>
              </w:rPr>
            </w:pPr>
            <w:r>
              <w:rPr>
                <w:b/>
                <w:color w:val="auto"/>
                <w:kern w:val="0"/>
                <w:sz w:val="21"/>
                <w:szCs w:val="21"/>
                <w:highlight w:val="none"/>
              </w:rPr>
              <w:t>6</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是否将施工现场办公</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生活区与作业区分开</w:t>
            </w:r>
          </w:p>
        </w:tc>
        <w:tc>
          <w:tcPr>
            <w:tcW w:w="2053" w:type="dxa"/>
            <w:gridSpan w:val="3"/>
            <w:tcBorders>
              <w:top w:val="nil"/>
              <w:left w:val="nil"/>
              <w:bottom w:val="single" w:color="000000" w:sz="4" w:space="0"/>
              <w:right w:val="single" w:color="000000" w:sz="4" w:space="0"/>
            </w:tcBorders>
            <w:noWrap w:val="0"/>
            <w:vAlign w:val="center"/>
          </w:tcPr>
          <w:p w14:paraId="4B67BD13">
            <w:pPr>
              <w:widowControl/>
              <w:jc w:val="center"/>
              <w:rPr>
                <w:b/>
                <w:color w:val="auto"/>
                <w:kern w:val="0"/>
                <w:sz w:val="21"/>
                <w:szCs w:val="21"/>
                <w:highlight w:val="none"/>
              </w:rPr>
            </w:pPr>
            <w:r>
              <w:rPr>
                <w:b/>
                <w:color w:val="auto"/>
                <w:kern w:val="0"/>
                <w:sz w:val="21"/>
                <w:szCs w:val="21"/>
                <w:highlight w:val="none"/>
              </w:rPr>
              <w:t>1000</w:t>
            </w:r>
          </w:p>
        </w:tc>
      </w:tr>
      <w:tr w14:paraId="433CFDDD">
        <w:tblPrEx>
          <w:tblCellMar>
            <w:top w:w="0" w:type="dxa"/>
            <w:left w:w="108" w:type="dxa"/>
            <w:bottom w:w="0" w:type="dxa"/>
            <w:right w:w="108" w:type="dxa"/>
          </w:tblCellMar>
        </w:tblPrEx>
        <w:trPr>
          <w:trHeight w:val="76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3E7810C0">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27DCD11D">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3957911A">
            <w:pPr>
              <w:widowControl/>
              <w:jc w:val="left"/>
              <w:rPr>
                <w:b/>
                <w:color w:val="auto"/>
                <w:kern w:val="0"/>
                <w:sz w:val="21"/>
                <w:szCs w:val="21"/>
                <w:highlight w:val="none"/>
              </w:rPr>
            </w:pPr>
            <w:r>
              <w:rPr>
                <w:b/>
                <w:color w:val="auto"/>
                <w:kern w:val="0"/>
                <w:sz w:val="21"/>
                <w:szCs w:val="21"/>
                <w:highlight w:val="none"/>
              </w:rPr>
              <w:t>7</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出入口门楼</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b/>
                <w:color w:val="auto"/>
                <w:kern w:val="0"/>
                <w:sz w:val="21"/>
                <w:szCs w:val="21"/>
                <w:highlight w:val="none"/>
              </w:rPr>
              <w:t>“</w:t>
            </w:r>
            <w:r>
              <w:rPr>
                <w:rFonts w:hint="eastAsia" w:ascii="宋体" w:hAnsi="宋体" w:cs="宋体"/>
                <w:b/>
                <w:color w:val="auto"/>
                <w:kern w:val="0"/>
                <w:sz w:val="21"/>
                <w:szCs w:val="21"/>
                <w:highlight w:val="none"/>
              </w:rPr>
              <w:t>五牌一图</w:t>
            </w:r>
            <w:r>
              <w:rPr>
                <w:rFonts w:hint="eastAsia" w:ascii="宋体" w:hAnsi="宋体"/>
                <w:b/>
                <w:color w:val="auto"/>
                <w:kern w:val="0"/>
                <w:sz w:val="21"/>
                <w:szCs w:val="21"/>
                <w:highlight w:val="none"/>
              </w:rPr>
              <w:t>”</w:t>
            </w:r>
            <w:r>
              <w:rPr>
                <w:rFonts w:hint="eastAsia" w:ascii="宋体" w:hAnsi="宋体" w:cs="宋体"/>
                <w:b/>
                <w:color w:val="auto"/>
                <w:kern w:val="0"/>
                <w:sz w:val="21"/>
                <w:szCs w:val="21"/>
                <w:highlight w:val="none"/>
              </w:rPr>
              <w:t>是否按规范要求设置</w:t>
            </w:r>
          </w:p>
        </w:tc>
        <w:tc>
          <w:tcPr>
            <w:tcW w:w="2053" w:type="dxa"/>
            <w:gridSpan w:val="3"/>
            <w:tcBorders>
              <w:top w:val="nil"/>
              <w:left w:val="nil"/>
              <w:bottom w:val="single" w:color="000000" w:sz="4" w:space="0"/>
              <w:right w:val="single" w:color="000000" w:sz="4" w:space="0"/>
            </w:tcBorders>
            <w:noWrap w:val="0"/>
            <w:vAlign w:val="center"/>
          </w:tcPr>
          <w:p w14:paraId="6745E12C">
            <w:pPr>
              <w:widowControl/>
              <w:jc w:val="center"/>
              <w:rPr>
                <w:b/>
                <w:color w:val="auto"/>
                <w:kern w:val="0"/>
                <w:sz w:val="21"/>
                <w:szCs w:val="21"/>
                <w:highlight w:val="none"/>
              </w:rPr>
            </w:pPr>
            <w:r>
              <w:rPr>
                <w:b/>
                <w:color w:val="auto"/>
                <w:kern w:val="0"/>
                <w:sz w:val="21"/>
                <w:szCs w:val="21"/>
                <w:highlight w:val="none"/>
              </w:rPr>
              <w:t>1000</w:t>
            </w:r>
          </w:p>
        </w:tc>
      </w:tr>
      <w:tr w14:paraId="7E13164D">
        <w:tblPrEx>
          <w:tblCellMar>
            <w:top w:w="0" w:type="dxa"/>
            <w:left w:w="108" w:type="dxa"/>
            <w:bottom w:w="0" w:type="dxa"/>
            <w:right w:w="108" w:type="dxa"/>
          </w:tblCellMar>
        </w:tblPrEx>
        <w:trPr>
          <w:trHeight w:val="81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416BCE0F">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7358346">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5D2D46FE">
            <w:pPr>
              <w:widowControl/>
              <w:jc w:val="left"/>
              <w:rPr>
                <w:b/>
                <w:color w:val="auto"/>
                <w:kern w:val="0"/>
                <w:sz w:val="21"/>
                <w:szCs w:val="21"/>
                <w:highlight w:val="none"/>
              </w:rPr>
            </w:pPr>
            <w:r>
              <w:rPr>
                <w:b/>
                <w:color w:val="auto"/>
                <w:kern w:val="0"/>
                <w:sz w:val="21"/>
                <w:szCs w:val="21"/>
                <w:highlight w:val="none"/>
              </w:rPr>
              <w:t>8</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主要出入口</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现场主要道路是否按要求硬化处理</w:t>
            </w:r>
          </w:p>
        </w:tc>
        <w:tc>
          <w:tcPr>
            <w:tcW w:w="2053" w:type="dxa"/>
            <w:gridSpan w:val="3"/>
            <w:tcBorders>
              <w:top w:val="nil"/>
              <w:left w:val="nil"/>
              <w:bottom w:val="single" w:color="000000" w:sz="4" w:space="0"/>
              <w:right w:val="single" w:color="000000" w:sz="4" w:space="0"/>
            </w:tcBorders>
            <w:noWrap w:val="0"/>
            <w:vAlign w:val="center"/>
          </w:tcPr>
          <w:p w14:paraId="25B10B2D">
            <w:pPr>
              <w:widowControl/>
              <w:jc w:val="center"/>
              <w:rPr>
                <w:b/>
                <w:color w:val="auto"/>
                <w:kern w:val="0"/>
                <w:sz w:val="21"/>
                <w:szCs w:val="21"/>
                <w:highlight w:val="none"/>
              </w:rPr>
            </w:pPr>
            <w:r>
              <w:rPr>
                <w:b/>
                <w:color w:val="auto"/>
                <w:kern w:val="0"/>
                <w:sz w:val="21"/>
                <w:szCs w:val="21"/>
                <w:highlight w:val="none"/>
              </w:rPr>
              <w:t>500</w:t>
            </w:r>
          </w:p>
        </w:tc>
      </w:tr>
      <w:tr w14:paraId="5B155C66">
        <w:tblPrEx>
          <w:tblCellMar>
            <w:top w:w="0" w:type="dxa"/>
            <w:left w:w="108" w:type="dxa"/>
            <w:bottom w:w="0" w:type="dxa"/>
            <w:right w:w="108" w:type="dxa"/>
          </w:tblCellMar>
        </w:tblPrEx>
        <w:trPr>
          <w:trHeight w:val="540"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5B8974CC">
            <w:pPr>
              <w:widowControl/>
              <w:jc w:val="center"/>
              <w:rPr>
                <w:b/>
                <w:color w:val="auto"/>
                <w:kern w:val="0"/>
                <w:sz w:val="21"/>
                <w:szCs w:val="21"/>
                <w:highlight w:val="none"/>
              </w:rPr>
            </w:pPr>
            <w:r>
              <w:rPr>
                <w:b/>
                <w:color w:val="auto"/>
                <w:kern w:val="0"/>
                <w:sz w:val="21"/>
                <w:szCs w:val="21"/>
                <w:highlight w:val="none"/>
              </w:rPr>
              <w:t>3</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32CA2ACF">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施工用电</w:t>
            </w:r>
          </w:p>
        </w:tc>
        <w:tc>
          <w:tcPr>
            <w:tcW w:w="4935" w:type="dxa"/>
            <w:gridSpan w:val="2"/>
            <w:tcBorders>
              <w:top w:val="nil"/>
              <w:left w:val="nil"/>
              <w:bottom w:val="single" w:color="000000" w:sz="4" w:space="0"/>
              <w:right w:val="single" w:color="000000" w:sz="4" w:space="0"/>
            </w:tcBorders>
            <w:noWrap w:val="0"/>
            <w:vAlign w:val="center"/>
          </w:tcPr>
          <w:p w14:paraId="7F6FBEC0">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施工用电方案是否经审查</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审批</w:t>
            </w:r>
          </w:p>
        </w:tc>
        <w:tc>
          <w:tcPr>
            <w:tcW w:w="2053" w:type="dxa"/>
            <w:gridSpan w:val="3"/>
            <w:tcBorders>
              <w:top w:val="nil"/>
              <w:left w:val="nil"/>
              <w:bottom w:val="single" w:color="000000" w:sz="4" w:space="0"/>
              <w:right w:val="single" w:color="000000" w:sz="4" w:space="0"/>
            </w:tcBorders>
            <w:noWrap w:val="0"/>
            <w:vAlign w:val="center"/>
          </w:tcPr>
          <w:p w14:paraId="76D59525">
            <w:pPr>
              <w:widowControl/>
              <w:jc w:val="center"/>
              <w:rPr>
                <w:b/>
                <w:color w:val="auto"/>
                <w:kern w:val="0"/>
                <w:sz w:val="21"/>
                <w:szCs w:val="21"/>
                <w:highlight w:val="none"/>
              </w:rPr>
            </w:pPr>
            <w:r>
              <w:rPr>
                <w:b/>
                <w:color w:val="auto"/>
                <w:kern w:val="0"/>
                <w:sz w:val="21"/>
                <w:szCs w:val="21"/>
                <w:highlight w:val="none"/>
              </w:rPr>
              <w:t>2000</w:t>
            </w:r>
          </w:p>
        </w:tc>
      </w:tr>
      <w:tr w14:paraId="236A996E">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4401B7FC">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1C272DE7">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31611986">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是否按施工用电方案实施</w:t>
            </w:r>
          </w:p>
        </w:tc>
        <w:tc>
          <w:tcPr>
            <w:tcW w:w="2053" w:type="dxa"/>
            <w:gridSpan w:val="3"/>
            <w:tcBorders>
              <w:top w:val="nil"/>
              <w:left w:val="nil"/>
              <w:bottom w:val="single" w:color="000000" w:sz="4" w:space="0"/>
              <w:right w:val="single" w:color="000000" w:sz="4" w:space="0"/>
            </w:tcBorders>
            <w:noWrap w:val="0"/>
            <w:vAlign w:val="center"/>
          </w:tcPr>
          <w:p w14:paraId="36376213">
            <w:pPr>
              <w:widowControl/>
              <w:jc w:val="center"/>
              <w:rPr>
                <w:b/>
                <w:color w:val="auto"/>
                <w:kern w:val="0"/>
                <w:sz w:val="21"/>
                <w:szCs w:val="21"/>
                <w:highlight w:val="none"/>
              </w:rPr>
            </w:pPr>
            <w:r>
              <w:rPr>
                <w:b/>
                <w:color w:val="auto"/>
                <w:kern w:val="0"/>
                <w:sz w:val="21"/>
                <w:szCs w:val="21"/>
                <w:highlight w:val="none"/>
              </w:rPr>
              <w:t>1000</w:t>
            </w:r>
          </w:p>
        </w:tc>
      </w:tr>
      <w:tr w14:paraId="06D5BC64">
        <w:tblPrEx>
          <w:tblCellMar>
            <w:top w:w="0" w:type="dxa"/>
            <w:left w:w="108" w:type="dxa"/>
            <w:bottom w:w="0" w:type="dxa"/>
            <w:right w:w="108" w:type="dxa"/>
          </w:tblCellMar>
        </w:tblPrEx>
        <w:trPr>
          <w:trHeight w:val="45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7A8D0C63">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599F53C">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4CE1B823">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外电防护措施是否符合要求</w:t>
            </w:r>
          </w:p>
        </w:tc>
        <w:tc>
          <w:tcPr>
            <w:tcW w:w="2053" w:type="dxa"/>
            <w:gridSpan w:val="3"/>
            <w:tcBorders>
              <w:top w:val="nil"/>
              <w:left w:val="nil"/>
              <w:bottom w:val="single" w:color="000000" w:sz="4" w:space="0"/>
              <w:right w:val="single" w:color="000000" w:sz="4" w:space="0"/>
            </w:tcBorders>
            <w:noWrap w:val="0"/>
            <w:vAlign w:val="center"/>
          </w:tcPr>
          <w:p w14:paraId="583B68ED">
            <w:pPr>
              <w:widowControl/>
              <w:jc w:val="center"/>
              <w:rPr>
                <w:b/>
                <w:color w:val="auto"/>
                <w:kern w:val="0"/>
                <w:sz w:val="21"/>
                <w:szCs w:val="21"/>
                <w:highlight w:val="none"/>
              </w:rPr>
            </w:pPr>
            <w:r>
              <w:rPr>
                <w:b/>
                <w:color w:val="auto"/>
                <w:kern w:val="0"/>
                <w:sz w:val="21"/>
                <w:szCs w:val="21"/>
                <w:highlight w:val="none"/>
              </w:rPr>
              <w:t>1000</w:t>
            </w:r>
          </w:p>
        </w:tc>
      </w:tr>
      <w:tr w14:paraId="371E4B27">
        <w:tblPrEx>
          <w:tblCellMar>
            <w:top w:w="0" w:type="dxa"/>
            <w:left w:w="108" w:type="dxa"/>
            <w:bottom w:w="0" w:type="dxa"/>
            <w:right w:w="108" w:type="dxa"/>
          </w:tblCellMar>
        </w:tblPrEx>
        <w:trPr>
          <w:trHeight w:val="48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73480DDD">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2C821535">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3C1DDAAD">
            <w:pPr>
              <w:widowControl/>
              <w:jc w:val="left"/>
              <w:rPr>
                <w:b/>
                <w:color w:val="auto"/>
                <w:kern w:val="0"/>
                <w:sz w:val="21"/>
                <w:szCs w:val="21"/>
                <w:highlight w:val="none"/>
              </w:rPr>
            </w:pPr>
            <w:r>
              <w:rPr>
                <w:b/>
                <w:color w:val="auto"/>
                <w:kern w:val="0"/>
                <w:sz w:val="21"/>
                <w:szCs w:val="21"/>
                <w:highlight w:val="none"/>
              </w:rPr>
              <w:t>4</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小于安全距离时</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是否采取防护措施</w:t>
            </w:r>
          </w:p>
        </w:tc>
        <w:tc>
          <w:tcPr>
            <w:tcW w:w="2053" w:type="dxa"/>
            <w:gridSpan w:val="3"/>
            <w:tcBorders>
              <w:top w:val="nil"/>
              <w:left w:val="nil"/>
              <w:bottom w:val="single" w:color="000000" w:sz="4" w:space="0"/>
              <w:right w:val="single" w:color="000000" w:sz="4" w:space="0"/>
            </w:tcBorders>
            <w:noWrap w:val="0"/>
            <w:vAlign w:val="center"/>
          </w:tcPr>
          <w:p w14:paraId="07AB0E99">
            <w:pPr>
              <w:widowControl/>
              <w:jc w:val="center"/>
              <w:rPr>
                <w:b/>
                <w:color w:val="auto"/>
                <w:kern w:val="0"/>
                <w:sz w:val="21"/>
                <w:szCs w:val="21"/>
                <w:highlight w:val="none"/>
              </w:rPr>
            </w:pPr>
            <w:r>
              <w:rPr>
                <w:b/>
                <w:color w:val="auto"/>
                <w:kern w:val="0"/>
                <w:sz w:val="21"/>
                <w:szCs w:val="21"/>
                <w:highlight w:val="none"/>
              </w:rPr>
              <w:t>1000</w:t>
            </w:r>
          </w:p>
        </w:tc>
      </w:tr>
      <w:tr w14:paraId="6F50C828">
        <w:tblPrEx>
          <w:tblCellMar>
            <w:top w:w="0" w:type="dxa"/>
            <w:left w:w="108" w:type="dxa"/>
            <w:bottom w:w="0" w:type="dxa"/>
            <w:right w:w="108" w:type="dxa"/>
          </w:tblCellMar>
        </w:tblPrEx>
        <w:trPr>
          <w:trHeight w:val="49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5F4F5CD6">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2637D144">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7F81C42A">
            <w:pPr>
              <w:widowControl/>
              <w:jc w:val="left"/>
              <w:rPr>
                <w:b/>
                <w:color w:val="auto"/>
                <w:kern w:val="0"/>
                <w:sz w:val="21"/>
                <w:szCs w:val="21"/>
                <w:highlight w:val="none"/>
              </w:rPr>
            </w:pPr>
            <w:r>
              <w:rPr>
                <w:b/>
                <w:color w:val="auto"/>
                <w:kern w:val="0"/>
                <w:sz w:val="21"/>
                <w:szCs w:val="21"/>
                <w:highlight w:val="none"/>
              </w:rPr>
              <w:t>5</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是否采用</w:t>
            </w:r>
            <w:r>
              <w:rPr>
                <w:b/>
                <w:color w:val="auto"/>
                <w:kern w:val="0"/>
                <w:sz w:val="21"/>
                <w:szCs w:val="21"/>
                <w:highlight w:val="none"/>
              </w:rPr>
              <w:t>TN-S</w:t>
            </w:r>
            <w:r>
              <w:rPr>
                <w:rFonts w:hint="eastAsia" w:ascii="宋体" w:hAnsi="宋体" w:cs="宋体"/>
                <w:b/>
                <w:color w:val="auto"/>
                <w:kern w:val="0"/>
                <w:sz w:val="21"/>
                <w:szCs w:val="21"/>
                <w:highlight w:val="none"/>
              </w:rPr>
              <w:t>系统</w:t>
            </w:r>
          </w:p>
        </w:tc>
        <w:tc>
          <w:tcPr>
            <w:tcW w:w="2053" w:type="dxa"/>
            <w:gridSpan w:val="3"/>
            <w:tcBorders>
              <w:top w:val="nil"/>
              <w:left w:val="nil"/>
              <w:bottom w:val="single" w:color="000000" w:sz="4" w:space="0"/>
              <w:right w:val="single" w:color="000000" w:sz="4" w:space="0"/>
            </w:tcBorders>
            <w:noWrap w:val="0"/>
            <w:vAlign w:val="center"/>
          </w:tcPr>
          <w:p w14:paraId="01E35C74">
            <w:pPr>
              <w:widowControl/>
              <w:jc w:val="center"/>
              <w:rPr>
                <w:b/>
                <w:color w:val="auto"/>
                <w:kern w:val="0"/>
                <w:sz w:val="21"/>
                <w:szCs w:val="21"/>
                <w:highlight w:val="none"/>
              </w:rPr>
            </w:pPr>
            <w:r>
              <w:rPr>
                <w:b/>
                <w:color w:val="auto"/>
                <w:kern w:val="0"/>
                <w:sz w:val="21"/>
                <w:szCs w:val="21"/>
                <w:highlight w:val="none"/>
              </w:rPr>
              <w:t>500</w:t>
            </w:r>
          </w:p>
        </w:tc>
      </w:tr>
      <w:tr w14:paraId="04B36D57">
        <w:tblPrEx>
          <w:tblCellMar>
            <w:top w:w="0" w:type="dxa"/>
            <w:left w:w="108" w:type="dxa"/>
            <w:bottom w:w="0" w:type="dxa"/>
            <w:right w:w="108" w:type="dxa"/>
          </w:tblCellMar>
        </w:tblPrEx>
        <w:trPr>
          <w:trHeight w:val="76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6B033133">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D659AE3">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216E9009">
            <w:pPr>
              <w:widowControl/>
              <w:jc w:val="left"/>
              <w:rPr>
                <w:b/>
                <w:color w:val="auto"/>
                <w:kern w:val="0"/>
                <w:sz w:val="21"/>
                <w:szCs w:val="21"/>
                <w:highlight w:val="none"/>
              </w:rPr>
            </w:pPr>
            <w:r>
              <w:rPr>
                <w:b/>
                <w:color w:val="auto"/>
                <w:kern w:val="0"/>
                <w:sz w:val="21"/>
                <w:szCs w:val="21"/>
                <w:highlight w:val="none"/>
              </w:rPr>
              <w:t>6</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是否符合</w:t>
            </w:r>
            <w:r>
              <w:rPr>
                <w:rFonts w:hint="eastAsia" w:ascii="宋体" w:hAnsi="宋体"/>
                <w:b/>
                <w:color w:val="auto"/>
                <w:kern w:val="0"/>
                <w:sz w:val="21"/>
                <w:szCs w:val="21"/>
                <w:highlight w:val="none"/>
              </w:rPr>
              <w:t>“</w:t>
            </w:r>
            <w:r>
              <w:rPr>
                <w:rFonts w:hint="eastAsia" w:ascii="宋体" w:hAnsi="宋体" w:cs="宋体"/>
                <w:b/>
                <w:color w:val="auto"/>
                <w:kern w:val="0"/>
                <w:sz w:val="21"/>
                <w:szCs w:val="21"/>
                <w:highlight w:val="none"/>
              </w:rPr>
              <w:t>三级配电</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二级漏电保护</w:t>
            </w:r>
            <w:r>
              <w:rPr>
                <w:rFonts w:hint="eastAsia" w:ascii="宋体" w:hAnsi="宋体"/>
                <w:b/>
                <w:color w:val="auto"/>
                <w:kern w:val="0"/>
                <w:sz w:val="21"/>
                <w:szCs w:val="21"/>
                <w:highlight w:val="none"/>
              </w:rPr>
              <w:t>”</w:t>
            </w:r>
            <w:r>
              <w:rPr>
                <w:rFonts w:hint="eastAsia" w:ascii="宋体" w:hAnsi="宋体" w:cs="宋体"/>
                <w:b/>
                <w:color w:val="auto"/>
                <w:kern w:val="0"/>
                <w:sz w:val="21"/>
                <w:szCs w:val="21"/>
                <w:highlight w:val="none"/>
              </w:rPr>
              <w:t>要求</w:t>
            </w:r>
          </w:p>
        </w:tc>
        <w:tc>
          <w:tcPr>
            <w:tcW w:w="2053" w:type="dxa"/>
            <w:gridSpan w:val="3"/>
            <w:tcBorders>
              <w:top w:val="nil"/>
              <w:left w:val="nil"/>
              <w:bottom w:val="single" w:color="000000" w:sz="4" w:space="0"/>
              <w:right w:val="single" w:color="000000" w:sz="4" w:space="0"/>
            </w:tcBorders>
            <w:noWrap w:val="0"/>
            <w:vAlign w:val="center"/>
          </w:tcPr>
          <w:p w14:paraId="2928D676">
            <w:pPr>
              <w:widowControl/>
              <w:jc w:val="center"/>
              <w:rPr>
                <w:b/>
                <w:color w:val="auto"/>
                <w:kern w:val="0"/>
                <w:sz w:val="21"/>
                <w:szCs w:val="21"/>
                <w:highlight w:val="none"/>
              </w:rPr>
            </w:pPr>
            <w:r>
              <w:rPr>
                <w:b/>
                <w:color w:val="auto"/>
                <w:kern w:val="0"/>
                <w:sz w:val="21"/>
                <w:szCs w:val="21"/>
                <w:highlight w:val="none"/>
              </w:rPr>
              <w:t>1000</w:t>
            </w:r>
          </w:p>
        </w:tc>
      </w:tr>
      <w:tr w14:paraId="7013083C">
        <w:tblPrEx>
          <w:tblCellMar>
            <w:top w:w="0" w:type="dxa"/>
            <w:left w:w="108" w:type="dxa"/>
            <w:bottom w:w="0" w:type="dxa"/>
            <w:right w:w="108" w:type="dxa"/>
          </w:tblCellMar>
        </w:tblPrEx>
        <w:trPr>
          <w:trHeight w:val="82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14B69C44">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1E38D689">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4FE35932">
            <w:pPr>
              <w:widowControl/>
              <w:jc w:val="left"/>
              <w:rPr>
                <w:b/>
                <w:color w:val="auto"/>
                <w:kern w:val="0"/>
                <w:sz w:val="21"/>
                <w:szCs w:val="21"/>
                <w:highlight w:val="none"/>
              </w:rPr>
            </w:pPr>
            <w:r>
              <w:rPr>
                <w:b/>
                <w:color w:val="auto"/>
                <w:kern w:val="0"/>
                <w:sz w:val="21"/>
                <w:szCs w:val="21"/>
                <w:highlight w:val="none"/>
              </w:rPr>
              <w:t>7</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漏电保护和接零保护是否按规范要求设置</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潮湿环境下是否采用</w:t>
            </w:r>
            <w:r>
              <w:rPr>
                <w:b/>
                <w:color w:val="auto"/>
                <w:kern w:val="0"/>
                <w:sz w:val="21"/>
                <w:szCs w:val="21"/>
                <w:highlight w:val="none"/>
              </w:rPr>
              <w:t>36</w:t>
            </w:r>
            <w:r>
              <w:rPr>
                <w:rFonts w:hint="eastAsia" w:ascii="宋体" w:hAnsi="宋体" w:cs="宋体"/>
                <w:b/>
                <w:color w:val="auto"/>
                <w:kern w:val="0"/>
                <w:sz w:val="21"/>
                <w:szCs w:val="21"/>
                <w:highlight w:val="none"/>
              </w:rPr>
              <w:t>伏安全电压照明</w:t>
            </w:r>
          </w:p>
        </w:tc>
        <w:tc>
          <w:tcPr>
            <w:tcW w:w="2053" w:type="dxa"/>
            <w:gridSpan w:val="3"/>
            <w:tcBorders>
              <w:top w:val="nil"/>
              <w:left w:val="nil"/>
              <w:bottom w:val="single" w:color="000000" w:sz="4" w:space="0"/>
              <w:right w:val="single" w:color="000000" w:sz="4" w:space="0"/>
            </w:tcBorders>
            <w:noWrap w:val="0"/>
            <w:vAlign w:val="center"/>
          </w:tcPr>
          <w:p w14:paraId="42356CA5">
            <w:pPr>
              <w:widowControl/>
              <w:jc w:val="center"/>
              <w:rPr>
                <w:b/>
                <w:color w:val="auto"/>
                <w:kern w:val="0"/>
                <w:sz w:val="21"/>
                <w:szCs w:val="21"/>
                <w:highlight w:val="none"/>
              </w:rPr>
            </w:pPr>
            <w:r>
              <w:rPr>
                <w:b/>
                <w:color w:val="auto"/>
                <w:kern w:val="0"/>
                <w:sz w:val="21"/>
                <w:szCs w:val="21"/>
                <w:highlight w:val="none"/>
              </w:rPr>
              <w:t>500</w:t>
            </w:r>
          </w:p>
        </w:tc>
      </w:tr>
      <w:tr w14:paraId="07A788E1">
        <w:tblPrEx>
          <w:tblCellMar>
            <w:top w:w="0" w:type="dxa"/>
            <w:left w:w="108" w:type="dxa"/>
            <w:bottom w:w="0" w:type="dxa"/>
            <w:right w:w="108" w:type="dxa"/>
          </w:tblCellMar>
        </w:tblPrEx>
        <w:trPr>
          <w:trHeight w:val="48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6580F1C5">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3085B1A2">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5AF7F30E">
            <w:pPr>
              <w:widowControl/>
              <w:jc w:val="left"/>
              <w:rPr>
                <w:b/>
                <w:color w:val="auto"/>
                <w:kern w:val="0"/>
                <w:sz w:val="21"/>
                <w:szCs w:val="21"/>
                <w:highlight w:val="none"/>
              </w:rPr>
            </w:pPr>
            <w:r>
              <w:rPr>
                <w:b/>
                <w:color w:val="auto"/>
                <w:kern w:val="0"/>
                <w:sz w:val="21"/>
                <w:szCs w:val="21"/>
                <w:highlight w:val="none"/>
              </w:rPr>
              <w:t>8</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是否违反</w:t>
            </w:r>
            <w:r>
              <w:rPr>
                <w:rFonts w:hint="eastAsia" w:ascii="宋体" w:hAnsi="宋体"/>
                <w:b/>
                <w:color w:val="auto"/>
                <w:kern w:val="0"/>
                <w:sz w:val="21"/>
                <w:szCs w:val="21"/>
                <w:highlight w:val="none"/>
              </w:rPr>
              <w:t>“</w:t>
            </w:r>
            <w:r>
              <w:rPr>
                <w:rFonts w:hint="eastAsia" w:ascii="宋体" w:hAnsi="宋体" w:cs="宋体"/>
                <w:b/>
                <w:color w:val="auto"/>
                <w:kern w:val="0"/>
                <w:sz w:val="21"/>
                <w:szCs w:val="21"/>
                <w:highlight w:val="none"/>
              </w:rPr>
              <w:t>一机</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一闸</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一漏</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一箱</w:t>
            </w:r>
            <w:r>
              <w:rPr>
                <w:rFonts w:hint="eastAsia" w:ascii="宋体" w:hAnsi="宋体"/>
                <w:b/>
                <w:color w:val="auto"/>
                <w:kern w:val="0"/>
                <w:sz w:val="21"/>
                <w:szCs w:val="21"/>
                <w:highlight w:val="none"/>
              </w:rPr>
              <w:t>”</w:t>
            </w:r>
          </w:p>
        </w:tc>
        <w:tc>
          <w:tcPr>
            <w:tcW w:w="2053" w:type="dxa"/>
            <w:gridSpan w:val="3"/>
            <w:tcBorders>
              <w:top w:val="nil"/>
              <w:left w:val="nil"/>
              <w:bottom w:val="single" w:color="000000" w:sz="4" w:space="0"/>
              <w:right w:val="single" w:color="000000" w:sz="4" w:space="0"/>
            </w:tcBorders>
            <w:noWrap w:val="0"/>
            <w:vAlign w:val="center"/>
          </w:tcPr>
          <w:p w14:paraId="33D0B714">
            <w:pPr>
              <w:widowControl/>
              <w:jc w:val="center"/>
              <w:rPr>
                <w:b/>
                <w:color w:val="auto"/>
                <w:kern w:val="0"/>
                <w:sz w:val="21"/>
                <w:szCs w:val="21"/>
                <w:highlight w:val="none"/>
              </w:rPr>
            </w:pPr>
            <w:r>
              <w:rPr>
                <w:b/>
                <w:color w:val="auto"/>
                <w:kern w:val="0"/>
                <w:sz w:val="21"/>
                <w:szCs w:val="21"/>
                <w:highlight w:val="none"/>
              </w:rPr>
              <w:t>500</w:t>
            </w:r>
          </w:p>
        </w:tc>
      </w:tr>
      <w:tr w14:paraId="321E9E18">
        <w:tblPrEx>
          <w:tblCellMar>
            <w:top w:w="0" w:type="dxa"/>
            <w:left w:w="108" w:type="dxa"/>
            <w:bottom w:w="0" w:type="dxa"/>
            <w:right w:w="108" w:type="dxa"/>
          </w:tblCellMar>
        </w:tblPrEx>
        <w:trPr>
          <w:trHeight w:val="63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6D4601DD">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5DA34C67">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081D54B5">
            <w:pPr>
              <w:widowControl/>
              <w:jc w:val="left"/>
              <w:rPr>
                <w:b/>
                <w:color w:val="auto"/>
                <w:kern w:val="0"/>
                <w:sz w:val="21"/>
                <w:szCs w:val="21"/>
                <w:highlight w:val="none"/>
              </w:rPr>
            </w:pPr>
            <w:r>
              <w:rPr>
                <w:b/>
                <w:color w:val="auto"/>
                <w:kern w:val="0"/>
                <w:sz w:val="21"/>
                <w:szCs w:val="21"/>
                <w:highlight w:val="none"/>
              </w:rPr>
              <w:t>9</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电线电缆老化</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破皮是否按要求包扎</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是否私拉电线</w:t>
            </w:r>
          </w:p>
        </w:tc>
        <w:tc>
          <w:tcPr>
            <w:tcW w:w="2053" w:type="dxa"/>
            <w:gridSpan w:val="3"/>
            <w:tcBorders>
              <w:top w:val="nil"/>
              <w:left w:val="nil"/>
              <w:bottom w:val="single" w:color="000000" w:sz="4" w:space="0"/>
              <w:right w:val="single" w:color="000000" w:sz="4" w:space="0"/>
            </w:tcBorders>
            <w:noWrap w:val="0"/>
            <w:vAlign w:val="center"/>
          </w:tcPr>
          <w:p w14:paraId="170F7D44">
            <w:pPr>
              <w:widowControl/>
              <w:jc w:val="center"/>
              <w:rPr>
                <w:b/>
                <w:color w:val="auto"/>
                <w:kern w:val="0"/>
                <w:sz w:val="21"/>
                <w:szCs w:val="21"/>
                <w:highlight w:val="none"/>
              </w:rPr>
            </w:pPr>
            <w:r>
              <w:rPr>
                <w:b/>
                <w:color w:val="auto"/>
                <w:kern w:val="0"/>
                <w:sz w:val="21"/>
                <w:szCs w:val="21"/>
                <w:highlight w:val="none"/>
              </w:rPr>
              <w:t>500</w:t>
            </w:r>
          </w:p>
        </w:tc>
      </w:tr>
      <w:tr w14:paraId="7C14AD66">
        <w:tblPrEx>
          <w:tblCellMar>
            <w:top w:w="0" w:type="dxa"/>
            <w:left w:w="108" w:type="dxa"/>
            <w:bottom w:w="0" w:type="dxa"/>
            <w:right w:w="108" w:type="dxa"/>
          </w:tblCellMar>
        </w:tblPrEx>
        <w:trPr>
          <w:trHeight w:val="57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15556BE4">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0904DCD6">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593E5DE0">
            <w:pPr>
              <w:widowControl/>
              <w:jc w:val="left"/>
              <w:rPr>
                <w:b/>
                <w:color w:val="auto"/>
                <w:kern w:val="0"/>
                <w:sz w:val="21"/>
                <w:szCs w:val="21"/>
                <w:highlight w:val="none"/>
              </w:rPr>
            </w:pPr>
            <w:r>
              <w:rPr>
                <w:b/>
                <w:color w:val="auto"/>
                <w:kern w:val="0"/>
                <w:sz w:val="21"/>
                <w:szCs w:val="21"/>
                <w:highlight w:val="none"/>
              </w:rPr>
              <w:t>10</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手持照明是否采用</w:t>
            </w:r>
            <w:r>
              <w:rPr>
                <w:b/>
                <w:color w:val="auto"/>
                <w:kern w:val="0"/>
                <w:sz w:val="21"/>
                <w:szCs w:val="21"/>
                <w:highlight w:val="none"/>
              </w:rPr>
              <w:t>36V</w:t>
            </w:r>
            <w:r>
              <w:rPr>
                <w:rFonts w:hint="eastAsia" w:ascii="宋体" w:hAnsi="宋体" w:cs="宋体"/>
                <w:b/>
                <w:color w:val="auto"/>
                <w:kern w:val="0"/>
                <w:sz w:val="21"/>
                <w:szCs w:val="21"/>
                <w:highlight w:val="none"/>
              </w:rPr>
              <w:t>及以下电源供电</w:t>
            </w:r>
          </w:p>
        </w:tc>
        <w:tc>
          <w:tcPr>
            <w:tcW w:w="2053" w:type="dxa"/>
            <w:gridSpan w:val="3"/>
            <w:tcBorders>
              <w:top w:val="nil"/>
              <w:left w:val="nil"/>
              <w:bottom w:val="single" w:color="000000" w:sz="4" w:space="0"/>
              <w:right w:val="single" w:color="000000" w:sz="4" w:space="0"/>
            </w:tcBorders>
            <w:noWrap w:val="0"/>
            <w:vAlign w:val="center"/>
          </w:tcPr>
          <w:p w14:paraId="35AAC606">
            <w:pPr>
              <w:widowControl/>
              <w:jc w:val="center"/>
              <w:rPr>
                <w:b/>
                <w:color w:val="auto"/>
                <w:kern w:val="0"/>
                <w:sz w:val="21"/>
                <w:szCs w:val="21"/>
                <w:highlight w:val="none"/>
              </w:rPr>
            </w:pPr>
            <w:r>
              <w:rPr>
                <w:b/>
                <w:color w:val="auto"/>
                <w:kern w:val="0"/>
                <w:sz w:val="21"/>
                <w:szCs w:val="21"/>
                <w:highlight w:val="none"/>
              </w:rPr>
              <w:t>500</w:t>
            </w:r>
          </w:p>
        </w:tc>
      </w:tr>
      <w:tr w14:paraId="23AE539D">
        <w:tblPrEx>
          <w:tblCellMar>
            <w:top w:w="0" w:type="dxa"/>
            <w:left w:w="108" w:type="dxa"/>
            <w:bottom w:w="0" w:type="dxa"/>
            <w:right w:w="108" w:type="dxa"/>
          </w:tblCellMar>
        </w:tblPrEx>
        <w:trPr>
          <w:trHeight w:val="46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3D27352A">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505B68C0">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453E0A7E">
            <w:pPr>
              <w:widowControl/>
              <w:jc w:val="left"/>
              <w:rPr>
                <w:b/>
                <w:color w:val="auto"/>
                <w:kern w:val="0"/>
                <w:sz w:val="21"/>
                <w:szCs w:val="21"/>
                <w:highlight w:val="none"/>
              </w:rPr>
            </w:pPr>
            <w:r>
              <w:rPr>
                <w:b/>
                <w:color w:val="auto"/>
                <w:kern w:val="0"/>
                <w:sz w:val="21"/>
                <w:szCs w:val="21"/>
                <w:highlight w:val="none"/>
              </w:rPr>
              <w:t>11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带电作业是否实施有效防护</w:t>
            </w:r>
          </w:p>
        </w:tc>
        <w:tc>
          <w:tcPr>
            <w:tcW w:w="2053" w:type="dxa"/>
            <w:gridSpan w:val="3"/>
            <w:tcBorders>
              <w:top w:val="nil"/>
              <w:left w:val="nil"/>
              <w:bottom w:val="single" w:color="000000" w:sz="4" w:space="0"/>
              <w:right w:val="single" w:color="000000" w:sz="4" w:space="0"/>
            </w:tcBorders>
            <w:noWrap w:val="0"/>
            <w:vAlign w:val="center"/>
          </w:tcPr>
          <w:p w14:paraId="233219E9">
            <w:pPr>
              <w:widowControl/>
              <w:jc w:val="center"/>
              <w:rPr>
                <w:b/>
                <w:color w:val="auto"/>
                <w:kern w:val="0"/>
                <w:sz w:val="21"/>
                <w:szCs w:val="21"/>
                <w:highlight w:val="none"/>
              </w:rPr>
            </w:pPr>
            <w:r>
              <w:rPr>
                <w:b/>
                <w:color w:val="auto"/>
                <w:kern w:val="0"/>
                <w:sz w:val="21"/>
                <w:szCs w:val="21"/>
                <w:highlight w:val="none"/>
              </w:rPr>
              <w:t>500</w:t>
            </w:r>
          </w:p>
        </w:tc>
      </w:tr>
      <w:tr w14:paraId="7BD1553E">
        <w:tblPrEx>
          <w:tblCellMar>
            <w:top w:w="0" w:type="dxa"/>
            <w:left w:w="108" w:type="dxa"/>
            <w:bottom w:w="0" w:type="dxa"/>
            <w:right w:w="108" w:type="dxa"/>
          </w:tblCellMar>
        </w:tblPrEx>
        <w:trPr>
          <w:trHeight w:val="525"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6B8A8B02">
            <w:pPr>
              <w:widowControl/>
              <w:jc w:val="center"/>
              <w:rPr>
                <w:rFonts w:hint="eastAsia" w:eastAsia="宋体"/>
                <w:b/>
                <w:color w:val="auto"/>
                <w:kern w:val="0"/>
                <w:sz w:val="21"/>
                <w:szCs w:val="21"/>
                <w:highlight w:val="none"/>
                <w:lang w:val="en-US" w:eastAsia="zh-CN"/>
              </w:rPr>
            </w:pPr>
            <w:r>
              <w:rPr>
                <w:rFonts w:hint="eastAsia"/>
                <w:b/>
                <w:color w:val="auto"/>
                <w:kern w:val="0"/>
                <w:sz w:val="21"/>
                <w:szCs w:val="21"/>
                <w:highlight w:val="none"/>
                <w:lang w:val="en-US" w:eastAsia="zh-CN"/>
              </w:rPr>
              <w:t>4</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2D062902">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模板</w:t>
            </w:r>
          </w:p>
        </w:tc>
        <w:tc>
          <w:tcPr>
            <w:tcW w:w="4935" w:type="dxa"/>
            <w:gridSpan w:val="2"/>
            <w:tcBorders>
              <w:top w:val="nil"/>
              <w:left w:val="nil"/>
              <w:bottom w:val="single" w:color="000000" w:sz="4" w:space="0"/>
              <w:right w:val="single" w:color="000000" w:sz="4" w:space="0"/>
            </w:tcBorders>
            <w:noWrap w:val="0"/>
            <w:vAlign w:val="center"/>
          </w:tcPr>
          <w:p w14:paraId="6EFF61EE">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施工方案是否经审查</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审批</w:t>
            </w:r>
          </w:p>
        </w:tc>
        <w:tc>
          <w:tcPr>
            <w:tcW w:w="2053" w:type="dxa"/>
            <w:gridSpan w:val="3"/>
            <w:tcBorders>
              <w:top w:val="nil"/>
              <w:left w:val="nil"/>
              <w:bottom w:val="single" w:color="000000" w:sz="4" w:space="0"/>
              <w:right w:val="single" w:color="000000" w:sz="4" w:space="0"/>
            </w:tcBorders>
            <w:noWrap w:val="0"/>
            <w:vAlign w:val="center"/>
          </w:tcPr>
          <w:p w14:paraId="1F485BB5">
            <w:pPr>
              <w:widowControl/>
              <w:jc w:val="center"/>
              <w:rPr>
                <w:b/>
                <w:color w:val="auto"/>
                <w:kern w:val="0"/>
                <w:sz w:val="21"/>
                <w:szCs w:val="21"/>
                <w:highlight w:val="none"/>
              </w:rPr>
            </w:pPr>
            <w:r>
              <w:rPr>
                <w:b/>
                <w:color w:val="auto"/>
                <w:kern w:val="0"/>
                <w:sz w:val="21"/>
                <w:szCs w:val="21"/>
                <w:highlight w:val="none"/>
              </w:rPr>
              <w:t>2000</w:t>
            </w:r>
          </w:p>
        </w:tc>
      </w:tr>
      <w:tr w14:paraId="3720C99C">
        <w:tblPrEx>
          <w:tblCellMar>
            <w:top w:w="0" w:type="dxa"/>
            <w:left w:w="108" w:type="dxa"/>
            <w:bottom w:w="0" w:type="dxa"/>
            <w:right w:w="108" w:type="dxa"/>
          </w:tblCellMar>
        </w:tblPrEx>
        <w:trPr>
          <w:trHeight w:val="61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52BB46B2">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170D6B88">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00EBADA4">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是否按审批通过的方案施工</w:t>
            </w:r>
          </w:p>
        </w:tc>
        <w:tc>
          <w:tcPr>
            <w:tcW w:w="2053" w:type="dxa"/>
            <w:gridSpan w:val="3"/>
            <w:tcBorders>
              <w:top w:val="nil"/>
              <w:left w:val="nil"/>
              <w:bottom w:val="single" w:color="000000" w:sz="4" w:space="0"/>
              <w:right w:val="single" w:color="000000" w:sz="4" w:space="0"/>
            </w:tcBorders>
            <w:noWrap w:val="0"/>
            <w:vAlign w:val="center"/>
          </w:tcPr>
          <w:p w14:paraId="520C472C">
            <w:pPr>
              <w:widowControl/>
              <w:jc w:val="center"/>
              <w:rPr>
                <w:b/>
                <w:color w:val="auto"/>
                <w:kern w:val="0"/>
                <w:sz w:val="21"/>
                <w:szCs w:val="21"/>
                <w:highlight w:val="none"/>
              </w:rPr>
            </w:pPr>
            <w:r>
              <w:rPr>
                <w:b/>
                <w:color w:val="auto"/>
                <w:kern w:val="0"/>
                <w:sz w:val="21"/>
                <w:szCs w:val="21"/>
                <w:highlight w:val="none"/>
              </w:rPr>
              <w:t>5000</w:t>
            </w:r>
          </w:p>
        </w:tc>
      </w:tr>
      <w:tr w14:paraId="132C1B4E">
        <w:tblPrEx>
          <w:tblCellMar>
            <w:top w:w="0" w:type="dxa"/>
            <w:left w:w="108" w:type="dxa"/>
            <w:bottom w:w="0" w:type="dxa"/>
            <w:right w:w="108" w:type="dxa"/>
          </w:tblCellMar>
        </w:tblPrEx>
        <w:trPr>
          <w:trHeight w:val="63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42EC269C">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CEF0CD5">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0BE0E204">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是否未经验收合格擅自投入使用</w:t>
            </w:r>
          </w:p>
        </w:tc>
        <w:tc>
          <w:tcPr>
            <w:tcW w:w="2053" w:type="dxa"/>
            <w:gridSpan w:val="3"/>
            <w:tcBorders>
              <w:top w:val="nil"/>
              <w:left w:val="nil"/>
              <w:bottom w:val="single" w:color="000000" w:sz="4" w:space="0"/>
              <w:right w:val="single" w:color="000000" w:sz="4" w:space="0"/>
            </w:tcBorders>
            <w:noWrap w:val="0"/>
            <w:vAlign w:val="center"/>
          </w:tcPr>
          <w:p w14:paraId="72D61D70">
            <w:pPr>
              <w:widowControl/>
              <w:jc w:val="center"/>
              <w:rPr>
                <w:b/>
                <w:color w:val="auto"/>
                <w:kern w:val="0"/>
                <w:sz w:val="21"/>
                <w:szCs w:val="21"/>
                <w:highlight w:val="none"/>
              </w:rPr>
            </w:pPr>
            <w:r>
              <w:rPr>
                <w:b/>
                <w:color w:val="auto"/>
                <w:kern w:val="0"/>
                <w:sz w:val="21"/>
                <w:szCs w:val="21"/>
                <w:highlight w:val="none"/>
              </w:rPr>
              <w:t>10000</w:t>
            </w:r>
          </w:p>
        </w:tc>
      </w:tr>
      <w:tr w14:paraId="47F6147F">
        <w:tblPrEx>
          <w:tblCellMar>
            <w:top w:w="0" w:type="dxa"/>
            <w:left w:w="108" w:type="dxa"/>
            <w:bottom w:w="0" w:type="dxa"/>
            <w:right w:w="108" w:type="dxa"/>
          </w:tblCellMar>
        </w:tblPrEx>
        <w:trPr>
          <w:trHeight w:val="48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0EE604EE">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0BB7D466">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537E3848">
            <w:pPr>
              <w:widowControl/>
              <w:jc w:val="left"/>
              <w:rPr>
                <w:b/>
                <w:color w:val="auto"/>
                <w:kern w:val="0"/>
                <w:sz w:val="21"/>
                <w:szCs w:val="21"/>
                <w:highlight w:val="none"/>
              </w:rPr>
            </w:pPr>
            <w:r>
              <w:rPr>
                <w:b/>
                <w:color w:val="auto"/>
                <w:kern w:val="0"/>
                <w:sz w:val="21"/>
                <w:szCs w:val="21"/>
                <w:highlight w:val="none"/>
              </w:rPr>
              <w:t>4</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模板拆除是否采取有效防护措施</w:t>
            </w:r>
          </w:p>
        </w:tc>
        <w:tc>
          <w:tcPr>
            <w:tcW w:w="2053" w:type="dxa"/>
            <w:gridSpan w:val="3"/>
            <w:tcBorders>
              <w:top w:val="nil"/>
              <w:left w:val="nil"/>
              <w:bottom w:val="single" w:color="000000" w:sz="4" w:space="0"/>
              <w:right w:val="single" w:color="000000" w:sz="4" w:space="0"/>
            </w:tcBorders>
            <w:noWrap w:val="0"/>
            <w:vAlign w:val="center"/>
          </w:tcPr>
          <w:p w14:paraId="239F0B98">
            <w:pPr>
              <w:widowControl/>
              <w:jc w:val="center"/>
              <w:rPr>
                <w:b/>
                <w:color w:val="auto"/>
                <w:kern w:val="0"/>
                <w:sz w:val="21"/>
                <w:szCs w:val="21"/>
                <w:highlight w:val="none"/>
              </w:rPr>
            </w:pPr>
            <w:r>
              <w:rPr>
                <w:b/>
                <w:color w:val="auto"/>
                <w:kern w:val="0"/>
                <w:sz w:val="21"/>
                <w:szCs w:val="21"/>
                <w:highlight w:val="none"/>
              </w:rPr>
              <w:t>1000</w:t>
            </w:r>
          </w:p>
        </w:tc>
      </w:tr>
      <w:tr w14:paraId="0584D5F8">
        <w:tblPrEx>
          <w:tblCellMar>
            <w:top w:w="0" w:type="dxa"/>
            <w:left w:w="108" w:type="dxa"/>
            <w:bottom w:w="0" w:type="dxa"/>
            <w:right w:w="108" w:type="dxa"/>
          </w:tblCellMar>
        </w:tblPrEx>
        <w:trPr>
          <w:trHeight w:val="31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776F79AC">
            <w:pPr>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00CEE04E">
            <w:pPr>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192CB6B2">
            <w:pPr>
              <w:rPr>
                <w:b/>
                <w:color w:val="auto"/>
                <w:kern w:val="0"/>
                <w:sz w:val="21"/>
                <w:szCs w:val="21"/>
                <w:highlight w:val="none"/>
              </w:rPr>
            </w:pPr>
          </w:p>
        </w:tc>
        <w:tc>
          <w:tcPr>
            <w:tcW w:w="2053" w:type="dxa"/>
            <w:gridSpan w:val="3"/>
            <w:tcBorders>
              <w:top w:val="nil"/>
              <w:left w:val="nil"/>
              <w:bottom w:val="single" w:color="000000" w:sz="4" w:space="0"/>
              <w:right w:val="single" w:color="000000" w:sz="4" w:space="0"/>
            </w:tcBorders>
            <w:noWrap w:val="0"/>
            <w:vAlign w:val="center"/>
          </w:tcPr>
          <w:p w14:paraId="13C6A725">
            <w:pPr>
              <w:rPr>
                <w:b/>
                <w:color w:val="auto"/>
                <w:kern w:val="0"/>
                <w:sz w:val="21"/>
                <w:szCs w:val="21"/>
                <w:highlight w:val="none"/>
              </w:rPr>
            </w:pPr>
          </w:p>
        </w:tc>
      </w:tr>
      <w:tr w14:paraId="2CAC0140">
        <w:tblPrEx>
          <w:tblCellMar>
            <w:top w:w="0" w:type="dxa"/>
            <w:left w:w="108" w:type="dxa"/>
            <w:bottom w:w="0" w:type="dxa"/>
            <w:right w:w="108" w:type="dxa"/>
          </w:tblCellMar>
        </w:tblPrEx>
        <w:trPr>
          <w:trHeight w:val="1170"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501ABCAE">
            <w:pPr>
              <w:widowControl/>
              <w:jc w:val="center"/>
              <w:rPr>
                <w:rFonts w:hint="default" w:eastAsia="宋体"/>
                <w:b/>
                <w:color w:val="auto"/>
                <w:kern w:val="0"/>
                <w:sz w:val="21"/>
                <w:szCs w:val="21"/>
                <w:highlight w:val="none"/>
                <w:lang w:val="en-US" w:eastAsia="zh-CN"/>
              </w:rPr>
            </w:pPr>
            <w:r>
              <w:rPr>
                <w:rFonts w:hint="eastAsia"/>
                <w:b/>
                <w:color w:val="auto"/>
                <w:kern w:val="0"/>
                <w:sz w:val="21"/>
                <w:szCs w:val="21"/>
                <w:highlight w:val="none"/>
                <w:lang w:val="en-US" w:eastAsia="zh-CN"/>
              </w:rPr>
              <w:t>5</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0337044C">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钢筋</w:t>
            </w:r>
          </w:p>
        </w:tc>
        <w:tc>
          <w:tcPr>
            <w:tcW w:w="4935" w:type="dxa"/>
            <w:gridSpan w:val="2"/>
            <w:tcBorders>
              <w:top w:val="nil"/>
              <w:left w:val="nil"/>
              <w:bottom w:val="single" w:color="000000" w:sz="4" w:space="0"/>
              <w:right w:val="single" w:color="000000" w:sz="4" w:space="0"/>
            </w:tcBorders>
            <w:noWrap w:val="0"/>
            <w:vAlign w:val="center"/>
          </w:tcPr>
          <w:p w14:paraId="78A7697D">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进场钢材是否符合招标文件</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设计要求</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使用钢材变更手续是否完善</w:t>
            </w:r>
          </w:p>
        </w:tc>
        <w:tc>
          <w:tcPr>
            <w:tcW w:w="2053" w:type="dxa"/>
            <w:gridSpan w:val="3"/>
            <w:tcBorders>
              <w:top w:val="nil"/>
              <w:left w:val="nil"/>
              <w:bottom w:val="single" w:color="000000" w:sz="4" w:space="0"/>
              <w:right w:val="single" w:color="000000" w:sz="4" w:space="0"/>
            </w:tcBorders>
            <w:noWrap w:val="0"/>
            <w:vAlign w:val="center"/>
          </w:tcPr>
          <w:p w14:paraId="14216052">
            <w:pPr>
              <w:widowControl/>
              <w:jc w:val="center"/>
              <w:rPr>
                <w:b/>
                <w:color w:val="auto"/>
                <w:kern w:val="0"/>
                <w:sz w:val="21"/>
                <w:szCs w:val="21"/>
                <w:highlight w:val="none"/>
              </w:rPr>
            </w:pPr>
            <w:r>
              <w:rPr>
                <w:b/>
                <w:color w:val="auto"/>
                <w:kern w:val="0"/>
                <w:sz w:val="21"/>
                <w:szCs w:val="21"/>
                <w:highlight w:val="none"/>
              </w:rPr>
              <w:t>1000</w:t>
            </w:r>
          </w:p>
        </w:tc>
      </w:tr>
      <w:tr w14:paraId="32F0F5F1">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29AEB6CD">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F647D59">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584B8DF5">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钢筋制作</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加工</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绑扎等是否符合要求</w:t>
            </w:r>
          </w:p>
        </w:tc>
        <w:tc>
          <w:tcPr>
            <w:tcW w:w="2053" w:type="dxa"/>
            <w:gridSpan w:val="3"/>
            <w:tcBorders>
              <w:top w:val="nil"/>
              <w:left w:val="nil"/>
              <w:bottom w:val="single" w:color="000000" w:sz="4" w:space="0"/>
              <w:right w:val="single" w:color="000000" w:sz="4" w:space="0"/>
            </w:tcBorders>
            <w:noWrap w:val="0"/>
            <w:vAlign w:val="center"/>
          </w:tcPr>
          <w:p w14:paraId="00CD69A0">
            <w:pPr>
              <w:widowControl/>
              <w:jc w:val="center"/>
              <w:rPr>
                <w:b/>
                <w:color w:val="auto"/>
                <w:kern w:val="0"/>
                <w:sz w:val="21"/>
                <w:szCs w:val="21"/>
                <w:highlight w:val="none"/>
              </w:rPr>
            </w:pPr>
            <w:r>
              <w:rPr>
                <w:b/>
                <w:color w:val="auto"/>
                <w:kern w:val="0"/>
                <w:sz w:val="21"/>
                <w:szCs w:val="21"/>
                <w:highlight w:val="none"/>
              </w:rPr>
              <w:t>1000</w:t>
            </w:r>
          </w:p>
        </w:tc>
      </w:tr>
      <w:tr w14:paraId="630123DF">
        <w:tblPrEx>
          <w:tblCellMar>
            <w:top w:w="0" w:type="dxa"/>
            <w:left w:w="108" w:type="dxa"/>
            <w:bottom w:w="0" w:type="dxa"/>
            <w:right w:w="108" w:type="dxa"/>
          </w:tblCellMar>
        </w:tblPrEx>
        <w:trPr>
          <w:trHeight w:val="88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47E4F2D8">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D6283B3">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65609896">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是否有质量合格证明文件</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试验复试报告</w:t>
            </w:r>
          </w:p>
        </w:tc>
        <w:tc>
          <w:tcPr>
            <w:tcW w:w="2053" w:type="dxa"/>
            <w:gridSpan w:val="3"/>
            <w:tcBorders>
              <w:top w:val="nil"/>
              <w:left w:val="nil"/>
              <w:bottom w:val="single" w:color="000000" w:sz="4" w:space="0"/>
              <w:right w:val="single" w:color="000000" w:sz="4" w:space="0"/>
            </w:tcBorders>
            <w:noWrap w:val="0"/>
            <w:vAlign w:val="center"/>
          </w:tcPr>
          <w:p w14:paraId="11EAC2B7">
            <w:pPr>
              <w:widowControl/>
              <w:jc w:val="center"/>
              <w:rPr>
                <w:b/>
                <w:color w:val="auto"/>
                <w:kern w:val="0"/>
                <w:sz w:val="21"/>
                <w:szCs w:val="21"/>
                <w:highlight w:val="none"/>
              </w:rPr>
            </w:pPr>
            <w:r>
              <w:rPr>
                <w:b/>
                <w:color w:val="auto"/>
                <w:kern w:val="0"/>
                <w:sz w:val="21"/>
                <w:szCs w:val="21"/>
                <w:highlight w:val="none"/>
              </w:rPr>
              <w:t>1000</w:t>
            </w:r>
          </w:p>
        </w:tc>
      </w:tr>
      <w:tr w14:paraId="76DFC610">
        <w:tblPrEx>
          <w:tblCellMar>
            <w:top w:w="0" w:type="dxa"/>
            <w:left w:w="108" w:type="dxa"/>
            <w:bottom w:w="0" w:type="dxa"/>
            <w:right w:w="108" w:type="dxa"/>
          </w:tblCellMar>
        </w:tblPrEx>
        <w:trPr>
          <w:trHeight w:val="600"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5B87727B">
            <w:pPr>
              <w:widowControl/>
              <w:jc w:val="center"/>
              <w:rPr>
                <w:rFonts w:hint="default" w:eastAsia="宋体"/>
                <w:b/>
                <w:color w:val="auto"/>
                <w:kern w:val="0"/>
                <w:sz w:val="21"/>
                <w:szCs w:val="21"/>
                <w:highlight w:val="none"/>
                <w:lang w:val="en-US" w:eastAsia="zh-CN"/>
              </w:rPr>
            </w:pPr>
            <w:r>
              <w:rPr>
                <w:rFonts w:hint="eastAsia"/>
                <w:b/>
                <w:color w:val="auto"/>
                <w:kern w:val="0"/>
                <w:sz w:val="21"/>
                <w:szCs w:val="21"/>
                <w:highlight w:val="none"/>
                <w:lang w:val="en-US" w:eastAsia="zh-CN"/>
              </w:rPr>
              <w:t>6</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0CA3DABE">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混凝土</w:t>
            </w:r>
          </w:p>
        </w:tc>
        <w:tc>
          <w:tcPr>
            <w:tcW w:w="4935" w:type="dxa"/>
            <w:gridSpan w:val="2"/>
            <w:tcBorders>
              <w:top w:val="nil"/>
              <w:left w:val="nil"/>
              <w:bottom w:val="single" w:color="000000" w:sz="4" w:space="0"/>
              <w:right w:val="single" w:color="000000" w:sz="4" w:space="0"/>
            </w:tcBorders>
            <w:noWrap w:val="0"/>
            <w:vAlign w:val="center"/>
          </w:tcPr>
          <w:p w14:paraId="272033D0">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进场原材是否符合设计要求</w:t>
            </w:r>
          </w:p>
        </w:tc>
        <w:tc>
          <w:tcPr>
            <w:tcW w:w="2053" w:type="dxa"/>
            <w:gridSpan w:val="3"/>
            <w:tcBorders>
              <w:top w:val="nil"/>
              <w:left w:val="nil"/>
              <w:bottom w:val="single" w:color="000000" w:sz="4" w:space="0"/>
              <w:right w:val="single" w:color="000000" w:sz="4" w:space="0"/>
            </w:tcBorders>
            <w:noWrap w:val="0"/>
            <w:vAlign w:val="center"/>
          </w:tcPr>
          <w:p w14:paraId="071B9EF2">
            <w:pPr>
              <w:widowControl/>
              <w:jc w:val="center"/>
              <w:rPr>
                <w:b/>
                <w:color w:val="auto"/>
                <w:kern w:val="0"/>
                <w:sz w:val="21"/>
                <w:szCs w:val="21"/>
                <w:highlight w:val="none"/>
              </w:rPr>
            </w:pPr>
            <w:r>
              <w:rPr>
                <w:b/>
                <w:color w:val="auto"/>
                <w:kern w:val="0"/>
                <w:sz w:val="21"/>
                <w:szCs w:val="21"/>
                <w:highlight w:val="none"/>
              </w:rPr>
              <w:t>1000</w:t>
            </w:r>
          </w:p>
        </w:tc>
      </w:tr>
      <w:tr w14:paraId="50AF5C3C">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4318B47C">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2BD08F97">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7CF5235D">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混凝土浇筑施工作业是否符合规范要求</w:t>
            </w:r>
          </w:p>
        </w:tc>
        <w:tc>
          <w:tcPr>
            <w:tcW w:w="2053" w:type="dxa"/>
            <w:gridSpan w:val="3"/>
            <w:tcBorders>
              <w:top w:val="nil"/>
              <w:left w:val="nil"/>
              <w:bottom w:val="single" w:color="000000" w:sz="4" w:space="0"/>
              <w:right w:val="single" w:color="000000" w:sz="4" w:space="0"/>
            </w:tcBorders>
            <w:noWrap w:val="0"/>
            <w:vAlign w:val="center"/>
          </w:tcPr>
          <w:p w14:paraId="4F307529">
            <w:pPr>
              <w:widowControl/>
              <w:jc w:val="center"/>
              <w:rPr>
                <w:b/>
                <w:color w:val="auto"/>
                <w:kern w:val="0"/>
                <w:sz w:val="21"/>
                <w:szCs w:val="21"/>
                <w:highlight w:val="none"/>
              </w:rPr>
            </w:pPr>
            <w:r>
              <w:rPr>
                <w:b/>
                <w:color w:val="auto"/>
                <w:kern w:val="0"/>
                <w:sz w:val="21"/>
                <w:szCs w:val="21"/>
                <w:highlight w:val="none"/>
              </w:rPr>
              <w:t>1000</w:t>
            </w:r>
          </w:p>
        </w:tc>
      </w:tr>
      <w:tr w14:paraId="1D06C33B">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3074993E">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1ADA88F0">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21984199">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浇筑完毕后是否进行有效养护</w:t>
            </w:r>
          </w:p>
        </w:tc>
        <w:tc>
          <w:tcPr>
            <w:tcW w:w="2053" w:type="dxa"/>
            <w:gridSpan w:val="3"/>
            <w:tcBorders>
              <w:top w:val="nil"/>
              <w:left w:val="nil"/>
              <w:bottom w:val="single" w:color="000000" w:sz="4" w:space="0"/>
              <w:right w:val="single" w:color="000000" w:sz="4" w:space="0"/>
            </w:tcBorders>
            <w:noWrap w:val="0"/>
            <w:vAlign w:val="center"/>
          </w:tcPr>
          <w:p w14:paraId="1BD63792">
            <w:pPr>
              <w:widowControl/>
              <w:jc w:val="center"/>
              <w:rPr>
                <w:b/>
                <w:color w:val="auto"/>
                <w:kern w:val="0"/>
                <w:sz w:val="21"/>
                <w:szCs w:val="21"/>
                <w:highlight w:val="none"/>
              </w:rPr>
            </w:pPr>
            <w:r>
              <w:rPr>
                <w:b/>
                <w:color w:val="auto"/>
                <w:kern w:val="0"/>
                <w:sz w:val="21"/>
                <w:szCs w:val="21"/>
                <w:highlight w:val="none"/>
              </w:rPr>
              <w:t>1000</w:t>
            </w:r>
          </w:p>
        </w:tc>
      </w:tr>
      <w:tr w14:paraId="4A9C3887">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575458DC">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54EA5189">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7860AE8F">
            <w:pPr>
              <w:widowControl/>
              <w:jc w:val="left"/>
              <w:rPr>
                <w:b/>
                <w:color w:val="auto"/>
                <w:kern w:val="0"/>
                <w:sz w:val="21"/>
                <w:szCs w:val="21"/>
                <w:highlight w:val="none"/>
              </w:rPr>
            </w:pPr>
            <w:r>
              <w:rPr>
                <w:b/>
                <w:color w:val="auto"/>
                <w:kern w:val="0"/>
                <w:sz w:val="21"/>
                <w:szCs w:val="21"/>
                <w:highlight w:val="none"/>
              </w:rPr>
              <w:t>4</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混凝土浇筑质量是否满足设计规范要求</w:t>
            </w:r>
          </w:p>
        </w:tc>
        <w:tc>
          <w:tcPr>
            <w:tcW w:w="2053" w:type="dxa"/>
            <w:gridSpan w:val="3"/>
            <w:tcBorders>
              <w:top w:val="nil"/>
              <w:left w:val="nil"/>
              <w:bottom w:val="single" w:color="000000" w:sz="4" w:space="0"/>
              <w:right w:val="single" w:color="000000" w:sz="4" w:space="0"/>
            </w:tcBorders>
            <w:noWrap w:val="0"/>
            <w:vAlign w:val="center"/>
          </w:tcPr>
          <w:p w14:paraId="0D2DAFE2">
            <w:pPr>
              <w:widowControl/>
              <w:jc w:val="center"/>
              <w:rPr>
                <w:b/>
                <w:color w:val="auto"/>
                <w:kern w:val="0"/>
                <w:sz w:val="21"/>
                <w:szCs w:val="21"/>
                <w:highlight w:val="none"/>
              </w:rPr>
            </w:pPr>
            <w:r>
              <w:rPr>
                <w:b/>
                <w:color w:val="auto"/>
                <w:kern w:val="0"/>
                <w:sz w:val="21"/>
                <w:szCs w:val="21"/>
                <w:highlight w:val="none"/>
              </w:rPr>
              <w:t>1000</w:t>
            </w:r>
          </w:p>
        </w:tc>
      </w:tr>
      <w:tr w14:paraId="789038CE">
        <w:tblPrEx>
          <w:tblCellMar>
            <w:top w:w="0" w:type="dxa"/>
            <w:left w:w="108" w:type="dxa"/>
            <w:bottom w:w="0" w:type="dxa"/>
            <w:right w:w="108" w:type="dxa"/>
          </w:tblCellMar>
        </w:tblPrEx>
        <w:trPr>
          <w:trHeight w:val="600"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7E9E4B13">
            <w:pPr>
              <w:widowControl/>
              <w:jc w:val="center"/>
              <w:rPr>
                <w:rFonts w:hint="default" w:eastAsia="宋体"/>
                <w:b/>
                <w:color w:val="auto"/>
                <w:kern w:val="0"/>
                <w:sz w:val="21"/>
                <w:szCs w:val="21"/>
                <w:highlight w:val="none"/>
                <w:lang w:val="en-US" w:eastAsia="zh-CN"/>
              </w:rPr>
            </w:pPr>
            <w:r>
              <w:rPr>
                <w:rFonts w:hint="eastAsia"/>
                <w:b/>
                <w:color w:val="auto"/>
                <w:kern w:val="0"/>
                <w:sz w:val="21"/>
                <w:szCs w:val="21"/>
                <w:highlight w:val="none"/>
                <w:lang w:val="en-US" w:eastAsia="zh-CN"/>
              </w:rPr>
              <w:t>7</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76BDF539">
            <w:pPr>
              <w:widowControl/>
              <w:jc w:val="center"/>
              <w:rPr>
                <w:rFonts w:hint="eastAsia" w:ascii="仿宋_GB2312" w:hAnsi="宋体" w:eastAsia="仿宋_GB2312" w:cs="宋体"/>
                <w:b/>
                <w:color w:val="auto"/>
                <w:kern w:val="0"/>
                <w:sz w:val="21"/>
                <w:szCs w:val="21"/>
                <w:highlight w:val="none"/>
                <w:lang w:val="en-US" w:eastAsia="zh-CN"/>
              </w:rPr>
            </w:pPr>
            <w:r>
              <w:rPr>
                <w:rFonts w:hint="eastAsia" w:ascii="仿宋_GB2312" w:hAnsi="宋体" w:eastAsia="仿宋_GB2312" w:cs="宋体"/>
                <w:b/>
                <w:color w:val="auto"/>
                <w:kern w:val="0"/>
                <w:sz w:val="21"/>
                <w:szCs w:val="21"/>
                <w:highlight w:val="none"/>
                <w:lang w:val="en-US" w:eastAsia="zh-CN"/>
              </w:rPr>
              <w:t>沥青</w:t>
            </w:r>
          </w:p>
        </w:tc>
        <w:tc>
          <w:tcPr>
            <w:tcW w:w="4935" w:type="dxa"/>
            <w:gridSpan w:val="2"/>
            <w:tcBorders>
              <w:top w:val="nil"/>
              <w:left w:val="nil"/>
              <w:bottom w:val="single" w:color="000000" w:sz="4" w:space="0"/>
              <w:right w:val="single" w:color="000000" w:sz="4" w:space="0"/>
            </w:tcBorders>
            <w:noWrap w:val="0"/>
            <w:vAlign w:val="center"/>
          </w:tcPr>
          <w:p w14:paraId="5D267516">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进场原材是否符合设计要求</w:t>
            </w:r>
          </w:p>
        </w:tc>
        <w:tc>
          <w:tcPr>
            <w:tcW w:w="2053" w:type="dxa"/>
            <w:gridSpan w:val="3"/>
            <w:tcBorders>
              <w:top w:val="nil"/>
              <w:left w:val="nil"/>
              <w:bottom w:val="single" w:color="000000" w:sz="4" w:space="0"/>
              <w:right w:val="single" w:color="000000" w:sz="4" w:space="0"/>
            </w:tcBorders>
            <w:noWrap w:val="0"/>
            <w:vAlign w:val="center"/>
          </w:tcPr>
          <w:p w14:paraId="4E81832E">
            <w:pPr>
              <w:widowControl/>
              <w:jc w:val="center"/>
              <w:rPr>
                <w:b/>
                <w:color w:val="auto"/>
                <w:kern w:val="0"/>
                <w:sz w:val="21"/>
                <w:szCs w:val="21"/>
                <w:highlight w:val="none"/>
              </w:rPr>
            </w:pPr>
            <w:r>
              <w:rPr>
                <w:b/>
                <w:color w:val="auto"/>
                <w:kern w:val="0"/>
                <w:sz w:val="21"/>
                <w:szCs w:val="21"/>
                <w:highlight w:val="none"/>
              </w:rPr>
              <w:t>1000</w:t>
            </w:r>
          </w:p>
        </w:tc>
      </w:tr>
      <w:tr w14:paraId="7395265B">
        <w:tblPrEx>
          <w:tblCellMar>
            <w:top w:w="0" w:type="dxa"/>
            <w:left w:w="108" w:type="dxa"/>
            <w:bottom w:w="0" w:type="dxa"/>
            <w:right w:w="108" w:type="dxa"/>
          </w:tblCellMar>
        </w:tblPrEx>
        <w:trPr>
          <w:trHeight w:val="754"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06549C04">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5D0AD862">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27723B8D">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lang w:val="en-US" w:eastAsia="zh-CN"/>
              </w:rPr>
              <w:t>沥青摊铺</w:t>
            </w:r>
            <w:r>
              <w:rPr>
                <w:rFonts w:hint="eastAsia" w:ascii="宋体" w:hAnsi="宋体" w:cs="宋体"/>
                <w:b/>
                <w:color w:val="auto"/>
                <w:kern w:val="0"/>
                <w:sz w:val="21"/>
                <w:szCs w:val="21"/>
                <w:highlight w:val="none"/>
              </w:rPr>
              <w:t>施工作业是否符合规范要求</w:t>
            </w:r>
          </w:p>
        </w:tc>
        <w:tc>
          <w:tcPr>
            <w:tcW w:w="2053" w:type="dxa"/>
            <w:gridSpan w:val="3"/>
            <w:tcBorders>
              <w:top w:val="nil"/>
              <w:left w:val="nil"/>
              <w:bottom w:val="single" w:color="000000" w:sz="4" w:space="0"/>
              <w:right w:val="single" w:color="000000" w:sz="4" w:space="0"/>
            </w:tcBorders>
            <w:noWrap w:val="0"/>
            <w:vAlign w:val="center"/>
          </w:tcPr>
          <w:p w14:paraId="48B0E7CA">
            <w:pPr>
              <w:widowControl/>
              <w:jc w:val="center"/>
              <w:rPr>
                <w:b/>
                <w:color w:val="auto"/>
                <w:kern w:val="0"/>
                <w:sz w:val="21"/>
                <w:szCs w:val="21"/>
                <w:highlight w:val="none"/>
              </w:rPr>
            </w:pPr>
            <w:r>
              <w:rPr>
                <w:b/>
                <w:color w:val="auto"/>
                <w:kern w:val="0"/>
                <w:sz w:val="21"/>
                <w:szCs w:val="21"/>
                <w:highlight w:val="none"/>
              </w:rPr>
              <w:t>1000</w:t>
            </w:r>
          </w:p>
        </w:tc>
      </w:tr>
      <w:tr w14:paraId="5FBD6B32">
        <w:tblPrEx>
          <w:tblCellMar>
            <w:top w:w="0" w:type="dxa"/>
            <w:left w:w="108" w:type="dxa"/>
            <w:bottom w:w="0" w:type="dxa"/>
            <w:right w:w="108" w:type="dxa"/>
          </w:tblCellMar>
        </w:tblPrEx>
        <w:trPr>
          <w:trHeight w:val="915"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7902684C">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D8182E5">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31DA34BE">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lang w:val="en-US" w:eastAsia="zh-CN"/>
              </w:rPr>
              <w:t>沥青路基施工</w:t>
            </w:r>
            <w:r>
              <w:rPr>
                <w:rFonts w:hint="eastAsia" w:ascii="宋体" w:hAnsi="宋体" w:cs="宋体"/>
                <w:b/>
                <w:color w:val="auto"/>
                <w:kern w:val="0"/>
                <w:sz w:val="21"/>
                <w:szCs w:val="21"/>
                <w:highlight w:val="none"/>
              </w:rPr>
              <w:t>是否满足设计规范要求</w:t>
            </w:r>
          </w:p>
        </w:tc>
        <w:tc>
          <w:tcPr>
            <w:tcW w:w="2053" w:type="dxa"/>
            <w:gridSpan w:val="3"/>
            <w:tcBorders>
              <w:top w:val="nil"/>
              <w:left w:val="nil"/>
              <w:bottom w:val="single" w:color="000000" w:sz="4" w:space="0"/>
              <w:right w:val="single" w:color="000000" w:sz="4" w:space="0"/>
            </w:tcBorders>
            <w:noWrap w:val="0"/>
            <w:vAlign w:val="center"/>
          </w:tcPr>
          <w:p w14:paraId="1811B230">
            <w:pPr>
              <w:widowControl/>
              <w:jc w:val="center"/>
              <w:rPr>
                <w:b/>
                <w:color w:val="auto"/>
                <w:kern w:val="0"/>
                <w:sz w:val="21"/>
                <w:szCs w:val="21"/>
                <w:highlight w:val="none"/>
              </w:rPr>
            </w:pPr>
            <w:r>
              <w:rPr>
                <w:b/>
                <w:color w:val="auto"/>
                <w:kern w:val="0"/>
                <w:sz w:val="21"/>
                <w:szCs w:val="21"/>
                <w:highlight w:val="none"/>
              </w:rPr>
              <w:t>1000</w:t>
            </w:r>
          </w:p>
        </w:tc>
      </w:tr>
      <w:tr w14:paraId="3460A499">
        <w:tblPrEx>
          <w:tblCellMar>
            <w:top w:w="0" w:type="dxa"/>
            <w:left w:w="108" w:type="dxa"/>
            <w:bottom w:w="0" w:type="dxa"/>
            <w:right w:w="108" w:type="dxa"/>
          </w:tblCellMar>
        </w:tblPrEx>
        <w:trPr>
          <w:trHeight w:val="600" w:hRule="atLeast"/>
        </w:trPr>
        <w:tc>
          <w:tcPr>
            <w:tcW w:w="465" w:type="dxa"/>
            <w:tcBorders>
              <w:top w:val="nil"/>
              <w:left w:val="single" w:color="000000" w:sz="4" w:space="0"/>
              <w:bottom w:val="single" w:color="000000" w:sz="4" w:space="0"/>
              <w:right w:val="single" w:color="000000" w:sz="4" w:space="0"/>
            </w:tcBorders>
            <w:noWrap w:val="0"/>
            <w:vAlign w:val="center"/>
          </w:tcPr>
          <w:p w14:paraId="5739F819">
            <w:pPr>
              <w:widowControl/>
              <w:jc w:val="center"/>
              <w:rPr>
                <w:rFonts w:hint="default" w:eastAsia="宋体"/>
                <w:b/>
                <w:color w:val="auto"/>
                <w:kern w:val="0"/>
                <w:sz w:val="21"/>
                <w:szCs w:val="21"/>
                <w:highlight w:val="none"/>
                <w:lang w:val="en-US" w:eastAsia="zh-CN"/>
              </w:rPr>
            </w:pPr>
            <w:r>
              <w:rPr>
                <w:rFonts w:hint="eastAsia"/>
                <w:b/>
                <w:color w:val="auto"/>
                <w:kern w:val="0"/>
                <w:sz w:val="21"/>
                <w:szCs w:val="21"/>
                <w:highlight w:val="none"/>
                <w:lang w:val="en-US" w:eastAsia="zh-CN"/>
              </w:rPr>
              <w:t>8</w:t>
            </w:r>
          </w:p>
        </w:tc>
        <w:tc>
          <w:tcPr>
            <w:tcW w:w="885" w:type="dxa"/>
            <w:gridSpan w:val="2"/>
            <w:tcBorders>
              <w:top w:val="nil"/>
              <w:left w:val="nil"/>
              <w:bottom w:val="single" w:color="000000" w:sz="4" w:space="0"/>
              <w:right w:val="single" w:color="000000" w:sz="4" w:space="0"/>
            </w:tcBorders>
            <w:noWrap w:val="0"/>
            <w:vAlign w:val="center"/>
          </w:tcPr>
          <w:p w14:paraId="33944C03">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临边洞口</w:t>
            </w:r>
          </w:p>
        </w:tc>
        <w:tc>
          <w:tcPr>
            <w:tcW w:w="4935" w:type="dxa"/>
            <w:gridSpan w:val="2"/>
            <w:tcBorders>
              <w:top w:val="nil"/>
              <w:left w:val="nil"/>
              <w:bottom w:val="single" w:color="000000" w:sz="4" w:space="0"/>
              <w:right w:val="single" w:color="000000" w:sz="4" w:space="0"/>
            </w:tcBorders>
            <w:noWrap w:val="0"/>
            <w:vAlign w:val="center"/>
          </w:tcPr>
          <w:p w14:paraId="5FD32A13">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是否按规范要求防护</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是否防护到位</w:t>
            </w:r>
          </w:p>
        </w:tc>
        <w:tc>
          <w:tcPr>
            <w:tcW w:w="2053" w:type="dxa"/>
            <w:gridSpan w:val="3"/>
            <w:tcBorders>
              <w:top w:val="nil"/>
              <w:left w:val="nil"/>
              <w:bottom w:val="single" w:color="000000" w:sz="4" w:space="0"/>
              <w:right w:val="single" w:color="000000" w:sz="4" w:space="0"/>
            </w:tcBorders>
            <w:noWrap w:val="0"/>
            <w:vAlign w:val="center"/>
          </w:tcPr>
          <w:p w14:paraId="0B0F06E6">
            <w:pPr>
              <w:widowControl/>
              <w:jc w:val="center"/>
              <w:rPr>
                <w:b/>
                <w:color w:val="auto"/>
                <w:kern w:val="0"/>
                <w:sz w:val="21"/>
                <w:szCs w:val="21"/>
                <w:highlight w:val="none"/>
              </w:rPr>
            </w:pPr>
            <w:r>
              <w:rPr>
                <w:b/>
                <w:color w:val="auto"/>
                <w:kern w:val="0"/>
                <w:sz w:val="21"/>
                <w:szCs w:val="21"/>
                <w:highlight w:val="none"/>
              </w:rPr>
              <w:t>1000</w:t>
            </w:r>
          </w:p>
        </w:tc>
      </w:tr>
      <w:tr w14:paraId="44438FB4">
        <w:tblPrEx>
          <w:tblCellMar>
            <w:top w:w="0" w:type="dxa"/>
            <w:left w:w="108" w:type="dxa"/>
            <w:bottom w:w="0" w:type="dxa"/>
            <w:right w:w="108" w:type="dxa"/>
          </w:tblCellMar>
        </w:tblPrEx>
        <w:trPr>
          <w:trHeight w:val="1170"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2B589E33">
            <w:pPr>
              <w:widowControl/>
              <w:jc w:val="center"/>
              <w:rPr>
                <w:rFonts w:hint="default" w:eastAsia="宋体"/>
                <w:b/>
                <w:color w:val="auto"/>
                <w:kern w:val="0"/>
                <w:sz w:val="21"/>
                <w:szCs w:val="21"/>
                <w:highlight w:val="none"/>
                <w:lang w:val="en-US" w:eastAsia="zh-CN"/>
              </w:rPr>
            </w:pPr>
            <w:r>
              <w:rPr>
                <w:rFonts w:hint="eastAsia"/>
                <w:b/>
                <w:color w:val="auto"/>
                <w:kern w:val="0"/>
                <w:sz w:val="21"/>
                <w:szCs w:val="21"/>
                <w:highlight w:val="none"/>
                <w:lang w:val="en-US" w:eastAsia="zh-CN"/>
              </w:rPr>
              <w:t>9</w:t>
            </w:r>
          </w:p>
        </w:tc>
        <w:tc>
          <w:tcPr>
            <w:tcW w:w="885" w:type="dxa"/>
            <w:gridSpan w:val="2"/>
            <w:vMerge w:val="restart"/>
            <w:tcBorders>
              <w:top w:val="nil"/>
              <w:left w:val="single" w:color="000000" w:sz="4" w:space="0"/>
              <w:bottom w:val="single" w:color="000000" w:sz="4" w:space="0"/>
              <w:right w:val="single" w:color="000000" w:sz="4" w:space="0"/>
            </w:tcBorders>
            <w:noWrap w:val="0"/>
            <w:vAlign w:val="center"/>
          </w:tcPr>
          <w:p w14:paraId="5B625BC5">
            <w:pPr>
              <w:widowControl/>
              <w:jc w:val="center"/>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安装</w:t>
            </w:r>
          </w:p>
        </w:tc>
        <w:tc>
          <w:tcPr>
            <w:tcW w:w="4935" w:type="dxa"/>
            <w:gridSpan w:val="2"/>
            <w:tcBorders>
              <w:top w:val="nil"/>
              <w:left w:val="nil"/>
              <w:bottom w:val="single" w:color="000000" w:sz="4" w:space="0"/>
              <w:right w:val="single" w:color="000000" w:sz="4" w:space="0"/>
            </w:tcBorders>
            <w:noWrap w:val="0"/>
            <w:vAlign w:val="center"/>
          </w:tcPr>
          <w:p w14:paraId="2495C5F3">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地下</w:t>
            </w:r>
            <w:r>
              <w:rPr>
                <w:rFonts w:hint="eastAsia" w:ascii="宋体" w:hAnsi="宋体" w:cs="宋体"/>
                <w:b/>
                <w:color w:val="auto"/>
                <w:kern w:val="0"/>
                <w:sz w:val="21"/>
                <w:szCs w:val="21"/>
                <w:highlight w:val="none"/>
                <w:lang w:val="en-US" w:eastAsia="zh-CN"/>
              </w:rPr>
              <w:t>井筒</w:t>
            </w:r>
            <w:r>
              <w:rPr>
                <w:rFonts w:hint="eastAsia" w:ascii="宋体" w:hAnsi="宋体" w:cs="宋体"/>
                <w:b/>
                <w:color w:val="auto"/>
                <w:kern w:val="0"/>
                <w:sz w:val="21"/>
                <w:szCs w:val="21"/>
                <w:highlight w:val="none"/>
              </w:rPr>
              <w:t>防水措施</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柔性防水套管设置是否符合要求</w:t>
            </w:r>
          </w:p>
        </w:tc>
        <w:tc>
          <w:tcPr>
            <w:tcW w:w="2053" w:type="dxa"/>
            <w:gridSpan w:val="3"/>
            <w:tcBorders>
              <w:top w:val="nil"/>
              <w:left w:val="nil"/>
              <w:bottom w:val="single" w:color="000000" w:sz="4" w:space="0"/>
              <w:right w:val="single" w:color="000000" w:sz="4" w:space="0"/>
            </w:tcBorders>
            <w:noWrap w:val="0"/>
            <w:vAlign w:val="center"/>
          </w:tcPr>
          <w:p w14:paraId="30036923">
            <w:pPr>
              <w:widowControl/>
              <w:jc w:val="center"/>
              <w:rPr>
                <w:b/>
                <w:color w:val="auto"/>
                <w:kern w:val="0"/>
                <w:sz w:val="21"/>
                <w:szCs w:val="21"/>
                <w:highlight w:val="none"/>
              </w:rPr>
            </w:pPr>
            <w:r>
              <w:rPr>
                <w:b/>
                <w:color w:val="auto"/>
                <w:kern w:val="0"/>
                <w:sz w:val="21"/>
                <w:szCs w:val="21"/>
                <w:highlight w:val="none"/>
              </w:rPr>
              <w:t>1000</w:t>
            </w:r>
          </w:p>
        </w:tc>
      </w:tr>
      <w:tr w14:paraId="51D52C76">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2806A754">
            <w:pPr>
              <w:widowControl/>
              <w:jc w:val="left"/>
              <w:rPr>
                <w:b/>
                <w:color w:val="auto"/>
                <w:kern w:val="0"/>
                <w:sz w:val="21"/>
                <w:szCs w:val="21"/>
                <w:highlight w:val="none"/>
              </w:rPr>
            </w:pPr>
          </w:p>
        </w:tc>
        <w:tc>
          <w:tcPr>
            <w:tcW w:w="885" w:type="dxa"/>
            <w:gridSpan w:val="2"/>
            <w:vMerge w:val="continue"/>
            <w:tcBorders>
              <w:top w:val="nil"/>
              <w:left w:val="single" w:color="000000" w:sz="4" w:space="0"/>
              <w:bottom w:val="single" w:color="000000" w:sz="4" w:space="0"/>
              <w:right w:val="single" w:color="000000" w:sz="4" w:space="0"/>
            </w:tcBorders>
            <w:noWrap w:val="0"/>
            <w:vAlign w:val="center"/>
          </w:tcPr>
          <w:p w14:paraId="6A40FEB3">
            <w:pPr>
              <w:widowControl/>
              <w:jc w:val="left"/>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6E1467FB">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管道试验是否满足设计规范要求</w:t>
            </w:r>
          </w:p>
        </w:tc>
        <w:tc>
          <w:tcPr>
            <w:tcW w:w="2053" w:type="dxa"/>
            <w:gridSpan w:val="3"/>
            <w:tcBorders>
              <w:top w:val="nil"/>
              <w:left w:val="nil"/>
              <w:bottom w:val="single" w:color="000000" w:sz="4" w:space="0"/>
              <w:right w:val="single" w:color="000000" w:sz="4" w:space="0"/>
            </w:tcBorders>
            <w:noWrap w:val="0"/>
            <w:vAlign w:val="center"/>
          </w:tcPr>
          <w:p w14:paraId="223587D3">
            <w:pPr>
              <w:widowControl/>
              <w:jc w:val="center"/>
              <w:rPr>
                <w:b/>
                <w:color w:val="auto"/>
                <w:kern w:val="0"/>
                <w:sz w:val="21"/>
                <w:szCs w:val="21"/>
                <w:highlight w:val="none"/>
              </w:rPr>
            </w:pPr>
            <w:r>
              <w:rPr>
                <w:b/>
                <w:color w:val="auto"/>
                <w:kern w:val="0"/>
                <w:sz w:val="21"/>
                <w:szCs w:val="21"/>
                <w:highlight w:val="none"/>
              </w:rPr>
              <w:t>1000</w:t>
            </w:r>
          </w:p>
        </w:tc>
      </w:tr>
      <w:tr w14:paraId="369A6EDA">
        <w:tblPrEx>
          <w:tblCellMar>
            <w:top w:w="0" w:type="dxa"/>
            <w:left w:w="108" w:type="dxa"/>
            <w:bottom w:w="0" w:type="dxa"/>
            <w:right w:w="108" w:type="dxa"/>
          </w:tblCellMar>
        </w:tblPrEx>
        <w:trPr>
          <w:trHeight w:val="1455" w:hRule="atLeast"/>
        </w:trPr>
        <w:tc>
          <w:tcPr>
            <w:tcW w:w="465" w:type="dxa"/>
            <w:vMerge w:val="restart"/>
            <w:tcBorders>
              <w:top w:val="nil"/>
              <w:left w:val="single" w:color="000000" w:sz="4" w:space="0"/>
              <w:bottom w:val="single" w:color="000000" w:sz="4" w:space="0"/>
              <w:right w:val="single" w:color="000000" w:sz="4" w:space="0"/>
            </w:tcBorders>
            <w:noWrap w:val="0"/>
            <w:vAlign w:val="center"/>
          </w:tcPr>
          <w:p w14:paraId="33391B79">
            <w:pPr>
              <w:widowControl/>
              <w:jc w:val="center"/>
              <w:rPr>
                <w:rFonts w:hint="eastAsia" w:eastAsia="宋体"/>
                <w:b/>
                <w:color w:val="auto"/>
                <w:kern w:val="0"/>
                <w:sz w:val="21"/>
                <w:szCs w:val="21"/>
                <w:highlight w:val="none"/>
                <w:lang w:val="en-US" w:eastAsia="zh-CN"/>
              </w:rPr>
            </w:pPr>
            <w:r>
              <w:rPr>
                <w:b/>
                <w:color w:val="auto"/>
                <w:kern w:val="0"/>
                <w:sz w:val="21"/>
                <w:szCs w:val="21"/>
                <w:highlight w:val="none"/>
              </w:rPr>
              <w:t>1</w:t>
            </w:r>
            <w:r>
              <w:rPr>
                <w:rFonts w:hint="eastAsia"/>
                <w:b/>
                <w:color w:val="auto"/>
                <w:kern w:val="0"/>
                <w:sz w:val="21"/>
                <w:szCs w:val="21"/>
                <w:highlight w:val="none"/>
                <w:lang w:val="en-US" w:eastAsia="zh-CN"/>
              </w:rPr>
              <w:t>0</w:t>
            </w:r>
          </w:p>
        </w:tc>
        <w:tc>
          <w:tcPr>
            <w:tcW w:w="885" w:type="dxa"/>
            <w:gridSpan w:val="2"/>
            <w:vMerge w:val="restart"/>
            <w:tcBorders>
              <w:top w:val="nil"/>
              <w:left w:val="nil"/>
              <w:bottom w:val="single" w:color="000000" w:sz="4" w:space="0"/>
              <w:right w:val="single" w:color="000000" w:sz="4" w:space="0"/>
            </w:tcBorders>
            <w:noWrap w:val="0"/>
            <w:vAlign w:val="center"/>
          </w:tcPr>
          <w:p w14:paraId="50909CAD">
            <w:pPr>
              <w:widowControl/>
              <w:jc w:val="center"/>
              <w:rPr>
                <w:rFonts w:hint="eastAsia"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基坑</w:t>
            </w:r>
          </w:p>
          <w:p w14:paraId="70F37F3B">
            <w:pPr>
              <w:widowControl/>
              <w:jc w:val="left"/>
              <w:rPr>
                <w:rFonts w:ascii="仿宋_GB2312" w:hAnsi="宋体" w:eastAsia="仿宋_GB2312" w:cs="宋体"/>
                <w:b/>
                <w:color w:val="auto"/>
                <w:kern w:val="0"/>
                <w:sz w:val="21"/>
                <w:szCs w:val="21"/>
                <w:highlight w:val="none"/>
              </w:rPr>
            </w:pPr>
            <w:r>
              <w:rPr>
                <w:rFonts w:hint="eastAsia" w:ascii="宋体" w:hAnsi="宋体" w:cs="宋体"/>
                <w:b/>
                <w:color w:val="auto"/>
                <w:kern w:val="0"/>
                <w:sz w:val="21"/>
                <w:szCs w:val="21"/>
                <w:highlight w:val="none"/>
              </w:rPr>
              <w:t>　</w:t>
            </w:r>
          </w:p>
        </w:tc>
        <w:tc>
          <w:tcPr>
            <w:tcW w:w="4935" w:type="dxa"/>
            <w:gridSpan w:val="2"/>
            <w:tcBorders>
              <w:top w:val="nil"/>
              <w:left w:val="nil"/>
              <w:bottom w:val="single" w:color="000000" w:sz="4" w:space="0"/>
              <w:right w:val="single" w:color="000000" w:sz="4" w:space="0"/>
            </w:tcBorders>
            <w:noWrap w:val="0"/>
            <w:vAlign w:val="center"/>
          </w:tcPr>
          <w:p w14:paraId="6CAE173A">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lang w:val="en-US" w:eastAsia="zh-CN"/>
              </w:rPr>
              <w:t>支护结构安拆</w:t>
            </w:r>
            <w:r>
              <w:rPr>
                <w:rFonts w:hint="eastAsia" w:ascii="宋体" w:hAnsi="宋体" w:cs="宋体"/>
                <w:b/>
                <w:color w:val="auto"/>
                <w:kern w:val="0"/>
                <w:sz w:val="21"/>
                <w:szCs w:val="21"/>
                <w:highlight w:val="none"/>
              </w:rPr>
              <w:t>告知</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检测检验和联合验收等手续是否齐全</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是否定期做好检查维护保养</w:t>
            </w:r>
          </w:p>
        </w:tc>
        <w:tc>
          <w:tcPr>
            <w:tcW w:w="2053" w:type="dxa"/>
            <w:gridSpan w:val="3"/>
            <w:tcBorders>
              <w:top w:val="nil"/>
              <w:left w:val="nil"/>
              <w:bottom w:val="single" w:color="000000" w:sz="4" w:space="0"/>
              <w:right w:val="single" w:color="000000" w:sz="4" w:space="0"/>
            </w:tcBorders>
            <w:noWrap w:val="0"/>
            <w:vAlign w:val="center"/>
          </w:tcPr>
          <w:p w14:paraId="54CD9F2C">
            <w:pPr>
              <w:widowControl/>
              <w:jc w:val="center"/>
              <w:rPr>
                <w:b/>
                <w:color w:val="auto"/>
                <w:kern w:val="0"/>
                <w:sz w:val="21"/>
                <w:szCs w:val="21"/>
                <w:highlight w:val="none"/>
              </w:rPr>
            </w:pPr>
            <w:r>
              <w:rPr>
                <w:b/>
                <w:color w:val="auto"/>
                <w:kern w:val="0"/>
                <w:sz w:val="21"/>
                <w:szCs w:val="21"/>
                <w:highlight w:val="none"/>
              </w:rPr>
              <w:t>2000</w:t>
            </w:r>
          </w:p>
        </w:tc>
      </w:tr>
      <w:tr w14:paraId="3C574CD8">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45395181">
            <w:pPr>
              <w:widowControl/>
              <w:jc w:val="left"/>
              <w:rPr>
                <w:b/>
                <w:color w:val="auto"/>
                <w:kern w:val="0"/>
                <w:sz w:val="21"/>
                <w:szCs w:val="21"/>
                <w:highlight w:val="none"/>
              </w:rPr>
            </w:pPr>
          </w:p>
        </w:tc>
        <w:tc>
          <w:tcPr>
            <w:tcW w:w="885" w:type="dxa"/>
            <w:gridSpan w:val="2"/>
            <w:vMerge w:val="continue"/>
            <w:tcBorders>
              <w:top w:val="nil"/>
              <w:left w:val="nil"/>
              <w:bottom w:val="single" w:color="000000" w:sz="4" w:space="0"/>
              <w:right w:val="single" w:color="000000" w:sz="4" w:space="0"/>
            </w:tcBorders>
            <w:noWrap w:val="0"/>
            <w:vAlign w:val="center"/>
          </w:tcPr>
          <w:p w14:paraId="4FF53399">
            <w:pPr>
              <w:widowControl/>
              <w:jc w:val="center"/>
              <w:rPr>
                <w:rFonts w:ascii="仿宋_GB2312" w:hAnsi="宋体" w:eastAsia="仿宋_GB2312"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1066EE59">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专项施工方案是否审批</w:t>
            </w:r>
          </w:p>
        </w:tc>
        <w:tc>
          <w:tcPr>
            <w:tcW w:w="2053" w:type="dxa"/>
            <w:gridSpan w:val="3"/>
            <w:tcBorders>
              <w:top w:val="nil"/>
              <w:left w:val="nil"/>
              <w:bottom w:val="single" w:color="000000" w:sz="4" w:space="0"/>
              <w:right w:val="single" w:color="000000" w:sz="4" w:space="0"/>
            </w:tcBorders>
            <w:noWrap w:val="0"/>
            <w:vAlign w:val="center"/>
          </w:tcPr>
          <w:p w14:paraId="0F62857E">
            <w:pPr>
              <w:widowControl/>
              <w:jc w:val="center"/>
              <w:rPr>
                <w:b/>
                <w:color w:val="auto"/>
                <w:kern w:val="0"/>
                <w:sz w:val="21"/>
                <w:szCs w:val="21"/>
                <w:highlight w:val="none"/>
              </w:rPr>
            </w:pPr>
            <w:r>
              <w:rPr>
                <w:b/>
                <w:color w:val="auto"/>
                <w:kern w:val="0"/>
                <w:sz w:val="21"/>
                <w:szCs w:val="21"/>
                <w:highlight w:val="none"/>
              </w:rPr>
              <w:t>5000</w:t>
            </w:r>
          </w:p>
        </w:tc>
      </w:tr>
      <w:tr w14:paraId="206B164E">
        <w:tblPrEx>
          <w:tblCellMar>
            <w:top w:w="0" w:type="dxa"/>
            <w:left w:w="108" w:type="dxa"/>
            <w:bottom w:w="0" w:type="dxa"/>
            <w:right w:w="108" w:type="dxa"/>
          </w:tblCellMar>
        </w:tblPrEx>
        <w:trPr>
          <w:trHeight w:val="600" w:hRule="atLeast"/>
        </w:trPr>
        <w:tc>
          <w:tcPr>
            <w:tcW w:w="465" w:type="dxa"/>
            <w:vMerge w:val="continue"/>
            <w:tcBorders>
              <w:top w:val="nil"/>
              <w:left w:val="single" w:color="000000" w:sz="4" w:space="0"/>
              <w:bottom w:val="single" w:color="000000" w:sz="4" w:space="0"/>
              <w:right w:val="single" w:color="000000" w:sz="4" w:space="0"/>
            </w:tcBorders>
            <w:noWrap w:val="0"/>
            <w:vAlign w:val="center"/>
          </w:tcPr>
          <w:p w14:paraId="53F0CA47">
            <w:pPr>
              <w:widowControl/>
              <w:jc w:val="left"/>
              <w:rPr>
                <w:b/>
                <w:color w:val="auto"/>
                <w:kern w:val="0"/>
                <w:sz w:val="21"/>
                <w:szCs w:val="21"/>
                <w:highlight w:val="none"/>
              </w:rPr>
            </w:pPr>
          </w:p>
        </w:tc>
        <w:tc>
          <w:tcPr>
            <w:tcW w:w="885" w:type="dxa"/>
            <w:gridSpan w:val="2"/>
            <w:vMerge w:val="continue"/>
            <w:tcBorders>
              <w:top w:val="nil"/>
              <w:left w:val="nil"/>
              <w:bottom w:val="single" w:color="000000" w:sz="4" w:space="0"/>
              <w:right w:val="single" w:color="000000" w:sz="4" w:space="0"/>
            </w:tcBorders>
            <w:noWrap w:val="0"/>
            <w:vAlign w:val="center"/>
          </w:tcPr>
          <w:p w14:paraId="1C5B9802">
            <w:pPr>
              <w:widowControl/>
              <w:jc w:val="left"/>
              <w:rPr>
                <w:rFonts w:ascii="宋体" w:hAnsi="宋体" w:cs="宋体"/>
                <w:b/>
                <w:color w:val="auto"/>
                <w:kern w:val="0"/>
                <w:sz w:val="21"/>
                <w:szCs w:val="21"/>
                <w:highlight w:val="none"/>
              </w:rPr>
            </w:pPr>
          </w:p>
        </w:tc>
        <w:tc>
          <w:tcPr>
            <w:tcW w:w="4935" w:type="dxa"/>
            <w:gridSpan w:val="2"/>
            <w:tcBorders>
              <w:top w:val="nil"/>
              <w:left w:val="nil"/>
              <w:bottom w:val="single" w:color="000000" w:sz="4" w:space="0"/>
              <w:right w:val="single" w:color="000000" w:sz="4" w:space="0"/>
            </w:tcBorders>
            <w:noWrap w:val="0"/>
            <w:vAlign w:val="center"/>
          </w:tcPr>
          <w:p w14:paraId="1093296E">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是否按审批通过的方案施工</w:t>
            </w:r>
          </w:p>
        </w:tc>
        <w:tc>
          <w:tcPr>
            <w:tcW w:w="2053" w:type="dxa"/>
            <w:gridSpan w:val="3"/>
            <w:tcBorders>
              <w:top w:val="nil"/>
              <w:left w:val="nil"/>
              <w:bottom w:val="single" w:color="000000" w:sz="4" w:space="0"/>
              <w:right w:val="single" w:color="000000" w:sz="4" w:space="0"/>
            </w:tcBorders>
            <w:noWrap w:val="0"/>
            <w:vAlign w:val="center"/>
          </w:tcPr>
          <w:p w14:paraId="4A356747">
            <w:pPr>
              <w:widowControl/>
              <w:jc w:val="center"/>
              <w:rPr>
                <w:b/>
                <w:color w:val="auto"/>
                <w:kern w:val="0"/>
                <w:sz w:val="21"/>
                <w:szCs w:val="21"/>
                <w:highlight w:val="none"/>
              </w:rPr>
            </w:pPr>
            <w:r>
              <w:rPr>
                <w:b/>
                <w:color w:val="auto"/>
                <w:kern w:val="0"/>
                <w:sz w:val="21"/>
                <w:szCs w:val="21"/>
                <w:highlight w:val="none"/>
              </w:rPr>
              <w:t>10000</w:t>
            </w:r>
          </w:p>
        </w:tc>
      </w:tr>
      <w:tr w14:paraId="6CA646AF">
        <w:tblPrEx>
          <w:tblCellMar>
            <w:top w:w="0" w:type="dxa"/>
            <w:left w:w="108" w:type="dxa"/>
            <w:bottom w:w="0" w:type="dxa"/>
            <w:right w:w="108" w:type="dxa"/>
          </w:tblCellMar>
        </w:tblPrEx>
        <w:trPr>
          <w:gridAfter w:val="1"/>
          <w:wAfter w:w="4" w:type="dxa"/>
          <w:trHeight w:val="645" w:hRule="atLeast"/>
        </w:trPr>
        <w:tc>
          <w:tcPr>
            <w:tcW w:w="465" w:type="dxa"/>
            <w:vMerge w:val="continue"/>
            <w:tcBorders>
              <w:top w:val="nil"/>
              <w:left w:val="nil"/>
              <w:bottom w:val="nil"/>
              <w:right w:val="nil"/>
            </w:tcBorders>
            <w:noWrap w:val="0"/>
            <w:vAlign w:val="center"/>
          </w:tcPr>
          <w:p w14:paraId="06680DAA">
            <w:pPr>
              <w:widowControl/>
              <w:jc w:val="left"/>
              <w:rPr>
                <w:rFonts w:ascii="微软雅黑" w:hAnsi="宋体" w:eastAsia="微软雅黑" w:cs="宋体"/>
                <w:b/>
                <w:color w:val="auto"/>
                <w:kern w:val="0"/>
                <w:sz w:val="44"/>
                <w:szCs w:val="44"/>
                <w:highlight w:val="none"/>
              </w:rPr>
            </w:pPr>
          </w:p>
        </w:tc>
        <w:tc>
          <w:tcPr>
            <w:tcW w:w="885" w:type="dxa"/>
            <w:gridSpan w:val="2"/>
            <w:vMerge w:val="continue"/>
            <w:tcBorders>
              <w:top w:val="nil"/>
              <w:left w:val="nil"/>
              <w:bottom w:val="nil"/>
              <w:right w:val="nil"/>
            </w:tcBorders>
            <w:noWrap w:val="0"/>
            <w:vAlign w:val="center"/>
          </w:tcPr>
          <w:p w14:paraId="55AD01D6">
            <w:pPr>
              <w:widowControl/>
              <w:jc w:val="left"/>
              <w:rPr>
                <w:color w:val="auto"/>
                <w:highlight w:val="none"/>
              </w:rPr>
            </w:pPr>
          </w:p>
        </w:tc>
        <w:tc>
          <w:tcPr>
            <w:tcW w:w="4935" w:type="dxa"/>
            <w:gridSpan w:val="2"/>
            <w:tcBorders>
              <w:top w:val="nil"/>
              <w:left w:val="nil"/>
              <w:bottom w:val="nil"/>
              <w:right w:val="nil"/>
            </w:tcBorders>
            <w:noWrap w:val="0"/>
            <w:vAlign w:val="center"/>
          </w:tcPr>
          <w:p w14:paraId="1DD8AB7A">
            <w:pPr>
              <w:widowControl/>
              <w:jc w:val="left"/>
              <w:rPr>
                <w:color w:val="auto"/>
                <w:highlight w:val="none"/>
              </w:rPr>
            </w:pPr>
            <w:r>
              <w:rPr>
                <w:rFonts w:hint="eastAsia"/>
                <w:b/>
                <w:color w:val="auto"/>
                <w:kern w:val="0"/>
                <w:sz w:val="21"/>
                <w:szCs w:val="21"/>
                <w:highlight w:val="none"/>
                <w:lang w:val="en-US" w:eastAsia="zh-CN"/>
              </w:rPr>
              <w:t>4</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是否按审批通过的方案施工</w:t>
            </w:r>
          </w:p>
        </w:tc>
        <w:tc>
          <w:tcPr>
            <w:tcW w:w="2049" w:type="dxa"/>
            <w:gridSpan w:val="2"/>
            <w:tcBorders>
              <w:top w:val="nil"/>
              <w:left w:val="nil"/>
              <w:bottom w:val="nil"/>
              <w:right w:val="nil"/>
            </w:tcBorders>
            <w:noWrap w:val="0"/>
            <w:vAlign w:val="center"/>
          </w:tcPr>
          <w:p w14:paraId="6237795F">
            <w:pPr>
              <w:widowControl/>
              <w:jc w:val="center"/>
              <w:rPr>
                <w:color w:val="auto"/>
                <w:highlight w:val="none"/>
              </w:rPr>
            </w:pPr>
            <w:r>
              <w:rPr>
                <w:b/>
                <w:color w:val="auto"/>
                <w:kern w:val="0"/>
                <w:sz w:val="21"/>
                <w:szCs w:val="21"/>
                <w:highlight w:val="none"/>
              </w:rPr>
              <w:t>2000</w:t>
            </w:r>
          </w:p>
        </w:tc>
      </w:tr>
      <w:tr w14:paraId="013E42AE">
        <w:tblPrEx>
          <w:tblCellMar>
            <w:top w:w="0" w:type="dxa"/>
            <w:left w:w="108" w:type="dxa"/>
            <w:bottom w:w="0" w:type="dxa"/>
            <w:right w:w="108" w:type="dxa"/>
          </w:tblCellMar>
        </w:tblPrEx>
        <w:trPr>
          <w:gridAfter w:val="1"/>
          <w:wAfter w:w="4" w:type="dxa"/>
          <w:trHeight w:val="825" w:hRule="atLeast"/>
        </w:trPr>
        <w:tc>
          <w:tcPr>
            <w:tcW w:w="465" w:type="dxa"/>
            <w:vMerge w:val="continue"/>
            <w:tcBorders>
              <w:top w:val="single" w:color="auto" w:sz="4" w:space="0"/>
              <w:left w:val="single" w:color="auto" w:sz="4" w:space="0"/>
              <w:bottom w:val="single" w:color="auto" w:sz="4" w:space="0"/>
              <w:right w:val="single" w:color="auto" w:sz="4" w:space="0"/>
            </w:tcBorders>
            <w:noWrap w:val="0"/>
            <w:vAlign w:val="center"/>
          </w:tcPr>
          <w:p w14:paraId="684F22E7">
            <w:pPr>
              <w:widowControl/>
              <w:jc w:val="left"/>
              <w:rPr>
                <w:rFonts w:ascii="仿宋_GB2312" w:hAnsi="宋体" w:eastAsia="仿宋_GB2312" w:cs="宋体"/>
                <w:b/>
                <w:color w:val="auto"/>
                <w:kern w:val="0"/>
                <w:sz w:val="21"/>
                <w:szCs w:val="21"/>
                <w:highlight w:val="none"/>
              </w:rPr>
            </w:pPr>
          </w:p>
        </w:tc>
        <w:tc>
          <w:tcPr>
            <w:tcW w:w="88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9D85BD9">
            <w:pPr>
              <w:widowControl/>
              <w:jc w:val="left"/>
              <w:rPr>
                <w:rFonts w:ascii="仿宋_GB2312" w:hAnsi="宋体" w:eastAsia="仿宋_GB2312" w:cs="宋体"/>
                <w:b/>
                <w:color w:val="auto"/>
                <w:kern w:val="0"/>
                <w:sz w:val="21"/>
                <w:szCs w:val="21"/>
                <w:highlight w:val="none"/>
              </w:rPr>
            </w:pPr>
          </w:p>
        </w:tc>
        <w:tc>
          <w:tcPr>
            <w:tcW w:w="4935" w:type="dxa"/>
            <w:gridSpan w:val="2"/>
            <w:tcBorders>
              <w:top w:val="single" w:color="auto" w:sz="4" w:space="0"/>
              <w:left w:val="nil"/>
              <w:bottom w:val="single" w:color="auto" w:sz="4" w:space="0"/>
              <w:right w:val="single" w:color="auto" w:sz="4" w:space="0"/>
            </w:tcBorders>
            <w:noWrap w:val="0"/>
            <w:vAlign w:val="center"/>
          </w:tcPr>
          <w:p w14:paraId="54F6EB33">
            <w:pPr>
              <w:widowControl/>
              <w:jc w:val="left"/>
              <w:rPr>
                <w:rFonts w:ascii="仿宋_GB2312" w:hAnsi="宋体" w:eastAsia="仿宋_GB2312" w:cs="宋体"/>
                <w:b/>
                <w:color w:val="auto"/>
                <w:kern w:val="0"/>
                <w:sz w:val="21"/>
                <w:szCs w:val="21"/>
                <w:highlight w:val="none"/>
              </w:rPr>
            </w:pPr>
            <w:r>
              <w:rPr>
                <w:rFonts w:hint="eastAsia"/>
                <w:b/>
                <w:color w:val="auto"/>
                <w:kern w:val="0"/>
                <w:sz w:val="21"/>
                <w:szCs w:val="21"/>
                <w:highlight w:val="none"/>
                <w:lang w:val="en-US" w:eastAsia="zh-CN"/>
              </w:rPr>
              <w:t>5</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是否按要求进行基坑变形监测</w:t>
            </w:r>
          </w:p>
        </w:tc>
        <w:tc>
          <w:tcPr>
            <w:tcW w:w="2049" w:type="dxa"/>
            <w:gridSpan w:val="2"/>
            <w:tcBorders>
              <w:top w:val="single" w:color="auto" w:sz="4" w:space="0"/>
              <w:left w:val="nil"/>
              <w:bottom w:val="single" w:color="auto" w:sz="4" w:space="0"/>
              <w:right w:val="single" w:color="auto" w:sz="4" w:space="0"/>
            </w:tcBorders>
            <w:noWrap w:val="0"/>
            <w:vAlign w:val="center"/>
          </w:tcPr>
          <w:p w14:paraId="560290EC">
            <w:pPr>
              <w:widowControl/>
              <w:jc w:val="center"/>
              <w:rPr>
                <w:rFonts w:ascii="仿宋_GB2312" w:hAnsi="宋体" w:eastAsia="仿宋_GB2312" w:cs="宋体"/>
                <w:b/>
                <w:color w:val="auto"/>
                <w:kern w:val="0"/>
                <w:sz w:val="21"/>
                <w:szCs w:val="21"/>
                <w:highlight w:val="none"/>
              </w:rPr>
            </w:pPr>
            <w:r>
              <w:rPr>
                <w:b/>
                <w:color w:val="auto"/>
                <w:kern w:val="0"/>
                <w:sz w:val="21"/>
                <w:szCs w:val="21"/>
                <w:highlight w:val="none"/>
              </w:rPr>
              <w:t>1000</w:t>
            </w:r>
          </w:p>
        </w:tc>
      </w:tr>
      <w:tr w14:paraId="40AF6B25">
        <w:tblPrEx>
          <w:tblCellMar>
            <w:top w:w="0" w:type="dxa"/>
            <w:left w:w="108" w:type="dxa"/>
            <w:bottom w:w="0" w:type="dxa"/>
            <w:right w:w="108" w:type="dxa"/>
          </w:tblCellMar>
        </w:tblPrEx>
        <w:trPr>
          <w:gridAfter w:val="1"/>
          <w:wAfter w:w="4" w:type="dxa"/>
          <w:trHeight w:val="765" w:hRule="atLeast"/>
        </w:trPr>
        <w:tc>
          <w:tcPr>
            <w:tcW w:w="465" w:type="dxa"/>
            <w:vMerge w:val="continue"/>
            <w:tcBorders>
              <w:top w:val="nil"/>
              <w:left w:val="single" w:color="auto" w:sz="4" w:space="0"/>
              <w:bottom w:val="single" w:color="000000" w:sz="4" w:space="0"/>
              <w:right w:val="single" w:color="auto" w:sz="4" w:space="0"/>
            </w:tcBorders>
            <w:noWrap w:val="0"/>
            <w:vAlign w:val="center"/>
          </w:tcPr>
          <w:p w14:paraId="506BA687">
            <w:pPr>
              <w:widowControl/>
              <w:jc w:val="left"/>
              <w:rPr>
                <w:b/>
                <w:color w:val="auto"/>
                <w:kern w:val="0"/>
                <w:sz w:val="21"/>
                <w:szCs w:val="21"/>
                <w:highlight w:val="none"/>
              </w:rPr>
            </w:pPr>
          </w:p>
        </w:tc>
        <w:tc>
          <w:tcPr>
            <w:tcW w:w="885" w:type="dxa"/>
            <w:gridSpan w:val="2"/>
            <w:vMerge w:val="continue"/>
            <w:tcBorders>
              <w:top w:val="nil"/>
              <w:left w:val="single" w:color="auto" w:sz="4" w:space="0"/>
              <w:bottom w:val="single" w:color="000000" w:sz="4" w:space="0"/>
              <w:right w:val="single" w:color="auto" w:sz="4" w:space="0"/>
            </w:tcBorders>
            <w:noWrap w:val="0"/>
            <w:vAlign w:val="center"/>
          </w:tcPr>
          <w:p w14:paraId="22527FA4">
            <w:pPr>
              <w:widowControl/>
              <w:jc w:val="left"/>
              <w:rPr>
                <w:b/>
                <w:color w:val="auto"/>
                <w:kern w:val="0"/>
                <w:sz w:val="21"/>
                <w:szCs w:val="21"/>
                <w:highlight w:val="none"/>
              </w:rPr>
            </w:pPr>
          </w:p>
        </w:tc>
        <w:tc>
          <w:tcPr>
            <w:tcW w:w="4935" w:type="dxa"/>
            <w:gridSpan w:val="2"/>
            <w:tcBorders>
              <w:top w:val="nil"/>
              <w:left w:val="nil"/>
              <w:bottom w:val="single" w:color="auto" w:sz="4" w:space="0"/>
              <w:right w:val="single" w:color="auto" w:sz="4" w:space="0"/>
            </w:tcBorders>
            <w:noWrap w:val="0"/>
            <w:vAlign w:val="center"/>
          </w:tcPr>
          <w:p w14:paraId="15D8195E">
            <w:pPr>
              <w:widowControl/>
              <w:jc w:val="left"/>
              <w:rPr>
                <w:b/>
                <w:color w:val="auto"/>
                <w:kern w:val="0"/>
                <w:sz w:val="21"/>
                <w:szCs w:val="21"/>
                <w:highlight w:val="none"/>
              </w:rPr>
            </w:pPr>
            <w:r>
              <w:rPr>
                <w:rFonts w:hint="eastAsia"/>
                <w:b/>
                <w:color w:val="auto"/>
                <w:kern w:val="0"/>
                <w:sz w:val="21"/>
                <w:szCs w:val="21"/>
                <w:highlight w:val="none"/>
                <w:lang w:val="en-US" w:eastAsia="zh-CN"/>
              </w:rPr>
              <w:t>6</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是否采取有效排水</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防水措施</w:t>
            </w:r>
          </w:p>
        </w:tc>
        <w:tc>
          <w:tcPr>
            <w:tcW w:w="2049" w:type="dxa"/>
            <w:gridSpan w:val="2"/>
            <w:tcBorders>
              <w:top w:val="nil"/>
              <w:left w:val="nil"/>
              <w:bottom w:val="single" w:color="auto" w:sz="4" w:space="0"/>
              <w:right w:val="single" w:color="auto" w:sz="4" w:space="0"/>
            </w:tcBorders>
            <w:noWrap w:val="0"/>
            <w:vAlign w:val="center"/>
          </w:tcPr>
          <w:p w14:paraId="2DFF3347">
            <w:pPr>
              <w:widowControl/>
              <w:jc w:val="center"/>
              <w:rPr>
                <w:rFonts w:ascii="仿宋_GB2312" w:hAnsi="宋体" w:eastAsia="仿宋_GB2312" w:cs="宋体"/>
                <w:b/>
                <w:color w:val="auto"/>
                <w:kern w:val="0"/>
                <w:sz w:val="21"/>
                <w:szCs w:val="21"/>
                <w:highlight w:val="none"/>
              </w:rPr>
            </w:pPr>
            <w:r>
              <w:rPr>
                <w:b/>
                <w:color w:val="auto"/>
                <w:kern w:val="0"/>
                <w:sz w:val="21"/>
                <w:szCs w:val="21"/>
                <w:highlight w:val="none"/>
              </w:rPr>
              <w:t>1000</w:t>
            </w:r>
          </w:p>
        </w:tc>
      </w:tr>
      <w:tr w14:paraId="2914DDBD">
        <w:tblPrEx>
          <w:tblCellMar>
            <w:top w:w="0" w:type="dxa"/>
            <w:left w:w="108" w:type="dxa"/>
            <w:bottom w:w="0" w:type="dxa"/>
            <w:right w:w="108" w:type="dxa"/>
          </w:tblCellMar>
        </w:tblPrEx>
        <w:trPr>
          <w:gridAfter w:val="1"/>
          <w:wAfter w:w="4" w:type="dxa"/>
          <w:trHeight w:val="675" w:hRule="atLeast"/>
        </w:trPr>
        <w:tc>
          <w:tcPr>
            <w:tcW w:w="465" w:type="dxa"/>
            <w:vMerge w:val="continue"/>
            <w:tcBorders>
              <w:top w:val="nil"/>
              <w:left w:val="single" w:color="auto" w:sz="4" w:space="0"/>
              <w:bottom w:val="single" w:color="000000" w:sz="4" w:space="0"/>
              <w:right w:val="single" w:color="auto" w:sz="4" w:space="0"/>
            </w:tcBorders>
            <w:noWrap w:val="0"/>
            <w:vAlign w:val="center"/>
          </w:tcPr>
          <w:p w14:paraId="74B281F6">
            <w:pPr>
              <w:widowControl/>
              <w:jc w:val="left"/>
              <w:rPr>
                <w:b/>
                <w:color w:val="auto"/>
                <w:kern w:val="0"/>
                <w:sz w:val="21"/>
                <w:szCs w:val="21"/>
                <w:highlight w:val="none"/>
              </w:rPr>
            </w:pPr>
          </w:p>
        </w:tc>
        <w:tc>
          <w:tcPr>
            <w:tcW w:w="885" w:type="dxa"/>
            <w:gridSpan w:val="2"/>
            <w:vMerge w:val="continue"/>
            <w:tcBorders>
              <w:top w:val="nil"/>
              <w:left w:val="single" w:color="auto" w:sz="4" w:space="0"/>
              <w:bottom w:val="single" w:color="000000" w:sz="4" w:space="0"/>
              <w:right w:val="single" w:color="auto" w:sz="4" w:space="0"/>
            </w:tcBorders>
            <w:noWrap w:val="0"/>
            <w:vAlign w:val="center"/>
          </w:tcPr>
          <w:p w14:paraId="10781AE8">
            <w:pPr>
              <w:widowControl/>
              <w:jc w:val="left"/>
              <w:rPr>
                <w:b/>
                <w:color w:val="auto"/>
                <w:kern w:val="0"/>
                <w:sz w:val="21"/>
                <w:szCs w:val="21"/>
                <w:highlight w:val="none"/>
              </w:rPr>
            </w:pPr>
          </w:p>
        </w:tc>
        <w:tc>
          <w:tcPr>
            <w:tcW w:w="4935" w:type="dxa"/>
            <w:gridSpan w:val="2"/>
            <w:tcBorders>
              <w:top w:val="nil"/>
              <w:left w:val="nil"/>
              <w:bottom w:val="single" w:color="auto" w:sz="4" w:space="0"/>
              <w:right w:val="single" w:color="auto" w:sz="4" w:space="0"/>
            </w:tcBorders>
            <w:noWrap w:val="0"/>
            <w:vAlign w:val="center"/>
          </w:tcPr>
          <w:p w14:paraId="771559F4">
            <w:pPr>
              <w:widowControl/>
              <w:jc w:val="left"/>
              <w:rPr>
                <w:b/>
                <w:color w:val="auto"/>
                <w:kern w:val="0"/>
                <w:sz w:val="21"/>
                <w:szCs w:val="21"/>
                <w:highlight w:val="none"/>
              </w:rPr>
            </w:pPr>
            <w:r>
              <w:rPr>
                <w:rFonts w:hint="eastAsia"/>
                <w:b/>
                <w:color w:val="auto"/>
                <w:kern w:val="0"/>
                <w:sz w:val="21"/>
                <w:szCs w:val="21"/>
                <w:highlight w:val="none"/>
                <w:lang w:val="en-US" w:eastAsia="zh-CN"/>
              </w:rPr>
              <w:t>7</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基坑防护是否到位</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是否设置安全警示标语</w:t>
            </w:r>
          </w:p>
        </w:tc>
        <w:tc>
          <w:tcPr>
            <w:tcW w:w="2049" w:type="dxa"/>
            <w:gridSpan w:val="2"/>
            <w:tcBorders>
              <w:top w:val="nil"/>
              <w:left w:val="nil"/>
              <w:bottom w:val="single" w:color="auto" w:sz="4" w:space="0"/>
              <w:right w:val="single" w:color="auto" w:sz="4" w:space="0"/>
            </w:tcBorders>
            <w:noWrap w:val="0"/>
            <w:vAlign w:val="center"/>
          </w:tcPr>
          <w:p w14:paraId="4218449D">
            <w:pPr>
              <w:widowControl/>
              <w:jc w:val="center"/>
              <w:rPr>
                <w:rFonts w:ascii="仿宋_GB2312" w:hAnsi="宋体" w:eastAsia="仿宋_GB2312" w:cs="宋体"/>
                <w:b/>
                <w:color w:val="auto"/>
                <w:kern w:val="0"/>
                <w:sz w:val="21"/>
                <w:szCs w:val="21"/>
                <w:highlight w:val="none"/>
              </w:rPr>
            </w:pPr>
            <w:r>
              <w:rPr>
                <w:b/>
                <w:color w:val="auto"/>
                <w:kern w:val="0"/>
                <w:sz w:val="21"/>
                <w:szCs w:val="21"/>
                <w:highlight w:val="none"/>
              </w:rPr>
              <w:t>1000</w:t>
            </w:r>
          </w:p>
        </w:tc>
      </w:tr>
      <w:tr w14:paraId="47987FD5">
        <w:tblPrEx>
          <w:tblCellMar>
            <w:top w:w="0" w:type="dxa"/>
            <w:left w:w="108" w:type="dxa"/>
            <w:bottom w:w="0" w:type="dxa"/>
            <w:right w:w="108" w:type="dxa"/>
          </w:tblCellMar>
        </w:tblPrEx>
        <w:trPr>
          <w:gridAfter w:val="1"/>
          <w:wAfter w:w="4" w:type="dxa"/>
          <w:trHeight w:val="525" w:hRule="atLeast"/>
        </w:trPr>
        <w:tc>
          <w:tcPr>
            <w:tcW w:w="8334" w:type="dxa"/>
            <w:gridSpan w:val="7"/>
            <w:tcBorders>
              <w:top w:val="nil"/>
              <w:left w:val="single" w:color="auto" w:sz="4" w:space="0"/>
              <w:bottom w:val="single" w:color="auto" w:sz="4" w:space="0"/>
              <w:right w:val="single" w:color="auto" w:sz="4" w:space="0"/>
            </w:tcBorders>
            <w:noWrap w:val="0"/>
            <w:vAlign w:val="center"/>
          </w:tcPr>
          <w:p w14:paraId="42355A36">
            <w:pPr>
              <w:widowControl/>
              <w:jc w:val="center"/>
              <w:rPr>
                <w:rFonts w:hint="eastAsia" w:ascii="微软雅黑" w:hAnsi="宋体" w:eastAsia="微软雅黑" w:cs="宋体"/>
                <w:b/>
                <w:color w:val="auto"/>
                <w:kern w:val="0"/>
                <w:sz w:val="44"/>
                <w:szCs w:val="44"/>
                <w:highlight w:val="none"/>
              </w:rPr>
            </w:pPr>
          </w:p>
          <w:p w14:paraId="0A738AA9">
            <w:pPr>
              <w:widowControl/>
              <w:jc w:val="center"/>
              <w:rPr>
                <w:b/>
                <w:color w:val="auto"/>
                <w:kern w:val="0"/>
                <w:sz w:val="21"/>
                <w:szCs w:val="21"/>
                <w:highlight w:val="none"/>
              </w:rPr>
            </w:pPr>
            <w:r>
              <w:rPr>
                <w:rFonts w:hint="eastAsia" w:ascii="微软雅黑" w:hAnsi="宋体" w:eastAsia="微软雅黑" w:cs="宋体"/>
                <w:b/>
                <w:color w:val="auto"/>
                <w:kern w:val="0"/>
                <w:sz w:val="44"/>
                <w:szCs w:val="44"/>
                <w:highlight w:val="none"/>
              </w:rPr>
              <w:t>施工单位履责行为质量安全检查违约标准</w:t>
            </w:r>
          </w:p>
        </w:tc>
      </w:tr>
      <w:tr w14:paraId="42DE16B0">
        <w:tblPrEx>
          <w:tblCellMar>
            <w:top w:w="0" w:type="dxa"/>
            <w:left w:w="108" w:type="dxa"/>
            <w:bottom w:w="0" w:type="dxa"/>
            <w:right w:w="108" w:type="dxa"/>
          </w:tblCellMar>
        </w:tblPrEx>
        <w:trPr>
          <w:gridAfter w:val="1"/>
          <w:wAfter w:w="4" w:type="dxa"/>
          <w:trHeight w:val="390" w:hRule="atLeast"/>
        </w:trPr>
        <w:tc>
          <w:tcPr>
            <w:tcW w:w="510" w:type="dxa"/>
            <w:gridSpan w:val="2"/>
            <w:tcBorders>
              <w:top w:val="nil"/>
              <w:left w:val="single" w:color="auto" w:sz="4" w:space="0"/>
              <w:bottom w:val="single" w:color="auto" w:sz="4" w:space="0"/>
              <w:right w:val="single" w:color="auto" w:sz="4" w:space="0"/>
            </w:tcBorders>
            <w:noWrap w:val="0"/>
            <w:vAlign w:val="center"/>
          </w:tcPr>
          <w:p w14:paraId="7678B707">
            <w:pPr>
              <w:widowControl/>
              <w:jc w:val="center"/>
              <w:rPr>
                <w:b/>
                <w:color w:val="auto"/>
                <w:kern w:val="0"/>
                <w:sz w:val="21"/>
                <w:szCs w:val="21"/>
                <w:highlight w:val="none"/>
              </w:rPr>
            </w:pPr>
            <w:r>
              <w:rPr>
                <w:rFonts w:hint="eastAsia" w:ascii="宋体" w:hAnsi="宋体" w:cs="宋体"/>
                <w:b/>
                <w:color w:val="auto"/>
                <w:kern w:val="0"/>
                <w:sz w:val="21"/>
                <w:szCs w:val="21"/>
                <w:highlight w:val="none"/>
              </w:rPr>
              <w:t>序号</w:t>
            </w:r>
          </w:p>
        </w:tc>
        <w:tc>
          <w:tcPr>
            <w:tcW w:w="990" w:type="dxa"/>
            <w:gridSpan w:val="2"/>
            <w:tcBorders>
              <w:top w:val="nil"/>
              <w:left w:val="single" w:color="auto" w:sz="4" w:space="0"/>
              <w:bottom w:val="single" w:color="000000" w:sz="4" w:space="0"/>
              <w:right w:val="single" w:color="auto" w:sz="4" w:space="0"/>
            </w:tcBorders>
            <w:noWrap w:val="0"/>
            <w:vAlign w:val="center"/>
          </w:tcPr>
          <w:p w14:paraId="69E15E25">
            <w:pPr>
              <w:widowControl/>
              <w:jc w:val="center"/>
              <w:rPr>
                <w:b/>
                <w:color w:val="auto"/>
                <w:kern w:val="0"/>
                <w:sz w:val="21"/>
                <w:szCs w:val="21"/>
                <w:highlight w:val="none"/>
              </w:rPr>
            </w:pPr>
            <w:r>
              <w:rPr>
                <w:rFonts w:hint="eastAsia" w:ascii="宋体" w:hAnsi="宋体" w:cs="宋体"/>
                <w:b/>
                <w:color w:val="auto"/>
                <w:kern w:val="0"/>
                <w:sz w:val="21"/>
                <w:szCs w:val="21"/>
                <w:highlight w:val="none"/>
              </w:rPr>
              <w:t>检查项目</w:t>
            </w:r>
          </w:p>
        </w:tc>
        <w:tc>
          <w:tcPr>
            <w:tcW w:w="5746" w:type="dxa"/>
            <w:gridSpan w:val="2"/>
            <w:tcBorders>
              <w:top w:val="nil"/>
              <w:left w:val="nil"/>
              <w:bottom w:val="single" w:color="auto" w:sz="4" w:space="0"/>
              <w:right w:val="single" w:color="auto" w:sz="4" w:space="0"/>
            </w:tcBorders>
            <w:noWrap w:val="0"/>
            <w:vAlign w:val="center"/>
          </w:tcPr>
          <w:p w14:paraId="0718EA7A">
            <w:pPr>
              <w:widowControl/>
              <w:jc w:val="center"/>
              <w:rPr>
                <w:b/>
                <w:color w:val="auto"/>
                <w:kern w:val="0"/>
                <w:sz w:val="21"/>
                <w:szCs w:val="21"/>
                <w:highlight w:val="none"/>
              </w:rPr>
            </w:pPr>
            <w:r>
              <w:rPr>
                <w:rFonts w:hint="eastAsia" w:ascii="宋体" w:hAnsi="宋体" w:cs="宋体"/>
                <w:b/>
                <w:color w:val="auto"/>
                <w:kern w:val="0"/>
                <w:sz w:val="21"/>
                <w:szCs w:val="21"/>
                <w:highlight w:val="none"/>
              </w:rPr>
              <w:t>检查内容</w:t>
            </w:r>
          </w:p>
        </w:tc>
        <w:tc>
          <w:tcPr>
            <w:tcW w:w="1088" w:type="dxa"/>
            <w:tcBorders>
              <w:top w:val="nil"/>
              <w:left w:val="nil"/>
              <w:bottom w:val="single" w:color="auto" w:sz="4" w:space="0"/>
              <w:right w:val="single" w:color="auto" w:sz="4" w:space="0"/>
            </w:tcBorders>
            <w:noWrap w:val="0"/>
            <w:vAlign w:val="center"/>
          </w:tcPr>
          <w:p w14:paraId="035D0B02">
            <w:pPr>
              <w:widowControl/>
              <w:jc w:val="center"/>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rPr>
              <w:t>违约金</w:t>
            </w:r>
          </w:p>
          <w:p w14:paraId="036B8816">
            <w:pPr>
              <w:widowControl/>
              <w:jc w:val="center"/>
              <w:rPr>
                <w:b/>
                <w:color w:val="auto"/>
                <w:kern w:val="0"/>
                <w:sz w:val="21"/>
                <w:szCs w:val="21"/>
                <w:highlight w:val="none"/>
              </w:rPr>
            </w:pPr>
            <w:r>
              <w:rPr>
                <w:rFonts w:hint="eastAsia" w:ascii="仿宋_GB2312" w:hAnsi="宋体" w:eastAsia="仿宋_GB2312" w:cs="宋体"/>
                <w:b/>
                <w:color w:val="auto"/>
                <w:kern w:val="0"/>
                <w:sz w:val="21"/>
                <w:szCs w:val="21"/>
                <w:highlight w:val="none"/>
              </w:rPr>
              <w:t>（</w:t>
            </w:r>
            <w:r>
              <w:rPr>
                <w:rFonts w:hint="eastAsia" w:ascii="宋体" w:hAnsi="宋体" w:cs="宋体"/>
                <w:b/>
                <w:color w:val="auto"/>
                <w:kern w:val="0"/>
                <w:sz w:val="21"/>
                <w:szCs w:val="21"/>
                <w:highlight w:val="none"/>
              </w:rPr>
              <w:t>元</w:t>
            </w:r>
            <w:r>
              <w:rPr>
                <w:rFonts w:eastAsia="仿宋_GB2312"/>
                <w:b/>
                <w:color w:val="auto"/>
                <w:kern w:val="0"/>
                <w:sz w:val="21"/>
                <w:szCs w:val="21"/>
                <w:highlight w:val="none"/>
              </w:rPr>
              <w:t>/</w:t>
            </w:r>
            <w:r>
              <w:rPr>
                <w:rFonts w:hint="eastAsia" w:ascii="宋体" w:hAnsi="宋体" w:cs="宋体"/>
                <w:b/>
                <w:color w:val="auto"/>
                <w:kern w:val="0"/>
                <w:sz w:val="21"/>
                <w:szCs w:val="21"/>
                <w:highlight w:val="none"/>
              </w:rPr>
              <w:t>条</w:t>
            </w:r>
            <w:r>
              <w:rPr>
                <w:rFonts w:eastAsia="仿宋_GB2312"/>
                <w:b/>
                <w:color w:val="auto"/>
                <w:kern w:val="0"/>
                <w:sz w:val="21"/>
                <w:szCs w:val="21"/>
                <w:highlight w:val="none"/>
              </w:rPr>
              <w:t>.</w:t>
            </w:r>
            <w:r>
              <w:rPr>
                <w:rFonts w:hint="eastAsia" w:ascii="宋体" w:hAnsi="宋体" w:cs="宋体"/>
                <w:b/>
                <w:color w:val="auto"/>
                <w:kern w:val="0"/>
                <w:sz w:val="21"/>
                <w:szCs w:val="21"/>
                <w:highlight w:val="none"/>
              </w:rPr>
              <w:t>支付</w:t>
            </w:r>
            <w:r>
              <w:rPr>
                <w:rFonts w:hint="eastAsia" w:ascii="Malgun Gothic Semilight" w:hAnsi="Malgun Gothic Semilight" w:eastAsia="Malgun Gothic Semilight" w:cs="Malgun Gothic Semilight"/>
                <w:b/>
                <w:color w:val="auto"/>
                <w:kern w:val="0"/>
                <w:sz w:val="21"/>
                <w:szCs w:val="21"/>
                <w:highlight w:val="none"/>
              </w:rPr>
              <w:t>）</w:t>
            </w:r>
          </w:p>
        </w:tc>
      </w:tr>
      <w:tr w14:paraId="53F40935">
        <w:tblPrEx>
          <w:tblCellMar>
            <w:top w:w="0" w:type="dxa"/>
            <w:left w:w="108" w:type="dxa"/>
            <w:bottom w:w="0" w:type="dxa"/>
            <w:right w:w="108" w:type="dxa"/>
          </w:tblCellMar>
        </w:tblPrEx>
        <w:trPr>
          <w:gridAfter w:val="1"/>
          <w:wAfter w:w="4" w:type="dxa"/>
          <w:trHeight w:val="855" w:hRule="atLeast"/>
        </w:trPr>
        <w:tc>
          <w:tcPr>
            <w:tcW w:w="510" w:type="dxa"/>
            <w:gridSpan w:val="2"/>
            <w:vMerge w:val="restart"/>
            <w:tcBorders>
              <w:top w:val="nil"/>
              <w:left w:val="single" w:color="auto" w:sz="4" w:space="0"/>
              <w:bottom w:val="single" w:color="auto" w:sz="4" w:space="0"/>
              <w:right w:val="single" w:color="auto" w:sz="4" w:space="0"/>
            </w:tcBorders>
            <w:noWrap w:val="0"/>
            <w:vAlign w:val="center"/>
          </w:tcPr>
          <w:p w14:paraId="068B48B3">
            <w:pPr>
              <w:widowControl/>
              <w:jc w:val="center"/>
              <w:rPr>
                <w:b/>
                <w:color w:val="auto"/>
                <w:kern w:val="0"/>
                <w:sz w:val="21"/>
                <w:szCs w:val="21"/>
                <w:highlight w:val="none"/>
              </w:rPr>
            </w:pPr>
            <w:r>
              <w:rPr>
                <w:b/>
                <w:color w:val="auto"/>
                <w:kern w:val="0"/>
                <w:sz w:val="21"/>
                <w:szCs w:val="21"/>
                <w:highlight w:val="none"/>
              </w:rPr>
              <w:t>1</w:t>
            </w:r>
          </w:p>
        </w:tc>
        <w:tc>
          <w:tcPr>
            <w:tcW w:w="990" w:type="dxa"/>
            <w:gridSpan w:val="2"/>
            <w:vMerge w:val="restart"/>
            <w:tcBorders>
              <w:top w:val="nil"/>
              <w:left w:val="single" w:color="auto" w:sz="4" w:space="0"/>
              <w:bottom w:val="single" w:color="000000" w:sz="4" w:space="0"/>
              <w:right w:val="single" w:color="auto" w:sz="4" w:space="0"/>
            </w:tcBorders>
            <w:noWrap w:val="0"/>
            <w:vAlign w:val="center"/>
          </w:tcPr>
          <w:p w14:paraId="2B1B7957">
            <w:pPr>
              <w:widowControl/>
              <w:jc w:val="center"/>
              <w:rPr>
                <w:b/>
                <w:color w:val="auto"/>
                <w:kern w:val="0"/>
                <w:sz w:val="21"/>
                <w:szCs w:val="21"/>
                <w:highlight w:val="none"/>
              </w:rPr>
            </w:pPr>
            <w:r>
              <w:rPr>
                <w:b/>
                <w:color w:val="auto"/>
                <w:kern w:val="0"/>
                <w:sz w:val="21"/>
                <w:szCs w:val="21"/>
                <w:highlight w:val="none"/>
              </w:rPr>
              <w:t>组织机构</w:t>
            </w:r>
          </w:p>
        </w:tc>
        <w:tc>
          <w:tcPr>
            <w:tcW w:w="5746" w:type="dxa"/>
            <w:gridSpan w:val="2"/>
            <w:tcBorders>
              <w:top w:val="nil"/>
              <w:left w:val="nil"/>
              <w:bottom w:val="single" w:color="auto" w:sz="4" w:space="0"/>
              <w:right w:val="single" w:color="auto" w:sz="4" w:space="0"/>
            </w:tcBorders>
            <w:noWrap w:val="0"/>
            <w:vAlign w:val="center"/>
          </w:tcPr>
          <w:p w14:paraId="485DF551">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项目经理</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技术负责人</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项目部</w:t>
            </w:r>
            <w:r>
              <w:rPr>
                <w:b/>
                <w:color w:val="auto"/>
                <w:kern w:val="0"/>
                <w:sz w:val="21"/>
                <w:szCs w:val="21"/>
                <w:highlight w:val="none"/>
              </w:rPr>
              <w:t>“</w:t>
            </w:r>
            <w:r>
              <w:rPr>
                <w:rFonts w:hint="eastAsia" w:ascii="宋体" w:hAnsi="宋体" w:cs="宋体"/>
                <w:b/>
                <w:color w:val="auto"/>
                <w:kern w:val="0"/>
                <w:sz w:val="21"/>
                <w:szCs w:val="21"/>
                <w:highlight w:val="none"/>
              </w:rPr>
              <w:t>五大员</w:t>
            </w:r>
            <w:r>
              <w:rPr>
                <w:b/>
                <w:color w:val="auto"/>
                <w:kern w:val="0"/>
                <w:sz w:val="21"/>
                <w:szCs w:val="21"/>
                <w:highlight w:val="none"/>
              </w:rPr>
              <w:t>”</w:t>
            </w:r>
            <w:r>
              <w:rPr>
                <w:rFonts w:hint="eastAsia" w:ascii="宋体" w:hAnsi="宋体" w:cs="宋体"/>
                <w:b/>
                <w:color w:val="auto"/>
                <w:kern w:val="0"/>
                <w:sz w:val="21"/>
                <w:szCs w:val="21"/>
                <w:highlight w:val="none"/>
              </w:rPr>
              <w:t>等人员与投标文件是否相符</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是否在岗履责</w:t>
            </w:r>
          </w:p>
        </w:tc>
        <w:tc>
          <w:tcPr>
            <w:tcW w:w="1088" w:type="dxa"/>
            <w:vMerge w:val="restart"/>
            <w:tcBorders>
              <w:top w:val="nil"/>
              <w:left w:val="nil"/>
              <w:bottom w:val="single" w:color="auto" w:sz="4" w:space="0"/>
              <w:right w:val="single" w:color="auto" w:sz="4" w:space="0"/>
            </w:tcBorders>
            <w:noWrap w:val="0"/>
            <w:vAlign w:val="center"/>
          </w:tcPr>
          <w:p w14:paraId="5DD7E9D0">
            <w:pPr>
              <w:widowControl/>
              <w:jc w:val="center"/>
              <w:rPr>
                <w:b/>
                <w:color w:val="auto"/>
                <w:kern w:val="0"/>
                <w:sz w:val="21"/>
                <w:szCs w:val="21"/>
                <w:highlight w:val="none"/>
              </w:rPr>
            </w:pPr>
            <w:r>
              <w:rPr>
                <w:rFonts w:hint="eastAsia" w:ascii="宋体" w:hAnsi="宋体" w:cs="宋体"/>
                <w:b/>
                <w:color w:val="auto"/>
                <w:kern w:val="0"/>
                <w:sz w:val="21"/>
                <w:szCs w:val="21"/>
                <w:highlight w:val="none"/>
              </w:rPr>
              <w:t>按合同文件执行</w:t>
            </w:r>
          </w:p>
        </w:tc>
      </w:tr>
      <w:tr w14:paraId="26175E29">
        <w:tblPrEx>
          <w:tblCellMar>
            <w:top w:w="0" w:type="dxa"/>
            <w:left w:w="108" w:type="dxa"/>
            <w:bottom w:w="0" w:type="dxa"/>
            <w:right w:w="108" w:type="dxa"/>
          </w:tblCellMar>
        </w:tblPrEx>
        <w:trPr>
          <w:gridAfter w:val="1"/>
          <w:wAfter w:w="4" w:type="dxa"/>
          <w:trHeight w:val="615"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6DD7FA83">
            <w:pPr>
              <w:widowControl/>
              <w:jc w:val="left"/>
              <w:rPr>
                <w:b/>
                <w:color w:val="auto"/>
                <w:kern w:val="0"/>
                <w:sz w:val="21"/>
                <w:szCs w:val="21"/>
                <w:highlight w:val="none"/>
              </w:rPr>
            </w:pPr>
          </w:p>
        </w:tc>
        <w:tc>
          <w:tcPr>
            <w:tcW w:w="990" w:type="dxa"/>
            <w:gridSpan w:val="2"/>
            <w:vMerge w:val="continue"/>
            <w:tcBorders>
              <w:top w:val="nil"/>
              <w:left w:val="single" w:color="auto" w:sz="4" w:space="0"/>
              <w:bottom w:val="single" w:color="000000" w:sz="4" w:space="0"/>
              <w:right w:val="single" w:color="auto" w:sz="4" w:space="0"/>
            </w:tcBorders>
            <w:noWrap w:val="0"/>
            <w:vAlign w:val="center"/>
          </w:tcPr>
          <w:p w14:paraId="5790A59C">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4E9D8AF8">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项目经理等主要管理人员变更</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是否经业主同意批准</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或变更手续是否完善</w:t>
            </w:r>
          </w:p>
        </w:tc>
        <w:tc>
          <w:tcPr>
            <w:tcW w:w="1088" w:type="dxa"/>
            <w:vMerge w:val="continue"/>
            <w:tcBorders>
              <w:top w:val="nil"/>
              <w:left w:val="nil"/>
              <w:bottom w:val="single" w:color="auto" w:sz="4" w:space="0"/>
              <w:right w:val="single" w:color="auto" w:sz="4" w:space="0"/>
            </w:tcBorders>
            <w:noWrap w:val="0"/>
            <w:vAlign w:val="center"/>
          </w:tcPr>
          <w:p w14:paraId="1CD7472A">
            <w:pPr>
              <w:widowControl/>
              <w:jc w:val="left"/>
              <w:rPr>
                <w:b/>
                <w:color w:val="auto"/>
                <w:kern w:val="0"/>
                <w:sz w:val="21"/>
                <w:szCs w:val="21"/>
                <w:highlight w:val="none"/>
              </w:rPr>
            </w:pPr>
          </w:p>
        </w:tc>
      </w:tr>
      <w:tr w14:paraId="17518156">
        <w:tblPrEx>
          <w:tblCellMar>
            <w:top w:w="0" w:type="dxa"/>
            <w:left w:w="108" w:type="dxa"/>
            <w:bottom w:w="0" w:type="dxa"/>
            <w:right w:w="108" w:type="dxa"/>
          </w:tblCellMar>
        </w:tblPrEx>
        <w:trPr>
          <w:gridAfter w:val="1"/>
          <w:wAfter w:w="4" w:type="dxa"/>
          <w:trHeight w:val="480" w:hRule="atLeast"/>
        </w:trPr>
        <w:tc>
          <w:tcPr>
            <w:tcW w:w="510" w:type="dxa"/>
            <w:gridSpan w:val="2"/>
            <w:vMerge w:val="restart"/>
            <w:tcBorders>
              <w:top w:val="nil"/>
              <w:left w:val="single" w:color="auto" w:sz="4" w:space="0"/>
              <w:bottom w:val="single" w:color="auto" w:sz="4" w:space="0"/>
              <w:right w:val="single" w:color="auto" w:sz="4" w:space="0"/>
            </w:tcBorders>
            <w:noWrap w:val="0"/>
            <w:vAlign w:val="center"/>
          </w:tcPr>
          <w:p w14:paraId="55E64CF5">
            <w:pPr>
              <w:widowControl/>
              <w:jc w:val="center"/>
              <w:rPr>
                <w:b/>
                <w:color w:val="auto"/>
                <w:kern w:val="0"/>
                <w:sz w:val="21"/>
                <w:szCs w:val="21"/>
                <w:highlight w:val="none"/>
              </w:rPr>
            </w:pPr>
            <w:r>
              <w:rPr>
                <w:b/>
                <w:color w:val="auto"/>
                <w:kern w:val="0"/>
                <w:sz w:val="21"/>
                <w:szCs w:val="21"/>
                <w:highlight w:val="none"/>
              </w:rPr>
              <w:t>2</w:t>
            </w:r>
          </w:p>
        </w:tc>
        <w:tc>
          <w:tcPr>
            <w:tcW w:w="990" w:type="dxa"/>
            <w:gridSpan w:val="2"/>
            <w:vMerge w:val="restart"/>
            <w:tcBorders>
              <w:top w:val="nil"/>
              <w:left w:val="single" w:color="auto" w:sz="4" w:space="0"/>
              <w:bottom w:val="single" w:color="000000" w:sz="4" w:space="0"/>
              <w:right w:val="single" w:color="auto" w:sz="4" w:space="0"/>
            </w:tcBorders>
            <w:noWrap w:val="0"/>
            <w:vAlign w:val="center"/>
          </w:tcPr>
          <w:p w14:paraId="27A0DB9F">
            <w:pPr>
              <w:widowControl/>
              <w:jc w:val="center"/>
              <w:rPr>
                <w:b/>
                <w:color w:val="auto"/>
                <w:kern w:val="0"/>
                <w:sz w:val="21"/>
                <w:szCs w:val="21"/>
                <w:highlight w:val="none"/>
              </w:rPr>
            </w:pPr>
            <w:r>
              <w:rPr>
                <w:b/>
                <w:color w:val="auto"/>
                <w:kern w:val="0"/>
                <w:sz w:val="21"/>
                <w:szCs w:val="21"/>
                <w:highlight w:val="none"/>
              </w:rPr>
              <w:t>管理制度</w:t>
            </w:r>
          </w:p>
        </w:tc>
        <w:tc>
          <w:tcPr>
            <w:tcW w:w="5746" w:type="dxa"/>
            <w:gridSpan w:val="2"/>
            <w:tcBorders>
              <w:top w:val="nil"/>
              <w:left w:val="nil"/>
              <w:bottom w:val="single" w:color="auto" w:sz="4" w:space="0"/>
              <w:right w:val="single" w:color="auto" w:sz="4" w:space="0"/>
            </w:tcBorders>
            <w:noWrap w:val="0"/>
            <w:vAlign w:val="center"/>
          </w:tcPr>
          <w:p w14:paraId="092E45F0">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项目部质量安全体系是否建立健全</w:t>
            </w:r>
          </w:p>
        </w:tc>
        <w:tc>
          <w:tcPr>
            <w:tcW w:w="1088" w:type="dxa"/>
            <w:tcBorders>
              <w:top w:val="nil"/>
              <w:left w:val="nil"/>
              <w:bottom w:val="single" w:color="auto" w:sz="4" w:space="0"/>
              <w:right w:val="single" w:color="auto" w:sz="4" w:space="0"/>
            </w:tcBorders>
            <w:noWrap w:val="0"/>
            <w:vAlign w:val="center"/>
          </w:tcPr>
          <w:p w14:paraId="4D0D8728">
            <w:pPr>
              <w:widowControl/>
              <w:jc w:val="center"/>
              <w:rPr>
                <w:b/>
                <w:color w:val="auto"/>
                <w:kern w:val="0"/>
                <w:sz w:val="21"/>
                <w:szCs w:val="21"/>
                <w:highlight w:val="none"/>
              </w:rPr>
            </w:pPr>
            <w:r>
              <w:rPr>
                <w:b/>
                <w:color w:val="auto"/>
                <w:kern w:val="0"/>
                <w:sz w:val="21"/>
                <w:szCs w:val="21"/>
                <w:highlight w:val="none"/>
              </w:rPr>
              <w:t>5000</w:t>
            </w:r>
          </w:p>
        </w:tc>
      </w:tr>
      <w:tr w14:paraId="5F01DC1F">
        <w:tblPrEx>
          <w:tblCellMar>
            <w:top w:w="0" w:type="dxa"/>
            <w:left w:w="108" w:type="dxa"/>
            <w:bottom w:w="0" w:type="dxa"/>
            <w:right w:w="108" w:type="dxa"/>
          </w:tblCellMar>
        </w:tblPrEx>
        <w:trPr>
          <w:gridAfter w:val="1"/>
          <w:wAfter w:w="4" w:type="dxa"/>
          <w:trHeight w:val="435"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7FDB51EE">
            <w:pPr>
              <w:widowControl/>
              <w:jc w:val="left"/>
              <w:rPr>
                <w:b/>
                <w:color w:val="auto"/>
                <w:kern w:val="0"/>
                <w:sz w:val="21"/>
                <w:szCs w:val="21"/>
                <w:highlight w:val="none"/>
              </w:rPr>
            </w:pPr>
          </w:p>
        </w:tc>
        <w:tc>
          <w:tcPr>
            <w:tcW w:w="990" w:type="dxa"/>
            <w:gridSpan w:val="2"/>
            <w:vMerge w:val="continue"/>
            <w:tcBorders>
              <w:top w:val="nil"/>
              <w:left w:val="single" w:color="auto" w:sz="4" w:space="0"/>
              <w:bottom w:val="single" w:color="000000" w:sz="4" w:space="0"/>
              <w:right w:val="single" w:color="auto" w:sz="4" w:space="0"/>
            </w:tcBorders>
            <w:noWrap w:val="0"/>
            <w:vAlign w:val="center"/>
          </w:tcPr>
          <w:p w14:paraId="5392722C">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2A965A1D">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各类规章制度是否建立</w:t>
            </w:r>
          </w:p>
        </w:tc>
        <w:tc>
          <w:tcPr>
            <w:tcW w:w="1088" w:type="dxa"/>
            <w:tcBorders>
              <w:top w:val="nil"/>
              <w:left w:val="nil"/>
              <w:bottom w:val="single" w:color="auto" w:sz="4" w:space="0"/>
              <w:right w:val="single" w:color="auto" w:sz="4" w:space="0"/>
            </w:tcBorders>
            <w:noWrap w:val="0"/>
            <w:vAlign w:val="center"/>
          </w:tcPr>
          <w:p w14:paraId="484454B7">
            <w:pPr>
              <w:widowControl/>
              <w:jc w:val="center"/>
              <w:rPr>
                <w:b/>
                <w:color w:val="auto"/>
                <w:kern w:val="0"/>
                <w:sz w:val="21"/>
                <w:szCs w:val="21"/>
                <w:highlight w:val="none"/>
              </w:rPr>
            </w:pPr>
            <w:r>
              <w:rPr>
                <w:b/>
                <w:color w:val="auto"/>
                <w:kern w:val="0"/>
                <w:sz w:val="21"/>
                <w:szCs w:val="21"/>
                <w:highlight w:val="none"/>
              </w:rPr>
              <w:t>2000</w:t>
            </w:r>
          </w:p>
        </w:tc>
      </w:tr>
      <w:tr w14:paraId="2E32CD58">
        <w:tblPrEx>
          <w:tblCellMar>
            <w:top w:w="0" w:type="dxa"/>
            <w:left w:w="108" w:type="dxa"/>
            <w:bottom w:w="0" w:type="dxa"/>
            <w:right w:w="108" w:type="dxa"/>
          </w:tblCellMar>
        </w:tblPrEx>
        <w:trPr>
          <w:gridAfter w:val="1"/>
          <w:wAfter w:w="4" w:type="dxa"/>
          <w:trHeight w:val="435"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6813C663">
            <w:pPr>
              <w:widowControl/>
              <w:jc w:val="left"/>
              <w:rPr>
                <w:b/>
                <w:color w:val="auto"/>
                <w:kern w:val="0"/>
                <w:sz w:val="21"/>
                <w:szCs w:val="21"/>
                <w:highlight w:val="none"/>
              </w:rPr>
            </w:pPr>
          </w:p>
        </w:tc>
        <w:tc>
          <w:tcPr>
            <w:tcW w:w="990" w:type="dxa"/>
            <w:gridSpan w:val="2"/>
            <w:vMerge w:val="continue"/>
            <w:tcBorders>
              <w:top w:val="nil"/>
              <w:left w:val="single" w:color="auto" w:sz="4" w:space="0"/>
              <w:bottom w:val="single" w:color="000000" w:sz="4" w:space="0"/>
              <w:right w:val="single" w:color="auto" w:sz="4" w:space="0"/>
            </w:tcBorders>
            <w:noWrap w:val="0"/>
            <w:vAlign w:val="center"/>
          </w:tcPr>
          <w:p w14:paraId="5A873C8F">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358E8FD0">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施工企业是否定期对项目部检查</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是否在重大节假日及停复工时期进行检查</w:t>
            </w:r>
          </w:p>
        </w:tc>
        <w:tc>
          <w:tcPr>
            <w:tcW w:w="1088" w:type="dxa"/>
            <w:tcBorders>
              <w:top w:val="nil"/>
              <w:left w:val="nil"/>
              <w:bottom w:val="single" w:color="auto" w:sz="4" w:space="0"/>
              <w:right w:val="single" w:color="auto" w:sz="4" w:space="0"/>
            </w:tcBorders>
            <w:noWrap w:val="0"/>
            <w:vAlign w:val="center"/>
          </w:tcPr>
          <w:p w14:paraId="2462821B">
            <w:pPr>
              <w:widowControl/>
              <w:jc w:val="center"/>
              <w:rPr>
                <w:b/>
                <w:color w:val="auto"/>
                <w:kern w:val="0"/>
                <w:sz w:val="21"/>
                <w:szCs w:val="21"/>
                <w:highlight w:val="none"/>
              </w:rPr>
            </w:pPr>
            <w:r>
              <w:rPr>
                <w:b/>
                <w:color w:val="auto"/>
                <w:kern w:val="0"/>
                <w:sz w:val="21"/>
                <w:szCs w:val="21"/>
                <w:highlight w:val="none"/>
              </w:rPr>
              <w:t>5000</w:t>
            </w:r>
          </w:p>
        </w:tc>
      </w:tr>
      <w:tr w14:paraId="54955C4E">
        <w:tblPrEx>
          <w:tblCellMar>
            <w:top w:w="0" w:type="dxa"/>
            <w:left w:w="108" w:type="dxa"/>
            <w:bottom w:w="0" w:type="dxa"/>
            <w:right w:w="108" w:type="dxa"/>
          </w:tblCellMar>
        </w:tblPrEx>
        <w:trPr>
          <w:gridAfter w:val="1"/>
          <w:wAfter w:w="4" w:type="dxa"/>
          <w:trHeight w:val="420" w:hRule="atLeast"/>
        </w:trPr>
        <w:tc>
          <w:tcPr>
            <w:tcW w:w="510" w:type="dxa"/>
            <w:gridSpan w:val="2"/>
            <w:vMerge w:val="restart"/>
            <w:tcBorders>
              <w:top w:val="nil"/>
              <w:left w:val="single" w:color="auto" w:sz="4" w:space="0"/>
              <w:bottom w:val="single" w:color="auto" w:sz="4" w:space="0"/>
              <w:right w:val="single" w:color="auto" w:sz="4" w:space="0"/>
            </w:tcBorders>
            <w:noWrap w:val="0"/>
            <w:vAlign w:val="center"/>
          </w:tcPr>
          <w:p w14:paraId="0F751DDB">
            <w:pPr>
              <w:widowControl/>
              <w:jc w:val="center"/>
              <w:rPr>
                <w:b/>
                <w:color w:val="auto"/>
                <w:kern w:val="0"/>
                <w:sz w:val="21"/>
                <w:szCs w:val="21"/>
                <w:highlight w:val="none"/>
              </w:rPr>
            </w:pPr>
            <w:r>
              <w:rPr>
                <w:b/>
                <w:color w:val="auto"/>
                <w:kern w:val="0"/>
                <w:sz w:val="21"/>
                <w:szCs w:val="21"/>
                <w:highlight w:val="none"/>
              </w:rPr>
              <w:t>3</w:t>
            </w:r>
          </w:p>
        </w:tc>
        <w:tc>
          <w:tcPr>
            <w:tcW w:w="990" w:type="dxa"/>
            <w:gridSpan w:val="2"/>
            <w:vMerge w:val="restart"/>
            <w:tcBorders>
              <w:top w:val="nil"/>
              <w:left w:val="single" w:color="auto" w:sz="4" w:space="0"/>
              <w:bottom w:val="single" w:color="000000" w:sz="4" w:space="0"/>
              <w:right w:val="single" w:color="auto" w:sz="4" w:space="0"/>
            </w:tcBorders>
            <w:noWrap w:val="0"/>
            <w:vAlign w:val="center"/>
          </w:tcPr>
          <w:p w14:paraId="04568F82">
            <w:pPr>
              <w:widowControl/>
              <w:jc w:val="center"/>
              <w:rPr>
                <w:b/>
                <w:color w:val="auto"/>
                <w:kern w:val="0"/>
                <w:sz w:val="21"/>
                <w:szCs w:val="21"/>
                <w:highlight w:val="none"/>
              </w:rPr>
            </w:pPr>
            <w:r>
              <w:rPr>
                <w:b/>
                <w:color w:val="auto"/>
                <w:kern w:val="0"/>
                <w:sz w:val="21"/>
                <w:szCs w:val="21"/>
                <w:highlight w:val="none"/>
              </w:rPr>
              <w:t>技术准备</w:t>
            </w:r>
          </w:p>
        </w:tc>
        <w:tc>
          <w:tcPr>
            <w:tcW w:w="5746" w:type="dxa"/>
            <w:gridSpan w:val="2"/>
            <w:tcBorders>
              <w:top w:val="nil"/>
              <w:left w:val="nil"/>
              <w:bottom w:val="single" w:color="auto" w:sz="4" w:space="0"/>
              <w:right w:val="single" w:color="auto" w:sz="4" w:space="0"/>
            </w:tcBorders>
            <w:noWrap w:val="0"/>
            <w:vAlign w:val="center"/>
          </w:tcPr>
          <w:p w14:paraId="281F1569">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是否及时编制施工组织设计</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专项施工方案</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是否及时报监理单位审核</w:t>
            </w:r>
          </w:p>
        </w:tc>
        <w:tc>
          <w:tcPr>
            <w:tcW w:w="1088" w:type="dxa"/>
            <w:tcBorders>
              <w:top w:val="nil"/>
              <w:left w:val="nil"/>
              <w:bottom w:val="single" w:color="auto" w:sz="4" w:space="0"/>
              <w:right w:val="single" w:color="auto" w:sz="4" w:space="0"/>
            </w:tcBorders>
            <w:noWrap w:val="0"/>
            <w:vAlign w:val="center"/>
          </w:tcPr>
          <w:p w14:paraId="26DDDB1E">
            <w:pPr>
              <w:widowControl/>
              <w:jc w:val="center"/>
              <w:rPr>
                <w:b/>
                <w:color w:val="auto"/>
                <w:kern w:val="0"/>
                <w:sz w:val="21"/>
                <w:szCs w:val="21"/>
                <w:highlight w:val="none"/>
              </w:rPr>
            </w:pPr>
            <w:r>
              <w:rPr>
                <w:b/>
                <w:color w:val="auto"/>
                <w:kern w:val="0"/>
                <w:sz w:val="21"/>
                <w:szCs w:val="21"/>
                <w:highlight w:val="none"/>
              </w:rPr>
              <w:t>1000</w:t>
            </w:r>
          </w:p>
        </w:tc>
      </w:tr>
      <w:tr w14:paraId="40694BB8">
        <w:tblPrEx>
          <w:tblCellMar>
            <w:top w:w="0" w:type="dxa"/>
            <w:left w:w="108" w:type="dxa"/>
            <w:bottom w:w="0" w:type="dxa"/>
            <w:right w:w="108" w:type="dxa"/>
          </w:tblCellMar>
        </w:tblPrEx>
        <w:trPr>
          <w:gridAfter w:val="1"/>
          <w:wAfter w:w="4" w:type="dxa"/>
          <w:trHeight w:val="450"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31B9F760">
            <w:pPr>
              <w:widowControl/>
              <w:jc w:val="left"/>
              <w:rPr>
                <w:b/>
                <w:color w:val="auto"/>
                <w:kern w:val="0"/>
                <w:sz w:val="21"/>
                <w:szCs w:val="21"/>
                <w:highlight w:val="none"/>
              </w:rPr>
            </w:pPr>
          </w:p>
        </w:tc>
        <w:tc>
          <w:tcPr>
            <w:tcW w:w="990" w:type="dxa"/>
            <w:gridSpan w:val="2"/>
            <w:vMerge w:val="continue"/>
            <w:tcBorders>
              <w:top w:val="nil"/>
              <w:left w:val="single" w:color="auto" w:sz="4" w:space="0"/>
              <w:bottom w:val="nil"/>
              <w:right w:val="single" w:color="auto" w:sz="4" w:space="0"/>
            </w:tcBorders>
            <w:noWrap w:val="0"/>
            <w:vAlign w:val="center"/>
          </w:tcPr>
          <w:p w14:paraId="5DDF2153">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2C2F2BBE">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进场机械设备</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机具是否验收</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验收是否合格</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配备是否齐全</w:t>
            </w:r>
          </w:p>
        </w:tc>
        <w:tc>
          <w:tcPr>
            <w:tcW w:w="1088" w:type="dxa"/>
            <w:tcBorders>
              <w:top w:val="nil"/>
              <w:left w:val="nil"/>
              <w:bottom w:val="single" w:color="auto" w:sz="4" w:space="0"/>
              <w:right w:val="single" w:color="auto" w:sz="4" w:space="0"/>
            </w:tcBorders>
            <w:noWrap w:val="0"/>
            <w:vAlign w:val="center"/>
          </w:tcPr>
          <w:p w14:paraId="1121DDE2">
            <w:pPr>
              <w:widowControl/>
              <w:jc w:val="center"/>
              <w:rPr>
                <w:b/>
                <w:color w:val="auto"/>
                <w:kern w:val="0"/>
                <w:sz w:val="21"/>
                <w:szCs w:val="21"/>
                <w:highlight w:val="none"/>
              </w:rPr>
            </w:pPr>
            <w:r>
              <w:rPr>
                <w:b/>
                <w:color w:val="auto"/>
                <w:kern w:val="0"/>
                <w:sz w:val="21"/>
                <w:szCs w:val="21"/>
                <w:highlight w:val="none"/>
              </w:rPr>
              <w:t>1000</w:t>
            </w:r>
          </w:p>
        </w:tc>
      </w:tr>
      <w:tr w14:paraId="17904B6F">
        <w:tblPrEx>
          <w:tblCellMar>
            <w:top w:w="0" w:type="dxa"/>
            <w:left w:w="108" w:type="dxa"/>
            <w:bottom w:w="0" w:type="dxa"/>
            <w:right w:w="108" w:type="dxa"/>
          </w:tblCellMar>
        </w:tblPrEx>
        <w:trPr>
          <w:gridAfter w:val="1"/>
          <w:wAfter w:w="4" w:type="dxa"/>
          <w:trHeight w:val="480"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184F4A3F">
            <w:pPr>
              <w:widowControl/>
              <w:jc w:val="left"/>
              <w:rPr>
                <w:b/>
                <w:color w:val="auto"/>
                <w:kern w:val="0"/>
                <w:sz w:val="21"/>
                <w:szCs w:val="21"/>
                <w:highlight w:val="none"/>
              </w:rPr>
            </w:pPr>
          </w:p>
        </w:tc>
        <w:tc>
          <w:tcPr>
            <w:tcW w:w="990" w:type="dxa"/>
            <w:gridSpan w:val="2"/>
            <w:vMerge w:val="continue"/>
            <w:tcBorders>
              <w:top w:val="nil"/>
              <w:left w:val="single" w:color="auto" w:sz="4" w:space="0"/>
              <w:bottom w:val="nil"/>
              <w:right w:val="single" w:color="auto" w:sz="4" w:space="0"/>
            </w:tcBorders>
            <w:noWrap w:val="0"/>
            <w:vAlign w:val="center"/>
          </w:tcPr>
          <w:p w14:paraId="4F8FB2F5">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76DDDBF7">
            <w:pPr>
              <w:widowControl/>
              <w:jc w:val="left"/>
              <w:rPr>
                <w:b/>
                <w:color w:val="auto"/>
                <w:kern w:val="0"/>
                <w:sz w:val="21"/>
                <w:szCs w:val="21"/>
                <w:highlight w:val="none"/>
              </w:rPr>
            </w:pPr>
            <w:r>
              <w:rPr>
                <w:b/>
                <w:color w:val="auto"/>
                <w:kern w:val="0"/>
                <w:sz w:val="21"/>
                <w:szCs w:val="21"/>
                <w:highlight w:val="none"/>
              </w:rPr>
              <w:t>3</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仪器设备配置</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现场存备的图集规范是否齐全</w:t>
            </w:r>
          </w:p>
        </w:tc>
        <w:tc>
          <w:tcPr>
            <w:tcW w:w="1088" w:type="dxa"/>
            <w:tcBorders>
              <w:top w:val="nil"/>
              <w:left w:val="nil"/>
              <w:bottom w:val="single" w:color="auto" w:sz="4" w:space="0"/>
              <w:right w:val="single" w:color="auto" w:sz="4" w:space="0"/>
            </w:tcBorders>
            <w:noWrap w:val="0"/>
            <w:vAlign w:val="center"/>
          </w:tcPr>
          <w:p w14:paraId="7E1C2795">
            <w:pPr>
              <w:widowControl/>
              <w:jc w:val="center"/>
              <w:rPr>
                <w:b/>
                <w:color w:val="auto"/>
                <w:kern w:val="0"/>
                <w:sz w:val="21"/>
                <w:szCs w:val="21"/>
                <w:highlight w:val="none"/>
              </w:rPr>
            </w:pPr>
            <w:r>
              <w:rPr>
                <w:b/>
                <w:color w:val="auto"/>
                <w:kern w:val="0"/>
                <w:sz w:val="21"/>
                <w:szCs w:val="21"/>
                <w:highlight w:val="none"/>
              </w:rPr>
              <w:t>1000</w:t>
            </w:r>
          </w:p>
        </w:tc>
      </w:tr>
      <w:tr w14:paraId="51CA3B49">
        <w:tblPrEx>
          <w:tblCellMar>
            <w:top w:w="0" w:type="dxa"/>
            <w:left w:w="108" w:type="dxa"/>
            <w:bottom w:w="0" w:type="dxa"/>
            <w:right w:w="108" w:type="dxa"/>
          </w:tblCellMar>
        </w:tblPrEx>
        <w:trPr>
          <w:gridAfter w:val="1"/>
          <w:wAfter w:w="4" w:type="dxa"/>
          <w:trHeight w:val="450"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38244633">
            <w:pPr>
              <w:widowControl/>
              <w:jc w:val="left"/>
              <w:rPr>
                <w:b/>
                <w:color w:val="auto"/>
                <w:kern w:val="0"/>
                <w:sz w:val="21"/>
                <w:szCs w:val="21"/>
                <w:highlight w:val="none"/>
              </w:rPr>
            </w:pPr>
          </w:p>
        </w:tc>
        <w:tc>
          <w:tcPr>
            <w:tcW w:w="990" w:type="dxa"/>
            <w:gridSpan w:val="2"/>
            <w:vMerge w:val="continue"/>
            <w:tcBorders>
              <w:top w:val="single" w:color="auto" w:sz="4" w:space="0"/>
              <w:left w:val="single" w:color="auto" w:sz="4" w:space="0"/>
              <w:bottom w:val="single" w:color="000000" w:sz="4" w:space="0"/>
              <w:right w:val="single" w:color="auto" w:sz="4" w:space="0"/>
            </w:tcBorders>
            <w:noWrap w:val="0"/>
            <w:vAlign w:val="center"/>
          </w:tcPr>
          <w:p w14:paraId="5717E981">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31E523B5">
            <w:pPr>
              <w:widowControl/>
              <w:jc w:val="left"/>
              <w:rPr>
                <w:b/>
                <w:color w:val="auto"/>
                <w:kern w:val="0"/>
                <w:sz w:val="21"/>
                <w:szCs w:val="21"/>
                <w:highlight w:val="none"/>
              </w:rPr>
            </w:pPr>
            <w:r>
              <w:rPr>
                <w:b/>
                <w:color w:val="auto"/>
                <w:kern w:val="0"/>
                <w:sz w:val="21"/>
                <w:szCs w:val="21"/>
                <w:highlight w:val="none"/>
              </w:rPr>
              <w:t>4</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特殊工种是否取得特种作业资格证书</w:t>
            </w:r>
          </w:p>
        </w:tc>
        <w:tc>
          <w:tcPr>
            <w:tcW w:w="1088" w:type="dxa"/>
            <w:tcBorders>
              <w:top w:val="nil"/>
              <w:left w:val="nil"/>
              <w:bottom w:val="single" w:color="auto" w:sz="4" w:space="0"/>
              <w:right w:val="single" w:color="auto" w:sz="4" w:space="0"/>
            </w:tcBorders>
            <w:noWrap w:val="0"/>
            <w:vAlign w:val="center"/>
          </w:tcPr>
          <w:p w14:paraId="0F9CD1BF">
            <w:pPr>
              <w:widowControl/>
              <w:jc w:val="center"/>
              <w:rPr>
                <w:b/>
                <w:color w:val="auto"/>
                <w:kern w:val="0"/>
                <w:sz w:val="21"/>
                <w:szCs w:val="21"/>
                <w:highlight w:val="none"/>
              </w:rPr>
            </w:pPr>
            <w:r>
              <w:rPr>
                <w:b/>
                <w:color w:val="auto"/>
                <w:kern w:val="0"/>
                <w:sz w:val="21"/>
                <w:szCs w:val="21"/>
                <w:highlight w:val="none"/>
              </w:rPr>
              <w:t>2000</w:t>
            </w:r>
          </w:p>
        </w:tc>
      </w:tr>
      <w:tr w14:paraId="14DF8337">
        <w:tblPrEx>
          <w:tblCellMar>
            <w:top w:w="0" w:type="dxa"/>
            <w:left w:w="108" w:type="dxa"/>
            <w:bottom w:w="0" w:type="dxa"/>
            <w:right w:w="108" w:type="dxa"/>
          </w:tblCellMar>
        </w:tblPrEx>
        <w:trPr>
          <w:gridAfter w:val="1"/>
          <w:wAfter w:w="4" w:type="dxa"/>
          <w:trHeight w:val="450"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71F7081E">
            <w:pPr>
              <w:widowControl/>
              <w:jc w:val="left"/>
              <w:rPr>
                <w:b/>
                <w:color w:val="auto"/>
                <w:kern w:val="0"/>
                <w:sz w:val="21"/>
                <w:szCs w:val="21"/>
                <w:highlight w:val="none"/>
              </w:rPr>
            </w:pPr>
          </w:p>
        </w:tc>
        <w:tc>
          <w:tcPr>
            <w:tcW w:w="990" w:type="dxa"/>
            <w:gridSpan w:val="2"/>
            <w:vMerge w:val="continue"/>
            <w:tcBorders>
              <w:top w:val="single" w:color="auto" w:sz="4" w:space="0"/>
              <w:left w:val="single" w:color="auto" w:sz="4" w:space="0"/>
              <w:bottom w:val="single" w:color="000000" w:sz="4" w:space="0"/>
              <w:right w:val="single" w:color="auto" w:sz="4" w:space="0"/>
            </w:tcBorders>
            <w:noWrap w:val="0"/>
            <w:vAlign w:val="center"/>
          </w:tcPr>
          <w:p w14:paraId="53694CE7">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22563CE7">
            <w:pPr>
              <w:widowControl/>
              <w:jc w:val="left"/>
              <w:rPr>
                <w:b/>
                <w:color w:val="auto"/>
                <w:kern w:val="0"/>
                <w:sz w:val="21"/>
                <w:szCs w:val="21"/>
                <w:highlight w:val="none"/>
              </w:rPr>
            </w:pPr>
            <w:r>
              <w:rPr>
                <w:b/>
                <w:color w:val="auto"/>
                <w:kern w:val="0"/>
                <w:sz w:val="21"/>
                <w:szCs w:val="21"/>
                <w:highlight w:val="none"/>
              </w:rPr>
              <w:t>5</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施工前是否进行质量安全技术交底</w:t>
            </w:r>
          </w:p>
        </w:tc>
        <w:tc>
          <w:tcPr>
            <w:tcW w:w="1088" w:type="dxa"/>
            <w:tcBorders>
              <w:top w:val="nil"/>
              <w:left w:val="nil"/>
              <w:bottom w:val="single" w:color="auto" w:sz="4" w:space="0"/>
              <w:right w:val="single" w:color="auto" w:sz="4" w:space="0"/>
            </w:tcBorders>
            <w:noWrap w:val="0"/>
            <w:vAlign w:val="center"/>
          </w:tcPr>
          <w:p w14:paraId="67732355">
            <w:pPr>
              <w:widowControl/>
              <w:jc w:val="center"/>
              <w:rPr>
                <w:b/>
                <w:color w:val="auto"/>
                <w:kern w:val="0"/>
                <w:sz w:val="21"/>
                <w:szCs w:val="21"/>
                <w:highlight w:val="none"/>
              </w:rPr>
            </w:pPr>
            <w:r>
              <w:rPr>
                <w:b/>
                <w:color w:val="auto"/>
                <w:kern w:val="0"/>
                <w:sz w:val="21"/>
                <w:szCs w:val="21"/>
                <w:highlight w:val="none"/>
              </w:rPr>
              <w:t>1000</w:t>
            </w:r>
          </w:p>
        </w:tc>
      </w:tr>
      <w:tr w14:paraId="350E7975">
        <w:tblPrEx>
          <w:tblCellMar>
            <w:top w:w="0" w:type="dxa"/>
            <w:left w:w="108" w:type="dxa"/>
            <w:bottom w:w="0" w:type="dxa"/>
            <w:right w:w="108" w:type="dxa"/>
          </w:tblCellMar>
        </w:tblPrEx>
        <w:trPr>
          <w:gridAfter w:val="1"/>
          <w:wAfter w:w="4" w:type="dxa"/>
          <w:trHeight w:val="495" w:hRule="atLeast"/>
        </w:trPr>
        <w:tc>
          <w:tcPr>
            <w:tcW w:w="510" w:type="dxa"/>
            <w:gridSpan w:val="2"/>
            <w:vMerge w:val="restart"/>
            <w:tcBorders>
              <w:top w:val="nil"/>
              <w:left w:val="single" w:color="auto" w:sz="4" w:space="0"/>
              <w:bottom w:val="single" w:color="auto" w:sz="4" w:space="0"/>
              <w:right w:val="single" w:color="auto" w:sz="4" w:space="0"/>
            </w:tcBorders>
            <w:noWrap w:val="0"/>
            <w:vAlign w:val="center"/>
          </w:tcPr>
          <w:p w14:paraId="0ACD6BA0">
            <w:pPr>
              <w:widowControl/>
              <w:jc w:val="center"/>
              <w:rPr>
                <w:b/>
                <w:color w:val="auto"/>
                <w:kern w:val="0"/>
                <w:sz w:val="21"/>
                <w:szCs w:val="21"/>
                <w:highlight w:val="none"/>
              </w:rPr>
            </w:pPr>
            <w:r>
              <w:rPr>
                <w:b/>
                <w:color w:val="auto"/>
                <w:kern w:val="0"/>
                <w:sz w:val="21"/>
                <w:szCs w:val="21"/>
                <w:highlight w:val="none"/>
              </w:rPr>
              <w:t>4</w:t>
            </w:r>
          </w:p>
        </w:tc>
        <w:tc>
          <w:tcPr>
            <w:tcW w:w="990" w:type="dxa"/>
            <w:gridSpan w:val="2"/>
            <w:vMerge w:val="restart"/>
            <w:tcBorders>
              <w:top w:val="single" w:color="auto" w:sz="4" w:space="0"/>
              <w:left w:val="single" w:color="auto" w:sz="4" w:space="0"/>
              <w:bottom w:val="single" w:color="000000" w:sz="4" w:space="0"/>
              <w:right w:val="single" w:color="auto" w:sz="4" w:space="0"/>
            </w:tcBorders>
            <w:noWrap w:val="0"/>
            <w:vAlign w:val="center"/>
          </w:tcPr>
          <w:p w14:paraId="73A5E94C">
            <w:pPr>
              <w:widowControl/>
              <w:jc w:val="center"/>
              <w:rPr>
                <w:b/>
                <w:color w:val="auto"/>
                <w:kern w:val="0"/>
                <w:sz w:val="21"/>
                <w:szCs w:val="21"/>
                <w:highlight w:val="none"/>
              </w:rPr>
            </w:pPr>
            <w:r>
              <w:rPr>
                <w:b/>
                <w:color w:val="auto"/>
                <w:kern w:val="0"/>
                <w:sz w:val="21"/>
                <w:szCs w:val="21"/>
                <w:highlight w:val="none"/>
              </w:rPr>
              <w:t>合同管理</w:t>
            </w:r>
          </w:p>
        </w:tc>
        <w:tc>
          <w:tcPr>
            <w:tcW w:w="5746" w:type="dxa"/>
            <w:gridSpan w:val="2"/>
            <w:tcBorders>
              <w:top w:val="nil"/>
              <w:left w:val="nil"/>
              <w:bottom w:val="single" w:color="auto" w:sz="4" w:space="0"/>
              <w:right w:val="single" w:color="auto" w:sz="4" w:space="0"/>
            </w:tcBorders>
            <w:noWrap w:val="0"/>
            <w:vAlign w:val="center"/>
          </w:tcPr>
          <w:p w14:paraId="0C7FC9EA">
            <w:pPr>
              <w:widowControl/>
              <w:jc w:val="left"/>
              <w:rPr>
                <w:b/>
                <w:color w:val="auto"/>
                <w:kern w:val="0"/>
                <w:sz w:val="21"/>
                <w:szCs w:val="21"/>
                <w:highlight w:val="none"/>
              </w:rPr>
            </w:pPr>
            <w:r>
              <w:rPr>
                <w:b/>
                <w:color w:val="auto"/>
                <w:kern w:val="0"/>
                <w:sz w:val="21"/>
                <w:szCs w:val="21"/>
                <w:highlight w:val="none"/>
              </w:rPr>
              <w:t>1</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总</w:t>
            </w:r>
            <w:r>
              <w:rPr>
                <w:rFonts w:hint="eastAsia" w:ascii="Malgun Gothic Semilight" w:hAnsi="Malgun Gothic Semilight" w:eastAsia="Malgun Gothic Semilight" w:cs="Malgun Gothic Semilight"/>
                <w:b/>
                <w:color w:val="auto"/>
                <w:kern w:val="0"/>
                <w:sz w:val="21"/>
                <w:szCs w:val="21"/>
                <w:highlight w:val="none"/>
              </w:rPr>
              <w:t>、</w:t>
            </w:r>
            <w:r>
              <w:rPr>
                <w:rFonts w:hint="eastAsia" w:ascii="宋体" w:hAnsi="宋体" w:cs="宋体"/>
                <w:b/>
                <w:color w:val="auto"/>
                <w:kern w:val="0"/>
                <w:sz w:val="21"/>
                <w:szCs w:val="21"/>
                <w:highlight w:val="none"/>
              </w:rPr>
              <w:t>分包单位是否签订分包合同</w:t>
            </w:r>
          </w:p>
        </w:tc>
        <w:tc>
          <w:tcPr>
            <w:tcW w:w="1088" w:type="dxa"/>
            <w:tcBorders>
              <w:top w:val="nil"/>
              <w:left w:val="nil"/>
              <w:bottom w:val="single" w:color="auto" w:sz="4" w:space="0"/>
              <w:right w:val="single" w:color="auto" w:sz="4" w:space="0"/>
            </w:tcBorders>
            <w:noWrap w:val="0"/>
            <w:vAlign w:val="center"/>
          </w:tcPr>
          <w:p w14:paraId="2B5AD699">
            <w:pPr>
              <w:widowControl/>
              <w:jc w:val="center"/>
              <w:rPr>
                <w:b/>
                <w:color w:val="auto"/>
                <w:kern w:val="0"/>
                <w:sz w:val="21"/>
                <w:szCs w:val="21"/>
                <w:highlight w:val="none"/>
              </w:rPr>
            </w:pPr>
            <w:r>
              <w:rPr>
                <w:b/>
                <w:color w:val="auto"/>
                <w:kern w:val="0"/>
                <w:sz w:val="21"/>
                <w:szCs w:val="21"/>
                <w:highlight w:val="none"/>
              </w:rPr>
              <w:t>2000</w:t>
            </w:r>
          </w:p>
        </w:tc>
      </w:tr>
      <w:tr w14:paraId="1B036ECE">
        <w:tblPrEx>
          <w:tblCellMar>
            <w:top w:w="0" w:type="dxa"/>
            <w:left w:w="108" w:type="dxa"/>
            <w:bottom w:w="0" w:type="dxa"/>
            <w:right w:w="108" w:type="dxa"/>
          </w:tblCellMar>
        </w:tblPrEx>
        <w:trPr>
          <w:gridAfter w:val="1"/>
          <w:wAfter w:w="4" w:type="dxa"/>
          <w:trHeight w:val="945" w:hRule="atLeast"/>
        </w:trPr>
        <w:tc>
          <w:tcPr>
            <w:tcW w:w="510" w:type="dxa"/>
            <w:gridSpan w:val="2"/>
            <w:vMerge w:val="continue"/>
            <w:tcBorders>
              <w:top w:val="nil"/>
              <w:left w:val="single" w:color="auto" w:sz="4" w:space="0"/>
              <w:bottom w:val="single" w:color="auto" w:sz="4" w:space="0"/>
              <w:right w:val="single" w:color="auto" w:sz="4" w:space="0"/>
            </w:tcBorders>
            <w:noWrap w:val="0"/>
            <w:vAlign w:val="center"/>
          </w:tcPr>
          <w:p w14:paraId="233113C1">
            <w:pPr>
              <w:widowControl/>
              <w:jc w:val="left"/>
              <w:rPr>
                <w:b/>
                <w:color w:val="auto"/>
                <w:kern w:val="0"/>
                <w:sz w:val="21"/>
                <w:szCs w:val="21"/>
                <w:highlight w:val="none"/>
              </w:rPr>
            </w:pPr>
          </w:p>
        </w:tc>
        <w:tc>
          <w:tcPr>
            <w:tcW w:w="990" w:type="dxa"/>
            <w:gridSpan w:val="2"/>
            <w:vMerge w:val="continue"/>
            <w:tcBorders>
              <w:top w:val="nil"/>
              <w:left w:val="nil"/>
              <w:bottom w:val="single" w:color="auto" w:sz="4" w:space="0"/>
              <w:right w:val="single" w:color="auto" w:sz="4" w:space="0"/>
            </w:tcBorders>
            <w:noWrap w:val="0"/>
            <w:vAlign w:val="center"/>
          </w:tcPr>
          <w:p w14:paraId="2A8034B9">
            <w:pPr>
              <w:widowControl/>
              <w:jc w:val="left"/>
              <w:rPr>
                <w:b/>
                <w:color w:val="auto"/>
                <w:kern w:val="0"/>
                <w:sz w:val="21"/>
                <w:szCs w:val="21"/>
                <w:highlight w:val="none"/>
              </w:rPr>
            </w:pPr>
          </w:p>
        </w:tc>
        <w:tc>
          <w:tcPr>
            <w:tcW w:w="5746" w:type="dxa"/>
            <w:gridSpan w:val="2"/>
            <w:tcBorders>
              <w:top w:val="nil"/>
              <w:left w:val="nil"/>
              <w:bottom w:val="single" w:color="auto" w:sz="4" w:space="0"/>
              <w:right w:val="single" w:color="auto" w:sz="4" w:space="0"/>
            </w:tcBorders>
            <w:noWrap w:val="0"/>
            <w:vAlign w:val="center"/>
          </w:tcPr>
          <w:p w14:paraId="78058EE4">
            <w:pPr>
              <w:widowControl/>
              <w:jc w:val="left"/>
              <w:rPr>
                <w:b/>
                <w:color w:val="auto"/>
                <w:kern w:val="0"/>
                <w:sz w:val="21"/>
                <w:szCs w:val="21"/>
                <w:highlight w:val="none"/>
              </w:rPr>
            </w:pPr>
            <w:r>
              <w:rPr>
                <w:b/>
                <w:color w:val="auto"/>
                <w:kern w:val="0"/>
                <w:sz w:val="21"/>
                <w:szCs w:val="21"/>
                <w:highlight w:val="none"/>
              </w:rPr>
              <w:t>2</w:t>
            </w:r>
            <w:r>
              <w:rPr>
                <w:rFonts w:hint="eastAsia" w:ascii="仿宋_GB2312" w:eastAsia="仿宋_GB2312"/>
                <w:b/>
                <w:color w:val="auto"/>
                <w:kern w:val="0"/>
                <w:sz w:val="21"/>
                <w:szCs w:val="21"/>
                <w:highlight w:val="none"/>
              </w:rPr>
              <w:t>、</w:t>
            </w:r>
            <w:r>
              <w:rPr>
                <w:rFonts w:hint="eastAsia" w:ascii="宋体" w:hAnsi="宋体" w:cs="宋体"/>
                <w:b/>
                <w:color w:val="auto"/>
                <w:kern w:val="0"/>
                <w:sz w:val="21"/>
                <w:szCs w:val="21"/>
                <w:highlight w:val="none"/>
              </w:rPr>
              <w:t>是否与劳务企业签订劳务协议</w:t>
            </w:r>
          </w:p>
        </w:tc>
        <w:tc>
          <w:tcPr>
            <w:tcW w:w="1088" w:type="dxa"/>
            <w:tcBorders>
              <w:top w:val="nil"/>
              <w:left w:val="nil"/>
              <w:bottom w:val="single" w:color="auto" w:sz="4" w:space="0"/>
              <w:right w:val="single" w:color="auto" w:sz="4" w:space="0"/>
            </w:tcBorders>
            <w:noWrap w:val="0"/>
            <w:vAlign w:val="center"/>
          </w:tcPr>
          <w:p w14:paraId="78B2DE3C">
            <w:pPr>
              <w:widowControl/>
              <w:jc w:val="center"/>
              <w:rPr>
                <w:b/>
                <w:color w:val="auto"/>
                <w:kern w:val="0"/>
                <w:sz w:val="21"/>
                <w:szCs w:val="21"/>
                <w:highlight w:val="none"/>
              </w:rPr>
            </w:pPr>
            <w:r>
              <w:rPr>
                <w:b/>
                <w:color w:val="auto"/>
                <w:kern w:val="0"/>
                <w:sz w:val="21"/>
                <w:szCs w:val="21"/>
                <w:highlight w:val="none"/>
              </w:rPr>
              <w:t>2000</w:t>
            </w:r>
          </w:p>
        </w:tc>
      </w:tr>
    </w:tbl>
    <w:p w14:paraId="5CC643E9">
      <w:pPr>
        <w:adjustRightInd w:val="0"/>
        <w:snapToGrid w:val="0"/>
        <w:spacing w:beforeLines="0" w:afterLines="0" w:line="360" w:lineRule="auto"/>
        <w:ind w:firstLine="480" w:firstLineChars="200"/>
        <w:rPr>
          <w:rFonts w:hint="eastAsia" w:ascii="Times New Roman"/>
          <w:color w:val="auto"/>
          <w:sz w:val="24"/>
          <w:szCs w:val="24"/>
          <w:highlight w:val="none"/>
        </w:rPr>
      </w:pPr>
    </w:p>
    <w:p w14:paraId="25F34765">
      <w:pPr>
        <w:pStyle w:val="2"/>
        <w:spacing w:beforeLines="0" w:afterLines="0"/>
        <w:jc w:val="center"/>
        <w:rPr>
          <w:rFonts w:hint="eastAsia" w:ascii="Times New Roman"/>
          <w:color w:val="auto"/>
          <w:sz w:val="32"/>
          <w:szCs w:val="44"/>
          <w:highlight w:val="none"/>
        </w:rPr>
      </w:pPr>
      <w:r>
        <w:rPr>
          <w:rFonts w:hint="eastAsia" w:ascii="Times New Roman" w:eastAsia="黑体"/>
          <w:b w:val="0"/>
          <w:color w:val="auto"/>
          <w:sz w:val="32"/>
          <w:szCs w:val="44"/>
          <w:highlight w:val="none"/>
        </w:rPr>
        <w:br w:type="page"/>
      </w:r>
      <w:bookmarkStart w:id="1014" w:name="_Toc32332"/>
      <w:r>
        <w:rPr>
          <w:rFonts w:hint="eastAsia" w:ascii="Times New Roman"/>
          <w:color w:val="auto"/>
          <w:sz w:val="32"/>
          <w:szCs w:val="44"/>
          <w:highlight w:val="none"/>
        </w:rPr>
        <w:t>第八章  投标文件格式</w:t>
      </w:r>
      <w:bookmarkEnd w:id="1014"/>
    </w:p>
    <w:p w14:paraId="49D711E2">
      <w:pPr>
        <w:spacing w:beforeLines="0" w:afterLines="0"/>
        <w:jc w:val="center"/>
        <w:rPr>
          <w:rFonts w:hint="eastAsia" w:ascii="Times New Roman" w:eastAsia="黑体"/>
          <w:color w:val="auto"/>
          <w:sz w:val="32"/>
          <w:szCs w:val="32"/>
          <w:highlight w:val="none"/>
        </w:rPr>
      </w:pPr>
    </w:p>
    <w:p w14:paraId="7B7B1EDA">
      <w:pPr>
        <w:spacing w:beforeLines="0" w:afterLines="0"/>
        <w:jc w:val="center"/>
        <w:rPr>
          <w:rFonts w:hint="eastAsia" w:ascii="Times New Roman" w:eastAsia="黑体"/>
          <w:color w:val="auto"/>
          <w:sz w:val="32"/>
          <w:szCs w:val="32"/>
          <w:highlight w:val="none"/>
        </w:rPr>
      </w:pPr>
    </w:p>
    <w:p w14:paraId="19C81A7D">
      <w:pPr>
        <w:spacing w:before="240" w:beforeLines="100" w:afterLines="0" w:line="510" w:lineRule="exact"/>
        <w:jc w:val="left"/>
        <w:rPr>
          <w:rFonts w:hint="eastAsia" w:eastAsia="黑体"/>
          <w:color w:val="auto"/>
          <w:sz w:val="32"/>
          <w:szCs w:val="32"/>
          <w:highlight w:val="none"/>
        </w:rPr>
      </w:pPr>
    </w:p>
    <w:p w14:paraId="2A9BC1AD">
      <w:pPr>
        <w:spacing w:before="240" w:beforeLines="100" w:afterLines="0" w:line="510" w:lineRule="exact"/>
        <w:jc w:val="left"/>
        <w:rPr>
          <w:rFonts w:hint="eastAsia" w:eastAsia="黑体"/>
          <w:color w:val="auto"/>
          <w:sz w:val="32"/>
          <w:szCs w:val="32"/>
          <w:highlight w:val="none"/>
        </w:rPr>
      </w:pPr>
    </w:p>
    <w:p w14:paraId="4CF6316F">
      <w:pPr>
        <w:spacing w:before="240" w:beforeLines="100" w:afterLines="0" w:line="510" w:lineRule="exact"/>
        <w:jc w:val="left"/>
        <w:rPr>
          <w:rFonts w:hint="eastAsia" w:eastAsia="黑体"/>
          <w:color w:val="auto"/>
          <w:sz w:val="32"/>
          <w:szCs w:val="32"/>
          <w:highlight w:val="none"/>
        </w:rPr>
      </w:pPr>
    </w:p>
    <w:p w14:paraId="4C5A2C8E">
      <w:pPr>
        <w:spacing w:before="240" w:beforeLines="100" w:afterLines="0" w:line="510" w:lineRule="exact"/>
        <w:jc w:val="left"/>
        <w:rPr>
          <w:rFonts w:hint="eastAsia" w:eastAsia="黑体"/>
          <w:color w:val="auto"/>
          <w:sz w:val="32"/>
          <w:szCs w:val="32"/>
          <w:highlight w:val="none"/>
        </w:rPr>
      </w:pPr>
    </w:p>
    <w:p w14:paraId="5D0859D9">
      <w:pPr>
        <w:spacing w:before="240" w:beforeLines="100" w:afterLines="0" w:line="510" w:lineRule="exact"/>
        <w:jc w:val="left"/>
        <w:rPr>
          <w:rFonts w:hint="eastAsia" w:eastAsia="黑体"/>
          <w:color w:val="auto"/>
          <w:sz w:val="32"/>
          <w:szCs w:val="32"/>
          <w:highlight w:val="none"/>
        </w:rPr>
      </w:pPr>
    </w:p>
    <w:p w14:paraId="47B72FBF">
      <w:pPr>
        <w:spacing w:before="240" w:beforeLines="100" w:afterLines="0" w:line="510" w:lineRule="exact"/>
        <w:jc w:val="left"/>
        <w:rPr>
          <w:rFonts w:hint="eastAsia" w:eastAsia="黑体"/>
          <w:color w:val="auto"/>
          <w:sz w:val="32"/>
          <w:szCs w:val="32"/>
          <w:highlight w:val="none"/>
        </w:rPr>
      </w:pPr>
    </w:p>
    <w:p w14:paraId="3C07DF6D">
      <w:pPr>
        <w:spacing w:before="240" w:beforeLines="100" w:afterLines="0" w:line="510" w:lineRule="exact"/>
        <w:jc w:val="left"/>
        <w:rPr>
          <w:rFonts w:hint="eastAsia" w:eastAsia="黑体"/>
          <w:color w:val="auto"/>
          <w:sz w:val="32"/>
          <w:szCs w:val="32"/>
          <w:highlight w:val="none"/>
        </w:rPr>
      </w:pPr>
    </w:p>
    <w:p w14:paraId="6F53CD73">
      <w:pPr>
        <w:spacing w:before="240" w:beforeLines="100" w:afterLines="0" w:line="510" w:lineRule="exact"/>
        <w:jc w:val="left"/>
        <w:rPr>
          <w:rFonts w:hint="eastAsia" w:eastAsia="黑体"/>
          <w:color w:val="auto"/>
          <w:sz w:val="32"/>
          <w:szCs w:val="32"/>
          <w:highlight w:val="none"/>
        </w:rPr>
      </w:pPr>
    </w:p>
    <w:p w14:paraId="7C5EF8B8">
      <w:pPr>
        <w:spacing w:before="240" w:beforeLines="100" w:afterLines="0" w:line="510" w:lineRule="exact"/>
        <w:jc w:val="left"/>
        <w:rPr>
          <w:rFonts w:hint="eastAsia" w:eastAsia="黑体"/>
          <w:color w:val="auto"/>
          <w:sz w:val="32"/>
          <w:szCs w:val="32"/>
          <w:highlight w:val="none"/>
        </w:rPr>
      </w:pPr>
    </w:p>
    <w:p w14:paraId="20FA5F90">
      <w:pPr>
        <w:spacing w:before="240" w:beforeLines="100" w:afterLines="0" w:line="510" w:lineRule="exact"/>
        <w:jc w:val="left"/>
        <w:rPr>
          <w:rFonts w:hint="eastAsia" w:eastAsia="黑体"/>
          <w:color w:val="auto"/>
          <w:sz w:val="32"/>
          <w:szCs w:val="32"/>
          <w:highlight w:val="none"/>
        </w:rPr>
      </w:pPr>
    </w:p>
    <w:p w14:paraId="5CED693B">
      <w:pPr>
        <w:spacing w:before="240" w:beforeLines="100" w:afterLines="0" w:line="510" w:lineRule="exact"/>
        <w:jc w:val="left"/>
        <w:rPr>
          <w:rFonts w:hint="eastAsia" w:eastAsia="黑体"/>
          <w:color w:val="auto"/>
          <w:sz w:val="32"/>
          <w:szCs w:val="32"/>
          <w:highlight w:val="none"/>
        </w:rPr>
      </w:pPr>
    </w:p>
    <w:p w14:paraId="1FB01F16">
      <w:pPr>
        <w:spacing w:before="240" w:beforeLines="100" w:afterLines="0" w:line="510" w:lineRule="exact"/>
        <w:jc w:val="left"/>
        <w:rPr>
          <w:rFonts w:hint="eastAsia" w:ascii="黑体" w:hAnsi="宋体" w:eastAsia="黑体"/>
          <w:color w:val="auto"/>
          <w:sz w:val="28"/>
          <w:szCs w:val="28"/>
          <w:highlight w:val="none"/>
        </w:rPr>
      </w:pPr>
      <w:r>
        <w:rPr>
          <w:rFonts w:hint="eastAsia" w:eastAsia="黑体"/>
          <w:color w:val="auto"/>
          <w:sz w:val="32"/>
          <w:szCs w:val="32"/>
          <w:highlight w:val="none"/>
        </w:rPr>
        <w:t>投标文件制作软件中“投标函（商务文件）”中的内容与招标文件本项“投标函”部分内容不一致，且无法更改，制作软件中已新增“投标函”端口，投标时以此投标函为准。</w:t>
      </w:r>
    </w:p>
    <w:p w14:paraId="6429B693">
      <w:pPr>
        <w:spacing w:before="480" w:beforeLines="200" w:afterLines="0"/>
        <w:jc w:val="center"/>
        <w:rPr>
          <w:rFonts w:hint="eastAsia" w:ascii="Times New Roman"/>
          <w:b/>
          <w:color w:val="auto"/>
          <w:sz w:val="44"/>
          <w:szCs w:val="44"/>
          <w:highlight w:val="none"/>
        </w:rPr>
      </w:pPr>
      <w:r>
        <w:rPr>
          <w:rFonts w:hint="eastAsia" w:ascii="Times New Roman" w:eastAsia="Times New Roman"/>
          <w:color w:val="auto"/>
          <w:sz w:val="32"/>
          <w:szCs w:val="32"/>
          <w:highlight w:val="none"/>
        </w:rPr>
        <w:br w:type="page"/>
      </w:r>
      <w:bookmarkStart w:id="1015" w:name="_Toc23204"/>
      <w:bookmarkStart w:id="1016" w:name="_Toc32657"/>
      <w:bookmarkStart w:id="1017" w:name="_Toc16066"/>
      <w:bookmarkStart w:id="1018" w:name="_Toc27118"/>
      <w:bookmarkStart w:id="1019" w:name="_Toc12230"/>
      <w:bookmarkStart w:id="1020" w:name="_Toc128950264"/>
      <w:bookmarkStart w:id="1021" w:name="_Toc12149"/>
      <w:bookmarkStart w:id="1022" w:name="_Toc14595"/>
      <w:r>
        <w:rPr>
          <w:rFonts w:hint="eastAsia" w:ascii="Times New Roman"/>
          <w:b/>
          <w:color w:val="auto"/>
          <w:sz w:val="44"/>
          <w:szCs w:val="44"/>
          <w:highlight w:val="none"/>
          <w:u w:val="single"/>
        </w:rPr>
        <w:t>（招标项目名称）</w:t>
      </w:r>
      <w:r>
        <w:rPr>
          <w:rFonts w:hint="eastAsia" w:ascii="Times New Roman"/>
          <w:color w:val="auto"/>
          <w:sz w:val="44"/>
          <w:szCs w:val="44"/>
          <w:highlight w:val="none"/>
        </w:rPr>
        <w:t xml:space="preserve"> </w:t>
      </w:r>
      <w:r>
        <w:rPr>
          <w:rFonts w:hint="eastAsia" w:ascii="Times New Roman" w:eastAsia="黑体"/>
          <w:color w:val="auto"/>
          <w:sz w:val="44"/>
          <w:szCs w:val="44"/>
          <w:highlight w:val="none"/>
          <w:u w:val="single"/>
        </w:rPr>
        <w:t xml:space="preserve">   </w:t>
      </w:r>
      <w:r>
        <w:rPr>
          <w:rFonts w:hint="eastAsia" w:ascii="Times New Roman" w:eastAsia="黑体"/>
          <w:color w:val="auto"/>
          <w:sz w:val="44"/>
          <w:szCs w:val="44"/>
          <w:highlight w:val="none"/>
          <w:u w:val="single"/>
          <w:lang w:val="en-US" w:eastAsia="zh-CN"/>
        </w:rPr>
        <w:t>/</w:t>
      </w:r>
      <w:r>
        <w:rPr>
          <w:rFonts w:hint="eastAsia" w:ascii="Times New Roman" w:eastAsia="黑体"/>
          <w:color w:val="auto"/>
          <w:sz w:val="44"/>
          <w:szCs w:val="44"/>
          <w:highlight w:val="none"/>
          <w:u w:val="single"/>
        </w:rPr>
        <w:t xml:space="preserve">   </w:t>
      </w:r>
      <w:r>
        <w:rPr>
          <w:rFonts w:hint="eastAsia" w:ascii="Times New Roman"/>
          <w:b/>
          <w:color w:val="auto"/>
          <w:sz w:val="44"/>
          <w:szCs w:val="44"/>
          <w:highlight w:val="none"/>
        </w:rPr>
        <w:t>标段招标</w:t>
      </w:r>
      <w:bookmarkEnd w:id="1015"/>
      <w:bookmarkEnd w:id="1016"/>
      <w:bookmarkEnd w:id="1017"/>
      <w:bookmarkEnd w:id="1018"/>
      <w:bookmarkEnd w:id="1019"/>
      <w:bookmarkEnd w:id="1020"/>
      <w:bookmarkEnd w:id="1021"/>
      <w:bookmarkEnd w:id="1022"/>
    </w:p>
    <w:p w14:paraId="7DB21FE6">
      <w:pPr>
        <w:pStyle w:val="3"/>
        <w:spacing w:before="1440" w:beforeLines="600" w:after="240" w:afterLines="100" w:line="240" w:lineRule="auto"/>
        <w:jc w:val="center"/>
        <w:rPr>
          <w:rFonts w:hint="eastAsia" w:ascii="Times New Roman" w:hAnsi="Times New Roman" w:eastAsia="黑体"/>
          <w:b w:val="0"/>
          <w:color w:val="auto"/>
          <w:sz w:val="44"/>
          <w:szCs w:val="44"/>
          <w:highlight w:val="none"/>
        </w:rPr>
      </w:pPr>
      <w:bookmarkStart w:id="1023" w:name="_Toc5252"/>
      <w:bookmarkStart w:id="1024" w:name="_Toc26391"/>
      <w:r>
        <w:rPr>
          <w:rFonts w:hint="eastAsia" w:ascii="Times New Roman" w:hAnsi="Times New Roman" w:eastAsia="黑体"/>
          <w:b w:val="0"/>
          <w:color w:val="auto"/>
          <w:sz w:val="44"/>
          <w:szCs w:val="44"/>
          <w:highlight w:val="none"/>
        </w:rPr>
        <w:t>投标文件</w:t>
      </w:r>
      <w:bookmarkEnd w:id="1023"/>
    </w:p>
    <w:p w14:paraId="57684A24">
      <w:pPr>
        <w:pStyle w:val="3"/>
        <w:spacing w:beforeLines="0" w:afterLines="0"/>
        <w:jc w:val="center"/>
        <w:rPr>
          <w:rFonts w:hint="eastAsia" w:ascii="Times New Roman" w:hAnsi="Times New Roman" w:eastAsia="黑体"/>
          <w:b w:val="0"/>
          <w:color w:val="auto"/>
          <w:sz w:val="32"/>
          <w:szCs w:val="32"/>
          <w:highlight w:val="none"/>
        </w:rPr>
      </w:pPr>
      <w:bookmarkStart w:id="1025" w:name="_Toc25892"/>
      <w:r>
        <w:rPr>
          <w:rFonts w:hint="eastAsia" w:ascii="Times New Roman" w:hAnsi="Times New Roman" w:eastAsia="黑体"/>
          <w:b w:val="0"/>
          <w:color w:val="auto"/>
          <w:sz w:val="32"/>
          <w:szCs w:val="32"/>
          <w:highlight w:val="none"/>
        </w:rPr>
        <w:t>（商务文件）</w:t>
      </w:r>
      <w:bookmarkEnd w:id="1024"/>
      <w:bookmarkEnd w:id="1025"/>
    </w:p>
    <w:p w14:paraId="559CFD30">
      <w:pPr>
        <w:spacing w:before="7920" w:beforeLines="3300" w:afterLines="0" w:line="480" w:lineRule="auto"/>
        <w:jc w:val="center"/>
        <w:rPr>
          <w:rFonts w:hint="eastAsia" w:ascii="Times New Roman" w:eastAsia="黑体"/>
          <w:color w:val="auto"/>
          <w:sz w:val="28"/>
          <w:szCs w:val="28"/>
          <w:highlight w:val="none"/>
        </w:rPr>
      </w:pPr>
      <w:bookmarkStart w:id="1026" w:name="_Toc18532"/>
      <w:bookmarkStart w:id="1027" w:name="_Toc17206"/>
      <w:bookmarkStart w:id="1028" w:name="_Toc128950267"/>
      <w:bookmarkStart w:id="1029" w:name="_Toc19022"/>
      <w:bookmarkStart w:id="1030" w:name="_Toc12206"/>
      <w:r>
        <w:rPr>
          <w:rFonts w:hint="eastAsia" w:ascii="Times New Roman" w:eastAsia="黑体"/>
          <w:color w:val="auto"/>
          <w:sz w:val="28"/>
          <w:szCs w:val="28"/>
          <w:highlight w:val="none"/>
        </w:rPr>
        <w:t>投标人：</w:t>
      </w:r>
      <w:r>
        <w:rPr>
          <w:rFonts w:hint="eastAsia" w:ascii="Times New Roman" w:eastAsia="黑体"/>
          <w:color w:val="auto"/>
          <w:sz w:val="28"/>
          <w:szCs w:val="28"/>
          <w:highlight w:val="none"/>
          <w:u w:val="single"/>
        </w:rPr>
        <w:t xml:space="preserve">                               </w:t>
      </w:r>
      <w:r>
        <w:rPr>
          <w:rFonts w:hint="eastAsia" w:ascii="Times New Roman" w:eastAsia="黑体"/>
          <w:color w:val="auto"/>
          <w:sz w:val="28"/>
          <w:szCs w:val="28"/>
          <w:highlight w:val="none"/>
        </w:rPr>
        <w:t>（盖单位章）</w:t>
      </w:r>
      <w:bookmarkEnd w:id="1026"/>
      <w:bookmarkEnd w:id="1027"/>
      <w:bookmarkEnd w:id="1028"/>
      <w:bookmarkEnd w:id="1029"/>
      <w:bookmarkEnd w:id="1030"/>
    </w:p>
    <w:p w14:paraId="53069170">
      <w:pPr>
        <w:spacing w:beforeLines="0" w:afterLines="0" w:line="480" w:lineRule="auto"/>
        <w:jc w:val="center"/>
        <w:rPr>
          <w:rFonts w:hint="eastAsia" w:ascii="Times New Roman" w:eastAsia="黑体"/>
          <w:color w:val="auto"/>
          <w:sz w:val="28"/>
          <w:szCs w:val="28"/>
          <w:highlight w:val="none"/>
        </w:rPr>
      </w:pPr>
      <w:bookmarkStart w:id="1031" w:name="_Toc21200"/>
      <w:bookmarkStart w:id="1032" w:name="_Toc128950268"/>
      <w:bookmarkStart w:id="1033" w:name="_Toc16140"/>
      <w:bookmarkStart w:id="1034" w:name="_Toc25824"/>
      <w:bookmarkStart w:id="1035" w:name="_Toc1982"/>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年</w:t>
      </w:r>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月</w:t>
      </w:r>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日</w:t>
      </w:r>
      <w:bookmarkEnd w:id="1031"/>
      <w:bookmarkEnd w:id="1032"/>
      <w:bookmarkEnd w:id="1033"/>
      <w:bookmarkEnd w:id="1034"/>
      <w:bookmarkEnd w:id="1035"/>
    </w:p>
    <w:p w14:paraId="57A416D7">
      <w:pPr>
        <w:spacing w:before="240" w:beforeLines="100" w:after="240" w:afterLines="100"/>
        <w:ind w:firstLine="480" w:firstLineChars="200"/>
        <w:jc w:val="center"/>
        <w:rPr>
          <w:rFonts w:hint="eastAsia" w:ascii="Times New Roman"/>
          <w:b/>
          <w:color w:val="auto"/>
          <w:sz w:val="28"/>
          <w:szCs w:val="21"/>
          <w:highlight w:val="none"/>
        </w:rPr>
      </w:pPr>
      <w:r>
        <w:rPr>
          <w:rFonts w:hint="eastAsia" w:ascii="Times New Roman" w:eastAsia="Times New Roman"/>
          <w:color w:val="auto"/>
          <w:sz w:val="24"/>
          <w:szCs w:val="21"/>
          <w:highlight w:val="none"/>
        </w:rPr>
        <w:br w:type="page"/>
      </w:r>
      <w:r>
        <w:rPr>
          <w:rFonts w:hint="eastAsia" w:ascii="Times New Roman"/>
          <w:b/>
          <w:color w:val="auto"/>
          <w:sz w:val="28"/>
          <w:szCs w:val="21"/>
          <w:highlight w:val="none"/>
        </w:rPr>
        <w:t>目  录</w:t>
      </w:r>
    </w:p>
    <w:p w14:paraId="746FDA8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一、投标函</w:t>
      </w:r>
    </w:p>
    <w:p w14:paraId="09CEEFE5">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二、法定代表人身份证明或授权委托书</w:t>
      </w:r>
    </w:p>
    <w:p w14:paraId="1545490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三、联合体协议书（如有）</w:t>
      </w:r>
    </w:p>
    <w:p w14:paraId="00E1869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四、投标保证金</w:t>
      </w:r>
    </w:p>
    <w:p w14:paraId="23DED982">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五、项目管理机构</w:t>
      </w:r>
    </w:p>
    <w:p w14:paraId="027809D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六、拟分包项目情况表</w:t>
      </w:r>
    </w:p>
    <w:p w14:paraId="7ADDDEB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七、资格审查资料</w:t>
      </w:r>
    </w:p>
    <w:p w14:paraId="5A0C5819">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八、商务文件详细评审资料</w:t>
      </w:r>
    </w:p>
    <w:p w14:paraId="69FACF16">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九、诚信投标承诺书</w:t>
      </w:r>
    </w:p>
    <w:p w14:paraId="2F2B0D9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十、其他材料</w:t>
      </w:r>
    </w:p>
    <w:p w14:paraId="7F143ACC">
      <w:pPr>
        <w:pStyle w:val="4"/>
        <w:spacing w:before="240" w:beforeLines="100" w:after="240" w:afterLines="100" w:line="240" w:lineRule="auto"/>
        <w:jc w:val="center"/>
        <w:rPr>
          <w:rFonts w:hint="eastAsia" w:ascii="Times New Roman" w:hAnsi="Times New Roman"/>
          <w:color w:val="auto"/>
          <w:sz w:val="24"/>
          <w:szCs w:val="24"/>
          <w:highlight w:val="none"/>
        </w:rPr>
      </w:pPr>
      <w:r>
        <w:rPr>
          <w:rFonts w:hint="eastAsia" w:ascii="Times New Roman" w:hAnsi="Times New Roman" w:eastAsia="Times New Roman"/>
          <w:color w:val="auto"/>
          <w:sz w:val="24"/>
          <w:szCs w:val="21"/>
          <w:highlight w:val="none"/>
        </w:rPr>
        <w:br w:type="page"/>
      </w:r>
      <w:bookmarkStart w:id="1036" w:name="_Toc11781"/>
      <w:bookmarkStart w:id="1037" w:name="_Toc24434"/>
      <w:bookmarkStart w:id="1038" w:name="_Toc14103"/>
      <w:bookmarkStart w:id="1039" w:name="_Toc14239"/>
      <w:bookmarkStart w:id="1040" w:name="_Toc16878"/>
      <w:bookmarkStart w:id="1041" w:name="_Toc804"/>
      <w:bookmarkStart w:id="1042" w:name="_Toc17779"/>
      <w:bookmarkStart w:id="1043" w:name="_Toc460660223"/>
      <w:bookmarkStart w:id="1044" w:name="_Toc460227108"/>
      <w:bookmarkStart w:id="1045" w:name="_Toc421917001"/>
      <w:bookmarkStart w:id="1046" w:name="_Toc390411621"/>
      <w:bookmarkStart w:id="1047" w:name="_Toc224103496"/>
      <w:r>
        <w:rPr>
          <w:rFonts w:hint="eastAsia" w:ascii="Times New Roman" w:hAnsi="Times New Roman"/>
          <w:color w:val="auto"/>
          <w:sz w:val="24"/>
          <w:szCs w:val="24"/>
          <w:highlight w:val="none"/>
        </w:rPr>
        <w:t>一、投标函</w:t>
      </w:r>
      <w:bookmarkEnd w:id="1036"/>
      <w:bookmarkEnd w:id="1037"/>
      <w:bookmarkEnd w:id="1038"/>
      <w:bookmarkEnd w:id="1039"/>
      <w:bookmarkEnd w:id="1040"/>
      <w:bookmarkEnd w:id="1041"/>
      <w:bookmarkEnd w:id="1042"/>
    </w:p>
    <w:p w14:paraId="2B18E1B3">
      <w:pPr>
        <w:adjustRightInd w:val="0"/>
        <w:snapToGrid w:val="0"/>
        <w:spacing w:beforeLines="0" w:afterLines="0" w:line="360" w:lineRule="auto"/>
        <w:rPr>
          <w:rFonts w:hint="eastAsia" w:ascii="Times New Roman"/>
          <w:color w:val="auto"/>
          <w:sz w:val="24"/>
          <w:szCs w:val="22"/>
          <w:highlight w:val="none"/>
          <w:u w:val="single"/>
        </w:rPr>
      </w:pPr>
      <w:r>
        <w:rPr>
          <w:rFonts w:hint="eastAsia" w:ascii="Times New Roman" w:cs="宋体"/>
          <w:color w:val="auto"/>
          <w:sz w:val="24"/>
          <w:szCs w:val="24"/>
          <w:highlight w:val="none"/>
        </w:rPr>
        <w:t>致：</w:t>
      </w:r>
      <w:r>
        <w:rPr>
          <w:rFonts w:hint="eastAsia" w:ascii="Times New Roman" w:cs="宋体"/>
          <w:color w:val="auto"/>
          <w:sz w:val="24"/>
          <w:szCs w:val="24"/>
          <w:highlight w:val="none"/>
          <w:u w:val="single"/>
        </w:rPr>
        <w:t>（招标人）</w:t>
      </w:r>
    </w:p>
    <w:p w14:paraId="3CE838BB">
      <w:pPr>
        <w:tabs>
          <w:tab w:val="left" w:pos="7560"/>
        </w:tabs>
        <w:adjustRightInd w:val="0"/>
        <w:snapToGrid w:val="0"/>
        <w:spacing w:beforeLines="0" w:afterLines="0" w:line="360" w:lineRule="auto"/>
        <w:ind w:firstLine="480" w:firstLineChars="200"/>
        <w:jc w:val="left"/>
        <w:rPr>
          <w:rFonts w:hint="eastAsia" w:ascii="Times New Roman"/>
          <w:color w:val="auto"/>
          <w:sz w:val="24"/>
          <w:szCs w:val="22"/>
          <w:highlight w:val="none"/>
        </w:rPr>
      </w:pPr>
      <w:r>
        <w:rPr>
          <w:rFonts w:hint="eastAsia" w:ascii="Times New Roman"/>
          <w:color w:val="auto"/>
          <w:sz w:val="24"/>
          <w:szCs w:val="22"/>
          <w:highlight w:val="none"/>
        </w:rPr>
        <w:t>1.我方已仔细研究</w:t>
      </w:r>
      <w:r>
        <w:rPr>
          <w:rFonts w:hint="eastAsia" w:ascii="Times New Roman"/>
          <w:color w:val="auto"/>
          <w:sz w:val="24"/>
          <w:szCs w:val="22"/>
          <w:highlight w:val="none"/>
          <w:u w:val="single"/>
        </w:rPr>
        <w:t>（招标项目名称）</w:t>
      </w:r>
      <w:r>
        <w:rPr>
          <w:rFonts w:hint="eastAsia" w:ascii="Times New Roman"/>
          <w:color w:val="auto"/>
          <w:sz w:val="24"/>
          <w:szCs w:val="22"/>
          <w:highlight w:val="none"/>
        </w:rPr>
        <w:t xml:space="preserve"> </w:t>
      </w:r>
      <w:r>
        <w:rPr>
          <w:rFonts w:hint="eastAsia" w:ascii="Times New Roman"/>
          <w:color w:val="auto"/>
          <w:sz w:val="24"/>
          <w:szCs w:val="22"/>
          <w:highlight w:val="none"/>
          <w:u w:val="single"/>
        </w:rPr>
        <w:t xml:space="preserve">   /   </w:t>
      </w:r>
      <w:r>
        <w:rPr>
          <w:rFonts w:hint="eastAsia" w:ascii="Times New Roman"/>
          <w:color w:val="auto"/>
          <w:sz w:val="24"/>
          <w:szCs w:val="22"/>
          <w:highlight w:val="none"/>
        </w:rPr>
        <w:t>标段招标文件的全部内容，在考察工程现场后，愿以</w:t>
      </w:r>
      <w:r>
        <w:rPr>
          <w:rFonts w:hint="eastAsia" w:ascii="Times New Roman"/>
          <w:color w:val="auto"/>
          <w:sz w:val="24"/>
          <w:szCs w:val="21"/>
          <w:highlight w:val="none"/>
          <w:u w:val="single"/>
        </w:rPr>
        <w:t>报价文件投标函中</w:t>
      </w:r>
      <w:r>
        <w:rPr>
          <w:rFonts w:hint="eastAsia" w:ascii="Times New Roman"/>
          <w:color w:val="auto"/>
          <w:sz w:val="24"/>
          <w:szCs w:val="22"/>
          <w:highlight w:val="none"/>
          <w:u w:val="single"/>
        </w:rPr>
        <w:t>的</w:t>
      </w:r>
      <w:r>
        <w:rPr>
          <w:rFonts w:hint="eastAsia" w:ascii="Times New Roman"/>
          <w:color w:val="auto"/>
          <w:sz w:val="24"/>
          <w:szCs w:val="22"/>
          <w:highlight w:val="none"/>
        </w:rPr>
        <w:t>投标总报价，按合同约定实施和完成承包工程，修补工程中的任何缺陷。</w:t>
      </w:r>
    </w:p>
    <w:p w14:paraId="0DAB2279">
      <w:pPr>
        <w:tabs>
          <w:tab w:val="left" w:pos="7560"/>
        </w:tabs>
        <w:adjustRightInd w:val="0"/>
        <w:snapToGrid w:val="0"/>
        <w:spacing w:beforeLines="0" w:afterLines="0" w:line="360" w:lineRule="auto"/>
        <w:ind w:firstLine="480" w:firstLineChars="200"/>
        <w:jc w:val="left"/>
        <w:rPr>
          <w:rFonts w:hint="eastAsia" w:ascii="Times New Roman"/>
          <w:color w:val="auto"/>
          <w:sz w:val="24"/>
          <w:szCs w:val="22"/>
          <w:highlight w:val="none"/>
        </w:rPr>
      </w:pPr>
      <w:r>
        <w:rPr>
          <w:rFonts w:hint="eastAsia" w:ascii="Times New Roman"/>
          <w:color w:val="auto"/>
          <w:sz w:val="24"/>
          <w:szCs w:val="22"/>
          <w:highlight w:val="none"/>
        </w:rPr>
        <w:t>2.我方响应招标文件规定的投标有效期，并承诺在投标有效期内不撤销投标文件。</w:t>
      </w:r>
    </w:p>
    <w:p w14:paraId="1DA7AAC8">
      <w:pPr>
        <w:tabs>
          <w:tab w:val="left" w:pos="7560"/>
        </w:tabs>
        <w:adjustRightInd w:val="0"/>
        <w:snapToGrid w:val="0"/>
        <w:spacing w:beforeLines="0" w:afterLines="0" w:line="360" w:lineRule="auto"/>
        <w:ind w:firstLine="480" w:firstLineChars="200"/>
        <w:jc w:val="left"/>
        <w:rPr>
          <w:rFonts w:hint="eastAsia" w:ascii="Times New Roman"/>
          <w:color w:val="auto"/>
          <w:sz w:val="24"/>
          <w:szCs w:val="22"/>
          <w:highlight w:val="none"/>
        </w:rPr>
      </w:pPr>
      <w:r>
        <w:rPr>
          <w:rFonts w:hint="eastAsia" w:ascii="Times New Roman"/>
          <w:color w:val="auto"/>
          <w:sz w:val="24"/>
          <w:szCs w:val="22"/>
          <w:highlight w:val="none"/>
        </w:rPr>
        <w:t>3.质量标准：</w:t>
      </w:r>
      <w:r>
        <w:rPr>
          <w:rFonts w:hint="eastAsia" w:ascii="Times New Roman"/>
          <w:color w:val="auto"/>
          <w:sz w:val="24"/>
          <w:szCs w:val="22"/>
          <w:highlight w:val="none"/>
          <w:u w:val="single"/>
        </w:rPr>
        <w:t xml:space="preserve">      </w:t>
      </w:r>
      <w:r>
        <w:rPr>
          <w:rFonts w:hint="eastAsia" w:ascii="Times New Roman"/>
          <w:color w:val="auto"/>
          <w:sz w:val="24"/>
          <w:szCs w:val="22"/>
          <w:highlight w:val="none"/>
        </w:rPr>
        <w:t>；工期：</w:t>
      </w:r>
      <w:r>
        <w:rPr>
          <w:rFonts w:hint="eastAsia" w:ascii="Times New Roman"/>
          <w:color w:val="auto"/>
          <w:sz w:val="24"/>
          <w:szCs w:val="22"/>
          <w:highlight w:val="none"/>
          <w:u w:val="single"/>
        </w:rPr>
        <w:t xml:space="preserve">      </w:t>
      </w:r>
      <w:r>
        <w:rPr>
          <w:rFonts w:hint="eastAsia" w:ascii="Times New Roman"/>
          <w:color w:val="auto"/>
          <w:sz w:val="24"/>
          <w:szCs w:val="22"/>
          <w:highlight w:val="none"/>
        </w:rPr>
        <w:t>日历天。</w:t>
      </w:r>
    </w:p>
    <w:p w14:paraId="7541EE6C">
      <w:pPr>
        <w:tabs>
          <w:tab w:val="left" w:pos="7560"/>
        </w:tabs>
        <w:adjustRightInd w:val="0"/>
        <w:snapToGrid w:val="0"/>
        <w:spacing w:beforeLines="0" w:afterLines="0" w:line="360" w:lineRule="auto"/>
        <w:ind w:firstLine="480" w:firstLineChars="200"/>
        <w:jc w:val="left"/>
        <w:rPr>
          <w:rFonts w:hint="eastAsia" w:ascii="Times New Roman"/>
          <w:color w:val="auto"/>
          <w:sz w:val="24"/>
          <w:szCs w:val="32"/>
          <w:highlight w:val="none"/>
        </w:rPr>
      </w:pPr>
      <w:r>
        <w:rPr>
          <w:rFonts w:hint="eastAsia" w:ascii="Times New Roman" w:eastAsia="Times New Roman"/>
          <w:color w:val="auto"/>
          <w:sz w:val="24"/>
          <w:szCs w:val="32"/>
          <w:highlight w:val="none"/>
        </w:rPr>
        <w:t>4</w:t>
      </w:r>
      <w:r>
        <w:rPr>
          <w:rFonts w:hint="eastAsia" w:ascii="Times New Roman"/>
          <w:color w:val="auto"/>
          <w:sz w:val="24"/>
          <w:szCs w:val="32"/>
          <w:highlight w:val="none"/>
        </w:rPr>
        <w:t>.如我方中标，我方承诺：</w:t>
      </w:r>
    </w:p>
    <w:p w14:paraId="19382B10">
      <w:pPr>
        <w:adjustRightInd w:val="0"/>
        <w:snapToGrid w:val="0"/>
        <w:spacing w:beforeLines="0" w:afterLines="0" w:line="360" w:lineRule="auto"/>
        <w:ind w:firstLine="480" w:firstLineChars="200"/>
        <w:rPr>
          <w:rFonts w:hint="eastAsia" w:ascii="Times New Roman"/>
          <w:color w:val="auto"/>
          <w:sz w:val="24"/>
          <w:szCs w:val="32"/>
          <w:highlight w:val="none"/>
        </w:rPr>
      </w:pPr>
      <w:r>
        <w:rPr>
          <w:rFonts w:hint="eastAsia" w:ascii="Times New Roman"/>
          <w:color w:val="auto"/>
          <w:sz w:val="24"/>
          <w:szCs w:val="32"/>
          <w:highlight w:val="none"/>
        </w:rPr>
        <w:t>（1）在收到中标通知书后，在中标通知书规定的期限内与你方签订合同；</w:t>
      </w:r>
    </w:p>
    <w:p w14:paraId="6E897B43">
      <w:pPr>
        <w:adjustRightInd w:val="0"/>
        <w:snapToGrid w:val="0"/>
        <w:spacing w:beforeLines="0" w:afterLines="0" w:line="360" w:lineRule="auto"/>
        <w:ind w:firstLine="480" w:firstLineChars="200"/>
        <w:rPr>
          <w:rFonts w:hint="eastAsia" w:ascii="Times New Roman"/>
          <w:color w:val="auto"/>
          <w:sz w:val="24"/>
          <w:szCs w:val="32"/>
          <w:highlight w:val="none"/>
        </w:rPr>
      </w:pPr>
      <w:r>
        <w:rPr>
          <w:rFonts w:hint="eastAsia" w:ascii="Times New Roman"/>
          <w:color w:val="auto"/>
          <w:sz w:val="24"/>
          <w:szCs w:val="32"/>
          <w:highlight w:val="none"/>
        </w:rPr>
        <w:t>（2）在签订合同时不向你方提出附加条件；</w:t>
      </w:r>
    </w:p>
    <w:p w14:paraId="5FD0AAFE">
      <w:pPr>
        <w:adjustRightInd w:val="0"/>
        <w:snapToGrid w:val="0"/>
        <w:spacing w:beforeLines="0" w:afterLines="0" w:line="360" w:lineRule="auto"/>
        <w:ind w:firstLine="480" w:firstLineChars="200"/>
        <w:rPr>
          <w:rFonts w:hint="eastAsia" w:ascii="Times New Roman"/>
          <w:color w:val="auto"/>
          <w:sz w:val="24"/>
          <w:szCs w:val="32"/>
          <w:highlight w:val="none"/>
        </w:rPr>
      </w:pPr>
      <w:r>
        <w:rPr>
          <w:rFonts w:hint="eastAsia" w:ascii="Times New Roman"/>
          <w:color w:val="auto"/>
          <w:sz w:val="24"/>
          <w:szCs w:val="32"/>
          <w:highlight w:val="none"/>
        </w:rPr>
        <w:t>（3）按照招标文件要求提交履约保证金；</w:t>
      </w:r>
    </w:p>
    <w:p w14:paraId="671BBCBD">
      <w:pPr>
        <w:adjustRightInd w:val="0"/>
        <w:snapToGrid w:val="0"/>
        <w:spacing w:beforeLines="0" w:afterLines="0" w:line="360" w:lineRule="auto"/>
        <w:ind w:firstLine="480" w:firstLineChars="200"/>
        <w:rPr>
          <w:rFonts w:hint="eastAsia" w:ascii="Times New Roman"/>
          <w:color w:val="auto"/>
          <w:sz w:val="24"/>
          <w:szCs w:val="32"/>
          <w:highlight w:val="none"/>
        </w:rPr>
      </w:pPr>
      <w:r>
        <w:rPr>
          <w:rFonts w:hint="eastAsia" w:ascii="Times New Roman"/>
          <w:color w:val="auto"/>
          <w:sz w:val="24"/>
          <w:szCs w:val="32"/>
          <w:highlight w:val="none"/>
        </w:rPr>
        <w:t>（4）在合同约定的期限内完成合同规定的全部义务；</w:t>
      </w:r>
    </w:p>
    <w:p w14:paraId="47D0F4FC">
      <w:pPr>
        <w:adjustRightInd w:val="0"/>
        <w:snapToGrid w:val="0"/>
        <w:spacing w:beforeLines="0" w:afterLines="0" w:line="360" w:lineRule="auto"/>
        <w:ind w:firstLine="480" w:firstLineChars="200"/>
        <w:rPr>
          <w:rFonts w:hint="eastAsia" w:ascii="Times New Roman"/>
          <w:color w:val="auto"/>
          <w:sz w:val="24"/>
          <w:szCs w:val="32"/>
          <w:highlight w:val="none"/>
        </w:rPr>
      </w:pPr>
      <w:r>
        <w:rPr>
          <w:rFonts w:hint="eastAsia" w:ascii="Times New Roman"/>
          <w:color w:val="auto"/>
          <w:sz w:val="24"/>
          <w:szCs w:val="32"/>
          <w:highlight w:val="none"/>
        </w:rPr>
        <w:t>（5）在你方和我方进行合同谈判之前，我方将按照投标文件中填报人员及招标文件提出的最低要求填报派驻本标段的其他管理和技术人员及主要机械设备，经你方审批后作为派驻本标段的项目管理机构主要人员和主要设备且不进行更换。</w:t>
      </w:r>
    </w:p>
    <w:p w14:paraId="555B48F3">
      <w:pPr>
        <w:adjustRightInd w:val="0"/>
        <w:snapToGrid w:val="0"/>
        <w:spacing w:beforeLines="0" w:afterLines="0" w:line="360" w:lineRule="auto"/>
        <w:ind w:firstLine="480" w:firstLineChars="200"/>
        <w:rPr>
          <w:rFonts w:hint="eastAsia" w:ascii="Times New Roman"/>
          <w:color w:val="auto"/>
          <w:sz w:val="24"/>
          <w:szCs w:val="22"/>
          <w:highlight w:val="none"/>
        </w:rPr>
      </w:pPr>
      <w:r>
        <w:rPr>
          <w:rFonts w:hint="eastAsia" w:ascii="Times New Roman"/>
          <w:color w:val="auto"/>
          <w:sz w:val="24"/>
          <w:szCs w:val="22"/>
          <w:highlight w:val="none"/>
        </w:rPr>
        <w:t>（6）按照国家税务总局规定，在建筑服务发生地及时足额预缴增值税（适用于注册地不在合肥市行政区域范围（含四县一市）的中标人）；</w:t>
      </w:r>
    </w:p>
    <w:p w14:paraId="7712330A">
      <w:pPr>
        <w:adjustRightInd w:val="0"/>
        <w:snapToGrid w:val="0"/>
        <w:spacing w:beforeLines="0" w:afterLines="0" w:line="360" w:lineRule="auto"/>
        <w:ind w:firstLine="480" w:firstLineChars="200"/>
        <w:rPr>
          <w:rFonts w:hint="eastAsia" w:ascii="Times New Roman"/>
          <w:color w:val="auto"/>
          <w:sz w:val="24"/>
          <w:szCs w:val="22"/>
          <w:highlight w:val="none"/>
        </w:rPr>
      </w:pPr>
      <w:r>
        <w:rPr>
          <w:rFonts w:hint="eastAsia" w:ascii="Times New Roman"/>
          <w:color w:val="auto"/>
          <w:sz w:val="24"/>
          <w:szCs w:val="22"/>
          <w:highlight w:val="none"/>
        </w:rPr>
        <w:t>（7）投标报价中已包含招标文件公布的施工扬尘污染防治费用和建筑工人实名制管理费用。同时我方将按照招标文件要求对农民工工资进行办理专户设立、工资支付等事宜。</w:t>
      </w:r>
    </w:p>
    <w:p w14:paraId="410027E6">
      <w:pPr>
        <w:adjustRightInd w:val="0"/>
        <w:snapToGrid w:val="0"/>
        <w:spacing w:beforeLines="0" w:afterLines="0" w:line="360" w:lineRule="auto"/>
        <w:ind w:firstLine="482" w:firstLineChars="200"/>
        <w:rPr>
          <w:rFonts w:hint="eastAsia" w:ascii="Times New Roman"/>
          <w:b/>
          <w:color w:val="auto"/>
          <w:sz w:val="24"/>
          <w:szCs w:val="32"/>
          <w:highlight w:val="none"/>
        </w:rPr>
      </w:pPr>
      <w:r>
        <w:rPr>
          <w:rFonts w:hint="eastAsia" w:ascii="Times New Roman"/>
          <w:b/>
          <w:color w:val="auto"/>
          <w:sz w:val="24"/>
          <w:szCs w:val="32"/>
          <w:highlight w:val="none"/>
        </w:rPr>
        <w:t>（8）工程竣工结算时，未落实的施工扬尘污染防治和建筑工人实名制管理措施项目，按照清单所列金额从工程结算价款中扣除（本条适用执行合建监管〔2024〕13号文项目）。</w:t>
      </w:r>
    </w:p>
    <w:p w14:paraId="24D42B21">
      <w:pPr>
        <w:adjustRightInd w:val="0"/>
        <w:snapToGrid w:val="0"/>
        <w:spacing w:beforeLines="0" w:afterLines="0" w:line="360" w:lineRule="auto"/>
        <w:ind w:firstLine="480" w:firstLineChars="200"/>
        <w:rPr>
          <w:rFonts w:hint="eastAsia" w:ascii="Times New Roman"/>
          <w:color w:val="auto"/>
          <w:sz w:val="24"/>
          <w:szCs w:val="32"/>
          <w:highlight w:val="none"/>
        </w:rPr>
      </w:pPr>
      <w:r>
        <w:rPr>
          <w:rFonts w:hint="eastAsia" w:ascii="Times New Roman" w:eastAsia="Times New Roman"/>
          <w:color w:val="auto"/>
          <w:sz w:val="24"/>
          <w:szCs w:val="32"/>
          <w:highlight w:val="none"/>
        </w:rPr>
        <w:t>5</w:t>
      </w:r>
      <w:r>
        <w:rPr>
          <w:rFonts w:hint="eastAsia" w:ascii="Times New Roman"/>
          <w:color w:val="auto"/>
          <w:sz w:val="24"/>
          <w:szCs w:val="32"/>
          <w:highlight w:val="none"/>
        </w:rPr>
        <w:t>.除非另外达成协议并生效，你方的中标通知书和本投标文件以及招标文件、招标文件澄清、修改、补充文件将成为约束双方的合同文件的组成部分。</w:t>
      </w:r>
    </w:p>
    <w:p w14:paraId="2206EDE4">
      <w:pPr>
        <w:adjustRightInd w:val="0"/>
        <w:snapToGrid w:val="0"/>
        <w:spacing w:beforeLines="0" w:afterLines="0" w:line="360" w:lineRule="auto"/>
        <w:ind w:firstLine="480" w:firstLineChars="200"/>
        <w:rPr>
          <w:rFonts w:hint="eastAsia" w:ascii="Times New Roman" w:eastAsia="Times New Roman"/>
          <w:snapToGrid w:val="0"/>
          <w:color w:val="auto"/>
          <w:sz w:val="24"/>
          <w:szCs w:val="21"/>
          <w:highlight w:val="none"/>
        </w:rPr>
      </w:pPr>
      <w:r>
        <w:rPr>
          <w:rFonts w:hint="eastAsia" w:ascii="Times New Roman"/>
          <w:snapToGrid w:val="0"/>
          <w:color w:val="auto"/>
          <w:sz w:val="24"/>
          <w:szCs w:val="21"/>
          <w:highlight w:val="none"/>
          <w:lang w:val="en-US" w:eastAsia="zh-CN"/>
        </w:rPr>
        <w:t>6</w:t>
      </w:r>
      <w:r>
        <w:rPr>
          <w:rFonts w:hint="eastAsia" w:ascii="Times New Roman"/>
          <w:snapToGrid w:val="0"/>
          <w:color w:val="auto"/>
          <w:sz w:val="24"/>
          <w:szCs w:val="21"/>
          <w:highlight w:val="none"/>
        </w:rPr>
        <w:t xml:space="preserve">. </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（其他补充说明）。</w:t>
      </w:r>
    </w:p>
    <w:p w14:paraId="717E0F99">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74F6D825">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（签字或盖章）</w:t>
      </w:r>
    </w:p>
    <w:p w14:paraId="72BAAA49">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302E23D6">
      <w:pPr>
        <w:pStyle w:val="4"/>
        <w:spacing w:before="240" w:beforeLines="100" w:after="240" w:afterLines="100" w:line="240" w:lineRule="auto"/>
        <w:jc w:val="center"/>
        <w:rPr>
          <w:rFonts w:hint="eastAsia" w:ascii="Times New Roman" w:hAnsi="Times New Roman"/>
          <w:color w:val="auto"/>
          <w:sz w:val="24"/>
          <w:szCs w:val="24"/>
          <w:highlight w:val="none"/>
        </w:rPr>
      </w:pPr>
    </w:p>
    <w:p w14:paraId="5193779F">
      <w:pPr>
        <w:spacing w:before="240" w:beforeLines="100" w:afterLines="0" w:line="510" w:lineRule="exact"/>
        <w:jc w:val="left"/>
        <w:rPr>
          <w:rFonts w:hint="eastAsia"/>
          <w:color w:val="auto"/>
          <w:sz w:val="24"/>
          <w:szCs w:val="24"/>
          <w:highlight w:val="none"/>
        </w:rPr>
      </w:pPr>
      <w:r>
        <w:rPr>
          <w:rFonts w:hint="eastAsia" w:ascii="黑体" w:hAnsi="宋体" w:eastAsia="黑体"/>
          <w:color w:val="auto"/>
          <w:sz w:val="28"/>
          <w:szCs w:val="28"/>
          <w:highlight w:val="none"/>
        </w:rPr>
        <w:t>备注：</w:t>
      </w:r>
    </w:p>
    <w:p w14:paraId="5D462CBD">
      <w:pPr>
        <w:spacing w:before="240" w:beforeLines="100" w:afterLines="0" w:line="510" w:lineRule="exact"/>
        <w:jc w:val="left"/>
        <w:rPr>
          <w:rFonts w:hint="eastAsia" w:ascii="黑体" w:hAnsi="宋体" w:eastAsia="黑体"/>
          <w:color w:val="auto"/>
          <w:sz w:val="28"/>
          <w:szCs w:val="28"/>
          <w:highlight w:val="none"/>
        </w:rPr>
      </w:pPr>
      <w:r>
        <w:rPr>
          <w:rFonts w:hint="eastAsia" w:eastAsia="黑体"/>
          <w:color w:val="auto"/>
          <w:sz w:val="32"/>
          <w:szCs w:val="32"/>
          <w:highlight w:val="none"/>
        </w:rPr>
        <w:t>投标文件制作软件中“投标函（商务文件）”中的内容与招标文件本项“投标函”部分内容不一致，且无法更改，制作软件中已新增“投标函”端口，投标时以此投标函为准。</w:t>
      </w:r>
    </w:p>
    <w:p w14:paraId="320AC2E8">
      <w:pPr>
        <w:pStyle w:val="4"/>
        <w:spacing w:before="240" w:beforeLines="100" w:after="240" w:afterLines="100" w:line="240" w:lineRule="auto"/>
        <w:jc w:val="center"/>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br w:type="page"/>
      </w:r>
      <w:bookmarkStart w:id="1048" w:name="_Toc29487"/>
      <w:bookmarkStart w:id="1049" w:name="_Toc4350"/>
      <w:bookmarkStart w:id="1050" w:name="_Toc2928"/>
      <w:bookmarkStart w:id="1051" w:name="_Toc3111"/>
      <w:bookmarkStart w:id="1052" w:name="_Toc25279"/>
      <w:bookmarkStart w:id="1053" w:name="_Toc29684"/>
      <w:bookmarkStart w:id="1054" w:name="_Toc26904"/>
      <w:r>
        <w:rPr>
          <w:rFonts w:hint="eastAsia" w:ascii="Times New Roman" w:hAnsi="Times New Roman"/>
          <w:color w:val="auto"/>
          <w:sz w:val="24"/>
          <w:szCs w:val="24"/>
          <w:highlight w:val="none"/>
        </w:rPr>
        <w:t>二、法定代表人身份证明或授权委托书</w:t>
      </w:r>
      <w:bookmarkEnd w:id="1043"/>
      <w:bookmarkEnd w:id="1044"/>
      <w:bookmarkEnd w:id="1045"/>
      <w:bookmarkEnd w:id="1046"/>
      <w:bookmarkEnd w:id="1048"/>
      <w:bookmarkEnd w:id="1049"/>
      <w:bookmarkEnd w:id="1050"/>
      <w:bookmarkEnd w:id="1051"/>
      <w:bookmarkEnd w:id="1052"/>
      <w:bookmarkEnd w:id="1053"/>
      <w:bookmarkEnd w:id="1054"/>
    </w:p>
    <w:p w14:paraId="308ACB6C">
      <w:pPr>
        <w:spacing w:before="240" w:beforeLines="100" w:after="240" w:afterLines="100"/>
        <w:jc w:val="center"/>
        <w:outlineLvl w:val="3"/>
        <w:rPr>
          <w:rFonts w:hint="eastAsia" w:ascii="Times New Roman" w:eastAsia="黑体"/>
          <w:color w:val="auto"/>
          <w:sz w:val="24"/>
          <w:szCs w:val="24"/>
          <w:highlight w:val="none"/>
        </w:rPr>
      </w:pPr>
      <w:bookmarkStart w:id="1055" w:name="_Toc24328"/>
      <w:bookmarkStart w:id="1056" w:name="_Toc23623"/>
      <w:bookmarkStart w:id="1057" w:name="_Toc24208"/>
      <w:bookmarkStart w:id="1058" w:name="_Toc4984"/>
      <w:bookmarkStart w:id="1059" w:name="_Toc18362"/>
      <w:bookmarkStart w:id="1060" w:name="_Toc29164"/>
      <w:bookmarkStart w:id="1061" w:name="_Toc20048"/>
      <w:bookmarkStart w:id="1062" w:name="_Toc6338"/>
      <w:r>
        <w:rPr>
          <w:rFonts w:hint="eastAsia" w:ascii="Times New Roman" w:eastAsia="黑体"/>
          <w:color w:val="auto"/>
          <w:sz w:val="24"/>
          <w:szCs w:val="24"/>
          <w:highlight w:val="none"/>
        </w:rPr>
        <w:t>法定代表人身份证明</w:t>
      </w:r>
      <w:bookmarkEnd w:id="1055"/>
      <w:bookmarkEnd w:id="1056"/>
      <w:bookmarkEnd w:id="1057"/>
      <w:bookmarkEnd w:id="1058"/>
      <w:bookmarkEnd w:id="1059"/>
      <w:bookmarkEnd w:id="1060"/>
      <w:bookmarkEnd w:id="1061"/>
      <w:bookmarkEnd w:id="1062"/>
    </w:p>
    <w:p w14:paraId="366CBDE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投 标 人：</w:t>
      </w:r>
      <w:r>
        <w:rPr>
          <w:rFonts w:hint="eastAsia" w:ascii="Times New Roman"/>
          <w:color w:val="auto"/>
          <w:sz w:val="24"/>
          <w:szCs w:val="21"/>
          <w:highlight w:val="none"/>
          <w:u w:val="single"/>
        </w:rPr>
        <w:t xml:space="preserve">                                                      </w:t>
      </w:r>
    </w:p>
    <w:p w14:paraId="5125B21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单位性质：</w:t>
      </w:r>
      <w:r>
        <w:rPr>
          <w:rFonts w:hint="eastAsia" w:ascii="Times New Roman"/>
          <w:color w:val="auto"/>
          <w:sz w:val="24"/>
          <w:szCs w:val="21"/>
          <w:highlight w:val="none"/>
          <w:u w:val="single"/>
        </w:rPr>
        <w:t xml:space="preserve">                                                      </w:t>
      </w:r>
    </w:p>
    <w:p w14:paraId="29B11AD9">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地    址：</w:t>
      </w:r>
      <w:r>
        <w:rPr>
          <w:rFonts w:hint="eastAsia" w:ascii="Times New Roman"/>
          <w:color w:val="auto"/>
          <w:sz w:val="24"/>
          <w:szCs w:val="21"/>
          <w:highlight w:val="none"/>
          <w:u w:val="single"/>
        </w:rPr>
        <w:t xml:space="preserve">                                                      </w:t>
      </w:r>
    </w:p>
    <w:p w14:paraId="474507B0">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成立时间：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175D8CC0">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经营期限：</w:t>
      </w:r>
      <w:r>
        <w:rPr>
          <w:rFonts w:hint="eastAsia" w:ascii="Times New Roman"/>
          <w:color w:val="auto"/>
          <w:sz w:val="24"/>
          <w:szCs w:val="21"/>
          <w:highlight w:val="none"/>
          <w:u w:val="single"/>
        </w:rPr>
        <w:t xml:space="preserve">                                                      </w:t>
      </w:r>
    </w:p>
    <w:p w14:paraId="6C6CC1C3">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姓    名：</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性        别：</w:t>
      </w:r>
      <w:r>
        <w:rPr>
          <w:rFonts w:hint="eastAsia" w:ascii="Times New Roman"/>
          <w:color w:val="auto"/>
          <w:sz w:val="24"/>
          <w:szCs w:val="21"/>
          <w:highlight w:val="none"/>
          <w:u w:val="single"/>
        </w:rPr>
        <w:t xml:space="preserve">              </w:t>
      </w:r>
    </w:p>
    <w:p w14:paraId="5E74CC59">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年    龄：</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职        务：</w:t>
      </w:r>
      <w:r>
        <w:rPr>
          <w:rFonts w:hint="eastAsia" w:ascii="Times New Roman"/>
          <w:color w:val="auto"/>
          <w:sz w:val="24"/>
          <w:szCs w:val="21"/>
          <w:highlight w:val="none"/>
          <w:u w:val="single"/>
        </w:rPr>
        <w:t xml:space="preserve">              </w:t>
      </w:r>
    </w:p>
    <w:p w14:paraId="1BF7A70B">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联系电话：</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手 机  号 码：</w:t>
      </w:r>
      <w:r>
        <w:rPr>
          <w:rFonts w:hint="eastAsia" w:ascii="Times New Roman"/>
          <w:color w:val="auto"/>
          <w:sz w:val="24"/>
          <w:szCs w:val="21"/>
          <w:highlight w:val="none"/>
          <w:u w:val="single"/>
        </w:rPr>
        <w:t xml:space="preserve">              </w:t>
      </w:r>
    </w:p>
    <w:p w14:paraId="0082867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系</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（投标人名称）的法定代表人。</w:t>
      </w:r>
    </w:p>
    <w:p w14:paraId="6FFCA44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特此证明。</w:t>
      </w:r>
    </w:p>
    <w:p w14:paraId="5A894FCE">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附：法定代表人身份证正反面扫描件</w:t>
      </w:r>
    </w:p>
    <w:p w14:paraId="4E92C4DF">
      <w:pPr>
        <w:spacing w:beforeLines="0" w:afterLines="0" w:line="360" w:lineRule="auto"/>
        <w:rPr>
          <w:rFonts w:hint="eastAsia" w:ascii="Times New Roman"/>
          <w:color w:val="auto"/>
          <w:sz w:val="24"/>
          <w:szCs w:val="21"/>
          <w:highlight w:val="none"/>
        </w:rPr>
      </w:pPr>
    </w:p>
    <w:p w14:paraId="75799609">
      <w:pPr>
        <w:spacing w:beforeLines="0" w:afterLines="0" w:line="360" w:lineRule="auto"/>
        <w:jc w:val="right"/>
        <w:rPr>
          <w:rFonts w:hint="eastAsia" w:ascii="Times New Roman"/>
          <w:color w:val="auto"/>
          <w:sz w:val="24"/>
          <w:szCs w:val="21"/>
          <w:highlight w:val="none"/>
        </w:rPr>
      </w:pPr>
    </w:p>
    <w:p w14:paraId="13536222">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69AF2B12">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bookmarkEnd w:id="1047"/>
    <w:p w14:paraId="7EBFF76D">
      <w:pPr>
        <w:spacing w:before="240" w:beforeLines="100" w:after="240" w:afterLines="100"/>
        <w:jc w:val="center"/>
        <w:outlineLvl w:val="3"/>
        <w:rPr>
          <w:rFonts w:hint="eastAsia" w:ascii="Times New Roman" w:eastAsia="黑体"/>
          <w:color w:val="auto"/>
          <w:sz w:val="24"/>
          <w:szCs w:val="24"/>
          <w:highlight w:val="none"/>
        </w:rPr>
      </w:pPr>
      <w:bookmarkStart w:id="1063" w:name="_Toc5896"/>
      <w:bookmarkStart w:id="1064" w:name="_Toc535241130"/>
      <w:bookmarkStart w:id="1065" w:name="_Toc31832"/>
      <w:bookmarkStart w:id="1066" w:name="_Toc28704"/>
      <w:bookmarkStart w:id="1067" w:name="_Toc535241227"/>
      <w:bookmarkStart w:id="1068" w:name="_Toc27563"/>
      <w:bookmarkStart w:id="1069" w:name="_Toc535241084"/>
      <w:bookmarkStart w:id="1070" w:name="_Toc25049"/>
      <w:bookmarkStart w:id="1071" w:name="_Toc224103497"/>
      <w:bookmarkStart w:id="1072" w:name="_Toc224103498"/>
      <w:r>
        <w:rPr>
          <w:rFonts w:hint="eastAsia" w:ascii="Times New Roman" w:eastAsia="黑体"/>
          <w:color w:val="auto"/>
          <w:sz w:val="24"/>
          <w:szCs w:val="24"/>
          <w:highlight w:val="none"/>
        </w:rPr>
        <w:br w:type="page"/>
      </w:r>
      <w:bookmarkStart w:id="1073" w:name="_Toc27467"/>
      <w:bookmarkStart w:id="1074" w:name="_Toc30713"/>
      <w:bookmarkStart w:id="1075" w:name="_Toc20300"/>
      <w:r>
        <w:rPr>
          <w:rFonts w:hint="eastAsia" w:ascii="Times New Roman" w:eastAsia="黑体"/>
          <w:color w:val="auto"/>
          <w:sz w:val="24"/>
          <w:szCs w:val="24"/>
          <w:highlight w:val="none"/>
        </w:rPr>
        <w:t>授权委托书</w:t>
      </w:r>
      <w:bookmarkEnd w:id="1063"/>
      <w:bookmarkEnd w:id="1064"/>
      <w:bookmarkEnd w:id="1065"/>
      <w:bookmarkEnd w:id="1066"/>
      <w:bookmarkEnd w:id="1067"/>
      <w:bookmarkEnd w:id="1068"/>
      <w:bookmarkEnd w:id="1069"/>
      <w:bookmarkEnd w:id="1070"/>
      <w:bookmarkEnd w:id="1073"/>
      <w:bookmarkEnd w:id="1074"/>
      <w:bookmarkEnd w:id="1075"/>
    </w:p>
    <w:p w14:paraId="5E77CC0A">
      <w:pPr>
        <w:snapToGrid w:val="0"/>
        <w:spacing w:beforeLines="0" w:afterLines="0" w:line="360" w:lineRule="auto"/>
        <w:ind w:firstLine="480" w:firstLineChars="200"/>
        <w:jc w:val="left"/>
        <w:rPr>
          <w:rFonts w:hint="eastAsia" w:ascii="Times New Roman"/>
          <w:color w:val="auto"/>
          <w:sz w:val="24"/>
          <w:szCs w:val="21"/>
          <w:highlight w:val="none"/>
        </w:rPr>
      </w:pPr>
      <w:r>
        <w:rPr>
          <w:rFonts w:hint="eastAsia" w:ascii="Times New Roman"/>
          <w:color w:val="auto"/>
          <w:sz w:val="24"/>
          <w:szCs w:val="21"/>
          <w:highlight w:val="none"/>
        </w:rPr>
        <w:t>本人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（姓名）系</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（投标人名称）的法定代表人，现委托</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（姓名）为我方代理人。代理人根据授权，以我方名义签署、澄清、说明、补正、递交、撤回、修改</w:t>
      </w:r>
      <w:r>
        <w:rPr>
          <w:rFonts w:hint="eastAsia" w:ascii="Times New Roman"/>
          <w:color w:val="auto"/>
          <w:sz w:val="24"/>
          <w:szCs w:val="22"/>
          <w:highlight w:val="none"/>
          <w:u w:val="single"/>
        </w:rPr>
        <w:t>（招标项目名称）</w:t>
      </w:r>
      <w:r>
        <w:rPr>
          <w:rFonts w:hint="eastAsia" w:ascii="Times New Roman"/>
          <w:color w:val="auto"/>
          <w:sz w:val="24"/>
          <w:szCs w:val="22"/>
          <w:highlight w:val="none"/>
        </w:rPr>
        <w:t xml:space="preserve"> </w:t>
      </w:r>
      <w:r>
        <w:rPr>
          <w:rFonts w:hint="eastAsia" w:ascii="Times New Roman"/>
          <w:color w:val="auto"/>
          <w:sz w:val="24"/>
          <w:szCs w:val="22"/>
          <w:highlight w:val="none"/>
          <w:u w:val="single"/>
        </w:rPr>
        <w:t xml:space="preserve">  </w:t>
      </w:r>
      <w:r>
        <w:rPr>
          <w:rFonts w:hint="eastAsia" w:ascii="Times New Roman"/>
          <w:color w:val="auto"/>
          <w:sz w:val="24"/>
          <w:szCs w:val="22"/>
          <w:highlight w:val="none"/>
          <w:u w:val="single"/>
          <w:lang w:val="en-US" w:eastAsia="zh-CN"/>
        </w:rPr>
        <w:t>/</w:t>
      </w:r>
      <w:r>
        <w:rPr>
          <w:rFonts w:hint="eastAsia" w:ascii="Times New Roman"/>
          <w:color w:val="auto"/>
          <w:sz w:val="24"/>
          <w:szCs w:val="22"/>
          <w:highlight w:val="none"/>
          <w:u w:val="single"/>
        </w:rPr>
        <w:t xml:space="preserve">    </w:t>
      </w:r>
      <w:r>
        <w:rPr>
          <w:rFonts w:hint="eastAsia" w:ascii="Times New Roman"/>
          <w:color w:val="auto"/>
          <w:sz w:val="24"/>
          <w:szCs w:val="22"/>
          <w:highlight w:val="none"/>
        </w:rPr>
        <w:t>标段</w:t>
      </w:r>
      <w:r>
        <w:rPr>
          <w:rFonts w:hint="eastAsia" w:ascii="Times New Roman"/>
          <w:color w:val="auto"/>
          <w:sz w:val="24"/>
          <w:szCs w:val="21"/>
          <w:highlight w:val="none"/>
        </w:rPr>
        <w:t>施工投标文件、签订合同和处理有关事宜，其法律后果由我方承担。</w:t>
      </w:r>
    </w:p>
    <w:p w14:paraId="498A4F18">
      <w:pPr>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委托期限：</w:t>
      </w:r>
      <w:r>
        <w:rPr>
          <w:rFonts w:hint="eastAsia" w:ascii="Times New Roman"/>
          <w:color w:val="auto"/>
          <w:sz w:val="24"/>
          <w:szCs w:val="21"/>
          <w:highlight w:val="none"/>
          <w:u w:val="single"/>
        </w:rPr>
        <w:t>自本委托书签署之日起至投标有效期期满</w:t>
      </w:r>
      <w:r>
        <w:rPr>
          <w:rFonts w:hint="eastAsia" w:ascii="Times New Roman"/>
          <w:color w:val="auto"/>
          <w:sz w:val="24"/>
          <w:szCs w:val="21"/>
          <w:highlight w:val="none"/>
        </w:rPr>
        <w:t>。</w:t>
      </w:r>
    </w:p>
    <w:p w14:paraId="4710CDD0">
      <w:pPr>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代理人无转委托权。</w:t>
      </w:r>
    </w:p>
    <w:p w14:paraId="401A1865">
      <w:pPr>
        <w:snapToGrid w:val="0"/>
        <w:spacing w:beforeLines="0" w:afterLines="0" w:line="360" w:lineRule="auto"/>
        <w:ind w:firstLine="480" w:firstLineChars="200"/>
        <w:rPr>
          <w:rFonts w:hint="eastAsia" w:ascii="Times New Roman" w:eastAsia="Times New Roman"/>
          <w:color w:val="auto"/>
          <w:sz w:val="24"/>
          <w:szCs w:val="21"/>
          <w:highlight w:val="none"/>
        </w:rPr>
      </w:pPr>
      <w:r>
        <w:rPr>
          <w:rFonts w:hint="eastAsia" w:ascii="Times New Roman"/>
          <w:color w:val="auto"/>
          <w:sz w:val="24"/>
          <w:szCs w:val="21"/>
          <w:highlight w:val="none"/>
        </w:rPr>
        <w:t>附：法定代表人身份证正反面扫描件</w:t>
      </w:r>
    </w:p>
    <w:p w14:paraId="596A789D">
      <w:pPr>
        <w:snapToGrid w:val="0"/>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 xml:space="preserve">    代理人身份证正反面扫描件</w:t>
      </w:r>
    </w:p>
    <w:p w14:paraId="6D6FCFE1">
      <w:pPr>
        <w:spacing w:beforeLines="0" w:afterLines="0" w:line="360" w:lineRule="auto"/>
        <w:rPr>
          <w:rFonts w:hint="eastAsia" w:ascii="Times New Roman"/>
          <w:color w:val="auto"/>
          <w:sz w:val="24"/>
          <w:szCs w:val="21"/>
          <w:highlight w:val="none"/>
        </w:rPr>
      </w:pPr>
    </w:p>
    <w:p w14:paraId="75DABE34">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6E616C45">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（签字或盖章）</w:t>
      </w:r>
    </w:p>
    <w:p w14:paraId="0971EA6E">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7ADD8989">
      <w:pPr>
        <w:tabs>
          <w:tab w:val="left" w:pos="5760"/>
        </w:tabs>
        <w:autoSpaceDE w:val="0"/>
        <w:autoSpaceDN w:val="0"/>
        <w:adjustRightInd w:val="0"/>
        <w:spacing w:beforeLines="0" w:afterLines="0" w:line="360" w:lineRule="auto"/>
        <w:ind w:right="11" w:firstLine="480" w:firstLineChars="200"/>
        <w:rPr>
          <w:rFonts w:hint="eastAsia" w:ascii="Times New Roman" w:eastAsia="Times New Roman"/>
          <w:color w:val="auto"/>
          <w:sz w:val="24"/>
          <w:szCs w:val="22"/>
          <w:highlight w:val="none"/>
        </w:rPr>
      </w:pPr>
      <w:r>
        <w:rPr>
          <w:rFonts w:hint="eastAsia" w:ascii="Times New Roman"/>
          <w:color w:val="auto"/>
          <w:sz w:val="24"/>
          <w:szCs w:val="22"/>
          <w:highlight w:val="none"/>
        </w:rPr>
        <w:t>注：</w:t>
      </w:r>
    </w:p>
    <w:p w14:paraId="00620861">
      <w:pPr>
        <w:tabs>
          <w:tab w:val="left" w:pos="5760"/>
        </w:tabs>
        <w:autoSpaceDE w:val="0"/>
        <w:autoSpaceDN w:val="0"/>
        <w:adjustRightInd w:val="0"/>
        <w:spacing w:beforeLines="0" w:afterLines="0" w:line="360" w:lineRule="auto"/>
        <w:ind w:right="11" w:firstLine="480" w:firstLineChars="200"/>
        <w:rPr>
          <w:rFonts w:hint="eastAsia" w:ascii="Times New Roman" w:eastAsia="Times New Roman"/>
          <w:color w:val="auto"/>
          <w:sz w:val="24"/>
          <w:szCs w:val="22"/>
          <w:highlight w:val="none"/>
        </w:rPr>
      </w:pPr>
      <w:r>
        <w:rPr>
          <w:rFonts w:hint="eastAsia" w:ascii="Times New Roman"/>
          <w:color w:val="auto"/>
          <w:sz w:val="24"/>
          <w:szCs w:val="22"/>
          <w:highlight w:val="none"/>
        </w:rPr>
        <w:t>法定代表人参加投标活动并签署文件的不需要授权委托书，只需提供法定代表人身份证明；</w:t>
      </w:r>
    </w:p>
    <w:p w14:paraId="5F6CDE06">
      <w:pPr>
        <w:tabs>
          <w:tab w:val="left" w:pos="5760"/>
        </w:tabs>
        <w:autoSpaceDE w:val="0"/>
        <w:autoSpaceDN w:val="0"/>
        <w:adjustRightInd w:val="0"/>
        <w:spacing w:beforeLines="0" w:afterLines="0" w:line="360" w:lineRule="auto"/>
        <w:ind w:right="11" w:firstLine="480" w:firstLineChars="200"/>
        <w:rPr>
          <w:rFonts w:hint="eastAsia" w:ascii="Times New Roman" w:eastAsia="Times New Roman"/>
          <w:color w:val="auto"/>
          <w:sz w:val="24"/>
          <w:szCs w:val="22"/>
          <w:highlight w:val="none"/>
        </w:rPr>
      </w:pPr>
      <w:r>
        <w:rPr>
          <w:rFonts w:hint="eastAsia" w:ascii="Times New Roman"/>
          <w:color w:val="auto"/>
          <w:sz w:val="24"/>
          <w:szCs w:val="22"/>
          <w:highlight w:val="none"/>
        </w:rPr>
        <w:t>非法定代表人参加投标活动及签署文件的还须提供授权委托书。</w:t>
      </w:r>
      <w:bookmarkEnd w:id="1071"/>
      <w:bookmarkEnd w:id="1072"/>
      <w:bookmarkStart w:id="1076" w:name="_Toc390411622"/>
      <w:bookmarkStart w:id="1077" w:name="_Toc460227109"/>
      <w:bookmarkStart w:id="1078" w:name="_Toc421917002"/>
      <w:bookmarkStart w:id="1079" w:name="_Toc460660224"/>
      <w:bookmarkStart w:id="1080" w:name="_Toc224103499"/>
    </w:p>
    <w:p w14:paraId="6C75EDF1">
      <w:pPr>
        <w:pStyle w:val="4"/>
        <w:spacing w:before="240" w:beforeLines="100" w:after="240" w:afterLines="100" w:line="240" w:lineRule="auto"/>
        <w:jc w:val="center"/>
        <w:rPr>
          <w:rFonts w:hint="eastAsia" w:ascii="Times New Roman" w:hAnsi="Times New Roman"/>
          <w:color w:val="auto"/>
          <w:sz w:val="24"/>
          <w:szCs w:val="24"/>
          <w:highlight w:val="none"/>
        </w:rPr>
      </w:pPr>
      <w:r>
        <w:rPr>
          <w:rFonts w:hint="eastAsia" w:ascii="Times New Roman" w:hAnsi="Times New Roman" w:eastAsia="Times New Roman"/>
          <w:color w:val="auto"/>
          <w:sz w:val="24"/>
          <w:szCs w:val="22"/>
          <w:highlight w:val="none"/>
        </w:rPr>
        <w:br w:type="page"/>
      </w:r>
      <w:bookmarkStart w:id="1081" w:name="_Toc535241085"/>
      <w:bookmarkStart w:id="1082" w:name="_Toc16715"/>
      <w:bookmarkStart w:id="1083" w:name="_Toc21940"/>
      <w:bookmarkStart w:id="1084" w:name="_Toc13825"/>
      <w:bookmarkStart w:id="1085" w:name="_Toc535241131"/>
      <w:bookmarkStart w:id="1086" w:name="_Toc535241228"/>
      <w:bookmarkStart w:id="1087" w:name="_Toc3270"/>
      <w:bookmarkStart w:id="1088" w:name="_Toc22168"/>
      <w:bookmarkStart w:id="1089" w:name="_Toc31481"/>
      <w:bookmarkStart w:id="1090" w:name="_Toc11722"/>
      <w:bookmarkStart w:id="1091" w:name="_Toc9840"/>
      <w:r>
        <w:rPr>
          <w:rFonts w:hint="eastAsia" w:ascii="Times New Roman" w:hAnsi="Times New Roman"/>
          <w:color w:val="auto"/>
          <w:sz w:val="24"/>
          <w:szCs w:val="24"/>
          <w:highlight w:val="none"/>
        </w:rPr>
        <w:t>三、联合体协议书</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Pr>
          <w:rFonts w:hint="eastAsia" w:ascii="Times New Roman" w:hAnsi="Times New Roman"/>
          <w:color w:val="auto"/>
          <w:sz w:val="24"/>
          <w:szCs w:val="24"/>
          <w:highlight w:val="none"/>
        </w:rPr>
        <w:t>（如有）</w:t>
      </w:r>
    </w:p>
    <w:p w14:paraId="3DA2B162">
      <w:pPr>
        <w:spacing w:beforeLines="0" w:afterLines="0" w:line="360" w:lineRule="auto"/>
        <w:rPr>
          <w:rFonts w:hint="eastAsia" w:ascii="Times New Roman"/>
          <w:color w:val="auto"/>
          <w:sz w:val="24"/>
          <w:szCs w:val="21"/>
          <w:highlight w:val="none"/>
        </w:rPr>
      </w:pPr>
      <w:bookmarkStart w:id="1092" w:name="_Toc460227110"/>
      <w:bookmarkStart w:id="1093" w:name="_Toc460660225"/>
      <w:r>
        <w:rPr>
          <w:rFonts w:hint="eastAsia" w:ascii="Times New Roman"/>
          <w:color w:val="auto"/>
          <w:sz w:val="24"/>
          <w:szCs w:val="21"/>
          <w:highlight w:val="none"/>
        </w:rPr>
        <w:t>牵头人（成员一）名称：</w:t>
      </w:r>
      <w:r>
        <w:rPr>
          <w:rFonts w:hint="eastAsia" w:ascii="Times New Roman"/>
          <w:color w:val="auto"/>
          <w:sz w:val="24"/>
          <w:szCs w:val="21"/>
          <w:highlight w:val="none"/>
          <w:u w:val="single"/>
        </w:rPr>
        <w:t xml:space="preserve">                                        </w:t>
      </w:r>
    </w:p>
    <w:p w14:paraId="4660CE65">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p>
    <w:p w14:paraId="246D07B5">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法定住所：</w:t>
      </w:r>
      <w:r>
        <w:rPr>
          <w:rFonts w:hint="eastAsia" w:ascii="Times New Roman"/>
          <w:color w:val="auto"/>
          <w:sz w:val="24"/>
          <w:szCs w:val="21"/>
          <w:highlight w:val="none"/>
          <w:u w:val="single"/>
        </w:rPr>
        <w:t xml:space="preserve">                                                    </w:t>
      </w:r>
    </w:p>
    <w:p w14:paraId="4B05CE9F">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成员二名称：</w:t>
      </w:r>
      <w:r>
        <w:rPr>
          <w:rFonts w:hint="eastAsia" w:ascii="Times New Roman"/>
          <w:color w:val="auto"/>
          <w:sz w:val="24"/>
          <w:szCs w:val="21"/>
          <w:highlight w:val="none"/>
          <w:u w:val="single"/>
        </w:rPr>
        <w:t xml:space="preserve">                                                  </w:t>
      </w:r>
    </w:p>
    <w:p w14:paraId="0279A233">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p>
    <w:p w14:paraId="29DA0F46">
      <w:pPr>
        <w:spacing w:beforeLines="0" w:afterLines="0" w:line="360" w:lineRule="auto"/>
        <w:rPr>
          <w:rFonts w:hint="eastAsia" w:ascii="Times New Roman"/>
          <w:color w:val="auto"/>
          <w:sz w:val="24"/>
          <w:szCs w:val="21"/>
          <w:highlight w:val="none"/>
          <w:u w:val="single"/>
        </w:rPr>
      </w:pPr>
      <w:r>
        <w:rPr>
          <w:rFonts w:hint="eastAsia" w:ascii="Times New Roman"/>
          <w:color w:val="auto"/>
          <w:sz w:val="24"/>
          <w:szCs w:val="21"/>
          <w:highlight w:val="none"/>
        </w:rPr>
        <w:t>法定住所：</w:t>
      </w:r>
      <w:r>
        <w:rPr>
          <w:rFonts w:hint="eastAsia" w:ascii="Times New Roman"/>
          <w:color w:val="auto"/>
          <w:sz w:val="24"/>
          <w:szCs w:val="21"/>
          <w:highlight w:val="none"/>
          <w:u w:val="single"/>
        </w:rPr>
        <w:t xml:space="preserve">                                                    </w:t>
      </w:r>
    </w:p>
    <w:p w14:paraId="7E2AF8DA">
      <w:pPr>
        <w:spacing w:beforeLines="0" w:afterLines="0" w:line="360" w:lineRule="auto"/>
        <w:ind w:firstLine="600" w:firstLineChars="250"/>
        <w:rPr>
          <w:rFonts w:hint="eastAsia" w:ascii="Times New Roman"/>
          <w:color w:val="auto"/>
          <w:sz w:val="24"/>
          <w:szCs w:val="21"/>
          <w:highlight w:val="none"/>
        </w:rPr>
      </w:pPr>
      <w:r>
        <w:rPr>
          <w:rFonts w:hint="eastAsia" w:ascii="Times New Roman"/>
          <w:color w:val="auto"/>
          <w:sz w:val="24"/>
          <w:szCs w:val="21"/>
          <w:highlight w:val="none"/>
        </w:rPr>
        <w:t>……</w:t>
      </w:r>
    </w:p>
    <w:p w14:paraId="1D4EF427">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鉴于上述各成员单位经过友好协商，自愿组成</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（联合体名称）联合体，共同参加</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（招标人名称）（以下简称招标人）</w:t>
      </w:r>
      <w:r>
        <w:rPr>
          <w:rFonts w:hint="eastAsia" w:ascii="Times New Roman"/>
          <w:color w:val="auto"/>
          <w:sz w:val="24"/>
          <w:szCs w:val="22"/>
          <w:highlight w:val="none"/>
          <w:u w:val="single"/>
        </w:rPr>
        <w:t>（招标项目名称）</w:t>
      </w:r>
      <w:r>
        <w:rPr>
          <w:rFonts w:hint="eastAsia" w:ascii="Times New Roman"/>
          <w:color w:val="auto"/>
          <w:sz w:val="24"/>
          <w:szCs w:val="22"/>
          <w:highlight w:val="none"/>
        </w:rPr>
        <w:t xml:space="preserve"> </w:t>
      </w:r>
      <w:r>
        <w:rPr>
          <w:rFonts w:hint="eastAsia" w:ascii="Times New Roman"/>
          <w:color w:val="auto"/>
          <w:sz w:val="24"/>
          <w:szCs w:val="22"/>
          <w:highlight w:val="none"/>
          <w:u w:val="single"/>
        </w:rPr>
        <w:t xml:space="preserve">      </w:t>
      </w:r>
      <w:r>
        <w:rPr>
          <w:rFonts w:hint="eastAsia" w:ascii="Times New Roman"/>
          <w:color w:val="auto"/>
          <w:sz w:val="24"/>
          <w:szCs w:val="22"/>
          <w:highlight w:val="none"/>
        </w:rPr>
        <w:t>标段</w:t>
      </w:r>
      <w:r>
        <w:rPr>
          <w:rFonts w:hint="eastAsia" w:ascii="Times New Roman"/>
          <w:color w:val="auto"/>
          <w:sz w:val="24"/>
          <w:szCs w:val="21"/>
          <w:highlight w:val="none"/>
        </w:rPr>
        <w:t>（以下简称本工程）的施工投标并争取赢得本工程施工承包合同（以下简称合同）。现就联合体投标事宜订立如下协议：</w:t>
      </w:r>
    </w:p>
    <w:p w14:paraId="0332B30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（某成员单位名称）为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（联合体名称）牵头人。</w:t>
      </w:r>
    </w:p>
    <w:p w14:paraId="1EBEFB9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7AA8F98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6D0EE0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4．联合体各成员单位的职责分工如下：</w:t>
      </w:r>
    </w:p>
    <w:p w14:paraId="19A242E2">
      <w:pPr>
        <w:spacing w:beforeLines="0" w:afterLines="0" w:line="360" w:lineRule="auto"/>
        <w:ind w:firstLine="480" w:firstLineChars="200"/>
        <w:rPr>
          <w:rFonts w:hint="eastAsia" w:ascii="Times New Roman"/>
          <w:snapToGrid w:val="0"/>
          <w:color w:val="auto"/>
          <w:sz w:val="24"/>
          <w:szCs w:val="21"/>
          <w:highlight w:val="none"/>
        </w:rPr>
      </w:pPr>
      <w:r>
        <w:rPr>
          <w:rFonts w:hint="eastAsia" w:ascii="Times New Roman"/>
          <w:snapToGrid w:val="0"/>
          <w:color w:val="auto"/>
          <w:sz w:val="24"/>
          <w:szCs w:val="21"/>
          <w:highlight w:val="none"/>
        </w:rPr>
        <w:t>牵头人（成员一）名称：</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，具有</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资格，承担</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w:t>
      </w:r>
    </w:p>
    <w:p w14:paraId="10BAC426">
      <w:pPr>
        <w:spacing w:beforeLines="0" w:afterLines="0" w:line="360" w:lineRule="auto"/>
        <w:ind w:firstLine="480" w:firstLineChars="200"/>
        <w:rPr>
          <w:rFonts w:hint="eastAsia" w:ascii="Times New Roman"/>
          <w:snapToGrid w:val="0"/>
          <w:color w:val="auto"/>
          <w:sz w:val="24"/>
          <w:szCs w:val="21"/>
          <w:highlight w:val="none"/>
        </w:rPr>
      </w:pPr>
      <w:r>
        <w:rPr>
          <w:rFonts w:hint="eastAsia" w:ascii="Times New Roman"/>
          <w:snapToGrid w:val="0"/>
          <w:color w:val="auto"/>
          <w:sz w:val="24"/>
          <w:szCs w:val="21"/>
          <w:highlight w:val="none"/>
        </w:rPr>
        <w:t>成员二名称：</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 xml:space="preserve"> ，具有</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资格，承担</w:t>
      </w:r>
      <w:r>
        <w:rPr>
          <w:rFonts w:hint="eastAsia" w:ascii="Times New Roman"/>
          <w:snapToGrid w:val="0"/>
          <w:color w:val="auto"/>
          <w:sz w:val="24"/>
          <w:szCs w:val="21"/>
          <w:highlight w:val="none"/>
          <w:u w:val="single"/>
        </w:rPr>
        <w:t xml:space="preserve">       </w:t>
      </w:r>
      <w:r>
        <w:rPr>
          <w:rFonts w:hint="eastAsia" w:ascii="Times New Roman"/>
          <w:snapToGrid w:val="0"/>
          <w:color w:val="auto"/>
          <w:sz w:val="24"/>
          <w:szCs w:val="21"/>
          <w:highlight w:val="none"/>
        </w:rPr>
        <w:t>；</w:t>
      </w:r>
    </w:p>
    <w:p w14:paraId="750A7719">
      <w:pPr>
        <w:spacing w:beforeLines="0" w:afterLines="0" w:line="360" w:lineRule="auto"/>
        <w:ind w:firstLine="480" w:firstLineChars="200"/>
        <w:rPr>
          <w:rFonts w:hint="eastAsia" w:ascii="Times New Roman"/>
          <w:snapToGrid w:val="0"/>
          <w:color w:val="auto"/>
          <w:sz w:val="24"/>
          <w:szCs w:val="21"/>
          <w:highlight w:val="none"/>
        </w:rPr>
      </w:pPr>
      <w:r>
        <w:rPr>
          <w:rFonts w:hint="eastAsia" w:ascii="Times New Roman"/>
          <w:snapToGrid w:val="0"/>
          <w:color w:val="auto"/>
          <w:sz w:val="24"/>
          <w:szCs w:val="21"/>
          <w:highlight w:val="none"/>
        </w:rPr>
        <w:t>……。</w:t>
      </w:r>
    </w:p>
    <w:p w14:paraId="75F8C6F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5．投标工作和联合体在中标后工程实施过程中的有关费用按照各自承担的工作量分摊。</w:t>
      </w:r>
    </w:p>
    <w:p w14:paraId="7E12CAAF">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6．联合体中标后，本联合体协议是合同的附件，对联合体各成员单位有合同约束力。</w:t>
      </w:r>
    </w:p>
    <w:p w14:paraId="796735E1">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7．本协议书自签署之日起生效，联合体未中标或者合同履行完毕后自动失效。</w:t>
      </w:r>
    </w:p>
    <w:p w14:paraId="7B23DC0A">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8．本协议书一式</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份，联合体成员和招标人各执一份。</w:t>
      </w:r>
    </w:p>
    <w:p w14:paraId="64BDC598">
      <w:pPr>
        <w:spacing w:beforeLines="0" w:afterLines="0" w:line="360" w:lineRule="auto"/>
        <w:ind w:firstLine="2040" w:firstLineChars="850"/>
        <w:rPr>
          <w:rFonts w:hint="eastAsia" w:ascii="Times New Roman"/>
          <w:color w:val="auto"/>
          <w:sz w:val="24"/>
          <w:szCs w:val="21"/>
          <w:highlight w:val="none"/>
        </w:rPr>
      </w:pPr>
    </w:p>
    <w:p w14:paraId="4DD08C8C">
      <w:pPr>
        <w:spacing w:beforeLines="0" w:afterLines="0" w:line="360" w:lineRule="auto"/>
        <w:ind w:firstLine="2040" w:firstLineChars="850"/>
        <w:rPr>
          <w:rFonts w:hint="eastAsia" w:ascii="Times New Roman"/>
          <w:color w:val="auto"/>
          <w:sz w:val="24"/>
          <w:szCs w:val="21"/>
          <w:highlight w:val="none"/>
        </w:rPr>
      </w:pPr>
      <w:r>
        <w:rPr>
          <w:rFonts w:hint="eastAsia" w:ascii="Times New Roman"/>
          <w:color w:val="auto"/>
          <w:sz w:val="24"/>
          <w:szCs w:val="21"/>
          <w:highlight w:val="none"/>
        </w:rPr>
        <w:t>牵头人（成员一）名称：</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078CF986">
      <w:pPr>
        <w:spacing w:beforeLines="0" w:afterLines="0" w:line="360" w:lineRule="auto"/>
        <w:ind w:firstLine="2040" w:firstLineChars="850"/>
        <w:rPr>
          <w:rFonts w:hint="eastAsia" w:ascii="Times New Roman"/>
          <w:color w:val="auto"/>
          <w:sz w:val="24"/>
          <w:szCs w:val="21"/>
          <w:highlight w:val="non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（签字或盖章）</w:t>
      </w:r>
    </w:p>
    <w:p w14:paraId="18312FE2">
      <w:pPr>
        <w:spacing w:beforeLines="0" w:afterLines="0" w:line="360" w:lineRule="auto"/>
        <w:ind w:firstLine="2040" w:firstLineChars="850"/>
        <w:rPr>
          <w:rFonts w:hint="eastAsia" w:ascii="Times New Roman"/>
          <w:color w:val="auto"/>
          <w:sz w:val="24"/>
          <w:szCs w:val="21"/>
          <w:highlight w:val="none"/>
        </w:rPr>
      </w:pPr>
    </w:p>
    <w:p w14:paraId="2E44B2B6">
      <w:pPr>
        <w:spacing w:beforeLines="0" w:afterLines="0" w:line="360" w:lineRule="auto"/>
        <w:ind w:firstLine="2040" w:firstLineChars="850"/>
        <w:rPr>
          <w:rFonts w:hint="eastAsia" w:ascii="Times New Roman"/>
          <w:color w:val="auto"/>
          <w:sz w:val="24"/>
          <w:szCs w:val="21"/>
          <w:highlight w:val="none"/>
        </w:rPr>
      </w:pPr>
      <w:r>
        <w:rPr>
          <w:rFonts w:hint="eastAsia" w:ascii="Times New Roman"/>
          <w:color w:val="auto"/>
          <w:sz w:val="24"/>
          <w:szCs w:val="21"/>
          <w:highlight w:val="none"/>
        </w:rPr>
        <w:t>成员二名称：</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5763B1F5">
      <w:pPr>
        <w:spacing w:beforeLines="0" w:afterLines="0" w:line="360" w:lineRule="auto"/>
        <w:ind w:firstLine="2040" w:firstLineChars="850"/>
        <w:rPr>
          <w:rFonts w:hint="eastAsia" w:ascii="Times New Roman"/>
          <w:color w:val="auto"/>
          <w:sz w:val="24"/>
          <w:szCs w:val="21"/>
          <w:highlight w:val="non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（签字或盖章）</w:t>
      </w:r>
    </w:p>
    <w:p w14:paraId="570CB280">
      <w:pPr>
        <w:spacing w:beforeLines="0" w:afterLines="0" w:line="360" w:lineRule="auto"/>
        <w:ind w:firstLine="2400" w:firstLineChars="1000"/>
        <w:rPr>
          <w:rFonts w:hint="eastAsia" w:ascii="Times New Roman"/>
          <w:color w:val="auto"/>
          <w:sz w:val="24"/>
          <w:szCs w:val="21"/>
          <w:highlight w:val="none"/>
        </w:rPr>
      </w:pPr>
      <w:r>
        <w:rPr>
          <w:rFonts w:hint="eastAsia" w:ascii="Times New Roman"/>
          <w:color w:val="auto"/>
          <w:sz w:val="24"/>
          <w:szCs w:val="21"/>
          <w:highlight w:val="none"/>
        </w:rPr>
        <w:t>……</w:t>
      </w:r>
    </w:p>
    <w:p w14:paraId="4372B552">
      <w:pPr>
        <w:spacing w:beforeLines="0" w:afterLines="0" w:line="360" w:lineRule="auto"/>
        <w:jc w:val="right"/>
        <w:rPr>
          <w:rFonts w:hint="eastAsia" w:ascii="Times New Roman"/>
          <w:color w:val="auto"/>
          <w:sz w:val="24"/>
          <w:szCs w:val="21"/>
          <w:highlight w:val="none"/>
        </w:rPr>
      </w:pP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3F2E34CB">
      <w:pPr>
        <w:snapToGrid w:val="0"/>
        <w:spacing w:beforeLines="0" w:afterLines="0" w:line="520" w:lineRule="exact"/>
        <w:ind w:firstLine="480" w:firstLineChars="200"/>
        <w:jc w:val="center"/>
        <w:rPr>
          <w:rFonts w:hint="eastAsia" w:ascii="Times New Roman" w:eastAsia="Times New Roman"/>
          <w:color w:val="auto"/>
          <w:sz w:val="32"/>
          <w:szCs w:val="32"/>
          <w:highlight w:val="none"/>
        </w:rPr>
      </w:pPr>
      <w:bookmarkStart w:id="1094" w:name="_Toc460660229"/>
      <w:bookmarkStart w:id="1095" w:name="_Toc15332"/>
      <w:bookmarkStart w:id="1096" w:name="_Toc460227114"/>
      <w:bookmarkStart w:id="1097" w:name="_Toc535241086"/>
      <w:bookmarkStart w:id="1098" w:name="_Toc535241132"/>
      <w:bookmarkStart w:id="1099" w:name="_Toc535241229"/>
      <w:r>
        <w:rPr>
          <w:rFonts w:hint="eastAsia" w:ascii="Times New Roman"/>
          <w:color w:val="auto"/>
          <w:sz w:val="24"/>
          <w:szCs w:val="24"/>
          <w:highlight w:val="none"/>
        </w:rPr>
        <w:br w:type="page"/>
      </w:r>
      <w:bookmarkEnd w:id="1094"/>
      <w:bookmarkEnd w:id="1095"/>
      <w:bookmarkEnd w:id="1096"/>
      <w:bookmarkStart w:id="1100" w:name="_Toc535241135"/>
      <w:bookmarkStart w:id="1101" w:name="_Toc535241232"/>
      <w:bookmarkStart w:id="1102" w:name="_Toc535241089"/>
      <w:r>
        <w:rPr>
          <w:rFonts w:hint="eastAsia" w:ascii="Times New Roman" w:eastAsia="方正仿宋_GB2312"/>
          <w:color w:val="auto"/>
          <w:sz w:val="32"/>
          <w:szCs w:val="32"/>
          <w:highlight w:val="none"/>
        </w:rPr>
        <w:t>投标保证金</w:t>
      </w:r>
    </w:p>
    <w:p w14:paraId="7DD8CB6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如采用现金（银行转账、银行电汇）的，系统自动抓取投标保证金提交信息，投标人应在投标文件中提供基本存款账户证明扫描件（如基本存款账户开户许可证或基本存款账户信息）。</w:t>
      </w:r>
    </w:p>
    <w:p w14:paraId="7B26CB28">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如采用纸质银行保函的，投标人应在投标文件中提供基本存款账户证明（如基本存款账户开户许可证或基本存款账户信息）、银行保函扫描件。银行保函格式见“投标保函示范文本”。</w:t>
      </w:r>
    </w:p>
    <w:p w14:paraId="11F656D4">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如采用纸质担保机构担保的，投标人须将本单位针对该项目（标段）从基本账户汇出保函费用的凭证（须载有所投项目标段编号或项目名称、投标人基本账户信息、收取该费用的保函出具单位名称及其账户信息）扫描件、基本存款账户信息（或基本账户开户许可证）扫描件、保函扫描件、融资担保机构的融资担保业务经营许可证扫描件编入投标文件中。担保机构担保格式见“投标保函示范文本”。</w:t>
      </w:r>
    </w:p>
    <w:p w14:paraId="6A2621B9">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如采用纸质保证保险的，投标人须将本单位针对该项目（标段）从基本账户汇出保证保险费用的凭证（须载有所投项目标段编号或项目名称、投标人基本账户信息、收取该费用的保证保险出具单位名称及其账户信息）扫描件、基本存款账户信息（或基本账户开户许可证）扫描件、保证保险扫描件编入投标文件中。保证保险格式见“投标保函示范文本”。</w:t>
      </w:r>
    </w:p>
    <w:p w14:paraId="2324CF57">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如采用电子保函的，系统自动抓取电子保函信息，投标文件无需提供相关证明材料。</w:t>
      </w:r>
    </w:p>
    <w:p w14:paraId="24A91B3B">
      <w:pPr>
        <w:spacing w:before="240" w:beforeLines="100" w:after="240" w:afterLines="100"/>
        <w:jc w:val="center"/>
        <w:outlineLvl w:val="3"/>
        <w:rPr>
          <w:rFonts w:hint="eastAsia" w:ascii="Times New Roman" w:eastAsia="黑体"/>
          <w:color w:val="auto"/>
          <w:sz w:val="24"/>
          <w:szCs w:val="24"/>
          <w:highlight w:val="none"/>
        </w:rPr>
      </w:pPr>
      <w:bookmarkStart w:id="1103" w:name="_Toc8851"/>
      <w:bookmarkStart w:id="1104" w:name="_Toc3980"/>
      <w:bookmarkStart w:id="1105" w:name="_Toc12410"/>
      <w:bookmarkStart w:id="1106" w:name="_Toc17295"/>
      <w:bookmarkStart w:id="1107" w:name="_Toc10421"/>
      <w:bookmarkStart w:id="1108" w:name="_Toc1718"/>
      <w:r>
        <w:rPr>
          <w:rFonts w:hint="eastAsia" w:ascii="Times New Roman" w:eastAsia="黑体"/>
          <w:color w:val="auto"/>
          <w:sz w:val="24"/>
          <w:szCs w:val="24"/>
          <w:highlight w:val="none"/>
        </w:rPr>
        <w:t>（一）投标保函示范文本</w:t>
      </w:r>
      <w:bookmarkEnd w:id="1103"/>
      <w:bookmarkEnd w:id="1104"/>
      <w:bookmarkEnd w:id="1105"/>
      <w:bookmarkEnd w:id="1106"/>
      <w:bookmarkEnd w:id="1107"/>
      <w:bookmarkEnd w:id="1108"/>
    </w:p>
    <w:p w14:paraId="25DCC915">
      <w:pPr>
        <w:tabs>
          <w:tab w:val="left" w:pos="8422"/>
          <w:tab w:val="left" w:pos="9622"/>
        </w:tabs>
        <w:spacing w:beforeLines="0" w:afterLines="0" w:line="360" w:lineRule="auto"/>
        <w:ind w:right="120" w:rightChars="50"/>
        <w:jc w:val="center"/>
        <w:rPr>
          <w:rFonts w:hint="eastAsia" w:ascii="Times New Roman"/>
          <w:color w:val="auto"/>
          <w:sz w:val="24"/>
          <w:szCs w:val="24"/>
          <w:highlight w:val="none"/>
        </w:rPr>
      </w:pPr>
      <w:bookmarkStart w:id="1109" w:name="_Toc1245"/>
      <w:bookmarkStart w:id="1110" w:name="_Toc12727"/>
      <w:r>
        <w:rPr>
          <w:rFonts w:hint="eastAsia" w:ascii="Times New Roman"/>
          <w:color w:val="auto"/>
          <w:sz w:val="24"/>
          <w:szCs w:val="24"/>
          <w:highlight w:val="none"/>
        </w:rPr>
        <w:t xml:space="preserve">                                                编号：</w:t>
      </w:r>
      <w:bookmarkEnd w:id="1109"/>
      <w:bookmarkEnd w:id="1110"/>
      <w:r>
        <w:rPr>
          <w:rFonts w:hint="eastAsia" w:ascii="Times New Roman"/>
          <w:color w:val="auto"/>
          <w:sz w:val="24"/>
          <w:szCs w:val="24"/>
          <w:highlight w:val="none"/>
          <w:u w:val="single"/>
        </w:rPr>
        <w:t xml:space="preserve">      </w:t>
      </w:r>
    </w:p>
    <w:p w14:paraId="04AFB528">
      <w:pPr>
        <w:tabs>
          <w:tab w:val="left" w:pos="8422"/>
          <w:tab w:val="left" w:pos="9622"/>
        </w:tabs>
        <w:spacing w:beforeLines="0" w:afterLines="0" w:line="360" w:lineRule="auto"/>
        <w:ind w:right="120" w:rightChars="50"/>
        <w:jc w:val="left"/>
        <w:rPr>
          <w:rFonts w:hint="eastAsia" w:ascii="Times New Roman" w:eastAsia="Times New Roman"/>
          <w:color w:val="auto"/>
          <w:sz w:val="24"/>
          <w:szCs w:val="24"/>
          <w:highlight w:val="none"/>
        </w:rPr>
      </w:pPr>
    </w:p>
    <w:p w14:paraId="424CBDD6">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致：</w:t>
      </w:r>
      <w:r>
        <w:rPr>
          <w:rFonts w:hint="eastAsia" w:ascii="Times New Roman"/>
          <w:color w:val="auto"/>
          <w:sz w:val="24"/>
          <w:szCs w:val="24"/>
          <w:highlight w:val="none"/>
          <w:u w:val="single"/>
        </w:rPr>
        <w:t>受益人（招标人）名称</w:t>
      </w:r>
    </w:p>
    <w:p w14:paraId="447F08F2">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开立人获得通知，</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（投标人）于</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年</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月</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日参加编号为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（标段编号）的</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（标段名称）投标（即“基础交易”）。</w:t>
      </w:r>
    </w:p>
    <w:p w14:paraId="57160270">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一、开立人理解根据招标条件，投标人必须提交一份投标保函（以下简称“本保函”），以担保投标人诚信履行其在上述基础交易中承担的投标人义务。鉴此，应申请人要求，开立人在此同意向受益人出具此投标保函，本保函担保金额为人民币（大写）</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元（¥</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0CF9BD92">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二、开立人在投标人发生以下情形时承担保证担保责任：</w:t>
      </w:r>
    </w:p>
    <w:p w14:paraId="6A9E2455">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（1）投标人在投标有效期内撤销投标文件；</w:t>
      </w:r>
    </w:p>
    <w:p w14:paraId="2CF8F296">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（2）投标人在中标后无正当理由不与招标人订立合同；</w:t>
      </w:r>
    </w:p>
    <w:p w14:paraId="4128FC2A">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（3）投标人在签订合同时向招标人提出附加条件；</w:t>
      </w:r>
    </w:p>
    <w:p w14:paraId="350E23F1">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（4）投标人不按照招标文件要求提交履约保证金；</w:t>
      </w:r>
    </w:p>
    <w:p w14:paraId="4C8F8B70">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（5）发生招标文件明确规定可以不予退还投标保证金的其他情形。</w:t>
      </w:r>
    </w:p>
    <w:p w14:paraId="3DD5B201">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三、本保函为不可撤销、不可转让的见索即付独立保函。本保函有效期自开立之日起至投标有效期届满之日止。</w:t>
      </w:r>
    </w:p>
    <w:p w14:paraId="6C5CFC92">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四、开立人承诺，在收到受益人发来的书面付款通知后的七日内无条件支付，前述书面付款通知即为付款要求之单据，且应满足以下要求：</w:t>
      </w:r>
    </w:p>
    <w:p w14:paraId="33B92C56">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（1）付款通知到达的日期在本保函的有效期内；</w:t>
      </w:r>
    </w:p>
    <w:p w14:paraId="52679CD5">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（2）载明要求支付的金额；</w:t>
      </w:r>
    </w:p>
    <w:p w14:paraId="5997E525">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（3）载明申请人违反招投标文件规定的义务内容和具体条款；</w:t>
      </w:r>
    </w:p>
    <w:p w14:paraId="5BF3889B">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（4）声明不存在招标文件规定或我国法律规定免除申请人或我方支付责任的情形；</w:t>
      </w:r>
    </w:p>
    <w:p w14:paraId="55B41F13">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（5）书面付款通知应在本保函有效期内到达的地址是：</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w:t>
      </w:r>
    </w:p>
    <w:p w14:paraId="1061C450">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受益人发出的书面付款通知应由其法定代表人（负责人）或授权代理人签字并加盖公章。</w:t>
      </w:r>
    </w:p>
    <w:p w14:paraId="75550F48">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 xml:space="preserve">五、本保函项下的权利不得转让，不得设定担保。受益人未经开立人书面同意转让本保函或其项下任何权利，对开立人不发生法律效力。 </w:t>
      </w:r>
    </w:p>
    <w:p w14:paraId="5CEB76FC">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六、本保函项下的基础交易不成立、不生效、无效、被撤销、被解除，不影响本保函的独立有效。</w:t>
      </w:r>
    </w:p>
    <w:p w14:paraId="484B24AC">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 xml:space="preserve">七、本保函项下的义务和责任均在保函有效期到期后自动消灭。 </w:t>
      </w:r>
    </w:p>
    <w:p w14:paraId="483058B6">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 xml:space="preserve">八、本保函适用的法律为中华人民共和国法律，因本保函产生的纠纷案件，由受益人所在地人民法院管辖。 </w:t>
      </w:r>
    </w:p>
    <w:p w14:paraId="56326C96">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 xml:space="preserve">九、本保函自我方法定代表人或授权代表签字并加盖公章之日起生效。 </w:t>
      </w:r>
    </w:p>
    <w:p w14:paraId="4853DEF1">
      <w:pPr>
        <w:tabs>
          <w:tab w:val="left" w:pos="8422"/>
          <w:tab w:val="left" w:pos="9622"/>
        </w:tabs>
        <w:spacing w:beforeLines="0" w:afterLines="0" w:line="360" w:lineRule="auto"/>
        <w:ind w:right="120" w:rightChars="50"/>
        <w:jc w:val="left"/>
        <w:rPr>
          <w:rFonts w:hint="eastAsia" w:ascii="Times New Roman" w:eastAsia="Times New Roman"/>
          <w:color w:val="auto"/>
          <w:sz w:val="24"/>
          <w:szCs w:val="24"/>
          <w:highlight w:val="none"/>
        </w:rPr>
      </w:pPr>
    </w:p>
    <w:p w14:paraId="4B63A719">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开立人：</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（公章）</w:t>
      </w:r>
    </w:p>
    <w:p w14:paraId="34AECFB4">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法定代表人（或授权代表）：</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（签字）</w:t>
      </w:r>
    </w:p>
    <w:p w14:paraId="3A98F33A">
      <w:pPr>
        <w:tabs>
          <w:tab w:val="left" w:pos="8422"/>
          <w:tab w:val="left" w:pos="9622"/>
        </w:tabs>
        <w:spacing w:beforeLines="0" w:afterLines="0" w:line="360" w:lineRule="auto"/>
        <w:ind w:right="120" w:rightChars="50"/>
        <w:jc w:val="left"/>
        <w:rPr>
          <w:rFonts w:hint="eastAsia" w:ascii="Times New Roman"/>
          <w:color w:val="auto"/>
          <w:sz w:val="24"/>
          <w:szCs w:val="24"/>
          <w:highlight w:val="none"/>
          <w:u w:val="single"/>
        </w:rPr>
      </w:pPr>
      <w:r>
        <w:rPr>
          <w:rFonts w:hint="eastAsia" w:ascii="Times New Roman"/>
          <w:color w:val="auto"/>
          <w:sz w:val="24"/>
          <w:szCs w:val="24"/>
          <w:highlight w:val="none"/>
        </w:rPr>
        <w:t>地    址：</w:t>
      </w:r>
      <w:r>
        <w:rPr>
          <w:rFonts w:hint="eastAsia" w:ascii="Times New Roman"/>
          <w:color w:val="auto"/>
          <w:sz w:val="24"/>
          <w:szCs w:val="24"/>
          <w:highlight w:val="none"/>
          <w:u w:val="single"/>
        </w:rPr>
        <w:t xml:space="preserve">                                      </w:t>
      </w:r>
    </w:p>
    <w:p w14:paraId="2CFCA89B">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邮政编码：</w:t>
      </w:r>
      <w:r>
        <w:rPr>
          <w:rFonts w:hint="eastAsia" w:ascii="Times New Roman"/>
          <w:color w:val="auto"/>
          <w:sz w:val="24"/>
          <w:szCs w:val="24"/>
          <w:highlight w:val="none"/>
          <w:u w:val="single"/>
        </w:rPr>
        <w:t xml:space="preserve">                 </w:t>
      </w:r>
    </w:p>
    <w:p w14:paraId="435171FC">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电    话：</w:t>
      </w:r>
      <w:r>
        <w:rPr>
          <w:rFonts w:hint="eastAsia" w:ascii="Times New Roman"/>
          <w:color w:val="auto"/>
          <w:sz w:val="24"/>
          <w:szCs w:val="24"/>
          <w:highlight w:val="none"/>
          <w:u w:val="single"/>
        </w:rPr>
        <w:t xml:space="preserve">                 </w:t>
      </w:r>
    </w:p>
    <w:p w14:paraId="14637F75">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传    真：</w:t>
      </w:r>
      <w:r>
        <w:rPr>
          <w:rFonts w:hint="eastAsia" w:ascii="Times New Roman"/>
          <w:color w:val="auto"/>
          <w:sz w:val="24"/>
          <w:szCs w:val="24"/>
          <w:highlight w:val="none"/>
          <w:u w:val="single"/>
        </w:rPr>
        <w:t xml:space="preserve">                 </w:t>
      </w:r>
    </w:p>
    <w:p w14:paraId="5896B302">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r>
        <w:rPr>
          <w:rFonts w:hint="eastAsia" w:ascii="Times New Roman"/>
          <w:color w:val="auto"/>
          <w:sz w:val="24"/>
          <w:szCs w:val="24"/>
          <w:highlight w:val="none"/>
        </w:rPr>
        <w:t>开立时间：</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年</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月</w:t>
      </w:r>
      <w:r>
        <w:rPr>
          <w:rFonts w:hint="eastAsia" w:ascii="Times New Roman"/>
          <w:color w:val="auto"/>
          <w:sz w:val="24"/>
          <w:szCs w:val="24"/>
          <w:highlight w:val="none"/>
          <w:u w:val="single"/>
        </w:rPr>
        <w:t xml:space="preserve">   </w:t>
      </w:r>
      <w:r>
        <w:rPr>
          <w:rFonts w:hint="eastAsia" w:ascii="Times New Roman"/>
          <w:color w:val="auto"/>
          <w:sz w:val="24"/>
          <w:szCs w:val="24"/>
          <w:highlight w:val="none"/>
        </w:rPr>
        <w:t>日</w:t>
      </w:r>
    </w:p>
    <w:p w14:paraId="7C9D85FF">
      <w:pPr>
        <w:tabs>
          <w:tab w:val="left" w:pos="8422"/>
          <w:tab w:val="left" w:pos="9622"/>
        </w:tabs>
        <w:spacing w:beforeLines="0" w:afterLines="0" w:line="360" w:lineRule="auto"/>
        <w:ind w:right="120" w:rightChars="50"/>
        <w:jc w:val="left"/>
        <w:rPr>
          <w:rFonts w:hint="eastAsia" w:ascii="Times New Roman"/>
          <w:b/>
          <w:color w:val="auto"/>
          <w:sz w:val="24"/>
          <w:szCs w:val="24"/>
          <w:highlight w:val="none"/>
        </w:rPr>
      </w:pPr>
    </w:p>
    <w:p w14:paraId="68C714D4">
      <w:pPr>
        <w:tabs>
          <w:tab w:val="left" w:pos="8422"/>
          <w:tab w:val="left" w:pos="9622"/>
        </w:tabs>
        <w:spacing w:beforeLines="0" w:afterLines="0" w:line="360" w:lineRule="auto"/>
        <w:ind w:right="120" w:rightChars="50"/>
        <w:jc w:val="left"/>
        <w:rPr>
          <w:rFonts w:hint="eastAsia" w:ascii="Times New Roman"/>
          <w:color w:val="auto"/>
          <w:sz w:val="24"/>
          <w:szCs w:val="24"/>
          <w:highlight w:val="none"/>
        </w:rPr>
      </w:pPr>
    </w:p>
    <w:p w14:paraId="5B87884F">
      <w:pPr>
        <w:adjustRightInd w:val="0"/>
        <w:snapToGrid w:val="0"/>
        <w:spacing w:beforeLines="0" w:afterLines="0" w:line="360" w:lineRule="auto"/>
        <w:ind w:firstLine="480" w:firstLineChars="200"/>
        <w:jc w:val="left"/>
        <w:rPr>
          <w:rFonts w:hint="eastAsia" w:ascii="Times New Roman" w:cs="楷体"/>
          <w:snapToGrid w:val="0"/>
          <w:color w:val="auto"/>
          <w:sz w:val="24"/>
          <w:szCs w:val="24"/>
          <w:highlight w:val="none"/>
        </w:rPr>
      </w:pPr>
      <w:r>
        <w:rPr>
          <w:rFonts w:hint="eastAsia" w:ascii="Times New Roman" w:cs="楷体"/>
          <w:snapToGrid w:val="0"/>
          <w:color w:val="auto"/>
          <w:sz w:val="24"/>
          <w:szCs w:val="24"/>
          <w:highlight w:val="none"/>
        </w:rPr>
        <w:t>注：</w:t>
      </w:r>
    </w:p>
    <w:p w14:paraId="3199E4E5">
      <w:pPr>
        <w:adjustRightInd w:val="0"/>
        <w:snapToGrid w:val="0"/>
        <w:spacing w:beforeLines="0" w:afterLines="0" w:line="360" w:lineRule="auto"/>
        <w:ind w:firstLine="480" w:firstLineChars="200"/>
        <w:jc w:val="left"/>
        <w:rPr>
          <w:rFonts w:hint="eastAsia" w:ascii="Times New Roman" w:cs="楷体"/>
          <w:snapToGrid w:val="0"/>
          <w:color w:val="auto"/>
          <w:sz w:val="24"/>
          <w:szCs w:val="24"/>
          <w:highlight w:val="none"/>
        </w:rPr>
      </w:pPr>
      <w:r>
        <w:rPr>
          <w:rFonts w:hint="eastAsia" w:ascii="Times New Roman" w:cs="楷体"/>
          <w:snapToGrid w:val="0"/>
          <w:color w:val="auto"/>
          <w:sz w:val="24"/>
          <w:szCs w:val="24"/>
          <w:highlight w:val="none"/>
        </w:rPr>
        <w:t>1.允许投标人实际开具的银行保函或担保机构或保证保险机构出具的担保的格式与本文件提供的格式有所不同，但不得更改本文件提供的银行保函或担保格式中的实质性内容。</w:t>
      </w:r>
    </w:p>
    <w:p w14:paraId="142548F0">
      <w:pPr>
        <w:adjustRightInd w:val="0"/>
        <w:snapToGrid w:val="0"/>
        <w:spacing w:beforeLines="0" w:afterLines="0" w:line="360" w:lineRule="auto"/>
        <w:ind w:firstLine="480" w:firstLineChars="200"/>
        <w:jc w:val="left"/>
        <w:rPr>
          <w:rFonts w:hint="eastAsia" w:ascii="Times New Roman" w:cs="楷体"/>
          <w:snapToGrid w:val="0"/>
          <w:color w:val="auto"/>
          <w:sz w:val="24"/>
          <w:szCs w:val="24"/>
          <w:highlight w:val="none"/>
        </w:rPr>
      </w:pPr>
      <w:r>
        <w:rPr>
          <w:rFonts w:hint="eastAsia" w:ascii="Times New Roman" w:cs="楷体"/>
          <w:snapToGrid w:val="0"/>
          <w:color w:val="auto"/>
          <w:sz w:val="24"/>
          <w:szCs w:val="24"/>
          <w:highlight w:val="none"/>
        </w:rPr>
        <w:t>2.投标人开具的银行保函（或担保机构担保或保证保险）必须具有明确有效的查询途径（网址链接及查询方式）。</w:t>
      </w:r>
    </w:p>
    <w:p w14:paraId="3A4A7D3C">
      <w:pPr>
        <w:spacing w:before="240" w:beforeLines="100" w:after="240" w:afterLines="100"/>
        <w:jc w:val="center"/>
        <w:outlineLvl w:val="3"/>
        <w:rPr>
          <w:rFonts w:hint="eastAsia" w:ascii="Times New Roman" w:eastAsia="黑体"/>
          <w:color w:val="auto"/>
          <w:sz w:val="24"/>
          <w:szCs w:val="24"/>
          <w:highlight w:val="none"/>
        </w:rPr>
      </w:pPr>
      <w:bookmarkStart w:id="1111" w:name="_Toc24180"/>
      <w:bookmarkStart w:id="1112" w:name="_Toc2597"/>
      <w:bookmarkStart w:id="1113" w:name="_Toc31872"/>
      <w:r>
        <w:rPr>
          <w:rFonts w:hint="eastAsia" w:ascii="Times New Roman" w:cs="宋体"/>
          <w:color w:val="auto"/>
          <w:sz w:val="24"/>
          <w:szCs w:val="24"/>
          <w:highlight w:val="none"/>
        </w:rPr>
        <w:br w:type="page"/>
      </w:r>
      <w:bookmarkStart w:id="1114" w:name="_Toc25422"/>
      <w:bookmarkStart w:id="1115" w:name="_Toc16981"/>
      <w:bookmarkStart w:id="1116" w:name="_Toc20150"/>
      <w:r>
        <w:rPr>
          <w:rFonts w:hint="eastAsia" w:ascii="Times New Roman" w:eastAsia="黑体"/>
          <w:color w:val="auto"/>
          <w:sz w:val="24"/>
          <w:szCs w:val="24"/>
          <w:highlight w:val="none"/>
        </w:rPr>
        <w:t>（二）免缴投标保证金承诺函</w:t>
      </w:r>
      <w:bookmarkEnd w:id="1111"/>
      <w:bookmarkEnd w:id="1112"/>
      <w:bookmarkEnd w:id="1113"/>
      <w:bookmarkEnd w:id="1114"/>
      <w:bookmarkEnd w:id="1115"/>
      <w:bookmarkEnd w:id="1116"/>
      <w:r>
        <w:rPr>
          <w:rFonts w:hint="eastAsia" w:ascii="Times New Roman" w:eastAsia="黑体"/>
          <w:color w:val="auto"/>
          <w:sz w:val="24"/>
          <w:szCs w:val="24"/>
          <w:highlight w:val="none"/>
        </w:rPr>
        <w:t>（如要求）</w:t>
      </w:r>
    </w:p>
    <w:p w14:paraId="37F22FEA">
      <w:pPr>
        <w:widowControl/>
        <w:snapToGrid w:val="0"/>
        <w:spacing w:beforeLines="0" w:afterLines="0" w:line="592" w:lineRule="exact"/>
        <w:jc w:val="center"/>
        <w:rPr>
          <w:rFonts w:hint="eastAsia" w:ascii="Times New Roman" w:eastAsia="黑体"/>
          <w:color w:val="auto"/>
          <w:sz w:val="24"/>
          <w:szCs w:val="24"/>
          <w:highlight w:val="none"/>
        </w:rPr>
      </w:pPr>
      <w:r>
        <w:rPr>
          <w:rFonts w:hint="eastAsia" w:ascii="Times New Roman" w:eastAsia="黑体"/>
          <w:color w:val="auto"/>
          <w:sz w:val="24"/>
          <w:szCs w:val="24"/>
          <w:highlight w:val="none"/>
        </w:rPr>
        <w:t>投标人免缴投标保证金信用承诺函</w:t>
      </w:r>
    </w:p>
    <w:p w14:paraId="1C8A5476">
      <w:pPr>
        <w:widowControl/>
        <w:snapToGrid w:val="0"/>
        <w:spacing w:beforeLines="0" w:afterLines="0" w:line="592" w:lineRule="exact"/>
        <w:jc w:val="center"/>
        <w:rPr>
          <w:rFonts w:hint="eastAsia" w:hAnsi="宋体" w:cs="宋体"/>
          <w:color w:val="auto"/>
          <w:sz w:val="24"/>
          <w:szCs w:val="24"/>
          <w:highlight w:val="none"/>
        </w:rPr>
      </w:pPr>
    </w:p>
    <w:p w14:paraId="3B3A073C">
      <w:pPr>
        <w:snapToGrid w:val="0"/>
        <w:spacing w:beforeLines="0" w:afterLines="0" w:line="592" w:lineRule="exact"/>
        <w:rPr>
          <w:rFonts w:hint="eastAsia" w:hAnsi="宋体" w:cs="宋体"/>
          <w:color w:val="auto"/>
          <w:sz w:val="24"/>
          <w:szCs w:val="24"/>
          <w:highlight w:val="none"/>
        </w:rPr>
      </w:pPr>
      <w:r>
        <w:rPr>
          <w:rFonts w:hint="eastAsia" w:hAnsi="宋体" w:cs="宋体"/>
          <w:color w:val="auto"/>
          <w:sz w:val="24"/>
          <w:szCs w:val="24"/>
          <w:highlight w:val="none"/>
        </w:rPr>
        <w:t>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招标人名称）</w:t>
      </w:r>
    </w:p>
    <w:p w14:paraId="35B7F80F">
      <w:pPr>
        <w:tabs>
          <w:tab w:val="left" w:pos="8422"/>
          <w:tab w:val="left" w:pos="9622"/>
        </w:tabs>
        <w:snapToGrid w:val="0"/>
        <w:spacing w:beforeLines="0" w:afterLines="0" w:line="592"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按照招标文件的规定，我单位郑重承诺如下：</w:t>
      </w:r>
    </w:p>
    <w:p w14:paraId="45434E1E">
      <w:pPr>
        <w:tabs>
          <w:tab w:val="left" w:pos="8422"/>
          <w:tab w:val="left" w:pos="9622"/>
        </w:tabs>
        <w:snapToGrid w:val="0"/>
        <w:spacing w:beforeLines="0" w:afterLines="0" w:line="592"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我单位将严格遵守《中华人民共和国招标投标法》等法律、法规和招标文件约定条款。如果存在招标文件约定的投标保证金不予退还的情形，将于收到招标人书面通知7日内将招标文件约定的投标保证金足额缴纳至招标人指定账户。</w:t>
      </w:r>
    </w:p>
    <w:p w14:paraId="303C1387">
      <w:pPr>
        <w:tabs>
          <w:tab w:val="left" w:pos="8422"/>
          <w:tab w:val="left" w:pos="9622"/>
        </w:tabs>
        <w:snapToGrid w:val="0"/>
        <w:spacing w:beforeLines="0" w:afterLines="0" w:line="592"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我单位对上述承诺的真实性负责。如有虚假，我单位愿意承担弄虚作假法律责任。</w:t>
      </w:r>
    </w:p>
    <w:p w14:paraId="63069534">
      <w:pPr>
        <w:tabs>
          <w:tab w:val="left" w:pos="8422"/>
          <w:tab w:val="left" w:pos="9622"/>
        </w:tabs>
        <w:snapToGrid w:val="0"/>
        <w:spacing w:beforeLines="0" w:afterLines="0" w:line="592" w:lineRule="exact"/>
        <w:rPr>
          <w:rFonts w:hint="eastAsia" w:hAnsi="宋体" w:cs="宋体"/>
          <w:color w:val="auto"/>
          <w:sz w:val="24"/>
          <w:szCs w:val="24"/>
          <w:highlight w:val="none"/>
        </w:rPr>
      </w:pPr>
    </w:p>
    <w:p w14:paraId="2B06B1BA">
      <w:pPr>
        <w:tabs>
          <w:tab w:val="left" w:pos="8422"/>
          <w:tab w:val="left" w:pos="9622"/>
        </w:tabs>
        <w:snapToGrid w:val="0"/>
        <w:spacing w:beforeLines="0" w:afterLines="0" w:line="592" w:lineRule="exact"/>
        <w:jc w:val="left"/>
        <w:rPr>
          <w:rFonts w:hint="eastAsia" w:hAnsi="宋体" w:cs="宋体"/>
          <w:color w:val="auto"/>
          <w:sz w:val="24"/>
          <w:szCs w:val="24"/>
          <w:highlight w:val="none"/>
        </w:rPr>
      </w:pPr>
      <w:r>
        <w:rPr>
          <w:rFonts w:hint="eastAsia" w:hAnsi="宋体" w:cs="宋体"/>
          <w:color w:val="auto"/>
          <w:sz w:val="24"/>
          <w:szCs w:val="24"/>
          <w:highlight w:val="none"/>
        </w:rPr>
        <w:t xml:space="preserve">     </w:t>
      </w:r>
    </w:p>
    <w:p w14:paraId="30A6E664">
      <w:pPr>
        <w:adjustRightInd w:val="0"/>
        <w:snapToGrid w:val="0"/>
        <w:spacing w:beforeLines="0" w:afterLines="0" w:line="592" w:lineRule="exact"/>
        <w:jc w:val="right"/>
        <w:rPr>
          <w:rFonts w:hint="eastAsia" w:hAnsi="宋体" w:cs="宋体"/>
          <w:color w:val="auto"/>
          <w:sz w:val="24"/>
          <w:szCs w:val="24"/>
          <w:highlight w:val="none"/>
          <w:u w:val="single"/>
        </w:rPr>
      </w:pPr>
      <w:r>
        <w:rPr>
          <w:rFonts w:hint="eastAsia" w:hAnsi="宋体" w:cs="宋体"/>
          <w:color w:val="auto"/>
          <w:spacing w:val="120"/>
          <w:sz w:val="24"/>
          <w:szCs w:val="24"/>
          <w:highlight w:val="none"/>
        </w:rPr>
        <w:t>投标</w:t>
      </w:r>
      <w:r>
        <w:rPr>
          <w:rFonts w:hint="eastAsia" w:hAnsi="宋体" w:cs="宋体"/>
          <w:color w:val="auto"/>
          <w:sz w:val="24"/>
          <w:szCs w:val="24"/>
          <w:highlight w:val="none"/>
        </w:rPr>
        <w:t>人：</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（盖单位章）</w:t>
      </w:r>
    </w:p>
    <w:p w14:paraId="5B15C56D">
      <w:pPr>
        <w:adjustRightInd w:val="0"/>
        <w:snapToGrid w:val="0"/>
        <w:spacing w:beforeLines="0" w:afterLines="0" w:line="592" w:lineRule="exact"/>
        <w:jc w:val="right"/>
        <w:rPr>
          <w:rFonts w:hint="eastAsia" w:hAnsi="宋体" w:cs="宋体"/>
          <w:color w:val="auto"/>
          <w:sz w:val="24"/>
          <w:szCs w:val="24"/>
          <w:highlight w:val="none"/>
        </w:rPr>
      </w:pPr>
      <w:r>
        <w:rPr>
          <w:rFonts w:hint="eastAsia" w:hAnsi="宋体" w:cs="宋体"/>
          <w:color w:val="auto"/>
          <w:spacing w:val="360"/>
          <w:sz w:val="24"/>
          <w:szCs w:val="24"/>
          <w:highlight w:val="none"/>
        </w:rPr>
        <w:t>日</w:t>
      </w:r>
      <w:r>
        <w:rPr>
          <w:rFonts w:hint="eastAsia" w:hAnsi="宋体" w:cs="宋体"/>
          <w:color w:val="auto"/>
          <w:sz w:val="24"/>
          <w:szCs w:val="24"/>
          <w:highlight w:val="none"/>
        </w:rPr>
        <w:t>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p>
    <w:p w14:paraId="7131B3B8">
      <w:pPr>
        <w:pStyle w:val="4"/>
        <w:spacing w:before="240" w:beforeLines="100" w:after="240" w:afterLines="100" w:line="240" w:lineRule="auto"/>
        <w:jc w:val="center"/>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br w:type="page"/>
      </w:r>
      <w:bookmarkStart w:id="1117" w:name="_Toc19530"/>
      <w:bookmarkStart w:id="1118" w:name="_Toc22740"/>
      <w:bookmarkStart w:id="1119" w:name="_Toc30928"/>
      <w:bookmarkStart w:id="1120" w:name="_Toc24751"/>
      <w:bookmarkStart w:id="1121" w:name="_Toc7976"/>
      <w:bookmarkStart w:id="1122" w:name="_Toc19092"/>
      <w:bookmarkStart w:id="1123" w:name="_Toc5478"/>
      <w:r>
        <w:rPr>
          <w:rFonts w:hint="eastAsia" w:ascii="Times New Roman" w:hAnsi="Times New Roman"/>
          <w:color w:val="auto"/>
          <w:sz w:val="24"/>
          <w:szCs w:val="24"/>
          <w:highlight w:val="none"/>
        </w:rPr>
        <w:t>五、项目管理机构</w:t>
      </w:r>
      <w:bookmarkEnd w:id="1117"/>
      <w:bookmarkEnd w:id="1118"/>
      <w:bookmarkEnd w:id="1119"/>
      <w:bookmarkEnd w:id="1120"/>
      <w:bookmarkEnd w:id="1121"/>
      <w:bookmarkEnd w:id="1122"/>
      <w:bookmarkEnd w:id="1123"/>
    </w:p>
    <w:bookmarkEnd w:id="1100"/>
    <w:bookmarkEnd w:id="1101"/>
    <w:bookmarkEnd w:id="1102"/>
    <w:p w14:paraId="43E7ADBA">
      <w:pPr>
        <w:spacing w:before="240" w:beforeLines="100" w:after="240" w:afterLines="100"/>
        <w:jc w:val="center"/>
        <w:outlineLvl w:val="3"/>
        <w:rPr>
          <w:rFonts w:hint="eastAsia" w:ascii="Times New Roman" w:eastAsia="黑体"/>
          <w:color w:val="auto"/>
          <w:sz w:val="24"/>
          <w:szCs w:val="24"/>
          <w:highlight w:val="none"/>
        </w:rPr>
      </w:pPr>
      <w:bookmarkStart w:id="1124" w:name="_Toc1172"/>
      <w:bookmarkStart w:id="1125" w:name="_Toc27117"/>
      <w:bookmarkStart w:id="1126" w:name="_Toc14661"/>
      <w:bookmarkStart w:id="1127" w:name="_Toc29881"/>
      <w:bookmarkStart w:id="1128" w:name="_Toc12190"/>
      <w:bookmarkStart w:id="1129" w:name="_Toc5738"/>
      <w:r>
        <w:rPr>
          <w:rFonts w:hint="eastAsia" w:ascii="Times New Roman" w:eastAsia="黑体"/>
          <w:color w:val="auto"/>
          <w:sz w:val="24"/>
          <w:szCs w:val="24"/>
          <w:highlight w:val="none"/>
        </w:rPr>
        <w:t>（一）项目管理机构组织机构图</w:t>
      </w:r>
      <w:bookmarkEnd w:id="1124"/>
      <w:bookmarkEnd w:id="1125"/>
      <w:bookmarkEnd w:id="1126"/>
      <w:bookmarkEnd w:id="1127"/>
      <w:bookmarkEnd w:id="1128"/>
      <w:bookmarkEnd w:id="1129"/>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6"/>
      </w:tblGrid>
      <w:tr w14:paraId="7466A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5" w:hRule="atLeast"/>
        </w:trPr>
        <w:tc>
          <w:tcPr>
            <w:tcW w:w="5000" w:type="pct"/>
            <w:tcBorders>
              <w:top w:val="single" w:color="000000" w:sz="4" w:space="0"/>
              <w:left w:val="single" w:color="000000" w:sz="4" w:space="0"/>
              <w:bottom w:val="single" w:color="000000" w:sz="4" w:space="0"/>
              <w:right w:val="single" w:color="000000" w:sz="4" w:space="0"/>
              <w:tl2br w:val="nil"/>
              <w:tr2bl w:val="nil"/>
            </w:tcBorders>
            <w:noWrap w:val="0"/>
            <w:vAlign w:val="top"/>
          </w:tcPr>
          <w:p w14:paraId="108CB708">
            <w:pPr>
              <w:autoSpaceDE w:val="0"/>
              <w:autoSpaceDN w:val="0"/>
              <w:adjustRightInd w:val="0"/>
              <w:spacing w:beforeLines="0" w:afterLines="0" w:line="360" w:lineRule="auto"/>
              <w:ind w:right="-20"/>
              <w:jc w:val="left"/>
              <w:rPr>
                <w:rFonts w:hint="eastAsia" w:ascii="Times New Roman" w:cs="宋体"/>
                <w:color w:val="auto"/>
                <w:spacing w:val="-2"/>
                <w:sz w:val="24"/>
                <w:szCs w:val="21"/>
                <w:highlight w:val="none"/>
              </w:rPr>
            </w:pPr>
            <w:r>
              <w:rPr>
                <w:rFonts w:hint="eastAsia" w:ascii="Times New Roman" w:cs="宋体"/>
                <w:color w:val="auto"/>
                <w:spacing w:val="-2"/>
                <w:sz w:val="24"/>
                <w:szCs w:val="21"/>
                <w:highlight w:val="none"/>
              </w:rPr>
              <w:t>拟为承包本标段工程设立的组织机构以框图方式表示。</w:t>
            </w:r>
          </w:p>
        </w:tc>
      </w:tr>
      <w:tr w14:paraId="7AF19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5" w:hRule="atLeast"/>
        </w:trPr>
        <w:tc>
          <w:tcPr>
            <w:tcW w:w="5000" w:type="pct"/>
            <w:tcBorders>
              <w:top w:val="single" w:color="000000" w:sz="4" w:space="0"/>
              <w:left w:val="single" w:color="000000" w:sz="4" w:space="0"/>
              <w:bottom w:val="single" w:color="000000" w:sz="4" w:space="0"/>
              <w:right w:val="single" w:color="000000" w:sz="4" w:space="0"/>
              <w:tl2br w:val="nil"/>
              <w:tr2bl w:val="nil"/>
            </w:tcBorders>
            <w:noWrap w:val="0"/>
            <w:vAlign w:val="top"/>
          </w:tcPr>
          <w:p w14:paraId="4C0F0968">
            <w:pPr>
              <w:autoSpaceDE w:val="0"/>
              <w:autoSpaceDN w:val="0"/>
              <w:adjustRightInd w:val="0"/>
              <w:spacing w:beforeLines="0" w:afterLines="0" w:line="360" w:lineRule="auto"/>
              <w:ind w:right="-20"/>
              <w:jc w:val="left"/>
              <w:rPr>
                <w:rFonts w:hint="eastAsia" w:ascii="Times New Roman" w:cs="宋体"/>
                <w:color w:val="auto"/>
                <w:spacing w:val="-2"/>
                <w:sz w:val="24"/>
                <w:szCs w:val="21"/>
                <w:highlight w:val="none"/>
              </w:rPr>
            </w:pPr>
            <w:r>
              <w:rPr>
                <w:rFonts w:hint="eastAsia" w:ascii="Times New Roman" w:cs="宋体"/>
                <w:color w:val="auto"/>
                <w:spacing w:val="-2"/>
                <w:sz w:val="24"/>
                <w:szCs w:val="21"/>
                <w:highlight w:val="none"/>
              </w:rPr>
              <w:t>说明</w:t>
            </w:r>
          </w:p>
        </w:tc>
      </w:tr>
    </w:tbl>
    <w:p w14:paraId="72EF1B50">
      <w:pPr>
        <w:spacing w:before="240" w:beforeLines="100" w:after="240" w:afterLines="100"/>
        <w:jc w:val="center"/>
        <w:outlineLvl w:val="3"/>
        <w:rPr>
          <w:rFonts w:hint="eastAsia" w:ascii="Times New Roman" w:eastAsia="黑体"/>
          <w:color w:val="auto"/>
          <w:sz w:val="24"/>
          <w:szCs w:val="24"/>
          <w:highlight w:val="none"/>
        </w:rPr>
      </w:pPr>
      <w:bookmarkStart w:id="1130" w:name="_Toc6688"/>
      <w:bookmarkStart w:id="1131" w:name="_Toc27125"/>
      <w:bookmarkStart w:id="1132" w:name="_Toc15563"/>
      <w:bookmarkStart w:id="1133" w:name="_Toc17488"/>
      <w:bookmarkStart w:id="1134" w:name="_Toc13691"/>
      <w:bookmarkStart w:id="1135" w:name="_Toc24525"/>
      <w:r>
        <w:rPr>
          <w:rFonts w:hint="eastAsia" w:ascii="Times New Roman" w:eastAsia="黑体"/>
          <w:color w:val="auto"/>
          <w:sz w:val="24"/>
          <w:szCs w:val="24"/>
          <w:highlight w:val="none"/>
        </w:rPr>
        <w:t>（二）项目管理机构人员组成表</w:t>
      </w:r>
      <w:bookmarkEnd w:id="1130"/>
      <w:bookmarkEnd w:id="1131"/>
      <w:bookmarkEnd w:id="1132"/>
      <w:bookmarkEnd w:id="1133"/>
      <w:bookmarkEnd w:id="1134"/>
      <w:bookmarkEnd w:id="1135"/>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52"/>
        <w:gridCol w:w="728"/>
        <w:gridCol w:w="725"/>
        <w:gridCol w:w="1090"/>
        <w:gridCol w:w="725"/>
        <w:gridCol w:w="726"/>
        <w:gridCol w:w="725"/>
        <w:gridCol w:w="1940"/>
        <w:gridCol w:w="999"/>
      </w:tblGrid>
      <w:tr w14:paraId="43939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93"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282266">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职务</w:t>
            </w:r>
          </w:p>
        </w:tc>
        <w:tc>
          <w:tcPr>
            <w:tcW w:w="43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9AD68">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姓名</w:t>
            </w:r>
          </w:p>
        </w:tc>
        <w:tc>
          <w:tcPr>
            <w:tcW w:w="436"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7CAE8">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职称</w:t>
            </w:r>
          </w:p>
        </w:tc>
        <w:tc>
          <w:tcPr>
            <w:tcW w:w="3132"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BB598B">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执业或职业资格证明</w:t>
            </w:r>
          </w:p>
        </w:tc>
        <w:tc>
          <w:tcPr>
            <w:tcW w:w="60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1636FB">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备注</w:t>
            </w:r>
          </w:p>
        </w:tc>
      </w:tr>
      <w:tr w14:paraId="2759C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93"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E4F1F2">
            <w:pPr>
              <w:widowControl/>
              <w:spacing w:beforeLines="0" w:afterLines="0"/>
              <w:jc w:val="center"/>
              <w:rPr>
                <w:rFonts w:hint="eastAsia" w:ascii="Times New Roman" w:eastAsia="Times New Roman"/>
                <w:color w:val="auto"/>
                <w:sz w:val="24"/>
                <w:szCs w:val="24"/>
                <w:highlight w:val="none"/>
              </w:rPr>
            </w:pPr>
          </w:p>
        </w:tc>
        <w:tc>
          <w:tcPr>
            <w:tcW w:w="43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7EA0F9">
            <w:pPr>
              <w:widowControl/>
              <w:spacing w:beforeLines="0" w:afterLines="0"/>
              <w:jc w:val="center"/>
              <w:rPr>
                <w:rFonts w:hint="eastAsia" w:ascii="Times New Roman" w:eastAsia="Times New Roman"/>
                <w:color w:val="auto"/>
                <w:sz w:val="24"/>
                <w:szCs w:val="24"/>
                <w:highlight w:val="none"/>
              </w:rPr>
            </w:pPr>
          </w:p>
        </w:tc>
        <w:tc>
          <w:tcPr>
            <w:tcW w:w="43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A4381">
            <w:pPr>
              <w:widowControl/>
              <w:spacing w:beforeLines="0" w:afterLines="0"/>
              <w:jc w:val="center"/>
              <w:rPr>
                <w:rFonts w:hint="eastAsia" w:ascii="Times New Roman" w:eastAsia="Times New Roman"/>
                <w:color w:val="auto"/>
                <w:sz w:val="24"/>
                <w:szCs w:val="24"/>
                <w:highlight w:val="none"/>
              </w:rPr>
            </w:pPr>
          </w:p>
        </w:tc>
        <w:tc>
          <w:tcPr>
            <w:tcW w:w="6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88E497">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证书名称</w:t>
            </w: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F8DEC">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级别</w:t>
            </w:r>
          </w:p>
        </w:tc>
        <w:tc>
          <w:tcPr>
            <w:tcW w:w="4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ED7FF8">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证号</w:t>
            </w: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BD045F">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专业</w:t>
            </w:r>
          </w:p>
        </w:tc>
        <w:tc>
          <w:tcPr>
            <w:tcW w:w="11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515A8">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养老保险</w:t>
            </w:r>
          </w:p>
        </w:tc>
        <w:tc>
          <w:tcPr>
            <w:tcW w:w="60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8B4DEE">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r>
      <w:tr w14:paraId="39615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9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3B67C7">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8C89D1">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3655EC">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693F70">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844DEC">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A69BB">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F6E04E">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11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660FFA">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0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CDB59">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r>
      <w:tr w14:paraId="6043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9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2533C">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337AB">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2B52F2">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6A40FB">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EB9239">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675783">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F325F">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11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7E9CA3">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0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85FA2">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r>
      <w:tr w14:paraId="66F1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9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E88ED5">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6B40C">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11C1B8">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9AB80">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C5219F">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1A014">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68273">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11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F589F">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0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3A550B">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r>
      <w:tr w14:paraId="5325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9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CCE36E">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E7B80">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FC82FF">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9C65E">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15477">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7093FF">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43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06A45D">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11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B0C88B">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c>
          <w:tcPr>
            <w:tcW w:w="60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149D43">
            <w:pPr>
              <w:autoSpaceDE w:val="0"/>
              <w:autoSpaceDN w:val="0"/>
              <w:adjustRightInd w:val="0"/>
              <w:snapToGrid w:val="0"/>
              <w:spacing w:beforeLines="0" w:afterLines="0" w:line="360" w:lineRule="auto"/>
              <w:jc w:val="center"/>
              <w:rPr>
                <w:rFonts w:hint="eastAsia" w:ascii="Times New Roman" w:eastAsia="Times New Roman"/>
                <w:color w:val="auto"/>
                <w:sz w:val="24"/>
                <w:szCs w:val="24"/>
                <w:highlight w:val="none"/>
              </w:rPr>
            </w:pPr>
          </w:p>
        </w:tc>
      </w:tr>
    </w:tbl>
    <w:p w14:paraId="4B1EE7B9">
      <w:pPr>
        <w:pStyle w:val="4"/>
        <w:spacing w:before="240" w:beforeLines="100" w:after="240" w:afterLines="100" w:line="240" w:lineRule="auto"/>
        <w:jc w:val="center"/>
        <w:rPr>
          <w:rFonts w:hint="eastAsia" w:ascii="Times New Roman" w:hAnsi="Times New Roman"/>
          <w:color w:val="auto"/>
          <w:sz w:val="24"/>
          <w:szCs w:val="24"/>
          <w:highlight w:val="none"/>
        </w:rPr>
      </w:pPr>
      <w:bookmarkStart w:id="1136" w:name="_Toc460660226"/>
      <w:bookmarkStart w:id="1137" w:name="_Toc390411624"/>
      <w:bookmarkStart w:id="1138" w:name="_Toc421917004"/>
      <w:bookmarkStart w:id="1139" w:name="_Toc460227111"/>
      <w:r>
        <w:rPr>
          <w:rFonts w:hint="eastAsia" w:ascii="Times New Roman" w:hAnsi="Times New Roman" w:eastAsia="Times New Roman"/>
          <w:color w:val="auto"/>
          <w:sz w:val="21"/>
          <w:szCs w:val="22"/>
          <w:highlight w:val="none"/>
        </w:rPr>
        <w:br w:type="page"/>
      </w:r>
      <w:bookmarkEnd w:id="1136"/>
      <w:bookmarkEnd w:id="1137"/>
      <w:bookmarkEnd w:id="1138"/>
      <w:bookmarkEnd w:id="1139"/>
      <w:bookmarkStart w:id="1140" w:name="_Toc10605"/>
      <w:bookmarkStart w:id="1141" w:name="_Toc21694"/>
      <w:bookmarkStart w:id="1142" w:name="_Toc28201"/>
      <w:bookmarkStart w:id="1143" w:name="_Toc29161"/>
      <w:bookmarkStart w:id="1144" w:name="_Toc10528"/>
      <w:bookmarkStart w:id="1145" w:name="_Toc21352"/>
      <w:bookmarkStart w:id="1146" w:name="_Toc8447"/>
      <w:bookmarkStart w:id="1147" w:name="_Toc11988"/>
      <w:r>
        <w:rPr>
          <w:rFonts w:hint="eastAsia" w:ascii="Times New Roman" w:hAnsi="Times New Roman"/>
          <w:color w:val="auto"/>
          <w:sz w:val="24"/>
          <w:szCs w:val="24"/>
          <w:highlight w:val="none"/>
        </w:rPr>
        <w:t>六、拟分包项目情况表</w:t>
      </w:r>
      <w:bookmarkEnd w:id="1140"/>
      <w:bookmarkEnd w:id="1141"/>
      <w:bookmarkEnd w:id="1142"/>
      <w:bookmarkEnd w:id="1143"/>
      <w:bookmarkEnd w:id="1144"/>
      <w:bookmarkEnd w:id="1145"/>
      <w:bookmarkEnd w:id="1146"/>
      <w:bookmarkEnd w:id="1147"/>
    </w:p>
    <w:tbl>
      <w:tblPr>
        <w:tblStyle w:val="17"/>
        <w:tblW w:w="50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108" w:type="dxa"/>
          <w:bottom w:w="28" w:type="dxa"/>
          <w:right w:w="108" w:type="dxa"/>
        </w:tblCellMar>
      </w:tblPr>
      <w:tblGrid>
        <w:gridCol w:w="2328"/>
        <w:gridCol w:w="1975"/>
        <w:gridCol w:w="1938"/>
        <w:gridCol w:w="2090"/>
      </w:tblGrid>
      <w:tr w14:paraId="3AF84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652B206">
            <w:pPr>
              <w:spacing w:beforeLines="0" w:afterLines="0"/>
              <w:ind w:left="120" w:leftChars="50" w:right="120" w:rightChars="50"/>
              <w:jc w:val="center"/>
              <w:rPr>
                <w:rFonts w:hint="eastAsia" w:ascii="Times New Roman" w:eastAsia="Times New Roman"/>
                <w:snapToGrid w:val="0"/>
                <w:color w:val="auto"/>
                <w:sz w:val="24"/>
                <w:szCs w:val="24"/>
                <w:highlight w:val="none"/>
              </w:rPr>
            </w:pPr>
            <w:r>
              <w:rPr>
                <w:rFonts w:hint="eastAsia" w:ascii="Times New Roman"/>
                <w:snapToGrid w:val="0"/>
                <w:color w:val="auto"/>
                <w:sz w:val="24"/>
                <w:szCs w:val="24"/>
                <w:highlight w:val="none"/>
              </w:rPr>
              <w:t>拟分包的工程项目</w:t>
            </w: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450D1793">
            <w:pPr>
              <w:spacing w:beforeLines="0" w:afterLines="0"/>
              <w:ind w:left="120" w:leftChars="50" w:right="120" w:rightChars="50"/>
              <w:jc w:val="center"/>
              <w:rPr>
                <w:rFonts w:hint="eastAsia" w:ascii="Times New Roman" w:eastAsia="Times New Roman"/>
                <w:snapToGrid w:val="0"/>
                <w:color w:val="auto"/>
                <w:sz w:val="24"/>
                <w:szCs w:val="24"/>
                <w:highlight w:val="none"/>
              </w:rPr>
            </w:pPr>
            <w:r>
              <w:rPr>
                <w:rFonts w:hint="eastAsia" w:ascii="Times New Roman"/>
                <w:snapToGrid w:val="0"/>
                <w:color w:val="auto"/>
                <w:sz w:val="24"/>
                <w:szCs w:val="24"/>
                <w:highlight w:val="none"/>
              </w:rPr>
              <w:t>主要工程内容</w:t>
            </w: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08BAF543">
            <w:pPr>
              <w:spacing w:beforeLines="0" w:afterLines="0"/>
              <w:ind w:left="120" w:leftChars="50" w:right="120" w:rightChars="50"/>
              <w:jc w:val="center"/>
              <w:rPr>
                <w:rFonts w:hint="eastAsia" w:ascii="Times New Roman" w:eastAsia="Times New Roman"/>
                <w:snapToGrid w:val="0"/>
                <w:color w:val="auto"/>
                <w:sz w:val="24"/>
                <w:szCs w:val="24"/>
                <w:highlight w:val="none"/>
              </w:rPr>
            </w:pPr>
            <w:r>
              <w:rPr>
                <w:rFonts w:hint="eastAsia" w:ascii="Times New Roman"/>
                <w:snapToGrid w:val="0"/>
                <w:color w:val="auto"/>
                <w:sz w:val="24"/>
                <w:szCs w:val="24"/>
                <w:highlight w:val="none"/>
              </w:rPr>
              <w:t>预计造价（万元）</w:t>
            </w:r>
          </w:p>
        </w:tc>
        <w:tc>
          <w:tcPr>
            <w:tcW w:w="125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05731BBC">
            <w:pPr>
              <w:spacing w:beforeLines="0" w:afterLines="0"/>
              <w:ind w:left="120" w:leftChars="50" w:right="120" w:rightChars="50"/>
              <w:jc w:val="center"/>
              <w:rPr>
                <w:rFonts w:hint="eastAsia" w:ascii="Times New Roman" w:eastAsia="Times New Roman"/>
                <w:snapToGrid w:val="0"/>
                <w:color w:val="auto"/>
                <w:sz w:val="24"/>
                <w:szCs w:val="24"/>
                <w:highlight w:val="none"/>
              </w:rPr>
            </w:pPr>
            <w:r>
              <w:rPr>
                <w:rFonts w:hint="eastAsia" w:ascii="Times New Roman"/>
                <w:snapToGrid w:val="0"/>
                <w:color w:val="auto"/>
                <w:sz w:val="24"/>
                <w:szCs w:val="24"/>
                <w:highlight w:val="none"/>
              </w:rPr>
              <w:t>备注</w:t>
            </w:r>
          </w:p>
        </w:tc>
      </w:tr>
      <w:tr w14:paraId="4C437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127488C">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348A883">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12D0272">
            <w:pPr>
              <w:spacing w:beforeLines="0" w:afterLines="0"/>
              <w:ind w:left="120" w:leftChars="50" w:right="120" w:rightChars="50"/>
              <w:jc w:val="center"/>
              <w:rPr>
                <w:rFonts w:hint="eastAsia" w:ascii="Times New Roman" w:eastAsia="Times New Roman"/>
                <w:snapToGrid w:val="0"/>
                <w:color w:val="auto"/>
                <w:sz w:val="24"/>
                <w:szCs w:val="21"/>
                <w:highlight w:val="none"/>
              </w:rPr>
            </w:pPr>
          </w:p>
        </w:tc>
        <w:tc>
          <w:tcPr>
            <w:tcW w:w="1254" w:type="pct"/>
            <w:vMerge w:val="restar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4CB872EA">
            <w:pPr>
              <w:spacing w:beforeLines="0" w:afterLines="0"/>
              <w:ind w:left="115" w:leftChars="45" w:right="120" w:rightChars="50" w:hanging="7" w:hangingChars="3"/>
              <w:jc w:val="center"/>
              <w:rPr>
                <w:rFonts w:hint="eastAsia" w:ascii="Times New Roman" w:eastAsia="Times New Roman"/>
                <w:snapToGrid w:val="0"/>
                <w:color w:val="auto"/>
                <w:sz w:val="24"/>
                <w:szCs w:val="21"/>
                <w:highlight w:val="none"/>
              </w:rPr>
            </w:pPr>
            <w:r>
              <w:rPr>
                <w:rFonts w:hint="eastAsia" w:ascii="Times New Roman"/>
                <w:snapToGrid w:val="0"/>
                <w:color w:val="auto"/>
                <w:sz w:val="24"/>
                <w:szCs w:val="21"/>
                <w:highlight w:val="none"/>
              </w:rPr>
              <w:t>注：若无分包计划，则投标人应在本表填写“无”或</w:t>
            </w:r>
            <w:r>
              <w:rPr>
                <w:rFonts w:hint="eastAsia" w:ascii="Times New Roman" w:eastAsia="Times New Roman"/>
                <w:snapToGrid w:val="0"/>
                <w:color w:val="auto"/>
                <w:sz w:val="24"/>
                <w:szCs w:val="21"/>
                <w:highlight w:val="none"/>
              </w:rPr>
              <w:t>“</w:t>
            </w:r>
            <w:r>
              <w:rPr>
                <w:rFonts w:hint="eastAsia" w:ascii="Times New Roman"/>
                <w:snapToGrid w:val="0"/>
                <w:color w:val="auto"/>
                <w:sz w:val="24"/>
                <w:szCs w:val="21"/>
                <w:highlight w:val="none"/>
              </w:rPr>
              <w:t>/</w:t>
            </w:r>
            <w:r>
              <w:rPr>
                <w:rFonts w:hint="eastAsia" w:ascii="Times New Roman" w:eastAsia="Times New Roman"/>
                <w:snapToGrid w:val="0"/>
                <w:color w:val="auto"/>
                <w:sz w:val="24"/>
                <w:szCs w:val="21"/>
                <w:highlight w:val="none"/>
              </w:rPr>
              <w:t>”</w:t>
            </w:r>
          </w:p>
          <w:p w14:paraId="7CE35153">
            <w:pPr>
              <w:spacing w:beforeLines="0" w:afterLines="0"/>
              <w:ind w:left="120" w:leftChars="50" w:right="120" w:rightChars="50"/>
              <w:jc w:val="center"/>
              <w:rPr>
                <w:rFonts w:hint="eastAsia" w:ascii="Times New Roman" w:eastAsia="Times New Roman"/>
                <w:snapToGrid w:val="0"/>
                <w:color w:val="auto"/>
                <w:sz w:val="24"/>
                <w:szCs w:val="21"/>
                <w:highlight w:val="none"/>
              </w:rPr>
            </w:pPr>
          </w:p>
        </w:tc>
      </w:tr>
      <w:tr w14:paraId="4B38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87CA910">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CDFB7F8">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5989923">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5547035">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1876B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6E75E50">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2FEAE58">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B02CB7A">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8BBBB32">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7924D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C16965F">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47C66AE3">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9B18924">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80509D5">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542CB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1482824">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097DE2F">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407C8E82">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5A503C45">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78B10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A1CF598">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54E9F1CF">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F2ACB61">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9E68D74">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26E05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C806526">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AD377AB">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4514D12">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BB6E7E0">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72E0E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AD880EC">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AC5C95A">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6E1CAE7">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0C476347">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09CF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F1C7C3B">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53F474A3">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4897DF8">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571566D">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6EB18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5162857A">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C16E925">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599EC8CC">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C4944E7">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043C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328D856">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B9B3B32">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8176B5B">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1E76C9A">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3D7B7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0129EB0C">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544BE0AC">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B06456C">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89B827C">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0EC97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5257C3F2">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E23B1BB">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851F930">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5F5C53B">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7592F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87D66F8">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4D8E874D">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86E35B1">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1559616">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39E34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38704D2">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2E200F9E">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3313361E">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4A4B71D2">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6A890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1397"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0C349C1F">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84"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0D507D11">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FB30509">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77DE7E4A">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r w14:paraId="76426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108" w:type="dxa"/>
            <w:bottom w:w="28" w:type="dxa"/>
            <w:right w:w="108" w:type="dxa"/>
          </w:tblCellMar>
        </w:tblPrEx>
        <w:trPr>
          <w:trHeight w:val="567" w:hRule="atLeast"/>
          <w:jc w:val="center"/>
        </w:trPr>
        <w:tc>
          <w:tcPr>
            <w:tcW w:w="2582" w:type="pct"/>
            <w:gridSpan w:val="2"/>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0BF2904F">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r>
              <w:rPr>
                <w:rFonts w:hint="eastAsia" w:ascii="Times New Roman"/>
                <w:snapToGrid w:val="0"/>
                <w:color w:val="auto"/>
                <w:sz w:val="24"/>
                <w:szCs w:val="21"/>
                <w:highlight w:val="none"/>
              </w:rPr>
              <w:t>拟分包工程造价合计（万元）</w:t>
            </w:r>
          </w:p>
        </w:tc>
        <w:tc>
          <w:tcPr>
            <w:tcW w:w="1163" w:type="pct"/>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68CCA09F">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c>
          <w:tcPr>
            <w:tcW w:w="1254" w:type="pct"/>
            <w:vMerge w:val="continue"/>
            <w:tcBorders>
              <w:top w:val="single" w:color="000000" w:sz="6" w:space="0"/>
              <w:left w:val="single" w:color="000000" w:sz="6" w:space="0"/>
              <w:bottom w:val="single" w:color="000000" w:sz="6" w:space="0"/>
              <w:right w:val="single" w:color="000000" w:sz="6" w:space="0"/>
              <w:tl2br w:val="nil"/>
              <w:tr2bl w:val="nil"/>
            </w:tcBorders>
            <w:noWrap w:val="0"/>
            <w:tcMar>
              <w:left w:w="0" w:type="dxa"/>
              <w:right w:w="0" w:type="dxa"/>
            </w:tcMar>
            <w:vAlign w:val="center"/>
          </w:tcPr>
          <w:p w14:paraId="1511F73A">
            <w:pPr>
              <w:spacing w:beforeLines="0" w:afterLines="0" w:line="440" w:lineRule="exact"/>
              <w:ind w:left="120" w:leftChars="50" w:right="120" w:rightChars="50"/>
              <w:jc w:val="center"/>
              <w:rPr>
                <w:rFonts w:hint="eastAsia" w:ascii="Times New Roman" w:eastAsia="Times New Roman"/>
                <w:snapToGrid w:val="0"/>
                <w:color w:val="auto"/>
                <w:sz w:val="24"/>
                <w:szCs w:val="21"/>
                <w:highlight w:val="none"/>
              </w:rPr>
            </w:pPr>
          </w:p>
        </w:tc>
      </w:tr>
    </w:tbl>
    <w:p w14:paraId="023B13C6">
      <w:pPr>
        <w:pStyle w:val="4"/>
        <w:spacing w:before="240" w:beforeLines="100" w:after="240" w:afterLines="100" w:line="240" w:lineRule="auto"/>
        <w:jc w:val="center"/>
        <w:rPr>
          <w:rFonts w:hint="eastAsia" w:ascii="Times New Roman" w:hAnsi="Times New Roman"/>
          <w:color w:val="auto"/>
          <w:sz w:val="24"/>
          <w:szCs w:val="24"/>
          <w:highlight w:val="none"/>
        </w:rPr>
      </w:pPr>
      <w:r>
        <w:rPr>
          <w:rFonts w:hint="eastAsia" w:ascii="Times New Roman" w:hAnsi="Times New Roman" w:eastAsia="Times New Roman"/>
          <w:b/>
          <w:color w:val="auto"/>
          <w:sz w:val="28"/>
          <w:szCs w:val="22"/>
          <w:highlight w:val="none"/>
        </w:rPr>
        <w:br w:type="page"/>
      </w:r>
      <w:bookmarkStart w:id="1148" w:name="_Toc23700"/>
      <w:bookmarkStart w:id="1149" w:name="_Toc28845"/>
      <w:bookmarkStart w:id="1150" w:name="_Toc16173"/>
      <w:bookmarkStart w:id="1151" w:name="_Toc4746"/>
      <w:bookmarkStart w:id="1152" w:name="_Toc11328"/>
      <w:bookmarkStart w:id="1153" w:name="_Toc16829"/>
      <w:bookmarkStart w:id="1154" w:name="_Toc7389"/>
      <w:bookmarkStart w:id="1155" w:name="_Toc26708"/>
      <w:r>
        <w:rPr>
          <w:rFonts w:hint="eastAsia" w:ascii="Times New Roman" w:hAnsi="Times New Roman"/>
          <w:color w:val="auto"/>
          <w:sz w:val="24"/>
          <w:szCs w:val="24"/>
          <w:highlight w:val="none"/>
        </w:rPr>
        <w:t>七、资格审查资料</w:t>
      </w:r>
      <w:bookmarkEnd w:id="1148"/>
      <w:bookmarkEnd w:id="1149"/>
      <w:bookmarkEnd w:id="1150"/>
      <w:bookmarkEnd w:id="1151"/>
      <w:bookmarkEnd w:id="1152"/>
      <w:bookmarkEnd w:id="1153"/>
      <w:bookmarkEnd w:id="1154"/>
      <w:bookmarkEnd w:id="1155"/>
    </w:p>
    <w:p w14:paraId="71F9F64D">
      <w:pPr>
        <w:spacing w:before="240" w:beforeLines="100" w:after="240" w:afterLines="100"/>
        <w:jc w:val="center"/>
        <w:outlineLvl w:val="3"/>
        <w:rPr>
          <w:rFonts w:hint="eastAsia" w:ascii="Times New Roman" w:eastAsia="Times New Roman"/>
          <w:color w:val="auto"/>
          <w:sz w:val="24"/>
          <w:szCs w:val="24"/>
          <w:highlight w:val="none"/>
        </w:rPr>
      </w:pPr>
      <w:bookmarkStart w:id="1156" w:name="_Toc13102"/>
      <w:bookmarkStart w:id="1157" w:name="_Toc11030"/>
      <w:bookmarkStart w:id="1158" w:name="_Toc27416"/>
      <w:bookmarkStart w:id="1159" w:name="_Toc16187"/>
      <w:bookmarkStart w:id="1160" w:name="_Toc30534"/>
      <w:bookmarkStart w:id="1161" w:name="_Toc7295"/>
      <w:bookmarkStart w:id="1162" w:name="_Toc21369"/>
      <w:bookmarkStart w:id="1163" w:name="_Toc2073"/>
      <w:r>
        <w:rPr>
          <w:rFonts w:hint="eastAsia" w:ascii="Times New Roman" w:eastAsia="黑体"/>
          <w:color w:val="auto"/>
          <w:sz w:val="24"/>
          <w:szCs w:val="24"/>
          <w:highlight w:val="none"/>
        </w:rPr>
        <w:t>（一）投标人基本情况表</w:t>
      </w:r>
      <w:bookmarkEnd w:id="1092"/>
      <w:bookmarkEnd w:id="1093"/>
      <w:bookmarkEnd w:id="1097"/>
      <w:bookmarkEnd w:id="1098"/>
      <w:bookmarkEnd w:id="1099"/>
      <w:bookmarkEnd w:id="1156"/>
      <w:bookmarkEnd w:id="1157"/>
      <w:bookmarkEnd w:id="1158"/>
      <w:bookmarkEnd w:id="1159"/>
      <w:bookmarkEnd w:id="1160"/>
      <w:bookmarkEnd w:id="1161"/>
      <w:bookmarkEnd w:id="1162"/>
      <w:bookmarkEnd w:id="1163"/>
    </w:p>
    <w:tbl>
      <w:tblPr>
        <w:tblStyle w:val="17"/>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675"/>
        <w:gridCol w:w="869"/>
        <w:gridCol w:w="922"/>
        <w:gridCol w:w="814"/>
        <w:gridCol w:w="407"/>
        <w:gridCol w:w="95"/>
        <w:gridCol w:w="1253"/>
        <w:gridCol w:w="474"/>
        <w:gridCol w:w="833"/>
        <w:gridCol w:w="966"/>
      </w:tblGrid>
      <w:tr w14:paraId="644E6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67A9F">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bookmarkStart w:id="1164" w:name="_Toc421917003"/>
            <w:bookmarkStart w:id="1165" w:name="_Toc390411623"/>
            <w:r>
              <w:rPr>
                <w:rFonts w:hint="eastAsia" w:ascii="Times New Roman"/>
                <w:color w:val="auto"/>
                <w:sz w:val="24"/>
                <w:szCs w:val="22"/>
                <w:highlight w:val="none"/>
              </w:rPr>
              <w:t>投标人名称</w:t>
            </w:r>
          </w:p>
        </w:tc>
        <w:tc>
          <w:tcPr>
            <w:tcW w:w="3991" w:type="pct"/>
            <w:gridSpan w:val="9"/>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071871">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45853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78008F">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注册地址</w:t>
            </w:r>
          </w:p>
        </w:tc>
        <w:tc>
          <w:tcPr>
            <w:tcW w:w="1870"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5EBD28">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7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AE4161">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邮政编码</w:t>
            </w:r>
          </w:p>
        </w:tc>
        <w:tc>
          <w:tcPr>
            <w:tcW w:w="1366"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0CE99C">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58C7C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0D5B3B">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联系方式</w:t>
            </w:r>
          </w:p>
        </w:tc>
        <w:tc>
          <w:tcPr>
            <w:tcW w:w="5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B6FD5B">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联系人</w:t>
            </w:r>
          </w:p>
        </w:tc>
        <w:tc>
          <w:tcPr>
            <w:tcW w:w="1346"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4B8F9E">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7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122043">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 xml:space="preserve">电 </w:t>
            </w:r>
            <w:r>
              <w:rPr>
                <w:rFonts w:hint="eastAsia" w:ascii="Times New Roman"/>
                <w:color w:val="auto"/>
                <w:spacing w:val="1"/>
                <w:sz w:val="24"/>
                <w:szCs w:val="22"/>
                <w:highlight w:val="none"/>
              </w:rPr>
              <w:t xml:space="preserve"> </w:t>
            </w:r>
            <w:r>
              <w:rPr>
                <w:rFonts w:hint="eastAsia" w:ascii="Times New Roman"/>
                <w:color w:val="auto"/>
                <w:sz w:val="24"/>
                <w:szCs w:val="22"/>
                <w:highlight w:val="none"/>
              </w:rPr>
              <w:t>话</w:t>
            </w:r>
          </w:p>
        </w:tc>
        <w:tc>
          <w:tcPr>
            <w:tcW w:w="1366"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20A35E">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51DA0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1D3A98">
            <w:pPr>
              <w:widowControl/>
              <w:adjustRightInd w:val="0"/>
              <w:snapToGrid w:val="0"/>
              <w:spacing w:beforeLines="0" w:afterLines="0"/>
              <w:jc w:val="left"/>
              <w:rPr>
                <w:rFonts w:hint="eastAsia" w:ascii="Times New Roman" w:eastAsia="Times New Roman"/>
                <w:color w:val="auto"/>
                <w:sz w:val="24"/>
                <w:szCs w:val="24"/>
                <w:highlight w:val="none"/>
              </w:rPr>
            </w:pPr>
          </w:p>
        </w:tc>
        <w:tc>
          <w:tcPr>
            <w:tcW w:w="5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202205">
            <w:pPr>
              <w:tabs>
                <w:tab w:val="left" w:pos="540"/>
              </w:tabs>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传  真</w:t>
            </w:r>
          </w:p>
        </w:tc>
        <w:tc>
          <w:tcPr>
            <w:tcW w:w="1346"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46AB5E">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7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AB412">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电子邮件</w:t>
            </w:r>
          </w:p>
        </w:tc>
        <w:tc>
          <w:tcPr>
            <w:tcW w:w="1366"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01B734">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15D43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806C6A">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法定代表人</w:t>
            </w:r>
          </w:p>
        </w:tc>
        <w:tc>
          <w:tcPr>
            <w:tcW w:w="5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20A6E">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姓名</w:t>
            </w:r>
          </w:p>
        </w:tc>
        <w:tc>
          <w:tcPr>
            <w:tcW w:w="5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09F61">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73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40ED40">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技术职称</w:t>
            </w:r>
          </w:p>
        </w:tc>
        <w:tc>
          <w:tcPr>
            <w:tcW w:w="1096"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586A17">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64C983">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电话</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490852">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75AA9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42BBB4">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技术负责人</w:t>
            </w:r>
          </w:p>
        </w:tc>
        <w:tc>
          <w:tcPr>
            <w:tcW w:w="5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16FED">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姓名</w:t>
            </w:r>
          </w:p>
        </w:tc>
        <w:tc>
          <w:tcPr>
            <w:tcW w:w="5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CA75B4">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73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D3138A">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技术职称</w:t>
            </w:r>
          </w:p>
        </w:tc>
        <w:tc>
          <w:tcPr>
            <w:tcW w:w="1096"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05435F">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B871D0">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电话</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3EE494">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4E466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92AD1">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成立时间</w:t>
            </w:r>
          </w:p>
        </w:tc>
        <w:tc>
          <w:tcPr>
            <w:tcW w:w="107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78CEA9">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2913" w:type="pct"/>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235E34">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员工总人数：</w:t>
            </w:r>
          </w:p>
        </w:tc>
      </w:tr>
      <w:tr w14:paraId="1BE6A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9642F">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企业资质等级</w:t>
            </w:r>
          </w:p>
        </w:tc>
        <w:tc>
          <w:tcPr>
            <w:tcW w:w="107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E8FD84">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490"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C140DB">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其中</w:t>
            </w:r>
          </w:p>
        </w:tc>
        <w:tc>
          <w:tcPr>
            <w:tcW w:w="1341"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F2E7AB">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项目经理（或注册建造师）</w:t>
            </w:r>
          </w:p>
        </w:tc>
        <w:tc>
          <w:tcPr>
            <w:tcW w:w="1081"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87405E">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55CC4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49E74A">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统一社会信用代码</w:t>
            </w:r>
          </w:p>
        </w:tc>
        <w:tc>
          <w:tcPr>
            <w:tcW w:w="107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5CDBFB">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49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3BD8F">
            <w:pPr>
              <w:widowControl/>
              <w:adjustRightInd w:val="0"/>
              <w:snapToGrid w:val="0"/>
              <w:spacing w:beforeLines="0" w:afterLines="0"/>
              <w:jc w:val="left"/>
              <w:rPr>
                <w:rFonts w:hint="eastAsia" w:ascii="Times New Roman" w:eastAsia="Times New Roman"/>
                <w:color w:val="auto"/>
                <w:sz w:val="24"/>
                <w:szCs w:val="24"/>
                <w:highlight w:val="none"/>
              </w:rPr>
            </w:pPr>
          </w:p>
        </w:tc>
        <w:tc>
          <w:tcPr>
            <w:tcW w:w="1341"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EDC6FC">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高级职称人员</w:t>
            </w:r>
          </w:p>
        </w:tc>
        <w:tc>
          <w:tcPr>
            <w:tcW w:w="1081"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096DA5">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22AE3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FAA43">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注册资本</w:t>
            </w:r>
          </w:p>
        </w:tc>
        <w:tc>
          <w:tcPr>
            <w:tcW w:w="107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3BF60">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49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7CA64">
            <w:pPr>
              <w:widowControl/>
              <w:adjustRightInd w:val="0"/>
              <w:snapToGrid w:val="0"/>
              <w:spacing w:beforeLines="0" w:afterLines="0"/>
              <w:jc w:val="left"/>
              <w:rPr>
                <w:rFonts w:hint="eastAsia" w:ascii="Times New Roman" w:eastAsia="Times New Roman"/>
                <w:color w:val="auto"/>
                <w:sz w:val="24"/>
                <w:szCs w:val="24"/>
                <w:highlight w:val="none"/>
              </w:rPr>
            </w:pPr>
          </w:p>
        </w:tc>
        <w:tc>
          <w:tcPr>
            <w:tcW w:w="1341"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023B40">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中级职称人员</w:t>
            </w:r>
          </w:p>
        </w:tc>
        <w:tc>
          <w:tcPr>
            <w:tcW w:w="1081"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44A25">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7B31E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0EC32A">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基本存款账户开户银行</w:t>
            </w:r>
          </w:p>
        </w:tc>
        <w:tc>
          <w:tcPr>
            <w:tcW w:w="107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8EC293">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49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7A830">
            <w:pPr>
              <w:widowControl/>
              <w:adjustRightInd w:val="0"/>
              <w:snapToGrid w:val="0"/>
              <w:spacing w:beforeLines="0" w:afterLines="0"/>
              <w:jc w:val="left"/>
              <w:rPr>
                <w:rFonts w:hint="eastAsia" w:ascii="Times New Roman" w:eastAsia="Times New Roman"/>
                <w:color w:val="auto"/>
                <w:sz w:val="24"/>
                <w:szCs w:val="24"/>
                <w:highlight w:val="none"/>
              </w:rPr>
            </w:pPr>
          </w:p>
        </w:tc>
        <w:tc>
          <w:tcPr>
            <w:tcW w:w="1341"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98F6A7">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初级职称人员</w:t>
            </w:r>
          </w:p>
        </w:tc>
        <w:tc>
          <w:tcPr>
            <w:tcW w:w="1081"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B2428">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5BD3E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091A20">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基本存款账户银行账号</w:t>
            </w:r>
          </w:p>
        </w:tc>
        <w:tc>
          <w:tcPr>
            <w:tcW w:w="107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ABA4ED">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c>
          <w:tcPr>
            <w:tcW w:w="49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C653B">
            <w:pPr>
              <w:widowControl/>
              <w:adjustRightInd w:val="0"/>
              <w:snapToGrid w:val="0"/>
              <w:spacing w:beforeLines="0" w:afterLines="0"/>
              <w:jc w:val="left"/>
              <w:rPr>
                <w:rFonts w:hint="eastAsia" w:ascii="Times New Roman" w:eastAsia="Times New Roman"/>
                <w:color w:val="auto"/>
                <w:sz w:val="24"/>
                <w:szCs w:val="24"/>
                <w:highlight w:val="none"/>
              </w:rPr>
            </w:pPr>
          </w:p>
        </w:tc>
        <w:tc>
          <w:tcPr>
            <w:tcW w:w="1341"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828D4E">
            <w:pPr>
              <w:tabs>
                <w:tab w:val="left" w:pos="1240"/>
              </w:tabs>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技        工</w:t>
            </w:r>
          </w:p>
        </w:tc>
        <w:tc>
          <w:tcPr>
            <w:tcW w:w="1081"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B47D8">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tr w14:paraId="668CE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auto" w:sz="4" w:space="0"/>
              <w:right w:val="single" w:color="000000" w:sz="4" w:space="0"/>
              <w:tl2br w:val="nil"/>
              <w:tr2bl w:val="nil"/>
            </w:tcBorders>
            <w:noWrap w:val="0"/>
            <w:vAlign w:val="center"/>
          </w:tcPr>
          <w:p w14:paraId="10A7B1CE">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经营范围</w:t>
            </w:r>
          </w:p>
        </w:tc>
        <w:tc>
          <w:tcPr>
            <w:tcW w:w="3991" w:type="pct"/>
            <w:gridSpan w:val="9"/>
            <w:tcBorders>
              <w:top w:val="single" w:color="000000" w:sz="4" w:space="0"/>
              <w:left w:val="single" w:color="000000" w:sz="4" w:space="0"/>
              <w:bottom w:val="single" w:color="auto" w:sz="4" w:space="0"/>
              <w:right w:val="single" w:color="000000" w:sz="4" w:space="0"/>
              <w:tl2br w:val="nil"/>
              <w:tr2bl w:val="nil"/>
            </w:tcBorders>
            <w:noWrap w:val="0"/>
            <w:vAlign w:val="center"/>
          </w:tcPr>
          <w:p w14:paraId="35BD8E78">
            <w:pPr>
              <w:autoSpaceDE w:val="0"/>
              <w:autoSpaceDN w:val="0"/>
              <w:adjustRightInd w:val="0"/>
              <w:snapToGrid w:val="0"/>
              <w:spacing w:beforeLines="0" w:afterLines="0"/>
              <w:rPr>
                <w:rFonts w:hint="eastAsia" w:ascii="Times New Roman" w:eastAsia="Times New Roman"/>
                <w:color w:val="auto"/>
                <w:sz w:val="24"/>
                <w:szCs w:val="24"/>
                <w:highlight w:val="none"/>
              </w:rPr>
            </w:pPr>
          </w:p>
        </w:tc>
      </w:tr>
      <w:tr w14:paraId="3C1D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000000" w:sz="4" w:space="0"/>
              <w:left w:val="single" w:color="000000" w:sz="4" w:space="0"/>
              <w:bottom w:val="single" w:color="auto" w:sz="4" w:space="0"/>
              <w:right w:val="single" w:color="000000" w:sz="4" w:space="0"/>
              <w:tl2br w:val="nil"/>
              <w:tr2bl w:val="nil"/>
            </w:tcBorders>
            <w:noWrap w:val="0"/>
            <w:vAlign w:val="center"/>
          </w:tcPr>
          <w:p w14:paraId="0ECC9D5A">
            <w:pPr>
              <w:autoSpaceDE w:val="0"/>
              <w:autoSpaceDN w:val="0"/>
              <w:adjustRightInd w:val="0"/>
              <w:snapToGrid w:val="0"/>
              <w:spacing w:beforeLines="0" w:afterLines="0"/>
              <w:jc w:val="center"/>
              <w:rPr>
                <w:rFonts w:hint="eastAsia" w:ascii="Times New Roman"/>
                <w:color w:val="auto"/>
                <w:sz w:val="24"/>
                <w:szCs w:val="22"/>
                <w:highlight w:val="none"/>
              </w:rPr>
            </w:pPr>
            <w:r>
              <w:rPr>
                <w:rFonts w:hint="eastAsia" w:ascii="Times New Roman"/>
                <w:color w:val="auto"/>
                <w:sz w:val="24"/>
                <w:szCs w:val="22"/>
                <w:highlight w:val="none"/>
              </w:rPr>
              <w:t>投标人关联</w:t>
            </w:r>
          </w:p>
          <w:p w14:paraId="08D2A72F">
            <w:pPr>
              <w:autoSpaceDE w:val="0"/>
              <w:autoSpaceDN w:val="0"/>
              <w:adjustRightInd w:val="0"/>
              <w:snapToGrid w:val="0"/>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2"/>
                <w:highlight w:val="none"/>
              </w:rPr>
              <w:t>企业情况</w:t>
            </w:r>
          </w:p>
        </w:tc>
        <w:tc>
          <w:tcPr>
            <w:tcW w:w="3991" w:type="pct"/>
            <w:gridSpan w:val="9"/>
            <w:tcBorders>
              <w:top w:val="single" w:color="000000" w:sz="4" w:space="0"/>
              <w:left w:val="single" w:color="000000" w:sz="4" w:space="0"/>
              <w:bottom w:val="single" w:color="auto" w:sz="4" w:space="0"/>
              <w:right w:val="single" w:color="000000" w:sz="4" w:space="0"/>
              <w:tl2br w:val="nil"/>
              <w:tr2bl w:val="nil"/>
            </w:tcBorders>
            <w:noWrap w:val="0"/>
            <w:vAlign w:val="center"/>
          </w:tcPr>
          <w:p w14:paraId="34E487C8">
            <w:pPr>
              <w:topLinePunct/>
              <w:spacing w:beforeLines="0" w:afterLines="0"/>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投标人应提供关联企业情况，包括：</w:t>
            </w:r>
          </w:p>
          <w:p w14:paraId="7444FACC">
            <w:pPr>
              <w:topLinePunct/>
              <w:spacing w:beforeLines="0" w:afterLines="0"/>
              <w:ind w:firstLine="480" w:firstLineChars="200"/>
              <w:jc w:val="left"/>
              <w:rPr>
                <w:rFonts w:hint="eastAsia" w:ascii="Times New Roman" w:eastAsia="Times New Roman"/>
                <w:color w:val="auto"/>
                <w:sz w:val="24"/>
                <w:szCs w:val="21"/>
                <w:highlight w:val="none"/>
              </w:rPr>
            </w:pPr>
            <w:r>
              <w:rPr>
                <w:rFonts w:hint="eastAsia" w:ascii="Times New Roman"/>
                <w:color w:val="auto"/>
                <w:sz w:val="24"/>
                <w:szCs w:val="21"/>
                <w:highlight w:val="none"/>
              </w:rPr>
              <w:t>（1）投标人投资（控股）或管理的下属企业名称、持有股权（出资额）比例；</w:t>
            </w:r>
          </w:p>
          <w:p w14:paraId="0B83B9C7">
            <w:pPr>
              <w:topLinePunct/>
              <w:spacing w:beforeLines="0" w:afterLines="0"/>
              <w:ind w:firstLine="480" w:firstLineChars="200"/>
              <w:jc w:val="left"/>
              <w:rPr>
                <w:rFonts w:hint="eastAsia" w:ascii="Times New Roman"/>
                <w:color w:val="auto"/>
                <w:sz w:val="24"/>
                <w:szCs w:val="21"/>
                <w:highlight w:val="none"/>
              </w:rPr>
            </w:pPr>
            <w:r>
              <w:rPr>
                <w:rFonts w:hint="eastAsia" w:ascii="Times New Roman"/>
                <w:color w:val="auto"/>
                <w:sz w:val="24"/>
                <w:szCs w:val="21"/>
                <w:highlight w:val="none"/>
              </w:rPr>
              <w:t>（2）与投标人单位负责人（即法定代表人）为同一人的其他单位名称；</w:t>
            </w:r>
          </w:p>
          <w:p w14:paraId="6C32F1CC">
            <w:pPr>
              <w:topLinePunct/>
              <w:spacing w:beforeLines="0" w:afterLines="0"/>
              <w:ind w:firstLine="480" w:firstLineChars="200"/>
              <w:jc w:val="left"/>
              <w:rPr>
                <w:rFonts w:hint="eastAsia" w:ascii="Times New Roman"/>
                <w:color w:val="auto"/>
                <w:sz w:val="24"/>
                <w:szCs w:val="21"/>
                <w:highlight w:val="none"/>
              </w:rPr>
            </w:pPr>
            <w:r>
              <w:rPr>
                <w:rFonts w:hint="eastAsia" w:ascii="Times New Roman"/>
                <w:color w:val="auto"/>
                <w:sz w:val="24"/>
                <w:szCs w:val="21"/>
                <w:highlight w:val="none"/>
              </w:rPr>
              <w:t>（3）</w:t>
            </w:r>
            <w:r>
              <w:rPr>
                <w:rFonts w:hint="eastAsia" w:ascii="Times New Roman"/>
                <w:color w:val="auto"/>
                <w:sz w:val="24"/>
                <w:szCs w:val="24"/>
                <w:highlight w:val="none"/>
              </w:rPr>
              <w:t>……</w:t>
            </w:r>
          </w:p>
        </w:tc>
      </w:tr>
      <w:tr w14:paraId="32999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1CEB7C">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2"/>
                <w:highlight w:val="none"/>
              </w:rPr>
              <w:t>备注</w:t>
            </w:r>
          </w:p>
        </w:tc>
        <w:tc>
          <w:tcPr>
            <w:tcW w:w="3991" w:type="pct"/>
            <w:gridSpan w:val="9"/>
            <w:tcBorders>
              <w:top w:val="single" w:color="auto" w:sz="4" w:space="0"/>
              <w:left w:val="single" w:color="auto" w:sz="4" w:space="0"/>
              <w:bottom w:val="single" w:color="auto" w:sz="4" w:space="0"/>
              <w:right w:val="single" w:color="auto" w:sz="4" w:space="0"/>
              <w:tl2br w:val="nil"/>
              <w:tr2bl w:val="nil"/>
            </w:tcBorders>
            <w:noWrap w:val="0"/>
            <w:vAlign w:val="center"/>
          </w:tcPr>
          <w:p w14:paraId="0E385822">
            <w:pPr>
              <w:autoSpaceDE w:val="0"/>
              <w:autoSpaceDN w:val="0"/>
              <w:adjustRightInd w:val="0"/>
              <w:snapToGrid w:val="0"/>
              <w:spacing w:beforeLines="0" w:afterLines="0"/>
              <w:jc w:val="center"/>
              <w:rPr>
                <w:rFonts w:hint="eastAsia" w:ascii="Times New Roman" w:eastAsia="Times New Roman"/>
                <w:color w:val="auto"/>
                <w:sz w:val="24"/>
                <w:szCs w:val="24"/>
                <w:highlight w:val="none"/>
              </w:rPr>
            </w:pPr>
          </w:p>
        </w:tc>
      </w:tr>
      <w:bookmarkEnd w:id="1164"/>
      <w:bookmarkEnd w:id="1165"/>
    </w:tbl>
    <w:p w14:paraId="68434737">
      <w:pPr>
        <w:autoSpaceDE w:val="0"/>
        <w:autoSpaceDN w:val="0"/>
        <w:adjustRightInd w:val="0"/>
        <w:spacing w:beforeLines="0" w:afterLines="0" w:line="360" w:lineRule="auto"/>
        <w:ind w:firstLine="480" w:firstLineChars="200"/>
        <w:jc w:val="left"/>
        <w:rPr>
          <w:rFonts w:hint="eastAsia" w:ascii="Times New Roman"/>
          <w:color w:val="auto"/>
          <w:sz w:val="24"/>
          <w:szCs w:val="22"/>
          <w:highlight w:val="none"/>
        </w:rPr>
      </w:pPr>
      <w:r>
        <w:rPr>
          <w:rFonts w:hint="eastAsia" w:ascii="Times New Roman"/>
          <w:color w:val="auto"/>
          <w:sz w:val="24"/>
          <w:szCs w:val="22"/>
          <w:highlight w:val="none"/>
        </w:rPr>
        <w:t>注：</w:t>
      </w:r>
      <w:r>
        <w:rPr>
          <w:rFonts w:hint="eastAsia" w:ascii="Times New Roman" w:cs="宋体"/>
          <w:color w:val="auto"/>
          <w:sz w:val="24"/>
          <w:szCs w:val="21"/>
          <w:highlight w:val="none"/>
        </w:rPr>
        <w:t>投标人应根据招标文件第二章“投标人须知”前附表附录1的要求在本表后附</w:t>
      </w:r>
      <w:r>
        <w:rPr>
          <w:rFonts w:hint="eastAsia" w:ascii="Times New Roman"/>
          <w:color w:val="auto"/>
          <w:sz w:val="24"/>
          <w:szCs w:val="22"/>
          <w:highlight w:val="none"/>
        </w:rPr>
        <w:t>资质证书、安全生产许可证、营业执照等材料。接受联合体的，联合体成员分别填写。</w:t>
      </w:r>
    </w:p>
    <w:p w14:paraId="189E0623">
      <w:pPr>
        <w:spacing w:before="240" w:beforeLines="100" w:after="240" w:afterLines="100"/>
        <w:jc w:val="center"/>
        <w:outlineLvl w:val="3"/>
        <w:rPr>
          <w:rFonts w:hint="eastAsia" w:ascii="Times New Roman" w:eastAsia="黑体"/>
          <w:color w:val="auto"/>
          <w:sz w:val="24"/>
          <w:szCs w:val="24"/>
          <w:highlight w:val="none"/>
        </w:rPr>
      </w:pPr>
      <w:r>
        <w:rPr>
          <w:rFonts w:hint="eastAsia" w:ascii="Times New Roman" w:eastAsia="Times New Roman"/>
          <w:color w:val="auto"/>
          <w:sz w:val="24"/>
          <w:szCs w:val="22"/>
          <w:highlight w:val="none"/>
        </w:rPr>
        <w:br w:type="page"/>
      </w:r>
      <w:bookmarkStart w:id="1166" w:name="_Toc21353"/>
      <w:bookmarkStart w:id="1167" w:name="_Toc15712"/>
      <w:bookmarkStart w:id="1168" w:name="_Toc15759"/>
      <w:bookmarkStart w:id="1169" w:name="_Toc13366"/>
      <w:bookmarkStart w:id="1170" w:name="_Toc19934"/>
      <w:bookmarkStart w:id="1171" w:name="_Toc23273"/>
      <w:bookmarkStart w:id="1172" w:name="_Toc13374"/>
      <w:bookmarkStart w:id="1173" w:name="_Toc12730"/>
      <w:bookmarkStart w:id="1174" w:name="_Toc535241133"/>
      <w:bookmarkStart w:id="1175" w:name="_Toc535241230"/>
      <w:bookmarkStart w:id="1176" w:name="_Toc535241087"/>
      <w:r>
        <w:rPr>
          <w:rFonts w:hint="eastAsia" w:ascii="Times New Roman" w:eastAsia="黑体"/>
          <w:color w:val="auto"/>
          <w:sz w:val="24"/>
          <w:szCs w:val="24"/>
          <w:highlight w:val="none"/>
        </w:rPr>
        <w:t>（二）近年财务状况</w:t>
      </w:r>
      <w:bookmarkEnd w:id="1166"/>
      <w:bookmarkEnd w:id="1167"/>
      <w:bookmarkEnd w:id="1168"/>
      <w:bookmarkEnd w:id="1169"/>
      <w:bookmarkEnd w:id="1170"/>
      <w:bookmarkEnd w:id="1171"/>
      <w:bookmarkEnd w:id="1172"/>
      <w:bookmarkEnd w:id="1173"/>
      <w:r>
        <w:rPr>
          <w:rFonts w:hint="eastAsia" w:ascii="Times New Roman" w:eastAsia="黑体"/>
          <w:color w:val="auto"/>
          <w:sz w:val="24"/>
          <w:szCs w:val="24"/>
          <w:highlight w:val="none"/>
        </w:rPr>
        <w:t>（如要求）</w:t>
      </w:r>
    </w:p>
    <w:bookmarkEnd w:id="1174"/>
    <w:bookmarkEnd w:id="1175"/>
    <w:bookmarkEnd w:id="1176"/>
    <w:p w14:paraId="68D8C370">
      <w:pPr>
        <w:spacing w:before="240" w:beforeLines="100" w:after="240" w:afterLines="100"/>
        <w:jc w:val="center"/>
        <w:outlineLvl w:val="3"/>
        <w:rPr>
          <w:rFonts w:hint="eastAsia" w:ascii="Times New Roman" w:eastAsia="Times New Roman"/>
          <w:color w:val="auto"/>
          <w:sz w:val="24"/>
          <w:szCs w:val="24"/>
          <w:highlight w:val="none"/>
        </w:rPr>
      </w:pPr>
      <w:bookmarkStart w:id="1177" w:name="_Toc10760"/>
      <w:bookmarkStart w:id="1178" w:name="_Toc6752"/>
      <w:bookmarkStart w:id="1179" w:name="_Toc2878"/>
      <w:bookmarkStart w:id="1180" w:name="_Toc22914"/>
      <w:bookmarkStart w:id="1181" w:name="_Toc1632"/>
      <w:bookmarkStart w:id="1182" w:name="_Toc15417"/>
      <w:bookmarkStart w:id="1183" w:name="_Toc23624"/>
      <w:bookmarkStart w:id="1184" w:name="_Toc18681"/>
      <w:r>
        <w:rPr>
          <w:rFonts w:hint="eastAsia" w:ascii="Times New Roman" w:eastAsia="黑体"/>
          <w:color w:val="auto"/>
          <w:sz w:val="24"/>
          <w:szCs w:val="24"/>
          <w:highlight w:val="none"/>
        </w:rPr>
        <w:br w:type="page"/>
      </w:r>
      <w:r>
        <w:rPr>
          <w:rFonts w:hint="eastAsia" w:ascii="Times New Roman" w:eastAsia="黑体"/>
          <w:color w:val="auto"/>
          <w:sz w:val="24"/>
          <w:szCs w:val="24"/>
          <w:highlight w:val="none"/>
        </w:rPr>
        <w:t>（三）投标人业绩情况表（资格审查）</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6"/>
        <w:gridCol w:w="5907"/>
        <w:gridCol w:w="1160"/>
      </w:tblGrid>
      <w:tr w14:paraId="2FBE6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20C2EA">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业绩序号</w:t>
            </w:r>
          </w:p>
        </w:tc>
        <w:tc>
          <w:tcPr>
            <w:tcW w:w="3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C9B2D4">
            <w:pPr>
              <w:spacing w:beforeLines="0" w:afterLines="0"/>
              <w:jc w:val="center"/>
              <w:rPr>
                <w:rFonts w:hint="eastAsia" w:ascii="Times New Roman"/>
                <w:b/>
                <w:color w:val="auto"/>
                <w:sz w:val="24"/>
                <w:szCs w:val="24"/>
                <w:highlight w:val="none"/>
              </w:rPr>
            </w:pPr>
            <w:r>
              <w:rPr>
                <w:rFonts w:hint="eastAsia" w:ascii="Times New Roman"/>
                <w:b/>
                <w:color w:val="auto"/>
                <w:sz w:val="24"/>
                <w:szCs w:val="24"/>
                <w:highlight w:val="none"/>
              </w:rPr>
              <w:t>项目名称（合同名称）</w:t>
            </w:r>
          </w:p>
        </w:tc>
        <w:tc>
          <w:tcPr>
            <w:tcW w:w="6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A4106B">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备注</w:t>
            </w:r>
          </w:p>
        </w:tc>
      </w:tr>
      <w:tr w14:paraId="64F00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1977E8">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1</w:t>
            </w:r>
          </w:p>
        </w:tc>
        <w:tc>
          <w:tcPr>
            <w:tcW w:w="3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084D69">
            <w:pPr>
              <w:spacing w:beforeLines="0" w:afterLines="0"/>
              <w:jc w:val="center"/>
              <w:rPr>
                <w:rFonts w:hint="eastAsia" w:ascii="Times New Roman"/>
                <w:color w:val="auto"/>
                <w:sz w:val="24"/>
                <w:szCs w:val="24"/>
                <w:highlight w:val="none"/>
              </w:rPr>
            </w:pPr>
          </w:p>
        </w:tc>
        <w:tc>
          <w:tcPr>
            <w:tcW w:w="6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19A49A">
            <w:pPr>
              <w:spacing w:beforeLines="0" w:afterLines="0"/>
              <w:jc w:val="center"/>
              <w:rPr>
                <w:rFonts w:hint="eastAsia" w:ascii="Times New Roman" w:eastAsia="Times New Roman"/>
                <w:color w:val="auto"/>
                <w:sz w:val="24"/>
                <w:szCs w:val="24"/>
                <w:highlight w:val="none"/>
              </w:rPr>
            </w:pPr>
          </w:p>
        </w:tc>
      </w:tr>
      <w:tr w14:paraId="07F1C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21AC38">
            <w:pPr>
              <w:spacing w:beforeLines="0" w:afterLines="0"/>
              <w:jc w:val="center"/>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2</w:t>
            </w:r>
          </w:p>
        </w:tc>
        <w:tc>
          <w:tcPr>
            <w:tcW w:w="3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83A2E5">
            <w:pPr>
              <w:spacing w:beforeLines="0" w:afterLines="0"/>
              <w:jc w:val="center"/>
              <w:rPr>
                <w:rFonts w:hint="eastAsia" w:ascii="Times New Roman"/>
                <w:color w:val="auto"/>
                <w:sz w:val="24"/>
                <w:szCs w:val="24"/>
                <w:highlight w:val="none"/>
              </w:rPr>
            </w:pPr>
          </w:p>
        </w:tc>
        <w:tc>
          <w:tcPr>
            <w:tcW w:w="6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C3783">
            <w:pPr>
              <w:spacing w:beforeLines="0" w:afterLines="0"/>
              <w:jc w:val="center"/>
              <w:rPr>
                <w:rFonts w:hint="eastAsia" w:ascii="Times New Roman" w:eastAsia="Times New Roman"/>
                <w:color w:val="auto"/>
                <w:sz w:val="24"/>
                <w:szCs w:val="24"/>
                <w:highlight w:val="none"/>
              </w:rPr>
            </w:pPr>
          </w:p>
        </w:tc>
      </w:tr>
      <w:tr w14:paraId="3FD2F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4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A60C65">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w:t>
            </w:r>
          </w:p>
        </w:tc>
        <w:tc>
          <w:tcPr>
            <w:tcW w:w="3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2DC7B">
            <w:pPr>
              <w:spacing w:beforeLines="0" w:afterLines="0"/>
              <w:jc w:val="center"/>
              <w:rPr>
                <w:rFonts w:hint="eastAsia" w:ascii="Times New Roman" w:eastAsia="Times New Roman"/>
                <w:color w:val="auto"/>
                <w:sz w:val="24"/>
                <w:szCs w:val="24"/>
                <w:highlight w:val="none"/>
              </w:rPr>
            </w:pPr>
          </w:p>
        </w:tc>
        <w:tc>
          <w:tcPr>
            <w:tcW w:w="6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429A96">
            <w:pPr>
              <w:spacing w:beforeLines="0" w:afterLines="0"/>
              <w:jc w:val="center"/>
              <w:rPr>
                <w:rFonts w:hint="eastAsia" w:ascii="Times New Roman" w:eastAsia="Times New Roman"/>
                <w:color w:val="auto"/>
                <w:sz w:val="24"/>
                <w:szCs w:val="24"/>
                <w:highlight w:val="none"/>
              </w:rPr>
            </w:pPr>
          </w:p>
        </w:tc>
      </w:tr>
    </w:tbl>
    <w:p w14:paraId="55FD9DE2">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注：</w:t>
      </w:r>
    </w:p>
    <w:p w14:paraId="6289CD01">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1.投标人应将用于资格审查的投标人业绩在上表中列明，按照列明的业绩序号先后顺序依次填写“投标人业绩信息表（资格审查）”，并附相应业绩证明材料。</w:t>
      </w:r>
    </w:p>
    <w:p w14:paraId="35F18C04">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2.评标委员会应当按照上表列明的业绩序号先后顺序依次进行评审，且仅评审“附录3  资格审查条件（业绩最低要求）”规定数量的业绩，超出规定数量部分或未在上表列明的业绩均不作为资格审查投标人业绩予以评审。</w:t>
      </w:r>
    </w:p>
    <w:p w14:paraId="00552D4C">
      <w:pPr>
        <w:tabs>
          <w:tab w:val="left" w:pos="8422"/>
          <w:tab w:val="left" w:pos="9622"/>
        </w:tabs>
        <w:spacing w:beforeLines="0" w:afterLines="0" w:line="360" w:lineRule="auto"/>
        <w:ind w:left="4800" w:leftChars="2000" w:right="120" w:rightChars="50"/>
        <w:jc w:val="left"/>
        <w:rPr>
          <w:rFonts w:hint="eastAsia"/>
          <w:color w:val="auto"/>
          <w:sz w:val="24"/>
          <w:szCs w:val="24"/>
          <w:highlight w:val="none"/>
        </w:rPr>
      </w:pPr>
    </w:p>
    <w:p w14:paraId="67D3B75E">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2C97CA77">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72FE58CA">
      <w:pPr>
        <w:spacing w:beforeLines="0" w:afterLines="0" w:line="360" w:lineRule="auto"/>
        <w:jc w:val="center"/>
        <w:rPr>
          <w:rFonts w:hint="eastAsia"/>
          <w:b/>
          <w:color w:val="auto"/>
          <w:sz w:val="24"/>
          <w:szCs w:val="24"/>
          <w:highlight w:val="none"/>
        </w:rPr>
      </w:pPr>
      <w:r>
        <w:rPr>
          <w:rFonts w:hint="eastAsia"/>
          <w:b/>
          <w:color w:val="auto"/>
          <w:sz w:val="24"/>
          <w:szCs w:val="24"/>
          <w:highlight w:val="none"/>
        </w:rPr>
        <w:br w:type="page"/>
      </w:r>
      <w:bookmarkStart w:id="1185" w:name="_Toc128950269"/>
      <w:r>
        <w:rPr>
          <w:rFonts w:hint="eastAsia"/>
          <w:b/>
          <w:color w:val="auto"/>
          <w:sz w:val="24"/>
          <w:szCs w:val="24"/>
          <w:highlight w:val="none"/>
        </w:rPr>
        <w:t>投标人业绩信息表（资格审查）</w:t>
      </w:r>
      <w:bookmarkEnd w:id="1185"/>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6358"/>
      </w:tblGrid>
      <w:tr w14:paraId="0FD9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E05A45">
            <w:pPr>
              <w:autoSpaceDE w:val="0"/>
              <w:autoSpaceDN w:val="0"/>
              <w:adjustRightInd w:val="0"/>
              <w:spacing w:beforeLines="0" w:afterLines="0" w:line="300" w:lineRule="exact"/>
              <w:jc w:val="center"/>
              <w:rPr>
                <w:rFonts w:hint="eastAsia" w:ascii="Times New Roman" w:cs="宋体"/>
                <w:color w:val="auto"/>
                <w:sz w:val="24"/>
                <w:szCs w:val="21"/>
                <w:highlight w:val="none"/>
              </w:rPr>
            </w:pPr>
            <w:r>
              <w:rPr>
                <w:rFonts w:hint="eastAsia" w:ascii="Times New Roman" w:cs="宋体"/>
                <w:color w:val="auto"/>
                <w:sz w:val="24"/>
                <w:szCs w:val="21"/>
                <w:highlight w:val="none"/>
              </w:rPr>
              <w:t>项目名称</w:t>
            </w:r>
          </w:p>
          <w:p w14:paraId="7B20F32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2E0B34">
            <w:pPr>
              <w:autoSpaceDE w:val="0"/>
              <w:autoSpaceDN w:val="0"/>
              <w:adjustRightInd w:val="0"/>
              <w:spacing w:beforeLines="0" w:afterLines="0" w:line="300" w:lineRule="exact"/>
              <w:jc w:val="center"/>
              <w:rPr>
                <w:rFonts w:hint="eastAsia" w:ascii="Times New Roman" w:cs="宋体"/>
                <w:color w:val="auto"/>
                <w:sz w:val="24"/>
                <w:szCs w:val="21"/>
                <w:highlight w:val="none"/>
              </w:rPr>
            </w:pPr>
          </w:p>
        </w:tc>
      </w:tr>
      <w:tr w14:paraId="58C0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4A27A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项目所在地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B5C86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6D35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0B1B3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9604F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6487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24AD6A">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发包人地址</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3FEB48">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7F49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6BDDD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4B060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3E45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DE1E9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合同价格</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9CA3DD">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3E4C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FEEF3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开工日期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BEE6D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874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0653E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竣工日期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ED9778">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1C7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AFA8BB">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承担的工作</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3CB3A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49AC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01465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工程质量</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406490">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74D4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C03E8A">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项目经理</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724A2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37F4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50A01C">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技术负责人</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6AE9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530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23B7E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监理单位及联系电话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4D7D8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5F4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67BF7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总监理工程师及电话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2CC7C">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4F0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B5411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项目描述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F8906C">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66D6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A458C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备注</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12FA36">
            <w:pPr>
              <w:autoSpaceDE w:val="0"/>
              <w:autoSpaceDN w:val="0"/>
              <w:adjustRightInd w:val="0"/>
              <w:spacing w:beforeLines="0" w:afterLines="0" w:line="300" w:lineRule="exact"/>
              <w:ind w:left="360"/>
              <w:jc w:val="center"/>
              <w:rPr>
                <w:rFonts w:hint="eastAsia" w:ascii="Times New Roman" w:eastAsia="Times New Roman" w:cs="宋体"/>
                <w:color w:val="auto"/>
                <w:sz w:val="24"/>
                <w:szCs w:val="21"/>
                <w:highlight w:val="none"/>
              </w:rPr>
            </w:pPr>
            <w:r>
              <w:rPr>
                <w:rFonts w:hint="eastAsia" w:ascii="Times New Roman"/>
                <w:color w:val="auto"/>
                <w:sz w:val="24"/>
                <w:szCs w:val="22"/>
                <w:highlight w:val="none"/>
              </w:rPr>
              <w:t>资格审查业绩</w:t>
            </w:r>
          </w:p>
        </w:tc>
      </w:tr>
    </w:tbl>
    <w:p w14:paraId="6CF78A38">
      <w:pPr>
        <w:autoSpaceDE w:val="0"/>
        <w:autoSpaceDN w:val="0"/>
        <w:adjustRightInd w:val="0"/>
        <w:spacing w:beforeLines="0" w:afterLines="0" w:line="360" w:lineRule="auto"/>
        <w:ind w:firstLine="480" w:firstLineChars="200"/>
        <w:jc w:val="left"/>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注：投标人应根据招标文件第二章“投标人须知”前附表附录3的要求在本表后附相关证明材料。</w:t>
      </w:r>
    </w:p>
    <w:p w14:paraId="66B206F6">
      <w:pPr>
        <w:spacing w:before="240" w:beforeLines="100" w:after="240" w:afterLines="100"/>
        <w:jc w:val="center"/>
        <w:outlineLvl w:val="3"/>
        <w:rPr>
          <w:rFonts w:hint="eastAsia" w:ascii="Times New Roman" w:eastAsia="Times New Roman"/>
          <w:color w:val="auto"/>
          <w:sz w:val="24"/>
          <w:szCs w:val="24"/>
          <w:highlight w:val="none"/>
        </w:rPr>
      </w:pPr>
      <w:r>
        <w:rPr>
          <w:rFonts w:hint="eastAsia" w:ascii="Times New Roman" w:eastAsia="Times New Roman"/>
          <w:color w:val="auto"/>
          <w:sz w:val="24"/>
          <w:szCs w:val="21"/>
          <w:highlight w:val="none"/>
        </w:rPr>
        <w:br w:type="page"/>
      </w:r>
      <w:bookmarkStart w:id="1186" w:name="_Toc128950270"/>
      <w:r>
        <w:rPr>
          <w:rFonts w:hint="eastAsia" w:ascii="Times New Roman" w:eastAsia="黑体"/>
          <w:color w:val="auto"/>
          <w:sz w:val="24"/>
          <w:szCs w:val="24"/>
          <w:highlight w:val="none"/>
        </w:rPr>
        <w:t>（四）项目经理业绩情况表（资格审查）</w:t>
      </w:r>
      <w:bookmarkEnd w:id="1186"/>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01"/>
        <w:gridCol w:w="4983"/>
        <w:gridCol w:w="2129"/>
      </w:tblGrid>
      <w:tr w14:paraId="1C913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4192D5">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业绩序号</w:t>
            </w:r>
          </w:p>
        </w:tc>
        <w:tc>
          <w:tcPr>
            <w:tcW w:w="292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3B488">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项目名称（合同名称）</w:t>
            </w:r>
          </w:p>
        </w:tc>
        <w:tc>
          <w:tcPr>
            <w:tcW w:w="12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28038C">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备注</w:t>
            </w:r>
          </w:p>
        </w:tc>
      </w:tr>
      <w:tr w14:paraId="73239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E2F46D">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1</w:t>
            </w:r>
          </w:p>
        </w:tc>
        <w:tc>
          <w:tcPr>
            <w:tcW w:w="292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7C7393">
            <w:pPr>
              <w:spacing w:beforeLines="0" w:afterLines="0"/>
              <w:jc w:val="center"/>
              <w:rPr>
                <w:rFonts w:hint="eastAsia" w:ascii="Times New Roman" w:eastAsia="Times New Roman"/>
                <w:color w:val="auto"/>
                <w:sz w:val="24"/>
                <w:szCs w:val="24"/>
                <w:highlight w:val="none"/>
              </w:rPr>
            </w:pPr>
          </w:p>
        </w:tc>
        <w:tc>
          <w:tcPr>
            <w:tcW w:w="12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398F8">
            <w:pPr>
              <w:spacing w:beforeLines="0" w:afterLines="0"/>
              <w:jc w:val="center"/>
              <w:rPr>
                <w:rFonts w:hint="eastAsia" w:ascii="Times New Roman" w:eastAsia="Times New Roman"/>
                <w:color w:val="auto"/>
                <w:sz w:val="24"/>
                <w:szCs w:val="24"/>
                <w:highlight w:val="none"/>
              </w:rPr>
            </w:pPr>
          </w:p>
        </w:tc>
      </w:tr>
      <w:tr w14:paraId="34EEE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74048">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2</w:t>
            </w:r>
          </w:p>
        </w:tc>
        <w:tc>
          <w:tcPr>
            <w:tcW w:w="292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1C4D9">
            <w:pPr>
              <w:spacing w:beforeLines="0" w:afterLines="0"/>
              <w:jc w:val="center"/>
              <w:rPr>
                <w:rFonts w:hint="eastAsia" w:ascii="Times New Roman" w:eastAsia="Times New Roman"/>
                <w:color w:val="auto"/>
                <w:sz w:val="24"/>
                <w:szCs w:val="24"/>
                <w:highlight w:val="none"/>
              </w:rPr>
            </w:pPr>
          </w:p>
        </w:tc>
        <w:tc>
          <w:tcPr>
            <w:tcW w:w="12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DF28CB">
            <w:pPr>
              <w:spacing w:beforeLines="0" w:afterLines="0"/>
              <w:jc w:val="center"/>
              <w:rPr>
                <w:rFonts w:hint="eastAsia" w:ascii="Times New Roman" w:eastAsia="Times New Roman"/>
                <w:color w:val="auto"/>
                <w:sz w:val="24"/>
                <w:szCs w:val="24"/>
                <w:highlight w:val="none"/>
              </w:rPr>
            </w:pPr>
          </w:p>
        </w:tc>
      </w:tr>
      <w:tr w14:paraId="39A36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2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091140">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w:t>
            </w:r>
          </w:p>
        </w:tc>
        <w:tc>
          <w:tcPr>
            <w:tcW w:w="292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40522E">
            <w:pPr>
              <w:spacing w:beforeLines="0" w:afterLines="0"/>
              <w:jc w:val="center"/>
              <w:rPr>
                <w:rFonts w:hint="eastAsia" w:ascii="Times New Roman" w:eastAsia="Times New Roman"/>
                <w:color w:val="auto"/>
                <w:sz w:val="24"/>
                <w:szCs w:val="24"/>
                <w:highlight w:val="none"/>
              </w:rPr>
            </w:pPr>
          </w:p>
        </w:tc>
        <w:tc>
          <w:tcPr>
            <w:tcW w:w="12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D0B625">
            <w:pPr>
              <w:spacing w:beforeLines="0" w:afterLines="0"/>
              <w:jc w:val="center"/>
              <w:rPr>
                <w:rFonts w:hint="eastAsia" w:ascii="Times New Roman" w:eastAsia="Times New Roman"/>
                <w:color w:val="auto"/>
                <w:sz w:val="24"/>
                <w:szCs w:val="24"/>
                <w:highlight w:val="none"/>
              </w:rPr>
            </w:pPr>
          </w:p>
        </w:tc>
      </w:tr>
    </w:tbl>
    <w:p w14:paraId="09F06F9E">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注：</w:t>
      </w:r>
    </w:p>
    <w:p w14:paraId="7285978C">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1.投标人应将用于资格审查的项目经理业绩在上表中列明，按照列明的业绩序号先后顺序依次填写“项目经理业绩信息表（资格审查）”，并附相应业绩证明材料。</w:t>
      </w:r>
    </w:p>
    <w:p w14:paraId="785D2805">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2.评标委员会应当按照上表列明的业绩序号先后顺序依次进行评审，且仅评审“附录5  资格审查条件（项目经理最低要求）”规定数量的业绩，超出规定数量部分或未在上表列明的业绩均不作为资格审查项目经理业绩予以评审。</w:t>
      </w:r>
    </w:p>
    <w:p w14:paraId="793B3BEF">
      <w:pPr>
        <w:tabs>
          <w:tab w:val="left" w:pos="8422"/>
          <w:tab w:val="left" w:pos="9622"/>
        </w:tabs>
        <w:spacing w:beforeLines="0" w:afterLines="0" w:line="360" w:lineRule="auto"/>
        <w:ind w:left="4800" w:leftChars="2000" w:right="120" w:rightChars="50"/>
        <w:jc w:val="left"/>
        <w:rPr>
          <w:rFonts w:hint="eastAsia"/>
          <w:color w:val="auto"/>
          <w:sz w:val="24"/>
          <w:szCs w:val="24"/>
          <w:highlight w:val="none"/>
        </w:rPr>
      </w:pPr>
    </w:p>
    <w:p w14:paraId="29F1FDA0">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4FBB0B56">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4BA02FF3">
      <w:pPr>
        <w:spacing w:beforeLines="0" w:afterLines="0" w:line="360" w:lineRule="auto"/>
        <w:jc w:val="center"/>
        <w:rPr>
          <w:rFonts w:hint="eastAsia"/>
          <w:b/>
          <w:color w:val="auto"/>
          <w:sz w:val="24"/>
          <w:szCs w:val="24"/>
          <w:highlight w:val="none"/>
        </w:rPr>
      </w:pPr>
      <w:r>
        <w:rPr>
          <w:rFonts w:hint="eastAsia"/>
          <w:b/>
          <w:color w:val="auto"/>
          <w:sz w:val="24"/>
          <w:szCs w:val="24"/>
          <w:highlight w:val="none"/>
        </w:rPr>
        <w:br w:type="page"/>
      </w:r>
      <w:bookmarkStart w:id="1187" w:name="_Toc128950271"/>
      <w:r>
        <w:rPr>
          <w:rFonts w:hint="eastAsia"/>
          <w:b/>
          <w:color w:val="auto"/>
          <w:sz w:val="24"/>
          <w:szCs w:val="24"/>
          <w:highlight w:val="none"/>
        </w:rPr>
        <w:t>项目经理业绩信息表（资格审查）</w:t>
      </w:r>
      <w:bookmarkEnd w:id="1187"/>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6357"/>
      </w:tblGrid>
      <w:tr w14:paraId="7BC6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38FC15">
            <w:pPr>
              <w:autoSpaceDE w:val="0"/>
              <w:autoSpaceDN w:val="0"/>
              <w:adjustRightInd w:val="0"/>
              <w:spacing w:beforeLines="0" w:afterLines="0" w:line="300" w:lineRule="exact"/>
              <w:jc w:val="center"/>
              <w:rPr>
                <w:rFonts w:hint="eastAsia" w:ascii="Times New Roman" w:cs="宋体"/>
                <w:color w:val="auto"/>
                <w:sz w:val="24"/>
                <w:szCs w:val="21"/>
                <w:highlight w:val="none"/>
              </w:rPr>
            </w:pPr>
            <w:r>
              <w:rPr>
                <w:rFonts w:hint="eastAsia" w:ascii="Times New Roman" w:cs="宋体"/>
                <w:color w:val="auto"/>
                <w:sz w:val="24"/>
                <w:szCs w:val="21"/>
                <w:highlight w:val="none"/>
              </w:rPr>
              <w:t>项目名称</w:t>
            </w:r>
          </w:p>
          <w:p w14:paraId="5DA06400">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1E25DB">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A03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2E670D">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项目所在地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77E74B">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590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BA04C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E5043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B3C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1B621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发包人地址</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6ABA8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6531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4F5A0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0AA51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5C7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F7AAB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合同价格</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660C7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6C4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AF4E6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开工日期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70FD8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3988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F94E5A">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竣工日期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56B91C">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758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1766E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承担的工作</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9F222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D76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8BCC1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工程质量</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AD1B6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BB7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18ADD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项目经理</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8CF8A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3D8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E0944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技术负责人</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2D779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840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EE5C3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监理单位及联系电话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E7510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005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6331D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总监理工程师及电话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99B9F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7288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7F261A">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项目描述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7ABA1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2A28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2D012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备注</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051772">
            <w:pPr>
              <w:autoSpaceDE w:val="0"/>
              <w:autoSpaceDN w:val="0"/>
              <w:adjustRightInd w:val="0"/>
              <w:spacing w:beforeLines="0" w:afterLines="0" w:line="300" w:lineRule="exact"/>
              <w:ind w:left="360"/>
              <w:jc w:val="center"/>
              <w:rPr>
                <w:rFonts w:hint="eastAsia" w:ascii="Times New Roman" w:eastAsia="Times New Roman" w:cs="宋体"/>
                <w:color w:val="auto"/>
                <w:sz w:val="24"/>
                <w:szCs w:val="21"/>
                <w:highlight w:val="none"/>
              </w:rPr>
            </w:pPr>
            <w:r>
              <w:rPr>
                <w:rFonts w:hint="eastAsia" w:ascii="Times New Roman"/>
                <w:color w:val="auto"/>
                <w:sz w:val="24"/>
                <w:szCs w:val="22"/>
                <w:highlight w:val="none"/>
              </w:rPr>
              <w:t>资格审查业绩</w:t>
            </w:r>
          </w:p>
        </w:tc>
      </w:tr>
    </w:tbl>
    <w:p w14:paraId="0ABBB6B5">
      <w:pPr>
        <w:autoSpaceDE w:val="0"/>
        <w:autoSpaceDN w:val="0"/>
        <w:adjustRightInd w:val="0"/>
        <w:spacing w:beforeLines="0" w:afterLines="0" w:line="360" w:lineRule="auto"/>
        <w:ind w:firstLine="480" w:firstLineChars="200"/>
        <w:jc w:val="left"/>
        <w:rPr>
          <w:rFonts w:hint="eastAsia" w:ascii="Times New Roman" w:cs="宋体"/>
          <w:color w:val="auto"/>
          <w:sz w:val="24"/>
          <w:szCs w:val="21"/>
          <w:highlight w:val="none"/>
        </w:rPr>
      </w:pPr>
      <w:r>
        <w:rPr>
          <w:rFonts w:hint="eastAsia" w:ascii="Times New Roman" w:cs="宋体"/>
          <w:color w:val="auto"/>
          <w:sz w:val="24"/>
          <w:szCs w:val="21"/>
          <w:highlight w:val="none"/>
        </w:rPr>
        <w:t>注：投标人应根据招标文件第二章“投标人须知”前附表附录5的要求在本表后附相关证明材料。</w:t>
      </w:r>
      <w:bookmarkEnd w:id="1177"/>
      <w:bookmarkEnd w:id="1178"/>
      <w:bookmarkEnd w:id="1179"/>
      <w:bookmarkEnd w:id="1180"/>
      <w:bookmarkEnd w:id="1181"/>
      <w:bookmarkEnd w:id="1182"/>
      <w:bookmarkEnd w:id="1183"/>
      <w:bookmarkEnd w:id="1184"/>
    </w:p>
    <w:p w14:paraId="2A890E60">
      <w:pPr>
        <w:spacing w:before="240" w:beforeLines="100" w:after="240" w:afterLines="100"/>
        <w:jc w:val="center"/>
        <w:outlineLvl w:val="3"/>
        <w:rPr>
          <w:rFonts w:hint="eastAsia" w:ascii="Times New Roman" w:eastAsia="黑体"/>
          <w:color w:val="auto"/>
          <w:sz w:val="24"/>
          <w:szCs w:val="24"/>
          <w:highlight w:val="none"/>
        </w:rPr>
      </w:pPr>
      <w:bookmarkStart w:id="1188" w:name="_Toc13177"/>
      <w:bookmarkStart w:id="1189" w:name="_Toc14916"/>
      <w:bookmarkStart w:id="1190" w:name="_Toc20521"/>
      <w:bookmarkStart w:id="1191" w:name="_Toc4344"/>
      <w:bookmarkStart w:id="1192" w:name="_Toc23419"/>
      <w:bookmarkStart w:id="1193" w:name="_Toc22953"/>
      <w:bookmarkStart w:id="1194" w:name="_Toc14214"/>
      <w:bookmarkStart w:id="1195" w:name="_Toc7277"/>
      <w:r>
        <w:rPr>
          <w:rFonts w:hint="eastAsia" w:ascii="Times New Roman" w:eastAsia="黑体"/>
          <w:color w:val="auto"/>
          <w:sz w:val="24"/>
          <w:szCs w:val="24"/>
          <w:highlight w:val="none"/>
        </w:rPr>
        <w:br w:type="page"/>
      </w:r>
      <w:bookmarkStart w:id="1196" w:name="_Toc128950272"/>
      <w:r>
        <w:rPr>
          <w:rFonts w:hint="eastAsia" w:ascii="Times New Roman" w:eastAsia="黑体"/>
          <w:color w:val="auto"/>
          <w:sz w:val="24"/>
          <w:szCs w:val="24"/>
          <w:highlight w:val="none"/>
        </w:rPr>
        <w:t>（五）投标人信誉情况</w:t>
      </w:r>
      <w:bookmarkEnd w:id="1188"/>
      <w:bookmarkEnd w:id="1189"/>
      <w:bookmarkEnd w:id="1190"/>
      <w:bookmarkEnd w:id="1191"/>
      <w:bookmarkEnd w:id="1192"/>
      <w:bookmarkEnd w:id="1193"/>
      <w:bookmarkEnd w:id="1194"/>
      <w:bookmarkEnd w:id="1195"/>
      <w:bookmarkEnd w:id="1196"/>
    </w:p>
    <w:p w14:paraId="02329886">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投标人无需提供证明材料，由评标委员会通过电子服务系统查询。</w:t>
      </w:r>
    </w:p>
    <w:p w14:paraId="3734D72A">
      <w:pPr>
        <w:spacing w:before="240" w:beforeLines="100" w:after="240" w:afterLines="100"/>
        <w:jc w:val="center"/>
        <w:outlineLvl w:val="3"/>
        <w:rPr>
          <w:rFonts w:hint="eastAsia" w:ascii="Times New Roman" w:eastAsia="黑体"/>
          <w:color w:val="auto"/>
          <w:sz w:val="24"/>
          <w:szCs w:val="24"/>
          <w:highlight w:val="none"/>
        </w:rPr>
      </w:pPr>
      <w:bookmarkStart w:id="1197" w:name="_Toc460227112"/>
      <w:bookmarkStart w:id="1198" w:name="_Toc390411625"/>
      <w:bookmarkStart w:id="1199" w:name="_Toc421917005"/>
      <w:bookmarkStart w:id="1200" w:name="_Toc460660227"/>
      <w:r>
        <w:rPr>
          <w:rFonts w:hint="eastAsia" w:ascii="Times New Roman" w:eastAsia="Times New Roman"/>
          <w:b/>
          <w:color w:val="auto"/>
          <w:sz w:val="24"/>
          <w:szCs w:val="21"/>
          <w:highlight w:val="none"/>
        </w:rPr>
        <w:br w:type="page"/>
      </w:r>
      <w:bookmarkStart w:id="1201" w:name="_Toc26352"/>
      <w:bookmarkStart w:id="1202" w:name="_Toc5314"/>
      <w:bookmarkStart w:id="1203" w:name="_Toc25236"/>
      <w:bookmarkStart w:id="1204" w:name="_Toc128950273"/>
      <w:bookmarkStart w:id="1205" w:name="_Toc1969"/>
      <w:bookmarkStart w:id="1206" w:name="_Toc32471"/>
      <w:bookmarkStart w:id="1207" w:name="_Toc8927"/>
      <w:bookmarkStart w:id="1208" w:name="_Toc2832"/>
      <w:bookmarkStart w:id="1209" w:name="_Toc2211"/>
      <w:r>
        <w:rPr>
          <w:rFonts w:hint="eastAsia" w:ascii="Times New Roman" w:eastAsia="黑体"/>
          <w:color w:val="auto"/>
          <w:sz w:val="24"/>
          <w:szCs w:val="24"/>
          <w:highlight w:val="none"/>
        </w:rPr>
        <w:t>（六）项目经理（项目技术负责人）简历</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9"/>
        <w:gridCol w:w="1330"/>
        <w:gridCol w:w="598"/>
        <w:gridCol w:w="405"/>
        <w:gridCol w:w="194"/>
        <w:gridCol w:w="1368"/>
        <w:gridCol w:w="1177"/>
        <w:gridCol w:w="363"/>
        <w:gridCol w:w="1867"/>
      </w:tblGrid>
      <w:tr w14:paraId="0F97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949E3E">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姓  名</w:t>
            </w:r>
          </w:p>
        </w:tc>
        <w:tc>
          <w:tcPr>
            <w:tcW w:w="79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94B3C42">
            <w:pPr>
              <w:spacing w:beforeLines="0" w:afterLines="0"/>
              <w:jc w:val="center"/>
              <w:rPr>
                <w:rFonts w:hint="eastAsia" w:ascii="Times New Roman" w:eastAsia="Times New Roman"/>
                <w:color w:val="auto"/>
                <w:sz w:val="24"/>
                <w:szCs w:val="21"/>
                <w:highlight w:val="none"/>
              </w:rPr>
            </w:pPr>
          </w:p>
        </w:tc>
        <w:tc>
          <w:tcPr>
            <w:tcW w:w="703"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3AA2529">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年 龄</w:t>
            </w:r>
          </w:p>
        </w:tc>
        <w:tc>
          <w:tcPr>
            <w:tcW w:w="8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65C8D6">
            <w:pPr>
              <w:spacing w:beforeLines="0" w:afterLines="0"/>
              <w:jc w:val="center"/>
              <w:rPr>
                <w:rFonts w:hint="eastAsia" w:ascii="Times New Roman" w:eastAsia="Times New Roman"/>
                <w:color w:val="auto"/>
                <w:sz w:val="24"/>
                <w:szCs w:val="21"/>
                <w:highlight w:val="none"/>
              </w:rPr>
            </w:pPr>
          </w:p>
        </w:tc>
        <w:tc>
          <w:tcPr>
            <w:tcW w:w="90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C67EF20">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学 历</w:t>
            </w:r>
          </w:p>
        </w:tc>
        <w:tc>
          <w:tcPr>
            <w:tcW w:w="109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67E9EB">
            <w:pPr>
              <w:spacing w:beforeLines="0" w:afterLines="0"/>
              <w:jc w:val="center"/>
              <w:rPr>
                <w:rFonts w:hint="eastAsia" w:ascii="Times New Roman" w:eastAsia="Times New Roman"/>
                <w:color w:val="auto"/>
                <w:sz w:val="24"/>
                <w:szCs w:val="21"/>
                <w:highlight w:val="none"/>
              </w:rPr>
            </w:pPr>
          </w:p>
        </w:tc>
      </w:tr>
      <w:tr w14:paraId="4D74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4B1424">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职  称</w:t>
            </w:r>
          </w:p>
        </w:tc>
        <w:tc>
          <w:tcPr>
            <w:tcW w:w="79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90000C1">
            <w:pPr>
              <w:spacing w:beforeLines="0" w:afterLines="0"/>
              <w:jc w:val="center"/>
              <w:rPr>
                <w:rFonts w:hint="eastAsia" w:ascii="Times New Roman" w:eastAsia="Times New Roman"/>
                <w:color w:val="auto"/>
                <w:sz w:val="24"/>
                <w:szCs w:val="21"/>
                <w:highlight w:val="none"/>
              </w:rPr>
            </w:pPr>
          </w:p>
        </w:tc>
        <w:tc>
          <w:tcPr>
            <w:tcW w:w="703"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910582A">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单位</w:t>
            </w:r>
          </w:p>
          <w:p w14:paraId="649CF1C4">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职务</w:t>
            </w:r>
          </w:p>
        </w:tc>
        <w:tc>
          <w:tcPr>
            <w:tcW w:w="8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461693">
            <w:pPr>
              <w:spacing w:beforeLines="0" w:afterLines="0"/>
              <w:jc w:val="center"/>
              <w:rPr>
                <w:rFonts w:hint="eastAsia" w:ascii="Times New Roman" w:eastAsia="Times New Roman"/>
                <w:color w:val="auto"/>
                <w:sz w:val="24"/>
                <w:szCs w:val="21"/>
                <w:highlight w:val="none"/>
              </w:rPr>
            </w:pPr>
          </w:p>
        </w:tc>
        <w:tc>
          <w:tcPr>
            <w:tcW w:w="90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15DFCBF">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拟在本标段</w:t>
            </w:r>
          </w:p>
          <w:p w14:paraId="15CC5553">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工程担任职务</w:t>
            </w:r>
          </w:p>
        </w:tc>
        <w:tc>
          <w:tcPr>
            <w:tcW w:w="109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A0B2CC">
            <w:pPr>
              <w:spacing w:beforeLines="0" w:afterLines="0"/>
              <w:jc w:val="center"/>
              <w:rPr>
                <w:rFonts w:hint="eastAsia" w:ascii="Times New Roman" w:eastAsia="Times New Roman"/>
                <w:color w:val="auto"/>
                <w:sz w:val="24"/>
                <w:szCs w:val="21"/>
                <w:highlight w:val="none"/>
              </w:rPr>
            </w:pPr>
          </w:p>
        </w:tc>
      </w:tr>
      <w:tr w14:paraId="63C3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E58E7E">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毕业学校</w:t>
            </w:r>
          </w:p>
        </w:tc>
        <w:tc>
          <w:tcPr>
            <w:tcW w:w="4298" w:type="pct"/>
            <w:gridSpan w:val="9"/>
            <w:tcBorders>
              <w:top w:val="single" w:color="auto" w:sz="4" w:space="0"/>
              <w:left w:val="single" w:color="auto" w:sz="4" w:space="0"/>
              <w:bottom w:val="single" w:color="auto" w:sz="4" w:space="0"/>
              <w:right w:val="single" w:color="auto" w:sz="4" w:space="0"/>
              <w:tl2br w:val="nil"/>
              <w:tr2bl w:val="nil"/>
            </w:tcBorders>
            <w:noWrap w:val="0"/>
            <w:vAlign w:val="center"/>
          </w:tcPr>
          <w:p w14:paraId="3EAD53C9">
            <w:pPr>
              <w:spacing w:beforeLines="0" w:afterLines="0"/>
              <w:rPr>
                <w:rFonts w:hint="eastAsia" w:ascii="Times New Roman" w:eastAsia="Times New Roman"/>
                <w:color w:val="auto"/>
                <w:sz w:val="24"/>
                <w:szCs w:val="21"/>
                <w:highlight w:val="none"/>
              </w:rPr>
            </w:pP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月毕业于</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学校</w:t>
            </w:r>
            <w:r>
              <w:rPr>
                <w:rFonts w:hint="eastAsia" w:ascii="Times New Roman" w:eastAsia="Times New Roman"/>
                <w:color w:val="auto"/>
                <w:sz w:val="24"/>
                <w:szCs w:val="21"/>
                <w:highlight w:val="none"/>
                <w:u w:val="single"/>
              </w:rPr>
              <w:t xml:space="preserve">        </w:t>
            </w:r>
            <w:r>
              <w:rPr>
                <w:rFonts w:hint="eastAsia" w:ascii="Times New Roman"/>
                <w:color w:val="auto"/>
                <w:sz w:val="24"/>
                <w:szCs w:val="21"/>
                <w:highlight w:val="none"/>
              </w:rPr>
              <w:t>专业，学制</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p>
        </w:tc>
      </w:tr>
      <w:tr w14:paraId="1B8C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0"/>
            <w:tcBorders>
              <w:top w:val="single" w:color="auto" w:sz="4" w:space="0"/>
              <w:left w:val="single" w:color="auto" w:sz="4" w:space="0"/>
              <w:bottom w:val="single" w:color="auto" w:sz="4" w:space="0"/>
              <w:right w:val="single" w:color="auto" w:sz="4" w:space="0"/>
              <w:tl2br w:val="nil"/>
              <w:tr2bl w:val="nil"/>
            </w:tcBorders>
            <w:noWrap w:val="0"/>
            <w:vAlign w:val="center"/>
          </w:tcPr>
          <w:p w14:paraId="70E8C9C8">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1"/>
                <w:highlight w:val="none"/>
              </w:rPr>
              <w:t>经    历</w:t>
            </w:r>
          </w:p>
        </w:tc>
      </w:tr>
      <w:tr w14:paraId="3D2A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EC4C8BC">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时间</w:t>
            </w: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4D15E7C">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参加过的工程项目名称</w:t>
            </w:r>
          </w:p>
        </w:tc>
        <w:tc>
          <w:tcPr>
            <w:tcW w:w="91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7857088">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签约合同价金额（万元）</w:t>
            </w:r>
          </w:p>
        </w:tc>
        <w:tc>
          <w:tcPr>
            <w:tcW w:w="6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BF49A0">
            <w:pPr>
              <w:spacing w:beforeLines="0" w:afterLines="0"/>
              <w:jc w:val="center"/>
              <w:rPr>
                <w:rFonts w:hint="eastAsia" w:ascii="Times New Roman" w:eastAsia="Times New Roman"/>
                <w:color w:val="auto"/>
                <w:sz w:val="24"/>
                <w:szCs w:val="21"/>
                <w:highlight w:val="none"/>
              </w:rPr>
            </w:pPr>
            <w:r>
              <w:rPr>
                <w:rFonts w:hint="eastAsia" w:ascii="Times New Roman"/>
                <w:color w:val="auto"/>
                <w:sz w:val="24"/>
                <w:szCs w:val="21"/>
                <w:highlight w:val="none"/>
              </w:rPr>
              <w:t>担任职务</w:t>
            </w: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C77B8C8">
            <w:pPr>
              <w:spacing w:beforeLines="0" w:afterLines="0"/>
              <w:rPr>
                <w:rFonts w:hint="eastAsia" w:ascii="Times New Roman" w:eastAsia="Times New Roman"/>
                <w:color w:val="auto"/>
                <w:sz w:val="24"/>
                <w:szCs w:val="21"/>
                <w:highlight w:val="none"/>
              </w:rPr>
            </w:pPr>
            <w:r>
              <w:rPr>
                <w:rFonts w:hint="eastAsia" w:ascii="Times New Roman"/>
                <w:color w:val="auto"/>
                <w:sz w:val="24"/>
                <w:szCs w:val="21"/>
                <w:highlight w:val="none"/>
              </w:rPr>
              <w:t>发包人及联系电话</w:t>
            </w:r>
          </w:p>
        </w:tc>
      </w:tr>
      <w:tr w14:paraId="6709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6ACA2D56">
            <w:pPr>
              <w:spacing w:beforeLines="0" w:afterLines="0"/>
              <w:rPr>
                <w:rFonts w:hint="eastAsia" w:ascii="Times New Roman" w:eastAsia="Times New Roman"/>
                <w:color w:val="auto"/>
                <w:sz w:val="24"/>
                <w:szCs w:val="21"/>
                <w:highlight w:val="none"/>
              </w:rPr>
            </w:pP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top"/>
          </w:tcPr>
          <w:p w14:paraId="5854AAD6">
            <w:pPr>
              <w:spacing w:beforeLines="0" w:afterLines="0"/>
              <w:rPr>
                <w:rFonts w:hint="eastAsia" w:ascii="Times New Roman" w:eastAsia="Times New Roman"/>
                <w:color w:val="auto"/>
                <w:sz w:val="24"/>
                <w:szCs w:val="21"/>
                <w:highlight w:val="none"/>
              </w:rPr>
            </w:pPr>
          </w:p>
        </w:tc>
        <w:tc>
          <w:tcPr>
            <w:tcW w:w="917"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060E73D4">
            <w:pPr>
              <w:spacing w:beforeLines="0" w:afterLines="0"/>
              <w:rPr>
                <w:rFonts w:hint="eastAsia" w:ascii="Times New Roman" w:eastAsia="Times New Roman"/>
                <w:color w:val="auto"/>
                <w:sz w:val="24"/>
                <w:szCs w:val="21"/>
                <w:highlight w:val="none"/>
              </w:rPr>
            </w:pPr>
          </w:p>
        </w:tc>
        <w:tc>
          <w:tcPr>
            <w:tcW w:w="691" w:type="pct"/>
            <w:tcBorders>
              <w:top w:val="single" w:color="auto" w:sz="4" w:space="0"/>
              <w:left w:val="single" w:color="auto" w:sz="4" w:space="0"/>
              <w:bottom w:val="single" w:color="auto" w:sz="4" w:space="0"/>
              <w:right w:val="single" w:color="auto" w:sz="4" w:space="0"/>
              <w:tl2br w:val="nil"/>
              <w:tr2bl w:val="nil"/>
            </w:tcBorders>
            <w:noWrap w:val="0"/>
            <w:vAlign w:val="top"/>
          </w:tcPr>
          <w:p w14:paraId="72512F84">
            <w:pPr>
              <w:spacing w:beforeLines="0" w:afterLines="0"/>
              <w:rPr>
                <w:rFonts w:hint="eastAsia" w:ascii="Times New Roman" w:eastAsia="Times New Roman"/>
                <w:color w:val="auto"/>
                <w:sz w:val="24"/>
                <w:szCs w:val="21"/>
                <w:highlight w:val="none"/>
              </w:rPr>
            </w:pP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21A12023">
            <w:pPr>
              <w:spacing w:beforeLines="0" w:afterLines="0"/>
              <w:rPr>
                <w:rFonts w:hint="eastAsia" w:ascii="Times New Roman" w:eastAsia="Times New Roman"/>
                <w:color w:val="auto"/>
                <w:sz w:val="24"/>
                <w:szCs w:val="21"/>
                <w:highlight w:val="none"/>
              </w:rPr>
            </w:pPr>
          </w:p>
        </w:tc>
      </w:tr>
      <w:tr w14:paraId="27B3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6D1370EA">
            <w:pPr>
              <w:spacing w:beforeLines="0" w:afterLines="0"/>
              <w:rPr>
                <w:rFonts w:hint="eastAsia" w:ascii="Times New Roman" w:eastAsia="Times New Roman"/>
                <w:color w:val="auto"/>
                <w:sz w:val="24"/>
                <w:szCs w:val="21"/>
                <w:highlight w:val="none"/>
              </w:rPr>
            </w:pP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top"/>
          </w:tcPr>
          <w:p w14:paraId="70888CE3">
            <w:pPr>
              <w:pStyle w:val="13"/>
              <w:spacing w:beforeLines="0" w:afterLines="0"/>
              <w:rPr>
                <w:rFonts w:hint="eastAsia" w:ascii="Times New Roman" w:hAnsi="Times New Roman" w:eastAsia="Times New Roman"/>
                <w:caps w:val="0"/>
                <w:color w:val="auto"/>
                <w:sz w:val="20"/>
                <w:szCs w:val="20"/>
                <w:highlight w:val="none"/>
              </w:rPr>
            </w:pPr>
          </w:p>
        </w:tc>
        <w:tc>
          <w:tcPr>
            <w:tcW w:w="917"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150DD9A6">
            <w:pPr>
              <w:pStyle w:val="13"/>
              <w:spacing w:beforeLines="0" w:afterLines="0"/>
              <w:rPr>
                <w:rFonts w:hint="eastAsia" w:ascii="Times New Roman" w:hAnsi="Times New Roman" w:eastAsia="Times New Roman"/>
                <w:caps w:val="0"/>
                <w:color w:val="auto"/>
                <w:sz w:val="20"/>
                <w:szCs w:val="20"/>
                <w:highlight w:val="none"/>
              </w:rPr>
            </w:pPr>
          </w:p>
        </w:tc>
        <w:tc>
          <w:tcPr>
            <w:tcW w:w="691" w:type="pct"/>
            <w:tcBorders>
              <w:top w:val="single" w:color="auto" w:sz="4" w:space="0"/>
              <w:left w:val="single" w:color="auto" w:sz="4" w:space="0"/>
              <w:bottom w:val="single" w:color="auto" w:sz="4" w:space="0"/>
              <w:right w:val="single" w:color="auto" w:sz="4" w:space="0"/>
              <w:tl2br w:val="nil"/>
              <w:tr2bl w:val="nil"/>
            </w:tcBorders>
            <w:noWrap w:val="0"/>
            <w:vAlign w:val="top"/>
          </w:tcPr>
          <w:p w14:paraId="6ABB8CD1">
            <w:pPr>
              <w:pStyle w:val="13"/>
              <w:spacing w:beforeLines="0" w:afterLines="0"/>
              <w:rPr>
                <w:rFonts w:hint="eastAsia" w:ascii="Times New Roman" w:hAnsi="Times New Roman" w:eastAsia="Times New Roman"/>
                <w:caps w:val="0"/>
                <w:color w:val="auto"/>
                <w:sz w:val="20"/>
                <w:szCs w:val="20"/>
                <w:highlight w:val="none"/>
              </w:rPr>
            </w:pP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4251570B">
            <w:pPr>
              <w:spacing w:beforeLines="0" w:afterLines="0"/>
              <w:rPr>
                <w:rFonts w:hint="eastAsia" w:ascii="Times New Roman" w:eastAsia="Times New Roman"/>
                <w:color w:val="auto"/>
                <w:sz w:val="24"/>
                <w:szCs w:val="21"/>
                <w:highlight w:val="none"/>
              </w:rPr>
            </w:pPr>
          </w:p>
        </w:tc>
      </w:tr>
      <w:tr w14:paraId="49C5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313A16C2">
            <w:pPr>
              <w:spacing w:beforeLines="0" w:afterLines="0"/>
              <w:rPr>
                <w:rFonts w:hint="eastAsia" w:ascii="Times New Roman" w:eastAsia="Times New Roman"/>
                <w:color w:val="auto"/>
                <w:sz w:val="24"/>
                <w:szCs w:val="21"/>
                <w:highlight w:val="none"/>
              </w:rPr>
            </w:pP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top"/>
          </w:tcPr>
          <w:p w14:paraId="09F6E451">
            <w:pPr>
              <w:spacing w:beforeLines="0" w:afterLines="0"/>
              <w:rPr>
                <w:rFonts w:hint="eastAsia" w:ascii="Times New Roman" w:eastAsia="Times New Roman"/>
                <w:color w:val="auto"/>
                <w:sz w:val="24"/>
                <w:szCs w:val="21"/>
                <w:highlight w:val="none"/>
              </w:rPr>
            </w:pPr>
          </w:p>
        </w:tc>
        <w:tc>
          <w:tcPr>
            <w:tcW w:w="917"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4F42031C">
            <w:pPr>
              <w:spacing w:beforeLines="0" w:afterLines="0"/>
              <w:rPr>
                <w:rFonts w:hint="eastAsia" w:ascii="Times New Roman" w:eastAsia="Times New Roman"/>
                <w:color w:val="auto"/>
                <w:sz w:val="24"/>
                <w:szCs w:val="21"/>
                <w:highlight w:val="none"/>
              </w:rPr>
            </w:pPr>
          </w:p>
        </w:tc>
        <w:tc>
          <w:tcPr>
            <w:tcW w:w="691" w:type="pct"/>
            <w:tcBorders>
              <w:top w:val="single" w:color="auto" w:sz="4" w:space="0"/>
              <w:left w:val="single" w:color="auto" w:sz="4" w:space="0"/>
              <w:bottom w:val="single" w:color="auto" w:sz="4" w:space="0"/>
              <w:right w:val="single" w:color="auto" w:sz="4" w:space="0"/>
              <w:tl2br w:val="nil"/>
              <w:tr2bl w:val="nil"/>
            </w:tcBorders>
            <w:noWrap w:val="0"/>
            <w:vAlign w:val="top"/>
          </w:tcPr>
          <w:p w14:paraId="34770E1C">
            <w:pPr>
              <w:spacing w:beforeLines="0" w:afterLines="0"/>
              <w:rPr>
                <w:rFonts w:hint="eastAsia" w:ascii="Times New Roman" w:eastAsia="Times New Roman"/>
                <w:color w:val="auto"/>
                <w:sz w:val="24"/>
                <w:szCs w:val="21"/>
                <w:highlight w:val="none"/>
              </w:rPr>
            </w:pP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5F12ED2D">
            <w:pPr>
              <w:spacing w:beforeLines="0" w:afterLines="0"/>
              <w:rPr>
                <w:rFonts w:hint="eastAsia" w:ascii="Times New Roman" w:eastAsia="Times New Roman"/>
                <w:color w:val="auto"/>
                <w:sz w:val="24"/>
                <w:szCs w:val="21"/>
                <w:highlight w:val="none"/>
              </w:rPr>
            </w:pPr>
          </w:p>
        </w:tc>
      </w:tr>
      <w:tr w14:paraId="4A57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5734EB5">
            <w:pPr>
              <w:spacing w:beforeLines="0" w:afterLines="0"/>
              <w:rPr>
                <w:rFonts w:hint="eastAsia" w:ascii="Times New Roman" w:eastAsia="Times New Roman"/>
                <w:color w:val="auto"/>
                <w:sz w:val="24"/>
                <w:szCs w:val="21"/>
                <w:highlight w:val="none"/>
              </w:rPr>
            </w:pP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757CE456">
            <w:pPr>
              <w:spacing w:beforeLines="0" w:afterLines="0"/>
              <w:rPr>
                <w:rFonts w:hint="eastAsia" w:ascii="Times New Roman" w:eastAsia="Times New Roman"/>
                <w:color w:val="auto"/>
                <w:sz w:val="24"/>
                <w:szCs w:val="21"/>
                <w:highlight w:val="none"/>
              </w:rPr>
            </w:pPr>
          </w:p>
        </w:tc>
        <w:tc>
          <w:tcPr>
            <w:tcW w:w="91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370CD1D">
            <w:pPr>
              <w:spacing w:beforeLines="0" w:afterLines="0"/>
              <w:rPr>
                <w:rFonts w:hint="eastAsia" w:ascii="Times New Roman" w:eastAsia="Times New Roman"/>
                <w:color w:val="auto"/>
                <w:sz w:val="24"/>
                <w:szCs w:val="21"/>
                <w:highlight w:val="none"/>
              </w:rPr>
            </w:pPr>
          </w:p>
        </w:tc>
        <w:tc>
          <w:tcPr>
            <w:tcW w:w="6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8B1F23">
            <w:pPr>
              <w:spacing w:beforeLines="0" w:afterLines="0"/>
              <w:rPr>
                <w:rFonts w:hint="eastAsia" w:ascii="Times New Roman" w:eastAsia="Times New Roman"/>
                <w:color w:val="auto"/>
                <w:sz w:val="24"/>
                <w:szCs w:val="21"/>
                <w:highlight w:val="none"/>
              </w:rPr>
            </w:pP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0A78305">
            <w:pPr>
              <w:spacing w:beforeLines="0" w:afterLines="0"/>
              <w:rPr>
                <w:rFonts w:hint="eastAsia" w:ascii="Times New Roman" w:eastAsia="Times New Roman"/>
                <w:color w:val="auto"/>
                <w:sz w:val="24"/>
                <w:szCs w:val="21"/>
                <w:highlight w:val="none"/>
              </w:rPr>
            </w:pPr>
          </w:p>
        </w:tc>
      </w:tr>
      <w:tr w14:paraId="07AF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CF43C1D">
            <w:pPr>
              <w:spacing w:beforeLines="0" w:afterLines="0"/>
              <w:rPr>
                <w:rFonts w:hint="eastAsia" w:ascii="Times New Roman" w:eastAsia="Times New Roman"/>
                <w:color w:val="auto"/>
                <w:sz w:val="24"/>
                <w:szCs w:val="21"/>
                <w:highlight w:val="none"/>
              </w:rPr>
            </w:pP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3AE50CF">
            <w:pPr>
              <w:spacing w:beforeLines="0" w:afterLines="0"/>
              <w:rPr>
                <w:rFonts w:hint="eastAsia" w:ascii="Times New Roman" w:eastAsia="Times New Roman"/>
                <w:color w:val="auto"/>
                <w:sz w:val="24"/>
                <w:szCs w:val="21"/>
                <w:highlight w:val="none"/>
              </w:rPr>
            </w:pPr>
          </w:p>
        </w:tc>
        <w:tc>
          <w:tcPr>
            <w:tcW w:w="91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03F1B67">
            <w:pPr>
              <w:spacing w:beforeLines="0" w:afterLines="0"/>
              <w:rPr>
                <w:rFonts w:hint="eastAsia" w:ascii="Times New Roman" w:eastAsia="Times New Roman"/>
                <w:color w:val="auto"/>
                <w:sz w:val="24"/>
                <w:szCs w:val="21"/>
                <w:highlight w:val="none"/>
              </w:rPr>
            </w:pPr>
          </w:p>
        </w:tc>
        <w:tc>
          <w:tcPr>
            <w:tcW w:w="6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F7BF58">
            <w:pPr>
              <w:spacing w:beforeLines="0" w:afterLines="0"/>
              <w:rPr>
                <w:rFonts w:hint="eastAsia" w:ascii="Times New Roman" w:eastAsia="Times New Roman"/>
                <w:color w:val="auto"/>
                <w:sz w:val="24"/>
                <w:szCs w:val="21"/>
                <w:highlight w:val="none"/>
              </w:rPr>
            </w:pP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B630B4A">
            <w:pPr>
              <w:spacing w:beforeLines="0" w:afterLines="0"/>
              <w:rPr>
                <w:rFonts w:hint="eastAsia" w:ascii="Times New Roman" w:eastAsia="Times New Roman"/>
                <w:color w:val="auto"/>
                <w:sz w:val="24"/>
                <w:szCs w:val="21"/>
                <w:highlight w:val="none"/>
              </w:rPr>
            </w:pPr>
          </w:p>
        </w:tc>
      </w:tr>
      <w:tr w14:paraId="150A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64492A7">
            <w:pPr>
              <w:spacing w:beforeLines="0" w:afterLines="0"/>
              <w:rPr>
                <w:rFonts w:hint="eastAsia" w:ascii="Times New Roman" w:eastAsia="Times New Roman"/>
                <w:color w:val="auto"/>
                <w:sz w:val="24"/>
                <w:szCs w:val="21"/>
                <w:highlight w:val="none"/>
              </w:rPr>
            </w:pP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D893257">
            <w:pPr>
              <w:spacing w:beforeLines="0" w:afterLines="0"/>
              <w:rPr>
                <w:rFonts w:hint="eastAsia" w:ascii="Times New Roman" w:eastAsia="Times New Roman"/>
                <w:color w:val="auto"/>
                <w:sz w:val="24"/>
                <w:szCs w:val="21"/>
                <w:highlight w:val="none"/>
              </w:rPr>
            </w:pPr>
          </w:p>
        </w:tc>
        <w:tc>
          <w:tcPr>
            <w:tcW w:w="91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304E75B">
            <w:pPr>
              <w:spacing w:beforeLines="0" w:afterLines="0"/>
              <w:rPr>
                <w:rFonts w:hint="eastAsia" w:ascii="Times New Roman" w:eastAsia="Times New Roman"/>
                <w:color w:val="auto"/>
                <w:sz w:val="24"/>
                <w:szCs w:val="21"/>
                <w:highlight w:val="none"/>
              </w:rPr>
            </w:pPr>
          </w:p>
        </w:tc>
        <w:tc>
          <w:tcPr>
            <w:tcW w:w="6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31F802">
            <w:pPr>
              <w:spacing w:beforeLines="0" w:afterLines="0"/>
              <w:rPr>
                <w:rFonts w:hint="eastAsia" w:ascii="Times New Roman" w:eastAsia="Times New Roman"/>
                <w:color w:val="auto"/>
                <w:sz w:val="24"/>
                <w:szCs w:val="21"/>
                <w:highlight w:val="none"/>
              </w:rPr>
            </w:pP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4F8C961">
            <w:pPr>
              <w:spacing w:beforeLines="0" w:afterLines="0"/>
              <w:rPr>
                <w:rFonts w:hint="eastAsia" w:ascii="Times New Roman" w:eastAsia="Times New Roman"/>
                <w:color w:val="auto"/>
                <w:sz w:val="24"/>
                <w:szCs w:val="21"/>
                <w:highlight w:val="none"/>
              </w:rPr>
            </w:pPr>
          </w:p>
        </w:tc>
      </w:tr>
      <w:tr w14:paraId="6A72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F49116F">
            <w:pPr>
              <w:spacing w:beforeLines="0" w:afterLines="0"/>
              <w:rPr>
                <w:rFonts w:hint="eastAsia" w:ascii="Times New Roman" w:eastAsia="Times New Roman"/>
                <w:color w:val="auto"/>
                <w:sz w:val="24"/>
                <w:szCs w:val="21"/>
                <w:highlight w:val="none"/>
              </w:rPr>
            </w:pPr>
          </w:p>
        </w:tc>
        <w:tc>
          <w:tcPr>
            <w:tcW w:w="137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B53E31D">
            <w:pPr>
              <w:spacing w:beforeLines="0" w:afterLines="0"/>
              <w:rPr>
                <w:rFonts w:hint="eastAsia" w:ascii="Times New Roman" w:eastAsia="Times New Roman"/>
                <w:color w:val="auto"/>
                <w:sz w:val="24"/>
                <w:szCs w:val="21"/>
                <w:highlight w:val="none"/>
              </w:rPr>
            </w:pPr>
          </w:p>
        </w:tc>
        <w:tc>
          <w:tcPr>
            <w:tcW w:w="917" w:type="pct"/>
            <w:gridSpan w:val="2"/>
            <w:tcBorders>
              <w:top w:val="single" w:color="auto" w:sz="4" w:space="0"/>
              <w:left w:val="single" w:color="auto" w:sz="4" w:space="0"/>
              <w:bottom w:val="single" w:color="auto" w:sz="4" w:space="0"/>
              <w:right w:val="single" w:color="auto" w:sz="8" w:space="0"/>
              <w:tl2br w:val="nil"/>
              <w:tr2bl w:val="nil"/>
            </w:tcBorders>
            <w:noWrap w:val="0"/>
            <w:vAlign w:val="center"/>
          </w:tcPr>
          <w:p w14:paraId="54FEE3B5">
            <w:pPr>
              <w:spacing w:beforeLines="0" w:afterLines="0"/>
              <w:rPr>
                <w:rFonts w:hint="eastAsia" w:ascii="Times New Roman" w:eastAsia="Times New Roman"/>
                <w:color w:val="auto"/>
                <w:sz w:val="24"/>
                <w:szCs w:val="21"/>
                <w:highlight w:val="none"/>
              </w:rPr>
            </w:pPr>
          </w:p>
        </w:tc>
        <w:tc>
          <w:tcPr>
            <w:tcW w:w="691" w:type="pct"/>
            <w:tcBorders>
              <w:top w:val="single" w:color="auto" w:sz="4" w:space="0"/>
              <w:left w:val="single" w:color="auto" w:sz="8" w:space="0"/>
              <w:bottom w:val="single" w:color="auto" w:sz="4" w:space="0"/>
              <w:right w:val="single" w:color="auto" w:sz="4" w:space="0"/>
              <w:tl2br w:val="nil"/>
              <w:tr2bl w:val="nil"/>
            </w:tcBorders>
            <w:noWrap w:val="0"/>
            <w:vAlign w:val="center"/>
          </w:tcPr>
          <w:p w14:paraId="2BB32681">
            <w:pPr>
              <w:spacing w:beforeLines="0" w:afterLines="0"/>
              <w:rPr>
                <w:rFonts w:hint="eastAsia" w:ascii="Times New Roman" w:eastAsia="Times New Roman"/>
                <w:color w:val="auto"/>
                <w:sz w:val="24"/>
                <w:szCs w:val="21"/>
                <w:highlight w:val="none"/>
              </w:rPr>
            </w:pPr>
          </w:p>
        </w:tc>
        <w:tc>
          <w:tcPr>
            <w:tcW w:w="130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714057D">
            <w:pPr>
              <w:spacing w:beforeLines="0" w:afterLines="0"/>
              <w:rPr>
                <w:rFonts w:hint="eastAsia" w:ascii="Times New Roman" w:eastAsia="Times New Roman"/>
                <w:color w:val="auto"/>
                <w:sz w:val="24"/>
                <w:szCs w:val="21"/>
                <w:highlight w:val="none"/>
              </w:rPr>
            </w:pPr>
          </w:p>
        </w:tc>
      </w:tr>
      <w:tr w14:paraId="4CF4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E39B43E">
            <w:pPr>
              <w:spacing w:beforeLines="0" w:afterLines="0"/>
              <w:rPr>
                <w:rFonts w:hint="eastAsia" w:ascii="Times New Roman" w:eastAsia="Times New Roman"/>
                <w:color w:val="auto"/>
                <w:sz w:val="24"/>
                <w:szCs w:val="21"/>
                <w:highlight w:val="none"/>
              </w:rPr>
            </w:pPr>
            <w:r>
              <w:rPr>
                <w:rFonts w:hint="eastAsia" w:ascii="Times New Roman"/>
                <w:color w:val="auto"/>
                <w:sz w:val="24"/>
                <w:szCs w:val="21"/>
                <w:highlight w:val="none"/>
              </w:rPr>
              <w:t>获奖情况</w:t>
            </w:r>
          </w:p>
        </w:tc>
        <w:tc>
          <w:tcPr>
            <w:tcW w:w="4287"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2176BDB4">
            <w:pPr>
              <w:spacing w:beforeLines="0" w:afterLines="0"/>
              <w:rPr>
                <w:rFonts w:hint="eastAsia" w:ascii="Times New Roman" w:eastAsia="Times New Roman"/>
                <w:color w:val="auto"/>
                <w:sz w:val="24"/>
                <w:szCs w:val="21"/>
                <w:highlight w:val="none"/>
              </w:rPr>
            </w:pPr>
          </w:p>
        </w:tc>
      </w:tr>
      <w:tr w14:paraId="2426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845"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766B453">
            <w:pPr>
              <w:spacing w:beforeLines="0" w:afterLines="0"/>
              <w:rPr>
                <w:rFonts w:hint="eastAsia" w:ascii="Times New Roman" w:eastAsia="Times New Roman"/>
                <w:color w:val="auto"/>
                <w:sz w:val="24"/>
                <w:szCs w:val="21"/>
                <w:highlight w:val="none"/>
              </w:rPr>
            </w:pPr>
            <w:r>
              <w:rPr>
                <w:rFonts w:hint="eastAsia" w:ascii="Times New Roman"/>
                <w:color w:val="auto"/>
                <w:sz w:val="24"/>
                <w:szCs w:val="21"/>
                <w:highlight w:val="none"/>
              </w:rPr>
              <w:t>说明在岗情况</w:t>
            </w:r>
          </w:p>
        </w:tc>
        <w:tc>
          <w:tcPr>
            <w:tcW w:w="3155"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14:paraId="637B9295">
            <w:pPr>
              <w:widowControl/>
              <w:spacing w:beforeLines="0" w:afterLines="0"/>
              <w:rPr>
                <w:rFonts w:hint="eastAsia" w:ascii="Times New Roman" w:eastAsia="Times New Roman"/>
                <w:snapToGrid w:val="0"/>
                <w:color w:val="auto"/>
                <w:sz w:val="24"/>
                <w:szCs w:val="21"/>
                <w:highlight w:val="none"/>
                <w:u w:val="single"/>
              </w:rPr>
            </w:pPr>
            <w:r>
              <w:rPr>
                <w:rFonts w:hint="eastAsia" w:ascii="Times New Roman"/>
                <w:snapToGrid w:val="0"/>
                <w:color w:val="auto"/>
                <w:sz w:val="24"/>
                <w:szCs w:val="21"/>
                <w:highlight w:val="none"/>
              </w:rPr>
              <w:t>□目前未在其他项目上任职，现从事工作为：______</w:t>
            </w:r>
          </w:p>
          <w:p w14:paraId="039418A7">
            <w:pPr>
              <w:widowControl/>
              <w:spacing w:beforeLines="0" w:afterLines="0"/>
              <w:rPr>
                <w:rFonts w:hint="eastAsia" w:ascii="Times New Roman" w:eastAsia="Times New Roman"/>
                <w:snapToGrid w:val="0"/>
                <w:color w:val="auto"/>
                <w:sz w:val="24"/>
                <w:szCs w:val="21"/>
                <w:highlight w:val="none"/>
              </w:rPr>
            </w:pPr>
            <w:r>
              <w:rPr>
                <w:rFonts w:hint="eastAsia" w:ascii="Times New Roman"/>
                <w:snapToGrid w:val="0"/>
                <w:color w:val="auto"/>
                <w:sz w:val="24"/>
                <w:szCs w:val="21"/>
                <w:highlight w:val="none"/>
              </w:rPr>
              <w:t>□目前虽在其他项目上任职，但本项目中标后能够撤离，目前任职项目：______，担任职位：_____。</w:t>
            </w:r>
          </w:p>
        </w:tc>
      </w:tr>
    </w:tbl>
    <w:p w14:paraId="6D42E74F">
      <w:pPr>
        <w:tabs>
          <w:tab w:val="left" w:pos="2580"/>
          <w:tab w:val="left" w:pos="5940"/>
        </w:tabs>
        <w:autoSpaceDE w:val="0"/>
        <w:autoSpaceDN w:val="0"/>
        <w:adjustRightInd w:val="0"/>
        <w:snapToGrid w:val="0"/>
        <w:spacing w:beforeLines="0" w:afterLines="0" w:line="400" w:lineRule="exact"/>
        <w:jc w:val="left"/>
        <w:rPr>
          <w:rFonts w:hint="eastAsia" w:ascii="Times New Roman"/>
          <w:color w:val="auto"/>
          <w:spacing w:val="-6"/>
          <w:sz w:val="24"/>
          <w:szCs w:val="21"/>
          <w:highlight w:val="none"/>
        </w:rPr>
      </w:pPr>
      <w:r>
        <w:rPr>
          <w:rFonts w:hint="eastAsia" w:ascii="Times New Roman"/>
          <w:color w:val="auto"/>
          <w:spacing w:val="-6"/>
          <w:sz w:val="24"/>
          <w:szCs w:val="21"/>
          <w:highlight w:val="none"/>
        </w:rPr>
        <w:t>1. 本表应填写项目经理和项目技术负责人相关情况。</w:t>
      </w:r>
    </w:p>
    <w:p w14:paraId="12F5A2A3">
      <w:pPr>
        <w:tabs>
          <w:tab w:val="left" w:pos="2580"/>
          <w:tab w:val="left" w:pos="5940"/>
        </w:tabs>
        <w:autoSpaceDE w:val="0"/>
        <w:autoSpaceDN w:val="0"/>
        <w:adjustRightInd w:val="0"/>
        <w:snapToGrid w:val="0"/>
        <w:spacing w:beforeLines="0" w:afterLines="0" w:line="400" w:lineRule="exact"/>
        <w:jc w:val="left"/>
        <w:rPr>
          <w:rFonts w:hint="eastAsia" w:ascii="Times New Roman"/>
          <w:color w:val="auto"/>
          <w:spacing w:val="-6"/>
          <w:sz w:val="24"/>
          <w:szCs w:val="21"/>
          <w:highlight w:val="none"/>
        </w:rPr>
      </w:pPr>
      <w:r>
        <w:rPr>
          <w:rFonts w:hint="eastAsia" w:ascii="Times New Roman"/>
          <w:color w:val="auto"/>
          <w:spacing w:val="-6"/>
          <w:sz w:val="24"/>
          <w:szCs w:val="21"/>
          <w:highlight w:val="none"/>
        </w:rPr>
        <w:t>2. 投标人应根据招标文件第二章“投标人须知”前附表附录5、附录6的要求在本表后附相关证明材料，对于前附表附录5中的相关证明材料如投标文件已经提交，可不重复提交。</w:t>
      </w:r>
    </w:p>
    <w:p w14:paraId="438D396E">
      <w:pPr>
        <w:spacing w:before="240" w:beforeLines="100" w:after="240" w:afterLines="100"/>
        <w:jc w:val="center"/>
        <w:outlineLvl w:val="3"/>
        <w:rPr>
          <w:rFonts w:hint="eastAsia" w:ascii="Times New Roman" w:eastAsia="黑体"/>
          <w:color w:val="auto"/>
          <w:sz w:val="24"/>
          <w:szCs w:val="24"/>
          <w:highlight w:val="none"/>
        </w:rPr>
      </w:pPr>
      <w:r>
        <w:rPr>
          <w:rFonts w:hint="eastAsia" w:ascii="Times New Roman" w:eastAsia="Times New Roman"/>
          <w:b/>
          <w:color w:val="auto"/>
          <w:sz w:val="24"/>
          <w:szCs w:val="21"/>
          <w:highlight w:val="none"/>
        </w:rPr>
        <w:br w:type="page"/>
      </w:r>
      <w:bookmarkStart w:id="1210" w:name="_Toc9477"/>
      <w:bookmarkStart w:id="1211" w:name="_Toc7235"/>
      <w:bookmarkStart w:id="1212" w:name="_Toc390411626"/>
      <w:bookmarkStart w:id="1213" w:name="_Toc6815"/>
      <w:bookmarkStart w:id="1214" w:name="_Toc128950274"/>
      <w:bookmarkStart w:id="1215" w:name="_Toc3725"/>
      <w:bookmarkStart w:id="1216" w:name="_Toc20239"/>
      <w:bookmarkStart w:id="1217" w:name="_Toc8508"/>
      <w:bookmarkStart w:id="1218" w:name="_Toc460660228"/>
      <w:bookmarkStart w:id="1219" w:name="_Toc421917006"/>
      <w:bookmarkStart w:id="1220" w:name="_Toc460227113"/>
      <w:bookmarkStart w:id="1221" w:name="_Toc16310"/>
      <w:bookmarkStart w:id="1222" w:name="_Toc9884"/>
      <w:r>
        <w:rPr>
          <w:rFonts w:hint="eastAsia" w:ascii="Times New Roman" w:eastAsia="黑体"/>
          <w:color w:val="auto"/>
          <w:sz w:val="24"/>
          <w:szCs w:val="24"/>
          <w:highlight w:val="none"/>
        </w:rPr>
        <w:t>（七）项目经理承诺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55B80D80">
      <w:pPr>
        <w:spacing w:beforeLines="0" w:afterLines="0" w:line="360" w:lineRule="auto"/>
        <w:rPr>
          <w:rFonts w:hint="eastAsia" w:ascii="Times New Roman"/>
          <w:color w:val="auto"/>
          <w:sz w:val="24"/>
          <w:szCs w:val="21"/>
          <w:highlight w:val="none"/>
        </w:rPr>
      </w:pPr>
      <w:r>
        <w:rPr>
          <w:rFonts w:hint="eastAsia" w:ascii="Times New Roman"/>
          <w:color w:val="auto"/>
          <w:sz w:val="24"/>
          <w:szCs w:val="21"/>
          <w:highlight w:val="none"/>
        </w:rPr>
        <w:t>致：</w:t>
      </w:r>
      <w:r>
        <w:rPr>
          <w:rFonts w:hint="eastAsia" w:ascii="Times New Roman"/>
          <w:color w:val="auto"/>
          <w:sz w:val="24"/>
          <w:szCs w:val="21"/>
          <w:highlight w:val="none"/>
          <w:u w:val="single"/>
        </w:rPr>
        <w:t>（招标人）</w:t>
      </w:r>
    </w:p>
    <w:p w14:paraId="1A817F5E">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本人作为项目经理，现郑重承诺如下：</w:t>
      </w:r>
    </w:p>
    <w:p w14:paraId="0F2B3C6D">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一、投标文件中提供的项目经理业绩已经本人核实，工程实施过程中项目经理确为本人，合同（或竣工相关资料证明）履约过程中涉及的本人签字均为该工程实施时段所签，真实无误，不存在虚假和挂靠现象，也不存在为投标而造假的行为。</w:t>
      </w:r>
    </w:p>
    <w:p w14:paraId="66563ED2">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二、目前无在岗项目或虽在其他项目上担任项目经理岗位，但承诺在本招标项目中标后合同签订前能够从其他项目变更至本招标项目并全面履约。</w:t>
      </w:r>
    </w:p>
    <w:p w14:paraId="504B4AF7">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三、以上承诺如果发现虚假现象，本人愿意承担相应法律责任，并随时无条件配合贵方调查取证。</w:t>
      </w:r>
    </w:p>
    <w:p w14:paraId="13397AF5">
      <w:pPr>
        <w:spacing w:beforeLines="0" w:afterLines="0" w:line="360" w:lineRule="auto"/>
        <w:ind w:left="410" w:leftChars="171" w:firstLine="720" w:firstLineChars="300"/>
        <w:rPr>
          <w:rFonts w:hint="eastAsia" w:ascii="Times New Roman"/>
          <w:color w:val="auto"/>
          <w:sz w:val="24"/>
          <w:szCs w:val="21"/>
          <w:highlight w:val="none"/>
        </w:rPr>
      </w:pPr>
    </w:p>
    <w:p w14:paraId="1777D583">
      <w:pPr>
        <w:spacing w:beforeLines="0" w:afterLines="0" w:line="360" w:lineRule="auto"/>
        <w:ind w:left="410" w:leftChars="171" w:firstLine="720" w:firstLineChars="300"/>
        <w:rPr>
          <w:rFonts w:hint="eastAsia" w:ascii="Times New Roman"/>
          <w:color w:val="auto"/>
          <w:sz w:val="24"/>
          <w:szCs w:val="21"/>
          <w:highlight w:val="none"/>
        </w:rPr>
      </w:pPr>
    </w:p>
    <w:p w14:paraId="0EFEDF07">
      <w:pPr>
        <w:spacing w:beforeLines="0" w:afterLines="0" w:line="360" w:lineRule="auto"/>
        <w:jc w:val="right"/>
        <w:rPr>
          <w:rFonts w:hint="eastAsia" w:ascii="Times New Roman"/>
          <w:color w:val="auto"/>
          <w:sz w:val="24"/>
          <w:szCs w:val="21"/>
          <w:highlight w:val="none"/>
        </w:rPr>
      </w:pPr>
      <w:r>
        <w:rPr>
          <w:rFonts w:hint="eastAsia" w:ascii="Times New Roman"/>
          <w:color w:val="auto"/>
          <w:sz w:val="24"/>
          <w:szCs w:val="21"/>
          <w:highlight w:val="none"/>
        </w:rPr>
        <w:t>项目经理：</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w:t>
      </w:r>
    </w:p>
    <w:p w14:paraId="348D3987">
      <w:pPr>
        <w:spacing w:beforeLines="0" w:afterLines="0" w:line="360" w:lineRule="auto"/>
        <w:jc w:val="center"/>
        <w:rPr>
          <w:rFonts w:hint="eastAsia" w:ascii="Times New Roman"/>
          <w:color w:val="auto"/>
          <w:sz w:val="24"/>
          <w:szCs w:val="21"/>
          <w:highlight w:val="none"/>
        </w:rPr>
      </w:pPr>
      <w:r>
        <w:rPr>
          <w:rFonts w:hint="eastAsia" w:ascii="Times New Roman"/>
          <w:color w:val="auto"/>
          <w:sz w:val="24"/>
          <w:szCs w:val="21"/>
          <w:highlight w:val="none"/>
        </w:rPr>
        <w:t xml:space="preserve">      身份证号：</w:t>
      </w:r>
      <w:r>
        <w:rPr>
          <w:rFonts w:hint="eastAsia" w:ascii="Times New Roman"/>
          <w:color w:val="auto"/>
          <w:sz w:val="24"/>
          <w:szCs w:val="21"/>
          <w:highlight w:val="none"/>
          <w:u w:val="single"/>
        </w:rPr>
        <w:t xml:space="preserve">                   </w:t>
      </w:r>
    </w:p>
    <w:p w14:paraId="207E35A4">
      <w:pPr>
        <w:spacing w:beforeLines="0" w:afterLines="0" w:line="360" w:lineRule="auto"/>
        <w:jc w:val="center"/>
        <w:rPr>
          <w:rFonts w:hint="eastAsia" w:ascii="Times New Roman"/>
          <w:color w:val="auto"/>
          <w:sz w:val="24"/>
          <w:szCs w:val="21"/>
          <w:highlight w:val="none"/>
        </w:rPr>
      </w:pPr>
      <w:r>
        <w:rPr>
          <w:rFonts w:hint="eastAsia" w:ascii="Times New Roman"/>
          <w:color w:val="auto"/>
          <w:sz w:val="24"/>
          <w:szCs w:val="21"/>
          <w:highlight w:val="none"/>
        </w:rPr>
        <w:t xml:space="preserve">                         日    期：_____年____月____日</w:t>
      </w:r>
    </w:p>
    <w:p w14:paraId="246E3CD3">
      <w:pPr>
        <w:spacing w:beforeLines="0" w:afterLines="0" w:line="360" w:lineRule="auto"/>
        <w:ind w:left="410" w:leftChars="171" w:firstLine="723" w:firstLineChars="300"/>
        <w:jc w:val="right"/>
        <w:rPr>
          <w:rFonts w:hint="eastAsia" w:ascii="Times New Roman"/>
          <w:color w:val="auto"/>
          <w:sz w:val="24"/>
          <w:szCs w:val="21"/>
          <w:highlight w:val="none"/>
        </w:rPr>
      </w:pPr>
      <w:bookmarkStart w:id="1223" w:name="_Toc7889"/>
      <w:bookmarkStart w:id="1224" w:name="_Toc4525"/>
      <w:bookmarkStart w:id="1225" w:name="_Toc9745"/>
      <w:bookmarkStart w:id="1226" w:name="_Toc6772"/>
      <w:bookmarkStart w:id="1227" w:name="_Toc7890"/>
      <w:bookmarkStart w:id="1228" w:name="_Toc13663"/>
      <w:r>
        <w:rPr>
          <w:rFonts w:hint="eastAsia" w:ascii="Times New Roman"/>
          <w:b/>
          <w:color w:val="auto"/>
          <w:sz w:val="24"/>
          <w:szCs w:val="21"/>
          <w:highlight w:val="none"/>
        </w:rPr>
        <w:t>本页后附项目经理身份证</w:t>
      </w:r>
      <w:bookmarkEnd w:id="1223"/>
      <w:bookmarkEnd w:id="1224"/>
      <w:bookmarkEnd w:id="1225"/>
      <w:bookmarkEnd w:id="1226"/>
      <w:bookmarkEnd w:id="1227"/>
      <w:bookmarkEnd w:id="1228"/>
      <w:bookmarkStart w:id="1229" w:name="_Toc421917010"/>
      <w:bookmarkStart w:id="1230" w:name="_Toc390411629"/>
      <w:bookmarkStart w:id="1231" w:name="_Toc460227118"/>
      <w:bookmarkStart w:id="1232" w:name="_Toc460660233"/>
      <w:r>
        <w:rPr>
          <w:rFonts w:hint="eastAsia" w:ascii="Times New Roman"/>
          <w:b/>
          <w:color w:val="auto"/>
          <w:sz w:val="24"/>
          <w:szCs w:val="21"/>
          <w:highlight w:val="none"/>
        </w:rPr>
        <w:t>正反面扫描件</w:t>
      </w:r>
    </w:p>
    <w:bookmarkEnd w:id="1229"/>
    <w:bookmarkEnd w:id="1230"/>
    <w:bookmarkEnd w:id="1231"/>
    <w:bookmarkEnd w:id="1232"/>
    <w:p w14:paraId="32A58A28">
      <w:pPr>
        <w:pStyle w:val="4"/>
        <w:spacing w:before="240" w:beforeLines="100" w:after="240" w:afterLines="100" w:line="240" w:lineRule="auto"/>
        <w:jc w:val="center"/>
        <w:rPr>
          <w:rFonts w:hint="eastAsia" w:ascii="Times New Roman" w:hAnsi="Times New Roman"/>
          <w:color w:val="auto"/>
          <w:sz w:val="24"/>
          <w:szCs w:val="24"/>
          <w:highlight w:val="none"/>
        </w:rPr>
      </w:pPr>
      <w:bookmarkStart w:id="1233" w:name="_Toc19671"/>
      <w:r>
        <w:rPr>
          <w:rFonts w:hint="eastAsia" w:ascii="Times New Roman" w:hAnsi="Times New Roman"/>
          <w:color w:val="auto"/>
          <w:sz w:val="24"/>
          <w:szCs w:val="24"/>
          <w:highlight w:val="none"/>
        </w:rPr>
        <w:br w:type="page"/>
      </w:r>
      <w:bookmarkStart w:id="1234" w:name="_Toc14457"/>
      <w:bookmarkStart w:id="1235" w:name="_Toc14438"/>
      <w:bookmarkStart w:id="1236" w:name="_Toc25584"/>
      <w:bookmarkStart w:id="1237" w:name="_Toc14980"/>
      <w:bookmarkStart w:id="1238" w:name="_Toc21217"/>
      <w:bookmarkStart w:id="1239" w:name="_Toc12604"/>
      <w:bookmarkStart w:id="1240" w:name="_Toc2170"/>
      <w:r>
        <w:rPr>
          <w:rFonts w:hint="eastAsia" w:ascii="Times New Roman" w:hAnsi="Times New Roman"/>
          <w:color w:val="auto"/>
          <w:sz w:val="24"/>
          <w:szCs w:val="24"/>
          <w:highlight w:val="none"/>
        </w:rPr>
        <w:t>八、商务文件详细评审资料</w:t>
      </w:r>
      <w:bookmarkEnd w:id="1233"/>
      <w:bookmarkEnd w:id="1234"/>
      <w:bookmarkEnd w:id="1235"/>
      <w:bookmarkEnd w:id="1236"/>
      <w:bookmarkEnd w:id="1237"/>
      <w:bookmarkEnd w:id="1238"/>
      <w:bookmarkEnd w:id="1239"/>
      <w:bookmarkEnd w:id="1240"/>
    </w:p>
    <w:p w14:paraId="0A7BE114">
      <w:pPr>
        <w:spacing w:before="240" w:beforeLines="100" w:after="240" w:afterLines="100"/>
        <w:jc w:val="center"/>
        <w:outlineLvl w:val="3"/>
        <w:rPr>
          <w:rFonts w:hint="eastAsia" w:ascii="Times New Roman" w:eastAsia="黑体"/>
          <w:color w:val="auto"/>
          <w:sz w:val="24"/>
          <w:szCs w:val="24"/>
          <w:highlight w:val="none"/>
        </w:rPr>
      </w:pPr>
      <w:bookmarkStart w:id="1241" w:name="_Toc2365"/>
      <w:bookmarkStart w:id="1242" w:name="_Toc7297"/>
      <w:bookmarkStart w:id="1243" w:name="_Toc2001"/>
      <w:bookmarkStart w:id="1244" w:name="_Toc1400"/>
      <w:bookmarkStart w:id="1245" w:name="_Toc20569"/>
      <w:bookmarkStart w:id="1246" w:name="_Toc23684"/>
      <w:bookmarkStart w:id="1247" w:name="_Toc13928"/>
      <w:bookmarkStart w:id="1248" w:name="_Toc8624"/>
      <w:r>
        <w:rPr>
          <w:rFonts w:hint="eastAsia" w:ascii="Times New Roman" w:eastAsia="黑体"/>
          <w:color w:val="auto"/>
          <w:sz w:val="24"/>
          <w:szCs w:val="24"/>
          <w:highlight w:val="none"/>
        </w:rPr>
        <w:t>（一）投标人业绩情况表（详细评审）</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87"/>
        <w:gridCol w:w="5155"/>
        <w:gridCol w:w="1771"/>
      </w:tblGrid>
      <w:tr w14:paraId="064AD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8E15B">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业绩序号</w:t>
            </w:r>
          </w:p>
        </w:tc>
        <w:tc>
          <w:tcPr>
            <w:tcW w:w="30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AAB881">
            <w:pPr>
              <w:spacing w:beforeLines="0" w:afterLines="0"/>
              <w:jc w:val="center"/>
              <w:rPr>
                <w:rFonts w:hint="eastAsia" w:ascii="Times New Roman"/>
                <w:b/>
                <w:color w:val="auto"/>
                <w:sz w:val="24"/>
                <w:szCs w:val="24"/>
                <w:highlight w:val="none"/>
              </w:rPr>
            </w:pPr>
            <w:r>
              <w:rPr>
                <w:rFonts w:hint="eastAsia" w:ascii="Times New Roman"/>
                <w:b/>
                <w:color w:val="auto"/>
                <w:sz w:val="24"/>
                <w:szCs w:val="24"/>
                <w:highlight w:val="none"/>
              </w:rPr>
              <w:t>项目名称（合同名称）</w:t>
            </w:r>
          </w:p>
        </w:tc>
        <w:tc>
          <w:tcPr>
            <w:tcW w:w="104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8A11AA">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备注</w:t>
            </w:r>
          </w:p>
        </w:tc>
      </w:tr>
      <w:tr w14:paraId="64F88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5547A4">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1</w:t>
            </w:r>
          </w:p>
        </w:tc>
        <w:tc>
          <w:tcPr>
            <w:tcW w:w="30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C5505B">
            <w:pPr>
              <w:spacing w:beforeLines="0" w:afterLines="0"/>
              <w:jc w:val="center"/>
              <w:rPr>
                <w:rFonts w:hint="eastAsia" w:ascii="Times New Roman" w:eastAsia="Times New Roman"/>
                <w:color w:val="auto"/>
                <w:sz w:val="24"/>
                <w:szCs w:val="24"/>
                <w:highlight w:val="none"/>
              </w:rPr>
            </w:pPr>
          </w:p>
        </w:tc>
        <w:tc>
          <w:tcPr>
            <w:tcW w:w="104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2D77C">
            <w:pPr>
              <w:spacing w:beforeLines="0" w:afterLines="0"/>
              <w:jc w:val="center"/>
              <w:rPr>
                <w:rFonts w:hint="eastAsia" w:ascii="Times New Roman" w:eastAsia="Times New Roman"/>
                <w:color w:val="auto"/>
                <w:sz w:val="24"/>
                <w:szCs w:val="24"/>
                <w:highlight w:val="none"/>
              </w:rPr>
            </w:pPr>
          </w:p>
        </w:tc>
      </w:tr>
      <w:tr w14:paraId="76CB6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ECAAF">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2</w:t>
            </w:r>
          </w:p>
        </w:tc>
        <w:tc>
          <w:tcPr>
            <w:tcW w:w="30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0F2C60">
            <w:pPr>
              <w:spacing w:beforeLines="0" w:afterLines="0"/>
              <w:jc w:val="center"/>
              <w:rPr>
                <w:rFonts w:hint="eastAsia" w:ascii="Times New Roman" w:eastAsia="Times New Roman"/>
                <w:color w:val="auto"/>
                <w:sz w:val="24"/>
                <w:szCs w:val="24"/>
                <w:highlight w:val="none"/>
              </w:rPr>
            </w:pPr>
          </w:p>
        </w:tc>
        <w:tc>
          <w:tcPr>
            <w:tcW w:w="104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AEEE2F">
            <w:pPr>
              <w:spacing w:beforeLines="0" w:afterLines="0"/>
              <w:jc w:val="center"/>
              <w:rPr>
                <w:rFonts w:hint="eastAsia" w:ascii="Times New Roman" w:eastAsia="Times New Roman"/>
                <w:color w:val="auto"/>
                <w:sz w:val="24"/>
                <w:szCs w:val="24"/>
                <w:highlight w:val="none"/>
              </w:rPr>
            </w:pPr>
          </w:p>
        </w:tc>
      </w:tr>
      <w:tr w14:paraId="2AE3D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E6D401">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w:t>
            </w:r>
          </w:p>
        </w:tc>
        <w:tc>
          <w:tcPr>
            <w:tcW w:w="30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E7E8BD">
            <w:pPr>
              <w:spacing w:beforeLines="0" w:afterLines="0"/>
              <w:jc w:val="center"/>
              <w:rPr>
                <w:rFonts w:hint="eastAsia" w:ascii="Times New Roman" w:eastAsia="Times New Roman"/>
                <w:color w:val="auto"/>
                <w:sz w:val="24"/>
                <w:szCs w:val="24"/>
                <w:highlight w:val="none"/>
              </w:rPr>
            </w:pPr>
          </w:p>
        </w:tc>
        <w:tc>
          <w:tcPr>
            <w:tcW w:w="104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01D474">
            <w:pPr>
              <w:spacing w:beforeLines="0" w:afterLines="0"/>
              <w:jc w:val="center"/>
              <w:rPr>
                <w:rFonts w:hint="eastAsia" w:ascii="Times New Roman" w:eastAsia="Times New Roman"/>
                <w:color w:val="auto"/>
                <w:sz w:val="24"/>
                <w:szCs w:val="24"/>
                <w:highlight w:val="none"/>
              </w:rPr>
            </w:pPr>
          </w:p>
        </w:tc>
      </w:tr>
    </w:tbl>
    <w:p w14:paraId="3500E8D9">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注：</w:t>
      </w:r>
    </w:p>
    <w:p w14:paraId="6162A54F">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1.投标人应将用于商务文件详细评审的投标人业绩在上表中列明，按照列明的业绩序号先后顺序依次填写“投标人业绩信息表（详细评审）”，并附相应业绩证明材料。</w:t>
      </w:r>
    </w:p>
    <w:p w14:paraId="07D886C1">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2.评标委员会应当按照上表列明的业绩序号先后顺序依次进行评审，且仅评审评审标准规定数量的业绩，超出规定数量部分或未在上表列明的业绩均不作为</w:t>
      </w:r>
      <w:r>
        <w:rPr>
          <w:rFonts w:hint="eastAsia" w:ascii="Times New Roman"/>
          <w:color w:val="auto"/>
          <w:sz w:val="24"/>
          <w:szCs w:val="24"/>
          <w:highlight w:val="none"/>
        </w:rPr>
        <w:t>商务文件详细评审投标人业绩</w:t>
      </w:r>
      <w:r>
        <w:rPr>
          <w:rFonts w:hint="eastAsia"/>
          <w:color w:val="auto"/>
          <w:sz w:val="24"/>
          <w:szCs w:val="24"/>
          <w:highlight w:val="none"/>
        </w:rPr>
        <w:t>予以评审。</w:t>
      </w:r>
    </w:p>
    <w:p w14:paraId="30EE2B76">
      <w:pPr>
        <w:tabs>
          <w:tab w:val="left" w:pos="8422"/>
          <w:tab w:val="left" w:pos="9622"/>
        </w:tabs>
        <w:spacing w:beforeLines="0" w:afterLines="0" w:line="360" w:lineRule="auto"/>
        <w:ind w:left="4800" w:leftChars="2000" w:right="120" w:rightChars="50"/>
        <w:jc w:val="left"/>
        <w:rPr>
          <w:rFonts w:hint="eastAsia"/>
          <w:color w:val="auto"/>
          <w:sz w:val="24"/>
          <w:szCs w:val="24"/>
          <w:highlight w:val="none"/>
        </w:rPr>
      </w:pPr>
    </w:p>
    <w:p w14:paraId="167A41CD">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0E136EB8">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17DF78CF">
      <w:pPr>
        <w:spacing w:beforeLines="0" w:afterLines="0" w:line="360" w:lineRule="auto"/>
        <w:jc w:val="center"/>
        <w:rPr>
          <w:rFonts w:hint="eastAsia"/>
          <w:b/>
          <w:color w:val="auto"/>
          <w:sz w:val="24"/>
          <w:szCs w:val="24"/>
          <w:highlight w:val="none"/>
        </w:rPr>
      </w:pPr>
      <w:r>
        <w:rPr>
          <w:rFonts w:hint="eastAsia"/>
          <w:b/>
          <w:color w:val="auto"/>
          <w:sz w:val="24"/>
          <w:szCs w:val="24"/>
          <w:highlight w:val="none"/>
        </w:rPr>
        <w:br w:type="page"/>
      </w:r>
      <w:bookmarkStart w:id="1249" w:name="_Toc128950275"/>
      <w:r>
        <w:rPr>
          <w:rFonts w:hint="eastAsia"/>
          <w:b/>
          <w:color w:val="auto"/>
          <w:sz w:val="24"/>
          <w:szCs w:val="24"/>
          <w:highlight w:val="none"/>
        </w:rPr>
        <w:t>投标人业绩信息表（详细评审）</w:t>
      </w:r>
      <w:bookmarkEnd w:id="1249"/>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6358"/>
      </w:tblGrid>
      <w:tr w14:paraId="3532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08ABD">
            <w:pPr>
              <w:autoSpaceDE w:val="0"/>
              <w:autoSpaceDN w:val="0"/>
              <w:adjustRightInd w:val="0"/>
              <w:spacing w:beforeLines="0" w:afterLines="0" w:line="300" w:lineRule="exact"/>
              <w:jc w:val="center"/>
              <w:rPr>
                <w:rFonts w:hint="eastAsia" w:ascii="Times New Roman" w:cs="宋体"/>
                <w:color w:val="auto"/>
                <w:sz w:val="24"/>
                <w:szCs w:val="21"/>
                <w:highlight w:val="none"/>
              </w:rPr>
            </w:pPr>
            <w:r>
              <w:rPr>
                <w:rFonts w:hint="eastAsia" w:ascii="Times New Roman" w:cs="宋体"/>
                <w:color w:val="auto"/>
                <w:sz w:val="24"/>
                <w:szCs w:val="21"/>
                <w:highlight w:val="none"/>
              </w:rPr>
              <w:t>项目名称</w:t>
            </w:r>
          </w:p>
          <w:p w14:paraId="6B91DBE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67994A">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264B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57039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项目所在地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C8D82B">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6A41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B0088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FBC03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366F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68B39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发包人地址</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6A1E5D">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4EB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0AE7E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38A12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2AC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9AB97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合同价格</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2076C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F83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48B560">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开工日期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0E554B">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7E97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099C2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竣工日期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8BA40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749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F038B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承担的工作</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F07B9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44E4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34594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工程质量</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1B635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10F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17A27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项目经理</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A22F3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4BCD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87DED8">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技术负责人</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EB68C0">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843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F5963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监理单位及联系电话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88679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FAA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90E790">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总监理工程师及电话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FD388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709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CFCF6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项目描述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E51AE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2F5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15047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备注</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044B0D">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olor w:val="auto"/>
                <w:sz w:val="24"/>
                <w:szCs w:val="22"/>
                <w:highlight w:val="none"/>
              </w:rPr>
              <w:t>商务文件详细评审业绩</w:t>
            </w:r>
          </w:p>
        </w:tc>
      </w:tr>
    </w:tbl>
    <w:p w14:paraId="7A415D28">
      <w:pPr>
        <w:autoSpaceDE w:val="0"/>
        <w:autoSpaceDN w:val="0"/>
        <w:adjustRightInd w:val="0"/>
        <w:spacing w:beforeLines="0" w:afterLines="0" w:line="360" w:lineRule="auto"/>
        <w:ind w:firstLine="480" w:firstLineChars="200"/>
        <w:jc w:val="left"/>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注：投标人应根据招标文件第二章“投标人须知”前附表附录3的要求在本表后附相关证明材料。</w:t>
      </w:r>
    </w:p>
    <w:p w14:paraId="6A1E625C">
      <w:pPr>
        <w:spacing w:before="240" w:beforeLines="100" w:after="240" w:afterLines="100"/>
        <w:jc w:val="center"/>
        <w:outlineLvl w:val="3"/>
        <w:rPr>
          <w:rFonts w:hint="eastAsia" w:ascii="Times New Roman" w:eastAsia="Times New Roman"/>
          <w:color w:val="auto"/>
          <w:sz w:val="24"/>
          <w:szCs w:val="24"/>
          <w:highlight w:val="none"/>
        </w:rPr>
      </w:pPr>
      <w:r>
        <w:rPr>
          <w:rFonts w:hint="eastAsia" w:ascii="Times New Roman" w:eastAsia="Times New Roman"/>
          <w:color w:val="auto"/>
          <w:sz w:val="24"/>
          <w:szCs w:val="21"/>
          <w:highlight w:val="none"/>
        </w:rPr>
        <w:br w:type="page"/>
      </w:r>
      <w:bookmarkStart w:id="1250" w:name="_Toc14380"/>
      <w:bookmarkStart w:id="1251" w:name="_Toc17457"/>
      <w:bookmarkStart w:id="1252" w:name="_Toc14778"/>
      <w:bookmarkStart w:id="1253" w:name="_Toc19339"/>
      <w:bookmarkStart w:id="1254" w:name="_Toc1845"/>
      <w:bookmarkStart w:id="1255" w:name="_Toc5020"/>
      <w:bookmarkStart w:id="1256" w:name="_Toc9361"/>
      <w:bookmarkStart w:id="1257" w:name="_Toc21543"/>
      <w:bookmarkStart w:id="1258" w:name="_Toc128950276"/>
      <w:r>
        <w:rPr>
          <w:rFonts w:hint="eastAsia" w:ascii="Times New Roman" w:eastAsia="黑体"/>
          <w:color w:val="auto"/>
          <w:sz w:val="24"/>
          <w:szCs w:val="24"/>
          <w:highlight w:val="none"/>
        </w:rPr>
        <w:t>（二）项目经理</w:t>
      </w:r>
      <w:bookmarkEnd w:id="1250"/>
      <w:bookmarkEnd w:id="1251"/>
      <w:bookmarkEnd w:id="1252"/>
      <w:bookmarkEnd w:id="1253"/>
      <w:bookmarkEnd w:id="1254"/>
      <w:bookmarkEnd w:id="1255"/>
      <w:bookmarkEnd w:id="1256"/>
      <w:bookmarkEnd w:id="1257"/>
      <w:r>
        <w:rPr>
          <w:rFonts w:hint="eastAsia" w:ascii="Times New Roman" w:eastAsia="黑体"/>
          <w:color w:val="auto"/>
          <w:sz w:val="24"/>
          <w:szCs w:val="24"/>
          <w:highlight w:val="none"/>
        </w:rPr>
        <w:t>业绩情况表（详细评审）</w:t>
      </w:r>
      <w:bookmarkEnd w:id="1258"/>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3"/>
        <w:gridCol w:w="5627"/>
        <w:gridCol w:w="1323"/>
      </w:tblGrid>
      <w:tr w14:paraId="14B74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01D6E">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业绩序号</w:t>
            </w:r>
          </w:p>
        </w:tc>
        <w:tc>
          <w:tcPr>
            <w:tcW w:w="33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278678">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项目名称（合同名称）</w:t>
            </w:r>
          </w:p>
        </w:tc>
        <w:tc>
          <w:tcPr>
            <w:tcW w:w="7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635E3E">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备注</w:t>
            </w:r>
          </w:p>
        </w:tc>
      </w:tr>
      <w:tr w14:paraId="1DC65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1B085D">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1</w:t>
            </w:r>
          </w:p>
        </w:tc>
        <w:tc>
          <w:tcPr>
            <w:tcW w:w="33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96553F">
            <w:pPr>
              <w:spacing w:beforeLines="0" w:afterLines="0"/>
              <w:jc w:val="center"/>
              <w:rPr>
                <w:rFonts w:hint="eastAsia" w:ascii="Times New Roman" w:eastAsia="Times New Roman"/>
                <w:color w:val="auto"/>
                <w:sz w:val="24"/>
                <w:szCs w:val="24"/>
                <w:highlight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17E35">
            <w:pPr>
              <w:spacing w:beforeLines="0" w:afterLines="0"/>
              <w:jc w:val="center"/>
              <w:rPr>
                <w:rFonts w:hint="eastAsia" w:ascii="Times New Roman" w:eastAsia="Times New Roman"/>
                <w:color w:val="auto"/>
                <w:sz w:val="24"/>
                <w:szCs w:val="24"/>
                <w:highlight w:val="none"/>
              </w:rPr>
            </w:pPr>
          </w:p>
        </w:tc>
      </w:tr>
      <w:tr w14:paraId="3CF61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C3299A">
            <w:pPr>
              <w:spacing w:beforeLines="0" w:afterLines="0"/>
              <w:jc w:val="center"/>
              <w:rPr>
                <w:rFonts w:hint="eastAsia" w:ascii="Times New Roman" w:eastAsia="Times New Roman"/>
                <w:color w:val="auto"/>
                <w:sz w:val="24"/>
                <w:szCs w:val="24"/>
                <w:highlight w:val="none"/>
              </w:rPr>
            </w:pPr>
            <w:r>
              <w:rPr>
                <w:rFonts w:hint="eastAsia" w:ascii="Times New Roman" w:eastAsia="Times New Roman"/>
                <w:color w:val="auto"/>
                <w:sz w:val="24"/>
                <w:szCs w:val="24"/>
                <w:highlight w:val="none"/>
              </w:rPr>
              <w:t>2</w:t>
            </w:r>
          </w:p>
        </w:tc>
        <w:tc>
          <w:tcPr>
            <w:tcW w:w="33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151C1E">
            <w:pPr>
              <w:spacing w:beforeLines="0" w:afterLines="0"/>
              <w:jc w:val="center"/>
              <w:rPr>
                <w:rFonts w:hint="eastAsia" w:ascii="Times New Roman" w:eastAsia="Times New Roman"/>
                <w:color w:val="auto"/>
                <w:sz w:val="24"/>
                <w:szCs w:val="24"/>
                <w:highlight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403D5A">
            <w:pPr>
              <w:spacing w:beforeLines="0" w:afterLines="0"/>
              <w:jc w:val="center"/>
              <w:rPr>
                <w:rFonts w:hint="eastAsia" w:ascii="Times New Roman" w:eastAsia="Times New Roman"/>
                <w:color w:val="auto"/>
                <w:sz w:val="24"/>
                <w:szCs w:val="24"/>
                <w:highlight w:val="none"/>
              </w:rPr>
            </w:pPr>
          </w:p>
        </w:tc>
      </w:tr>
      <w:tr w14:paraId="13FBB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0DFD6">
            <w:pPr>
              <w:spacing w:beforeLines="0" w:afterLines="0"/>
              <w:jc w:val="center"/>
              <w:rPr>
                <w:rFonts w:hint="eastAsia" w:ascii="Times New Roman" w:eastAsia="Times New Roman"/>
                <w:color w:val="auto"/>
                <w:sz w:val="24"/>
                <w:szCs w:val="24"/>
                <w:highlight w:val="none"/>
              </w:rPr>
            </w:pPr>
            <w:r>
              <w:rPr>
                <w:rFonts w:hint="eastAsia" w:ascii="Times New Roman"/>
                <w:color w:val="auto"/>
                <w:sz w:val="24"/>
                <w:szCs w:val="24"/>
                <w:highlight w:val="none"/>
              </w:rPr>
              <w:t>……</w:t>
            </w:r>
          </w:p>
        </w:tc>
        <w:tc>
          <w:tcPr>
            <w:tcW w:w="33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63B41">
            <w:pPr>
              <w:spacing w:beforeLines="0" w:afterLines="0"/>
              <w:jc w:val="center"/>
              <w:rPr>
                <w:rFonts w:hint="eastAsia" w:ascii="Times New Roman" w:eastAsia="Times New Roman"/>
                <w:color w:val="auto"/>
                <w:sz w:val="24"/>
                <w:szCs w:val="24"/>
                <w:highlight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B6792E">
            <w:pPr>
              <w:spacing w:beforeLines="0" w:afterLines="0"/>
              <w:jc w:val="center"/>
              <w:rPr>
                <w:rFonts w:hint="eastAsia" w:ascii="Times New Roman" w:eastAsia="Times New Roman"/>
                <w:color w:val="auto"/>
                <w:sz w:val="24"/>
                <w:szCs w:val="24"/>
                <w:highlight w:val="none"/>
              </w:rPr>
            </w:pPr>
          </w:p>
        </w:tc>
      </w:tr>
    </w:tbl>
    <w:p w14:paraId="69F2E876">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注：</w:t>
      </w:r>
    </w:p>
    <w:p w14:paraId="5F21F7B0">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1.投标人应将用于商务文件详细评审的项目经理业绩在上表中列明，按照列明的业绩序号先后顺序依次填写“项目经理业绩信息表（详细评审）”，并附相应业绩证明材料。</w:t>
      </w:r>
    </w:p>
    <w:p w14:paraId="1037AD99">
      <w:pPr>
        <w:spacing w:beforeLines="0" w:afterLines="0" w:line="360" w:lineRule="auto"/>
        <w:ind w:firstLine="480" w:firstLineChars="200"/>
        <w:rPr>
          <w:rFonts w:hint="eastAsia"/>
          <w:color w:val="auto"/>
          <w:sz w:val="24"/>
          <w:szCs w:val="24"/>
          <w:highlight w:val="none"/>
        </w:rPr>
      </w:pPr>
      <w:r>
        <w:rPr>
          <w:rFonts w:hint="eastAsia"/>
          <w:color w:val="auto"/>
          <w:sz w:val="24"/>
          <w:szCs w:val="24"/>
          <w:highlight w:val="none"/>
        </w:rPr>
        <w:t>2.评标委员会应当按照上表列明的业绩序号先后顺序依次进行评审，且仅评审评审标准规定数量的业绩，超出规定数量部分或未在上表列明的业绩均不作为</w:t>
      </w:r>
      <w:r>
        <w:rPr>
          <w:rFonts w:hint="eastAsia" w:ascii="Times New Roman"/>
          <w:color w:val="auto"/>
          <w:sz w:val="24"/>
          <w:szCs w:val="24"/>
          <w:highlight w:val="none"/>
        </w:rPr>
        <w:t>商务文件详细评审项目经理业绩</w:t>
      </w:r>
      <w:r>
        <w:rPr>
          <w:rFonts w:hint="eastAsia"/>
          <w:color w:val="auto"/>
          <w:sz w:val="24"/>
          <w:szCs w:val="24"/>
          <w:highlight w:val="none"/>
        </w:rPr>
        <w:t>予以评审。</w:t>
      </w:r>
    </w:p>
    <w:p w14:paraId="31FF9CD2">
      <w:pPr>
        <w:tabs>
          <w:tab w:val="left" w:pos="8422"/>
          <w:tab w:val="left" w:pos="9622"/>
        </w:tabs>
        <w:spacing w:beforeLines="0" w:afterLines="0" w:line="360" w:lineRule="auto"/>
        <w:ind w:left="4800" w:leftChars="2000" w:right="120" w:rightChars="50"/>
        <w:jc w:val="left"/>
        <w:rPr>
          <w:rFonts w:hint="eastAsia"/>
          <w:color w:val="auto"/>
          <w:sz w:val="24"/>
          <w:szCs w:val="24"/>
          <w:highlight w:val="none"/>
        </w:rPr>
      </w:pPr>
    </w:p>
    <w:p w14:paraId="2B983149">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15424BF2">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7E7ABF6C">
      <w:pPr>
        <w:spacing w:beforeLines="0" w:afterLines="0" w:line="360" w:lineRule="auto"/>
        <w:jc w:val="center"/>
        <w:rPr>
          <w:rFonts w:hint="eastAsia"/>
          <w:b/>
          <w:color w:val="auto"/>
          <w:sz w:val="24"/>
          <w:szCs w:val="24"/>
          <w:highlight w:val="none"/>
        </w:rPr>
      </w:pPr>
      <w:r>
        <w:rPr>
          <w:rFonts w:hint="eastAsia"/>
          <w:color w:val="auto"/>
          <w:sz w:val="24"/>
          <w:szCs w:val="24"/>
          <w:highlight w:val="none"/>
        </w:rPr>
        <w:br w:type="page"/>
      </w:r>
      <w:bookmarkStart w:id="1259" w:name="_Toc128950277"/>
      <w:r>
        <w:rPr>
          <w:rFonts w:hint="eastAsia"/>
          <w:b/>
          <w:color w:val="auto"/>
          <w:sz w:val="24"/>
          <w:szCs w:val="24"/>
          <w:highlight w:val="none"/>
        </w:rPr>
        <w:t>项目经理业绩信息表（详细评审）</w:t>
      </w:r>
      <w:bookmarkEnd w:id="1259"/>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6358"/>
      </w:tblGrid>
      <w:tr w14:paraId="2CAF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306C0B">
            <w:pPr>
              <w:autoSpaceDE w:val="0"/>
              <w:autoSpaceDN w:val="0"/>
              <w:adjustRightInd w:val="0"/>
              <w:spacing w:beforeLines="0" w:afterLines="0" w:line="300" w:lineRule="exact"/>
              <w:jc w:val="center"/>
              <w:rPr>
                <w:rFonts w:hint="eastAsia" w:ascii="Times New Roman" w:cs="宋体"/>
                <w:color w:val="auto"/>
                <w:sz w:val="24"/>
                <w:szCs w:val="21"/>
                <w:highlight w:val="none"/>
              </w:rPr>
            </w:pPr>
            <w:r>
              <w:rPr>
                <w:rFonts w:hint="eastAsia" w:ascii="Times New Roman" w:cs="宋体"/>
                <w:color w:val="auto"/>
                <w:sz w:val="24"/>
                <w:szCs w:val="21"/>
                <w:highlight w:val="none"/>
              </w:rPr>
              <w:t>项目名称</w:t>
            </w:r>
          </w:p>
          <w:p w14:paraId="63956B3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9EE0E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73B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05EF4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项目所在地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FE75D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A1F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BC7C7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发包人名称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AA626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5B2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29D33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发包人地址</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971EF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74E1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C2261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发包人电话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C18418">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3C5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810A0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合同价格</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20AB9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2DB6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334AA9">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开工日期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430ED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496C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14B74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竣工日期</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28B59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48E4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0069B8">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承担的工作</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FE174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3F46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68E35C">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工程质量</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DB671B">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430A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8F9BB2">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项目经理</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88721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4068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3C8636">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技术负责人</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3ED4F1">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59BD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4FD1B8">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监理单位及联系电话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65FEA8">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238B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C263FD">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总监理工程师及电话</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2C6D8D">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43D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4CEF74">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项目描述</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54836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D69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3F1C1E">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备注</w:t>
            </w:r>
          </w:p>
        </w:tc>
        <w:tc>
          <w:tcPr>
            <w:tcW w:w="37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5B524F">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olor w:val="auto"/>
                <w:sz w:val="24"/>
                <w:szCs w:val="22"/>
                <w:highlight w:val="none"/>
              </w:rPr>
              <w:t>商务文件详细评审业绩</w:t>
            </w:r>
          </w:p>
        </w:tc>
      </w:tr>
    </w:tbl>
    <w:p w14:paraId="023CE4CE">
      <w:pPr>
        <w:autoSpaceDE w:val="0"/>
        <w:autoSpaceDN w:val="0"/>
        <w:adjustRightInd w:val="0"/>
        <w:spacing w:beforeLines="0" w:afterLines="0" w:line="360" w:lineRule="auto"/>
        <w:ind w:firstLine="480" w:firstLineChars="200"/>
        <w:jc w:val="left"/>
        <w:rPr>
          <w:rFonts w:hint="eastAsia" w:ascii="Times New Roman" w:eastAsia="黑体"/>
          <w:color w:val="auto"/>
          <w:sz w:val="24"/>
          <w:szCs w:val="24"/>
          <w:highlight w:val="none"/>
        </w:rPr>
      </w:pPr>
      <w:r>
        <w:rPr>
          <w:rFonts w:hint="eastAsia" w:ascii="Times New Roman" w:cs="宋体"/>
          <w:color w:val="auto"/>
          <w:sz w:val="24"/>
          <w:szCs w:val="21"/>
          <w:highlight w:val="none"/>
        </w:rPr>
        <w:t>注：投标人应根据招标文件第二章“投标人须知”前附表附录5的要求在本表后附相关证明材料。</w:t>
      </w:r>
    </w:p>
    <w:bookmarkEnd w:id="1241"/>
    <w:bookmarkEnd w:id="1242"/>
    <w:bookmarkEnd w:id="1243"/>
    <w:bookmarkEnd w:id="1244"/>
    <w:bookmarkEnd w:id="1245"/>
    <w:bookmarkEnd w:id="1246"/>
    <w:bookmarkEnd w:id="1247"/>
    <w:bookmarkEnd w:id="1248"/>
    <w:p w14:paraId="3212052F">
      <w:pPr>
        <w:spacing w:before="240" w:beforeLines="100" w:after="240" w:afterLines="100"/>
        <w:jc w:val="center"/>
        <w:outlineLvl w:val="3"/>
        <w:rPr>
          <w:rFonts w:hint="eastAsia" w:ascii="Times New Roman" w:eastAsia="黑体"/>
          <w:color w:val="auto"/>
          <w:sz w:val="24"/>
          <w:szCs w:val="24"/>
          <w:highlight w:val="none"/>
        </w:rPr>
      </w:pPr>
      <w:bookmarkStart w:id="1260" w:name="_Toc2285"/>
      <w:r>
        <w:rPr>
          <w:rFonts w:hint="eastAsia" w:ascii="Times New Roman" w:eastAsia="黑体"/>
          <w:color w:val="auto"/>
          <w:sz w:val="24"/>
          <w:szCs w:val="24"/>
          <w:highlight w:val="none"/>
        </w:rPr>
        <w:br w:type="page"/>
      </w:r>
      <w:bookmarkStart w:id="1261" w:name="_Toc63"/>
      <w:bookmarkStart w:id="1262" w:name="_Toc21113"/>
      <w:bookmarkStart w:id="1263" w:name="_Toc14699"/>
      <w:bookmarkStart w:id="1264" w:name="_Toc12594"/>
      <w:bookmarkStart w:id="1265" w:name="_Toc32247"/>
      <w:bookmarkStart w:id="1266" w:name="_Toc13749"/>
      <w:bookmarkStart w:id="1267" w:name="_Toc17080"/>
      <w:bookmarkStart w:id="1268" w:name="_Toc128950278"/>
      <w:r>
        <w:rPr>
          <w:rFonts w:hint="eastAsia" w:ascii="Times New Roman" w:eastAsia="黑体"/>
          <w:color w:val="auto"/>
          <w:sz w:val="24"/>
          <w:szCs w:val="24"/>
          <w:highlight w:val="none"/>
        </w:rPr>
        <w:t>（三）奖项、荣誉（如有）</w:t>
      </w:r>
      <w:bookmarkEnd w:id="1260"/>
      <w:bookmarkEnd w:id="1261"/>
      <w:bookmarkEnd w:id="1262"/>
      <w:bookmarkEnd w:id="1263"/>
      <w:bookmarkEnd w:id="1264"/>
      <w:bookmarkEnd w:id="1265"/>
      <w:bookmarkEnd w:id="1266"/>
      <w:bookmarkEnd w:id="1267"/>
      <w:bookmarkEnd w:id="1268"/>
    </w:p>
    <w:p w14:paraId="712BABA9">
      <w:pPr>
        <w:pStyle w:val="4"/>
        <w:spacing w:before="240" w:beforeLines="100" w:after="240" w:afterLines="100" w:line="240" w:lineRule="auto"/>
        <w:jc w:val="center"/>
        <w:rPr>
          <w:rFonts w:hint="eastAsia" w:ascii="Times New Roman" w:hAnsi="Times New Roman"/>
          <w:color w:val="auto"/>
          <w:sz w:val="24"/>
          <w:szCs w:val="24"/>
          <w:highlight w:val="none"/>
        </w:rPr>
      </w:pPr>
      <w:bookmarkStart w:id="1269" w:name="_Toc29260"/>
      <w:bookmarkStart w:id="1270" w:name="_Toc26207"/>
      <w:bookmarkStart w:id="1271" w:name="_Toc12712"/>
      <w:bookmarkStart w:id="1272" w:name="_Toc2717"/>
      <w:bookmarkStart w:id="1273" w:name="_Toc6316"/>
      <w:bookmarkStart w:id="1274" w:name="_Toc21667"/>
      <w:bookmarkStart w:id="1275" w:name="_Toc5804"/>
      <w:bookmarkStart w:id="1276" w:name="_Toc7813"/>
      <w:r>
        <w:rPr>
          <w:rFonts w:hint="eastAsia" w:ascii="Times New Roman" w:hAnsi="Times New Roman"/>
          <w:color w:val="auto"/>
          <w:sz w:val="24"/>
          <w:szCs w:val="24"/>
          <w:highlight w:val="none"/>
        </w:rPr>
        <w:t>九、诚信投标承诺书</w:t>
      </w:r>
      <w:bookmarkEnd w:id="1269"/>
      <w:bookmarkEnd w:id="1270"/>
      <w:bookmarkEnd w:id="1271"/>
      <w:bookmarkEnd w:id="1272"/>
      <w:bookmarkEnd w:id="1273"/>
      <w:bookmarkEnd w:id="1274"/>
      <w:bookmarkEnd w:id="1275"/>
      <w:bookmarkEnd w:id="1276"/>
    </w:p>
    <w:p w14:paraId="2FB3E8D4">
      <w:pPr>
        <w:spacing w:beforeLines="0" w:afterLines="0" w:line="360" w:lineRule="auto"/>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致：</w:t>
      </w:r>
      <w:r>
        <w:rPr>
          <w:rFonts w:hint="eastAsia" w:ascii="Times New Roman" w:cs="宋体"/>
          <w:color w:val="auto"/>
          <w:sz w:val="24"/>
          <w:szCs w:val="24"/>
          <w:highlight w:val="none"/>
          <w:u w:val="single"/>
        </w:rPr>
        <w:t>（招标人）</w:t>
      </w:r>
    </w:p>
    <w:p w14:paraId="4A4DE092">
      <w:pPr>
        <w:spacing w:before="240" w:beforeLines="100" w:afterLines="0" w:line="360" w:lineRule="auto"/>
        <w:rPr>
          <w:rFonts w:hint="eastAsia" w:ascii="Times New Roman" w:cs="宋体"/>
          <w:color w:val="auto"/>
          <w:sz w:val="24"/>
          <w:szCs w:val="24"/>
          <w:highlight w:val="none"/>
        </w:rPr>
      </w:pPr>
      <w:r>
        <w:rPr>
          <w:rFonts w:hint="eastAsia" w:ascii="Times New Roman" w:cs="宋体"/>
          <w:color w:val="auto"/>
          <w:sz w:val="24"/>
          <w:szCs w:val="24"/>
          <w:highlight w:val="none"/>
        </w:rPr>
        <w:t>我公司郑重承诺：</w:t>
      </w:r>
    </w:p>
    <w:p w14:paraId="0BB16147">
      <w:pPr>
        <w:spacing w:before="240" w:beforeLines="100" w:afterLines="0" w:line="360" w:lineRule="auto"/>
        <w:ind w:firstLine="480" w:firstLineChars="200"/>
        <w:rPr>
          <w:rFonts w:hint="eastAsia" w:ascii="Times New Roman" w:cs="宋体"/>
          <w:color w:val="auto"/>
          <w:sz w:val="24"/>
          <w:szCs w:val="24"/>
          <w:highlight w:val="none"/>
        </w:rPr>
      </w:pPr>
      <w:r>
        <w:rPr>
          <w:rFonts w:hint="eastAsia" w:ascii="Times New Roman" w:cs="宋体"/>
          <w:color w:val="auto"/>
          <w:sz w:val="24"/>
          <w:szCs w:val="24"/>
          <w:highlight w:val="none"/>
        </w:rPr>
        <w:t>1.遵循公开、公正和诚实信用的原则自愿参加</w:t>
      </w:r>
      <w:r>
        <w:rPr>
          <w:rFonts w:hint="eastAsia" w:ascii="Times New Roman" w:cs="宋体"/>
          <w:color w:val="auto"/>
          <w:sz w:val="24"/>
          <w:szCs w:val="24"/>
          <w:highlight w:val="none"/>
          <w:u w:val="single"/>
        </w:rPr>
        <w:t>（招标项目名称）</w:t>
      </w:r>
      <w:r>
        <w:rPr>
          <w:rFonts w:hint="eastAsia" w:ascii="Times New Roman" w:cs="宋体"/>
          <w:color w:val="auto"/>
          <w:sz w:val="24"/>
          <w:szCs w:val="24"/>
          <w:highlight w:val="none"/>
        </w:rPr>
        <w:t xml:space="preserve"> </w:t>
      </w:r>
      <w:r>
        <w:rPr>
          <w:rFonts w:hint="eastAsia" w:ascii="Times New Roman" w:cs="宋体"/>
          <w:color w:val="auto"/>
          <w:sz w:val="24"/>
          <w:szCs w:val="24"/>
          <w:highlight w:val="none"/>
          <w:u w:val="single"/>
        </w:rPr>
        <w:t xml:space="preserve">   </w:t>
      </w:r>
      <w:r>
        <w:rPr>
          <w:rFonts w:hint="eastAsia" w:ascii="Times New Roman" w:cs="宋体"/>
          <w:color w:val="auto"/>
          <w:sz w:val="24"/>
          <w:szCs w:val="24"/>
          <w:highlight w:val="none"/>
          <w:u w:val="single"/>
          <w:lang w:val="en-US" w:eastAsia="zh-CN"/>
        </w:rPr>
        <w:t>/</w:t>
      </w:r>
      <w:r>
        <w:rPr>
          <w:rFonts w:hint="eastAsia" w:ascii="Times New Roman" w:cs="宋体"/>
          <w:color w:val="auto"/>
          <w:sz w:val="24"/>
          <w:szCs w:val="24"/>
          <w:highlight w:val="none"/>
          <w:u w:val="single"/>
        </w:rPr>
        <w:t xml:space="preserve">   标段</w:t>
      </w:r>
      <w:r>
        <w:rPr>
          <w:rFonts w:hint="eastAsia" w:ascii="Times New Roman" w:cs="宋体"/>
          <w:color w:val="auto"/>
          <w:sz w:val="24"/>
          <w:szCs w:val="24"/>
          <w:highlight w:val="none"/>
        </w:rPr>
        <w:t>的投标。</w:t>
      </w:r>
    </w:p>
    <w:p w14:paraId="596626D1">
      <w:pPr>
        <w:spacing w:beforeLines="0" w:afterLines="0" w:line="360" w:lineRule="auto"/>
        <w:ind w:firstLine="480" w:firstLineChars="200"/>
        <w:rPr>
          <w:rFonts w:hint="eastAsia" w:ascii="Times New Roman" w:cs="宋体"/>
          <w:color w:val="auto"/>
          <w:sz w:val="24"/>
          <w:szCs w:val="24"/>
          <w:highlight w:val="none"/>
        </w:rPr>
      </w:pPr>
      <w:r>
        <w:rPr>
          <w:rFonts w:hint="eastAsia" w:ascii="Times New Roman" w:cs="宋体"/>
          <w:color w:val="auto"/>
          <w:sz w:val="24"/>
          <w:szCs w:val="24"/>
          <w:highlight w:val="none"/>
        </w:rPr>
        <w:t>2.本次投标提供的资质证书、业绩及奖项等一切材料均真实、有效、合法。否则，我公司愿意接受招标人、公共资源交易监督管理部门作出的相关处理、处罚。</w:t>
      </w:r>
    </w:p>
    <w:p w14:paraId="4927D875">
      <w:pPr>
        <w:spacing w:beforeLines="0" w:afterLines="0" w:line="360" w:lineRule="auto"/>
        <w:ind w:firstLine="480" w:firstLineChars="200"/>
        <w:rPr>
          <w:rFonts w:hint="eastAsia" w:ascii="Times New Roman" w:cs="宋体"/>
          <w:color w:val="auto"/>
          <w:sz w:val="24"/>
          <w:szCs w:val="24"/>
          <w:highlight w:val="none"/>
        </w:rPr>
      </w:pPr>
      <w:r>
        <w:rPr>
          <w:rFonts w:hint="eastAsia" w:ascii="Times New Roman" w:cs="宋体"/>
          <w:color w:val="auto"/>
          <w:sz w:val="24"/>
          <w:szCs w:val="24"/>
          <w:highlight w:val="none"/>
        </w:rPr>
        <w:t>3.本次投标为我公司自行投标，未出借、转让资质证书，未让他人挂靠投标。</w:t>
      </w:r>
    </w:p>
    <w:p w14:paraId="18B9DB3E">
      <w:pPr>
        <w:spacing w:beforeLines="0" w:afterLines="0" w:line="360" w:lineRule="auto"/>
        <w:ind w:firstLine="480" w:firstLineChars="200"/>
        <w:rPr>
          <w:rFonts w:hint="eastAsia" w:ascii="Times New Roman" w:cs="宋体"/>
          <w:color w:val="auto"/>
          <w:sz w:val="24"/>
          <w:szCs w:val="24"/>
          <w:highlight w:val="none"/>
        </w:rPr>
      </w:pPr>
      <w:r>
        <w:rPr>
          <w:rFonts w:hint="eastAsia" w:ascii="Times New Roman" w:cs="宋体"/>
          <w:color w:val="auto"/>
          <w:sz w:val="24"/>
          <w:szCs w:val="24"/>
          <w:highlight w:val="none"/>
        </w:rPr>
        <w:t>4.未与其他投标人相互串通投标报价，未排挤其他投标人的公平竞争、损害招标人的合法权益。</w:t>
      </w:r>
    </w:p>
    <w:p w14:paraId="08CA1F40">
      <w:pPr>
        <w:spacing w:beforeLines="0" w:afterLines="0" w:line="360" w:lineRule="auto"/>
        <w:ind w:firstLine="480" w:firstLineChars="200"/>
        <w:rPr>
          <w:rFonts w:hint="eastAsia" w:ascii="Times New Roman" w:cs="宋体"/>
          <w:color w:val="auto"/>
          <w:sz w:val="24"/>
          <w:szCs w:val="24"/>
          <w:highlight w:val="none"/>
        </w:rPr>
      </w:pPr>
      <w:r>
        <w:rPr>
          <w:rFonts w:hint="eastAsia" w:ascii="Times New Roman" w:cs="宋体"/>
          <w:color w:val="auto"/>
          <w:sz w:val="24"/>
          <w:szCs w:val="24"/>
          <w:highlight w:val="none"/>
        </w:rPr>
        <w:t>5.未与招标人、招标代理机构或其他投标人串通投标，损害国家利益、社会公共利益或者他人的合法权益。</w:t>
      </w:r>
    </w:p>
    <w:p w14:paraId="2E6ABE35">
      <w:pPr>
        <w:spacing w:beforeLines="0" w:afterLines="0" w:line="360" w:lineRule="auto"/>
        <w:ind w:firstLine="480" w:firstLineChars="200"/>
        <w:rPr>
          <w:rFonts w:hint="eastAsia" w:ascii="Times New Roman" w:eastAsia="Times New Roman" w:cs="宋体"/>
          <w:color w:val="auto"/>
          <w:sz w:val="24"/>
          <w:szCs w:val="24"/>
          <w:highlight w:val="none"/>
        </w:rPr>
      </w:pPr>
      <w:r>
        <w:rPr>
          <w:rFonts w:hint="eastAsia" w:ascii="Times New Roman" w:cs="宋体"/>
          <w:color w:val="auto"/>
          <w:sz w:val="24"/>
          <w:szCs w:val="24"/>
          <w:highlight w:val="none"/>
        </w:rPr>
        <w:t>6.中标后按照合同约定履行义务，完成中标项目；不向他人转让中标项目，不将中标项目肢解后分别向他人转让；不违法分包。</w:t>
      </w:r>
    </w:p>
    <w:p w14:paraId="67520411">
      <w:pPr>
        <w:spacing w:beforeLines="0" w:afterLines="0" w:line="360" w:lineRule="auto"/>
        <w:ind w:firstLine="480" w:firstLineChars="200"/>
        <w:rPr>
          <w:rFonts w:hint="eastAsia" w:ascii="Times New Roman" w:cs="宋体"/>
          <w:color w:val="auto"/>
          <w:sz w:val="24"/>
          <w:szCs w:val="24"/>
          <w:highlight w:val="none"/>
        </w:rPr>
      </w:pPr>
      <w:r>
        <w:rPr>
          <w:rFonts w:hint="eastAsia" w:ascii="Times New Roman" w:cs="宋体"/>
          <w:color w:val="auto"/>
          <w:sz w:val="24"/>
          <w:szCs w:val="24"/>
          <w:highlight w:val="none"/>
        </w:rPr>
        <w:t>7.如提出异议（投诉），对提供的异议（投诉）材料的真实性负责，不恶意异议（投诉）；不捏造事实、提供虚假材料或者以非法手段取得证明材料进行异议（投诉），影响交易活动正常进行；否则，我公司愿意接受公共资源交易监督管理部门作出的相关处理、处罚。</w:t>
      </w:r>
    </w:p>
    <w:p w14:paraId="5208C568">
      <w:pPr>
        <w:spacing w:beforeLines="0" w:afterLines="0" w:line="360" w:lineRule="auto"/>
        <w:ind w:firstLine="480" w:firstLineChars="200"/>
        <w:rPr>
          <w:rFonts w:hint="eastAsia" w:ascii="Times New Roman" w:cs="宋体"/>
          <w:color w:val="auto"/>
          <w:sz w:val="24"/>
          <w:szCs w:val="24"/>
          <w:highlight w:val="none"/>
        </w:rPr>
      </w:pPr>
      <w:r>
        <w:rPr>
          <w:rFonts w:hint="eastAsia" w:ascii="Times New Roman" w:cs="宋体"/>
          <w:color w:val="auto"/>
          <w:sz w:val="24"/>
          <w:szCs w:val="24"/>
          <w:highlight w:val="none"/>
        </w:rPr>
        <w:t>8.本次投标不存在第二章“投标人须知”第1.4.3项、第1.4.4项规定的任何一种情形。</w:t>
      </w:r>
    </w:p>
    <w:p w14:paraId="734AD938">
      <w:pPr>
        <w:spacing w:beforeLines="0" w:afterLines="0" w:line="360" w:lineRule="auto"/>
        <w:ind w:firstLine="480" w:firstLineChars="200"/>
        <w:rPr>
          <w:rFonts w:hint="eastAsia" w:ascii="Times New Roman" w:cs="宋体"/>
          <w:color w:val="auto"/>
          <w:sz w:val="24"/>
          <w:szCs w:val="24"/>
          <w:highlight w:val="none"/>
          <w:u w:val="single"/>
        </w:rPr>
      </w:pPr>
      <w:r>
        <w:rPr>
          <w:rFonts w:hint="eastAsia" w:ascii="Times New Roman" w:cs="宋体"/>
          <w:color w:val="auto"/>
          <w:sz w:val="24"/>
          <w:szCs w:val="24"/>
          <w:highlight w:val="none"/>
        </w:rPr>
        <w:t>9.</w:t>
      </w:r>
      <w:r>
        <w:rPr>
          <w:rFonts w:hint="eastAsia" w:ascii="Times New Roman" w:cs="宋体"/>
          <w:color w:val="auto"/>
          <w:sz w:val="24"/>
          <w:szCs w:val="24"/>
          <w:highlight w:val="none"/>
          <w:u w:val="single"/>
        </w:rPr>
        <w:t xml:space="preserve">                    </w:t>
      </w:r>
      <w:r>
        <w:rPr>
          <w:rFonts w:hint="eastAsia" w:ascii="Times New Roman"/>
          <w:snapToGrid w:val="0"/>
          <w:color w:val="auto"/>
          <w:sz w:val="24"/>
          <w:szCs w:val="21"/>
          <w:highlight w:val="none"/>
        </w:rPr>
        <w:t>（其他补充承诺）。</w:t>
      </w:r>
    </w:p>
    <w:p w14:paraId="2FB257C8">
      <w:pPr>
        <w:spacing w:beforeLines="0" w:afterLines="0" w:line="360" w:lineRule="auto"/>
        <w:ind w:firstLine="480" w:firstLineChars="200"/>
        <w:rPr>
          <w:rFonts w:hint="eastAsia" w:ascii="Times New Roman" w:cs="宋体"/>
          <w:color w:val="auto"/>
          <w:sz w:val="24"/>
          <w:szCs w:val="24"/>
          <w:highlight w:val="none"/>
        </w:rPr>
      </w:pPr>
    </w:p>
    <w:p w14:paraId="74A2D21F">
      <w:pPr>
        <w:spacing w:beforeLines="0" w:afterLines="0" w:line="360" w:lineRule="auto"/>
        <w:ind w:firstLine="480" w:firstLineChars="200"/>
        <w:rPr>
          <w:rFonts w:hint="eastAsia" w:ascii="Times New Roman" w:cs="宋体"/>
          <w:color w:val="auto"/>
          <w:sz w:val="24"/>
          <w:szCs w:val="24"/>
          <w:highlight w:val="none"/>
        </w:rPr>
      </w:pPr>
    </w:p>
    <w:p w14:paraId="06AA6401">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7CB57C78">
      <w:pPr>
        <w:adjustRightInd w:val="0"/>
        <w:snapToGrid w:val="0"/>
        <w:spacing w:beforeLines="0" w:afterLines="0" w:line="360" w:lineRule="auto"/>
        <w:jc w:val="right"/>
        <w:rPr>
          <w:rFonts w:hint="eastAsia" w:ascii="Times New Roman"/>
          <w:color w:val="auto"/>
          <w:spacing w:val="160"/>
          <w:sz w:val="24"/>
          <w:szCs w:val="21"/>
          <w:highlight w:val="non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（签字或盖章）</w:t>
      </w:r>
    </w:p>
    <w:p w14:paraId="1BF35B53">
      <w:pPr>
        <w:adjustRightInd w:val="0"/>
        <w:snapToGrid w:val="0"/>
        <w:spacing w:beforeLines="0" w:afterLines="0" w:line="360" w:lineRule="auto"/>
        <w:jc w:val="right"/>
        <w:rPr>
          <w:rFonts w:hint="eastAsia" w:ascii="Times New Roman"/>
          <w:color w:val="auto"/>
          <w:sz w:val="24"/>
          <w:szCs w:val="21"/>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6CE45502">
      <w:pPr>
        <w:pStyle w:val="4"/>
        <w:spacing w:before="240" w:beforeLines="100" w:after="240" w:afterLines="100" w:line="240" w:lineRule="auto"/>
        <w:jc w:val="center"/>
        <w:rPr>
          <w:rFonts w:hint="eastAsia" w:ascii="Times New Roman" w:hAnsi="Times New Roman"/>
          <w:color w:val="auto"/>
          <w:sz w:val="24"/>
          <w:szCs w:val="24"/>
          <w:highlight w:val="none"/>
        </w:rPr>
      </w:pPr>
      <w:bookmarkStart w:id="1277" w:name="_Toc4711"/>
      <w:bookmarkStart w:id="1278" w:name="_Toc8474"/>
      <w:bookmarkStart w:id="1279" w:name="_Toc12778"/>
      <w:bookmarkStart w:id="1280" w:name="_Toc25353"/>
      <w:bookmarkStart w:id="1281" w:name="_Toc23821"/>
      <w:bookmarkStart w:id="1282" w:name="_Toc15663"/>
      <w:bookmarkStart w:id="1283" w:name="_Toc28167"/>
      <w:bookmarkStart w:id="1284" w:name="_Toc19906"/>
      <w:r>
        <w:rPr>
          <w:rFonts w:hint="eastAsia" w:ascii="Times New Roman" w:hAnsi="Times New Roman"/>
          <w:color w:val="auto"/>
          <w:sz w:val="24"/>
          <w:szCs w:val="24"/>
          <w:highlight w:val="none"/>
        </w:rPr>
        <w:br w:type="page"/>
      </w:r>
      <w:r>
        <w:rPr>
          <w:rFonts w:hint="eastAsia" w:ascii="Times New Roman" w:hAnsi="Times New Roman"/>
          <w:color w:val="auto"/>
          <w:sz w:val="24"/>
          <w:szCs w:val="24"/>
          <w:highlight w:val="none"/>
        </w:rPr>
        <w:t>十、其他</w:t>
      </w:r>
      <w:bookmarkEnd w:id="1277"/>
      <w:bookmarkEnd w:id="1278"/>
      <w:bookmarkEnd w:id="1279"/>
      <w:bookmarkEnd w:id="1280"/>
      <w:bookmarkEnd w:id="1281"/>
      <w:bookmarkEnd w:id="1282"/>
      <w:bookmarkEnd w:id="1283"/>
      <w:bookmarkEnd w:id="1284"/>
      <w:r>
        <w:rPr>
          <w:rFonts w:hint="eastAsia" w:ascii="Times New Roman" w:hAnsi="Times New Roman"/>
          <w:color w:val="auto"/>
          <w:sz w:val="24"/>
          <w:szCs w:val="24"/>
          <w:highlight w:val="none"/>
        </w:rPr>
        <w:t>材料</w:t>
      </w:r>
    </w:p>
    <w:p w14:paraId="65A60F70">
      <w:pPr>
        <w:tabs>
          <w:tab w:val="left" w:pos="5760"/>
        </w:tabs>
        <w:autoSpaceDE w:val="0"/>
        <w:autoSpaceDN w:val="0"/>
        <w:adjustRightInd w:val="0"/>
        <w:spacing w:beforeLines="0" w:afterLines="0" w:line="300" w:lineRule="exact"/>
        <w:ind w:right="11" w:firstLine="480" w:firstLineChars="200"/>
        <w:jc w:val="center"/>
        <w:rPr>
          <w:rFonts w:hint="eastAsia" w:ascii="Times New Roman"/>
          <w:color w:val="auto"/>
          <w:sz w:val="24"/>
          <w:szCs w:val="22"/>
          <w:highlight w:val="none"/>
        </w:rPr>
      </w:pPr>
      <w:r>
        <w:rPr>
          <w:rFonts w:hint="eastAsia" w:ascii="Times New Roman"/>
          <w:color w:val="auto"/>
          <w:sz w:val="24"/>
          <w:szCs w:val="22"/>
          <w:highlight w:val="none"/>
        </w:rPr>
        <w:t>投标人对照评标办法要求，自行提供其他相关材料（如有）</w:t>
      </w:r>
    </w:p>
    <w:p w14:paraId="180446A5">
      <w:pPr>
        <w:tabs>
          <w:tab w:val="left" w:pos="5760"/>
        </w:tabs>
        <w:autoSpaceDE w:val="0"/>
        <w:autoSpaceDN w:val="0"/>
        <w:adjustRightInd w:val="0"/>
        <w:spacing w:beforeLines="0" w:afterLines="0" w:line="300" w:lineRule="exact"/>
        <w:ind w:right="11"/>
        <w:rPr>
          <w:rFonts w:hint="eastAsia" w:ascii="Times New Roman" w:eastAsia="Times New Roman"/>
          <w:color w:val="auto"/>
          <w:sz w:val="24"/>
          <w:szCs w:val="22"/>
          <w:highlight w:val="none"/>
        </w:rPr>
      </w:pPr>
    </w:p>
    <w:p w14:paraId="09AE74F9">
      <w:pPr>
        <w:tabs>
          <w:tab w:val="left" w:pos="5760"/>
        </w:tabs>
        <w:autoSpaceDE w:val="0"/>
        <w:autoSpaceDN w:val="0"/>
        <w:adjustRightInd w:val="0"/>
        <w:spacing w:beforeLines="0" w:afterLines="0" w:line="300" w:lineRule="exact"/>
        <w:ind w:right="11"/>
        <w:rPr>
          <w:rFonts w:hint="eastAsia" w:ascii="Times New Roman" w:eastAsia="Times New Roman"/>
          <w:color w:val="auto"/>
          <w:sz w:val="24"/>
          <w:szCs w:val="22"/>
          <w:highlight w:val="none"/>
        </w:rPr>
      </w:pPr>
    </w:p>
    <w:p w14:paraId="63EEDA5A">
      <w:pPr>
        <w:tabs>
          <w:tab w:val="left" w:pos="5760"/>
        </w:tabs>
        <w:autoSpaceDE w:val="0"/>
        <w:autoSpaceDN w:val="0"/>
        <w:adjustRightInd w:val="0"/>
        <w:spacing w:beforeLines="0" w:afterLines="0" w:line="300" w:lineRule="exact"/>
        <w:ind w:right="11"/>
        <w:rPr>
          <w:rFonts w:hint="eastAsia" w:ascii="Times New Roman" w:eastAsia="Times New Roman"/>
          <w:color w:val="auto"/>
          <w:sz w:val="24"/>
          <w:szCs w:val="22"/>
          <w:highlight w:val="none"/>
        </w:rPr>
      </w:pPr>
    </w:p>
    <w:p w14:paraId="5E00E502">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5BC581C6">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58E29CD4">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00D57232">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4A73F481">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2AAA8770">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08310DF6">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42548DB6">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295B8E32">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64C1CA50">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6AE628B0">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33177417">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42D6B966">
      <w:pPr>
        <w:tabs>
          <w:tab w:val="left" w:pos="5760"/>
        </w:tabs>
        <w:autoSpaceDE w:val="0"/>
        <w:autoSpaceDN w:val="0"/>
        <w:adjustRightInd w:val="0"/>
        <w:spacing w:beforeLines="0" w:afterLines="0" w:line="300" w:lineRule="exact"/>
        <w:ind w:right="11"/>
        <w:rPr>
          <w:rFonts w:hint="eastAsia" w:ascii="Times New Roman"/>
          <w:color w:val="auto"/>
          <w:sz w:val="24"/>
          <w:szCs w:val="22"/>
          <w:highlight w:val="none"/>
        </w:rPr>
      </w:pPr>
    </w:p>
    <w:p w14:paraId="581BF119">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28AD57F5">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0DAB6227">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40A5754B">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76670148">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59111C1F">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3D56444F">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3B2C5989">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798EB3DF">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30C8E707">
      <w:pPr>
        <w:tabs>
          <w:tab w:val="left" w:pos="5760"/>
        </w:tabs>
        <w:autoSpaceDE w:val="0"/>
        <w:autoSpaceDN w:val="0"/>
        <w:adjustRightInd w:val="0"/>
        <w:spacing w:beforeLines="0" w:afterLines="0" w:line="300" w:lineRule="exact"/>
        <w:ind w:right="11"/>
        <w:rPr>
          <w:rFonts w:hint="eastAsia" w:ascii="Times New Roman"/>
          <w:b/>
          <w:color w:val="auto"/>
          <w:sz w:val="28"/>
          <w:szCs w:val="22"/>
          <w:highlight w:val="none"/>
        </w:rPr>
      </w:pPr>
    </w:p>
    <w:p w14:paraId="1B70F2F9">
      <w:pPr>
        <w:spacing w:beforeLines="0" w:afterLines="0" w:line="510" w:lineRule="exact"/>
        <w:jc w:val="left"/>
        <w:rPr>
          <w:rFonts w:hint="eastAsia" w:ascii="Times New Roman"/>
          <w:color w:val="auto"/>
          <w:sz w:val="24"/>
          <w:szCs w:val="22"/>
          <w:highlight w:val="none"/>
        </w:rPr>
      </w:pPr>
    </w:p>
    <w:p w14:paraId="4A7EA133">
      <w:pPr>
        <w:spacing w:beforeLines="0" w:afterLines="0" w:line="510" w:lineRule="exact"/>
        <w:jc w:val="left"/>
        <w:rPr>
          <w:rFonts w:hint="eastAsia" w:ascii="Times New Roman"/>
          <w:color w:val="auto"/>
          <w:sz w:val="24"/>
          <w:szCs w:val="22"/>
          <w:highlight w:val="none"/>
        </w:rPr>
      </w:pPr>
    </w:p>
    <w:p w14:paraId="2470F551">
      <w:pPr>
        <w:spacing w:beforeLines="0" w:afterLines="0" w:line="510" w:lineRule="exact"/>
        <w:jc w:val="left"/>
        <w:rPr>
          <w:rFonts w:hint="eastAsia" w:ascii="Times New Roman"/>
          <w:color w:val="auto"/>
          <w:sz w:val="24"/>
          <w:szCs w:val="22"/>
          <w:highlight w:val="none"/>
        </w:rPr>
      </w:pPr>
    </w:p>
    <w:p w14:paraId="2D76E8B5">
      <w:pPr>
        <w:spacing w:beforeLines="0" w:afterLines="0" w:line="510" w:lineRule="exact"/>
        <w:jc w:val="left"/>
        <w:rPr>
          <w:rFonts w:hint="eastAsia" w:ascii="Times New Roman"/>
          <w:color w:val="auto"/>
          <w:sz w:val="24"/>
          <w:szCs w:val="22"/>
          <w:highlight w:val="none"/>
        </w:rPr>
      </w:pPr>
    </w:p>
    <w:p w14:paraId="06D44A40">
      <w:pPr>
        <w:spacing w:beforeLines="0" w:afterLines="0" w:line="360" w:lineRule="auto"/>
        <w:ind w:firstLine="480" w:firstLineChars="200"/>
        <w:jc w:val="left"/>
        <w:rPr>
          <w:rFonts w:hint="eastAsia" w:ascii="Times New Roman" w:eastAsia="Times New Roman"/>
          <w:color w:val="auto"/>
          <w:sz w:val="24"/>
          <w:szCs w:val="22"/>
          <w:highlight w:val="none"/>
        </w:rPr>
      </w:pPr>
      <w:r>
        <w:rPr>
          <w:rFonts w:hint="eastAsia" w:ascii="Times New Roman"/>
          <w:color w:val="auto"/>
          <w:sz w:val="24"/>
          <w:szCs w:val="22"/>
          <w:highlight w:val="none"/>
        </w:rPr>
        <w:t>注：对照评标办法要求，由投标人自行提供相关证明或资料。如证明或声明或资料与实际不符，将被取消投标或中标资格，其投标保证金按照规定予以处理。</w:t>
      </w:r>
    </w:p>
    <w:p w14:paraId="39B9F5D1">
      <w:pPr>
        <w:widowControl/>
        <w:spacing w:beforeLines="0" w:afterLines="0"/>
        <w:jc w:val="center"/>
        <w:rPr>
          <w:rFonts w:hint="eastAsia"/>
          <w:color w:val="auto"/>
          <w:sz w:val="24"/>
          <w:szCs w:val="22"/>
          <w:highlight w:val="none"/>
        </w:rPr>
      </w:pPr>
      <w:r>
        <w:rPr>
          <w:rFonts w:hint="eastAsia" w:ascii="Times New Roman"/>
          <w:color w:val="auto"/>
          <w:sz w:val="24"/>
          <w:szCs w:val="24"/>
          <w:highlight w:val="none"/>
        </w:rPr>
        <w:br w:type="page"/>
      </w:r>
      <w:r>
        <w:rPr>
          <w:rFonts w:hint="eastAsia" w:ascii="Arial" w:hAnsi="Arial" w:cs="Calibri"/>
          <w:b/>
          <w:color w:val="auto"/>
          <w:kern w:val="2"/>
          <w:sz w:val="32"/>
          <w:szCs w:val="32"/>
          <w:highlight w:val="none"/>
        </w:rPr>
        <w:t>十一、企业类型证明材料（如要求）</w:t>
      </w:r>
    </w:p>
    <w:p w14:paraId="092251FE">
      <w:pPr>
        <w:widowControl/>
        <w:spacing w:beforeLines="0" w:afterLines="0"/>
        <w:jc w:val="center"/>
        <w:rPr>
          <w:rFonts w:hint="eastAsia" w:hAnsi="宋体"/>
          <w:b/>
          <w:color w:val="auto"/>
          <w:sz w:val="24"/>
          <w:szCs w:val="24"/>
          <w:highlight w:val="none"/>
        </w:rPr>
      </w:pPr>
    </w:p>
    <w:p w14:paraId="166780C9">
      <w:pPr>
        <w:widowControl/>
        <w:spacing w:beforeLines="0" w:afterLines="0"/>
        <w:jc w:val="center"/>
        <w:rPr>
          <w:rFonts w:hint="eastAsia" w:hAnsi="宋体"/>
          <w:b/>
          <w:color w:val="auto"/>
          <w:sz w:val="24"/>
          <w:szCs w:val="24"/>
          <w:highlight w:val="none"/>
        </w:rPr>
      </w:pPr>
    </w:p>
    <w:p w14:paraId="3CC9B2C7">
      <w:pPr>
        <w:widowControl/>
        <w:spacing w:beforeLines="0" w:afterLines="0"/>
        <w:jc w:val="center"/>
        <w:rPr>
          <w:rFonts w:hint="eastAsia" w:hAnsi="宋体"/>
          <w:color w:val="auto"/>
          <w:sz w:val="24"/>
          <w:szCs w:val="24"/>
          <w:highlight w:val="none"/>
        </w:rPr>
      </w:pPr>
      <w:r>
        <w:rPr>
          <w:rFonts w:hint="eastAsia" w:hAnsi="宋体"/>
          <w:b/>
          <w:color w:val="auto"/>
          <w:sz w:val="24"/>
          <w:szCs w:val="24"/>
          <w:highlight w:val="none"/>
        </w:rPr>
        <w:t>（一）中小企业声明函</w:t>
      </w:r>
    </w:p>
    <w:p w14:paraId="27EA0CC8">
      <w:pPr>
        <w:pStyle w:val="9"/>
        <w:spacing w:beforeLines="0" w:afterLines="0"/>
        <w:rPr>
          <w:rFonts w:hint="eastAsia"/>
          <w:color w:val="auto"/>
          <w:sz w:val="28"/>
          <w:szCs w:val="32"/>
          <w:highlight w:val="none"/>
        </w:rPr>
      </w:pPr>
    </w:p>
    <w:p w14:paraId="68145D55">
      <w:pPr>
        <w:spacing w:beforeLines="0" w:afterLines="0" w:line="360" w:lineRule="auto"/>
        <w:ind w:firstLine="435"/>
        <w:rPr>
          <w:rFonts w:hint="eastAsia" w:cs="宋体"/>
          <w:color w:val="auto"/>
          <w:sz w:val="24"/>
          <w:szCs w:val="24"/>
          <w:highlight w:val="none"/>
          <w:lang w:val="zh-CN"/>
        </w:rPr>
      </w:pPr>
      <w:r>
        <w:rPr>
          <w:rFonts w:hint="eastAsia" w:cs="宋体"/>
          <w:color w:val="auto"/>
          <w:sz w:val="24"/>
          <w:szCs w:val="24"/>
          <w:highlight w:val="none"/>
          <w:lang w:val="zh-CN"/>
        </w:rPr>
        <w:t>本公司（联合体）郑重声明，根据《政府采购促进中小企业发展管理办法》（财库﹝2020﹞46号）的规定，本公司（联合体）参加</w:t>
      </w:r>
      <w:r>
        <w:rPr>
          <w:rFonts w:hint="eastAsia" w:hAnsi="宋体"/>
          <w:color w:val="auto"/>
          <w:sz w:val="24"/>
          <w:szCs w:val="24"/>
          <w:highlight w:val="none"/>
          <w:u w:val="single"/>
          <w:lang w:val="zh-CN"/>
        </w:rPr>
        <w:t>（</w:t>
      </w:r>
      <w:r>
        <w:rPr>
          <w:rFonts w:hint="eastAsia" w:hAnsi="宋体"/>
          <w:color w:val="auto"/>
          <w:sz w:val="24"/>
          <w:szCs w:val="24"/>
          <w:highlight w:val="none"/>
          <w:u w:val="single"/>
        </w:rPr>
        <w:t xml:space="preserve"> </w:t>
      </w:r>
      <w:r>
        <w:rPr>
          <w:rFonts w:hint="eastAsia" w:cs="宋体"/>
          <w:color w:val="auto"/>
          <w:sz w:val="24"/>
          <w:szCs w:val="24"/>
          <w:highlight w:val="none"/>
          <w:u w:val="single"/>
        </w:rPr>
        <w:t xml:space="preserve">招标人 </w:t>
      </w:r>
      <w:r>
        <w:rPr>
          <w:rFonts w:hint="eastAsia" w:hAnsi="宋体"/>
          <w:color w:val="auto"/>
          <w:sz w:val="24"/>
          <w:szCs w:val="24"/>
          <w:highlight w:val="none"/>
          <w:u w:val="single"/>
          <w:lang w:val="zh-CN"/>
        </w:rPr>
        <w:t>）</w:t>
      </w:r>
      <w:r>
        <w:rPr>
          <w:rFonts w:hint="eastAsia" w:hAnsi="宋体"/>
          <w:color w:val="auto"/>
          <w:sz w:val="24"/>
          <w:szCs w:val="24"/>
          <w:highlight w:val="none"/>
          <w:lang w:val="zh-CN"/>
        </w:rPr>
        <w:t>的</w:t>
      </w:r>
      <w:r>
        <w:rPr>
          <w:rFonts w:hint="eastAsia" w:hAnsi="宋体"/>
          <w:color w:val="auto"/>
          <w:sz w:val="24"/>
          <w:szCs w:val="24"/>
          <w:highlight w:val="none"/>
          <w:u w:val="single"/>
          <w:lang w:val="zh-CN"/>
        </w:rPr>
        <w:t>（招标项目名称）</w:t>
      </w:r>
      <w:r>
        <w:rPr>
          <w:rFonts w:hint="eastAsia" w:cs="宋体"/>
          <w:color w:val="auto"/>
          <w:sz w:val="24"/>
          <w:szCs w:val="24"/>
          <w:highlight w:val="none"/>
          <w:u w:val="single"/>
        </w:rPr>
        <w:t xml:space="preserve"> </w:t>
      </w:r>
      <w:r>
        <w:rPr>
          <w:rFonts w:hint="eastAsia" w:cs="宋体"/>
          <w:color w:val="auto"/>
          <w:sz w:val="24"/>
          <w:szCs w:val="24"/>
          <w:highlight w:val="none"/>
          <w:lang w:val="zh-CN"/>
        </w:rPr>
        <w:t xml:space="preserve">采购活动，工程的施工单位全部为符合政策要求的中小企业。相关企业（含联合体中的中小企业、签订分包意向协议的中小企业）的具体情况如下： </w:t>
      </w:r>
    </w:p>
    <w:p w14:paraId="79B567BE">
      <w:pPr>
        <w:numPr>
          <w:ilvl w:val="0"/>
          <w:numId w:val="8"/>
        </w:numPr>
        <w:spacing w:beforeLines="0" w:afterLines="0" w:line="360" w:lineRule="auto"/>
        <w:ind w:firstLine="435"/>
        <w:rPr>
          <w:rFonts w:hint="eastAsia" w:cs="宋体"/>
          <w:color w:val="auto"/>
          <w:sz w:val="24"/>
          <w:szCs w:val="24"/>
          <w:highlight w:val="none"/>
          <w:lang w:val="zh-CN"/>
        </w:rPr>
      </w:pPr>
      <w:r>
        <w:rPr>
          <w:rFonts w:hint="eastAsia" w:cs="宋体"/>
          <w:color w:val="auto"/>
          <w:sz w:val="24"/>
          <w:szCs w:val="24"/>
          <w:highlight w:val="none"/>
          <w:u w:val="single"/>
          <w:lang w:val="zh-CN"/>
        </w:rPr>
        <w:t xml:space="preserve">（招标项目名称） </w:t>
      </w:r>
      <w:r>
        <w:rPr>
          <w:rFonts w:hint="eastAsia" w:cs="宋体"/>
          <w:color w:val="auto"/>
          <w:sz w:val="24"/>
          <w:szCs w:val="24"/>
          <w:highlight w:val="none"/>
          <w:lang w:val="zh-CN"/>
        </w:rPr>
        <w:t>，属于</w:t>
      </w:r>
      <w:r>
        <w:rPr>
          <w:rFonts w:hint="eastAsia" w:cs="宋体"/>
          <w:color w:val="auto"/>
          <w:sz w:val="24"/>
          <w:szCs w:val="24"/>
          <w:highlight w:val="none"/>
          <w:u w:val="single"/>
        </w:rPr>
        <w:t xml:space="preserve">  建筑  </w:t>
      </w:r>
      <w:r>
        <w:rPr>
          <w:rFonts w:hint="eastAsia" w:cs="宋体"/>
          <w:color w:val="auto"/>
          <w:sz w:val="24"/>
          <w:szCs w:val="24"/>
          <w:highlight w:val="none"/>
          <w:lang w:val="zh-CN"/>
        </w:rPr>
        <w:t>行业；承建企业为</w:t>
      </w:r>
      <w:r>
        <w:rPr>
          <w:rFonts w:hint="eastAsia" w:cs="宋体"/>
          <w:color w:val="auto"/>
          <w:sz w:val="24"/>
          <w:szCs w:val="24"/>
          <w:highlight w:val="none"/>
          <w:u w:val="single"/>
          <w:lang w:val="zh-CN"/>
        </w:rPr>
        <w:t>（企业名称）</w:t>
      </w:r>
      <w:r>
        <w:rPr>
          <w:rFonts w:hint="eastAsia" w:cs="宋体"/>
          <w:color w:val="auto"/>
          <w:sz w:val="24"/>
          <w:szCs w:val="24"/>
          <w:highlight w:val="none"/>
          <w:lang w:val="zh-CN"/>
        </w:rPr>
        <w:t>，从业人员</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人，营业收入为</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万元，资产总额为</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万元，属于</w:t>
      </w:r>
      <w:r>
        <w:rPr>
          <w:rFonts w:hint="eastAsia" w:cs="宋体"/>
          <w:color w:val="auto"/>
          <w:sz w:val="24"/>
          <w:szCs w:val="24"/>
          <w:highlight w:val="none"/>
          <w:u w:val="single"/>
        </w:rPr>
        <w:t xml:space="preserve"> </w:t>
      </w:r>
      <w:r>
        <w:rPr>
          <w:rFonts w:hint="eastAsia" w:cs="宋体"/>
          <w:color w:val="auto"/>
          <w:kern w:val="2"/>
          <w:sz w:val="24"/>
          <w:szCs w:val="24"/>
          <w:highlight w:val="none"/>
          <w:u w:val="single"/>
        </w:rPr>
        <w:sym w:font="Wingdings" w:char="00A8"/>
      </w:r>
      <w:r>
        <w:rPr>
          <w:rFonts w:hint="eastAsia" w:cs="宋体"/>
          <w:color w:val="auto"/>
          <w:kern w:val="2"/>
          <w:sz w:val="24"/>
          <w:szCs w:val="24"/>
          <w:highlight w:val="none"/>
          <w:u w:val="single"/>
          <w:lang w:val="zh-CN"/>
        </w:rPr>
        <w:t>中型企业、</w:t>
      </w:r>
      <w:r>
        <w:rPr>
          <w:rFonts w:hint="eastAsia" w:cs="宋体"/>
          <w:color w:val="auto"/>
          <w:kern w:val="2"/>
          <w:sz w:val="24"/>
          <w:szCs w:val="24"/>
          <w:highlight w:val="none"/>
          <w:u w:val="single"/>
          <w:lang w:val="zh-CN"/>
        </w:rPr>
        <w:sym w:font="Wingdings" w:char="00A8"/>
      </w:r>
      <w:r>
        <w:rPr>
          <w:rFonts w:hint="eastAsia" w:cs="宋体"/>
          <w:color w:val="auto"/>
          <w:kern w:val="2"/>
          <w:sz w:val="24"/>
          <w:szCs w:val="24"/>
          <w:highlight w:val="none"/>
          <w:u w:val="single"/>
          <w:lang w:val="zh-CN"/>
        </w:rPr>
        <w:t>小型企业、</w:t>
      </w:r>
      <w:r>
        <w:rPr>
          <w:rFonts w:hint="eastAsia" w:cs="宋体"/>
          <w:color w:val="auto"/>
          <w:kern w:val="2"/>
          <w:sz w:val="24"/>
          <w:szCs w:val="24"/>
          <w:highlight w:val="none"/>
          <w:u w:val="single"/>
          <w:lang w:val="zh-CN"/>
        </w:rPr>
        <w:sym w:font="Wingdings" w:char="00A8"/>
      </w:r>
      <w:r>
        <w:rPr>
          <w:rFonts w:hint="eastAsia" w:cs="宋体"/>
          <w:color w:val="auto"/>
          <w:kern w:val="2"/>
          <w:sz w:val="24"/>
          <w:szCs w:val="24"/>
          <w:highlight w:val="none"/>
          <w:u w:val="single"/>
          <w:lang w:val="zh-CN"/>
        </w:rPr>
        <w:t>微型企业（</w:t>
      </w:r>
      <w:r>
        <w:rPr>
          <w:rFonts w:hint="eastAsia" w:cs="宋体"/>
          <w:color w:val="auto"/>
          <w:kern w:val="2"/>
          <w:sz w:val="24"/>
          <w:szCs w:val="24"/>
          <w:highlight w:val="none"/>
          <w:u w:val="single"/>
        </w:rPr>
        <w:t>请根据公司实际情况勾选</w:t>
      </w:r>
      <w:r>
        <w:rPr>
          <w:rFonts w:hint="eastAsia" w:cs="宋体"/>
          <w:color w:val="auto"/>
          <w:kern w:val="2"/>
          <w:sz w:val="24"/>
          <w:szCs w:val="24"/>
          <w:highlight w:val="none"/>
          <w:u w:val="single"/>
          <w:lang w:val="zh-CN"/>
        </w:rPr>
        <w:t>）</w:t>
      </w:r>
      <w:r>
        <w:rPr>
          <w:rFonts w:hint="eastAsia" w:cs="宋体"/>
          <w:color w:val="auto"/>
          <w:sz w:val="24"/>
          <w:szCs w:val="24"/>
          <w:highlight w:val="none"/>
          <w:lang w:val="zh-CN"/>
        </w:rPr>
        <w:t xml:space="preserve">； </w:t>
      </w:r>
    </w:p>
    <w:p w14:paraId="31AC668A">
      <w:pPr>
        <w:spacing w:beforeLines="0" w:afterLines="0" w:line="360" w:lineRule="auto"/>
        <w:ind w:firstLine="435"/>
        <w:rPr>
          <w:rFonts w:hint="eastAsia" w:cs="宋体"/>
          <w:color w:val="auto"/>
          <w:sz w:val="24"/>
          <w:szCs w:val="24"/>
          <w:highlight w:val="none"/>
          <w:u w:val="single"/>
          <w:lang w:val="zh-CN"/>
        </w:rPr>
      </w:pPr>
      <w:r>
        <w:rPr>
          <w:rFonts w:hint="eastAsia" w:cs="宋体"/>
          <w:color w:val="auto"/>
          <w:sz w:val="24"/>
          <w:szCs w:val="24"/>
          <w:highlight w:val="none"/>
          <w:lang w:val="zh-CN"/>
        </w:rPr>
        <w:t>2.</w:t>
      </w:r>
      <w:r>
        <w:rPr>
          <w:rFonts w:hint="eastAsia" w:cs="宋体"/>
          <w:color w:val="auto"/>
          <w:sz w:val="24"/>
          <w:szCs w:val="24"/>
          <w:highlight w:val="none"/>
          <w:u w:val="single"/>
          <w:lang w:val="zh-CN"/>
        </w:rPr>
        <w:t xml:space="preserve"> （招标项目名称）</w:t>
      </w:r>
      <w:r>
        <w:rPr>
          <w:rFonts w:hint="eastAsia" w:cs="宋体"/>
          <w:color w:val="auto"/>
          <w:sz w:val="24"/>
          <w:szCs w:val="24"/>
          <w:highlight w:val="none"/>
          <w:u w:val="single"/>
        </w:rPr>
        <w:t xml:space="preserve"> </w:t>
      </w:r>
      <w:r>
        <w:rPr>
          <w:rFonts w:hint="eastAsia" w:cs="宋体"/>
          <w:color w:val="auto"/>
          <w:sz w:val="24"/>
          <w:szCs w:val="24"/>
          <w:highlight w:val="none"/>
          <w:lang w:val="zh-CN"/>
        </w:rPr>
        <w:t>，属于</w:t>
      </w:r>
      <w:r>
        <w:rPr>
          <w:rFonts w:hint="eastAsia" w:cs="宋体"/>
          <w:color w:val="auto"/>
          <w:sz w:val="24"/>
          <w:szCs w:val="24"/>
          <w:highlight w:val="none"/>
          <w:u w:val="single"/>
        </w:rPr>
        <w:t xml:space="preserve">  建筑  </w:t>
      </w:r>
      <w:r>
        <w:rPr>
          <w:rFonts w:hint="eastAsia" w:cs="宋体"/>
          <w:color w:val="auto"/>
          <w:sz w:val="24"/>
          <w:szCs w:val="24"/>
          <w:highlight w:val="none"/>
          <w:lang w:val="zh-CN"/>
        </w:rPr>
        <w:t>行业；承建企业为</w:t>
      </w:r>
      <w:r>
        <w:rPr>
          <w:rFonts w:hint="eastAsia" w:cs="宋体"/>
          <w:color w:val="auto"/>
          <w:sz w:val="24"/>
          <w:szCs w:val="24"/>
          <w:highlight w:val="none"/>
          <w:u w:val="single"/>
          <w:lang w:val="zh-CN"/>
        </w:rPr>
        <w:t>（企业名称）</w:t>
      </w:r>
      <w:r>
        <w:rPr>
          <w:rFonts w:hint="eastAsia" w:cs="宋体"/>
          <w:color w:val="auto"/>
          <w:sz w:val="24"/>
          <w:szCs w:val="24"/>
          <w:highlight w:val="none"/>
          <w:lang w:val="zh-CN"/>
        </w:rPr>
        <w:t>，从业人员</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人，营业收入为</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万元，资产总额为</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万元，属于</w:t>
      </w:r>
      <w:r>
        <w:rPr>
          <w:rFonts w:hint="eastAsia" w:cs="宋体"/>
          <w:color w:val="auto"/>
          <w:sz w:val="24"/>
          <w:szCs w:val="24"/>
          <w:highlight w:val="none"/>
          <w:u w:val="single"/>
        </w:rPr>
        <w:t xml:space="preserve"> </w:t>
      </w:r>
      <w:r>
        <w:rPr>
          <w:rFonts w:hint="eastAsia" w:cs="宋体"/>
          <w:color w:val="auto"/>
          <w:sz w:val="24"/>
          <w:szCs w:val="24"/>
          <w:highlight w:val="none"/>
          <w:u w:val="single"/>
        </w:rPr>
        <w:sym w:font="Wingdings" w:char="00A8"/>
      </w:r>
      <w:r>
        <w:rPr>
          <w:rFonts w:hint="eastAsia" w:cs="宋体"/>
          <w:color w:val="auto"/>
          <w:sz w:val="24"/>
          <w:szCs w:val="24"/>
          <w:highlight w:val="none"/>
          <w:u w:val="single"/>
          <w:lang w:val="zh-CN"/>
        </w:rPr>
        <w:t>中型企业、</w:t>
      </w:r>
      <w:r>
        <w:rPr>
          <w:rFonts w:hint="eastAsia" w:cs="宋体"/>
          <w:color w:val="auto"/>
          <w:sz w:val="24"/>
          <w:szCs w:val="24"/>
          <w:highlight w:val="none"/>
          <w:u w:val="single"/>
          <w:lang w:val="zh-CN"/>
        </w:rPr>
        <w:sym w:font="Wingdings" w:char="00A8"/>
      </w:r>
      <w:r>
        <w:rPr>
          <w:rFonts w:hint="eastAsia" w:cs="宋体"/>
          <w:color w:val="auto"/>
          <w:sz w:val="24"/>
          <w:szCs w:val="24"/>
          <w:highlight w:val="none"/>
          <w:u w:val="single"/>
          <w:lang w:val="zh-CN"/>
        </w:rPr>
        <w:t>小型企业、</w:t>
      </w:r>
      <w:r>
        <w:rPr>
          <w:rFonts w:hint="eastAsia" w:cs="宋体"/>
          <w:color w:val="auto"/>
          <w:sz w:val="24"/>
          <w:szCs w:val="24"/>
          <w:highlight w:val="none"/>
          <w:u w:val="single"/>
          <w:lang w:val="zh-CN"/>
        </w:rPr>
        <w:sym w:font="Wingdings" w:char="00A8"/>
      </w:r>
      <w:r>
        <w:rPr>
          <w:rFonts w:hint="eastAsia" w:cs="宋体"/>
          <w:color w:val="auto"/>
          <w:sz w:val="24"/>
          <w:szCs w:val="24"/>
          <w:highlight w:val="none"/>
          <w:u w:val="single"/>
          <w:lang w:val="zh-CN"/>
        </w:rPr>
        <w:t>微型企业（</w:t>
      </w:r>
      <w:r>
        <w:rPr>
          <w:rFonts w:hint="eastAsia" w:cs="宋体"/>
          <w:color w:val="auto"/>
          <w:sz w:val="24"/>
          <w:szCs w:val="24"/>
          <w:highlight w:val="none"/>
          <w:u w:val="single"/>
        </w:rPr>
        <w:t>请根据公司实际情况勾选</w:t>
      </w:r>
      <w:r>
        <w:rPr>
          <w:rFonts w:hint="eastAsia" w:cs="宋体"/>
          <w:color w:val="auto"/>
          <w:sz w:val="24"/>
          <w:szCs w:val="24"/>
          <w:highlight w:val="none"/>
          <w:u w:val="single"/>
          <w:lang w:val="zh-CN"/>
        </w:rPr>
        <w:t>）</w:t>
      </w:r>
      <w:r>
        <w:rPr>
          <w:rFonts w:hint="eastAsia" w:cs="宋体"/>
          <w:color w:val="auto"/>
          <w:sz w:val="24"/>
          <w:szCs w:val="24"/>
          <w:highlight w:val="none"/>
          <w:lang w:val="zh-CN"/>
        </w:rPr>
        <w:t>；</w:t>
      </w:r>
    </w:p>
    <w:p w14:paraId="6D923AAC">
      <w:pPr>
        <w:spacing w:beforeLines="0" w:afterLines="0" w:line="360" w:lineRule="auto"/>
        <w:ind w:firstLine="435"/>
        <w:rPr>
          <w:rFonts w:hint="eastAsia" w:cs="宋体"/>
          <w:color w:val="auto"/>
          <w:sz w:val="24"/>
          <w:szCs w:val="24"/>
          <w:highlight w:val="none"/>
          <w:lang w:val="zh-CN"/>
        </w:rPr>
      </w:pPr>
      <w:r>
        <w:rPr>
          <w:rFonts w:hint="eastAsia" w:cs="宋体"/>
          <w:color w:val="auto"/>
          <w:sz w:val="24"/>
          <w:szCs w:val="24"/>
          <w:highlight w:val="none"/>
          <w:lang w:val="zh-CN"/>
        </w:rPr>
        <w:t>……</w:t>
      </w:r>
    </w:p>
    <w:p w14:paraId="0E955BE1">
      <w:pPr>
        <w:spacing w:beforeLines="0" w:afterLines="0" w:line="360" w:lineRule="auto"/>
        <w:ind w:firstLine="435"/>
        <w:rPr>
          <w:rFonts w:hint="eastAsia" w:cs="宋体"/>
          <w:color w:val="auto"/>
          <w:sz w:val="24"/>
          <w:szCs w:val="24"/>
          <w:highlight w:val="none"/>
          <w:lang w:val="zh-CN"/>
        </w:rPr>
      </w:pPr>
      <w:r>
        <w:rPr>
          <w:rFonts w:hint="eastAsia" w:cs="宋体"/>
          <w:color w:val="auto"/>
          <w:sz w:val="24"/>
          <w:szCs w:val="24"/>
          <w:highlight w:val="none"/>
          <w:lang w:val="zh-CN"/>
        </w:rPr>
        <w:t>以上企业，不属于大企业的分支机构，不存在控股股东为大企业的情形，也不存在与大企业的负责人为同一人的情形。</w:t>
      </w:r>
    </w:p>
    <w:p w14:paraId="16939DB5">
      <w:pPr>
        <w:spacing w:beforeLines="0" w:afterLines="0" w:line="360" w:lineRule="auto"/>
        <w:ind w:firstLine="435"/>
        <w:rPr>
          <w:rFonts w:hint="eastAsia" w:cs="宋体"/>
          <w:color w:val="auto"/>
          <w:sz w:val="24"/>
          <w:szCs w:val="24"/>
          <w:highlight w:val="none"/>
          <w:lang w:val="zh-CN"/>
        </w:rPr>
      </w:pPr>
      <w:r>
        <w:rPr>
          <w:rFonts w:hint="eastAsia" w:cs="宋体"/>
          <w:color w:val="auto"/>
          <w:sz w:val="24"/>
          <w:szCs w:val="24"/>
          <w:highlight w:val="none"/>
          <w:lang w:val="zh-CN"/>
        </w:rPr>
        <w:t xml:space="preserve">本企业对上述声明内容的真实性负责。如有虚假，将依法承担相应责任。 </w:t>
      </w:r>
    </w:p>
    <w:p w14:paraId="6D9B209F">
      <w:pPr>
        <w:spacing w:beforeLines="0" w:afterLines="0" w:line="360" w:lineRule="auto"/>
        <w:ind w:firstLine="435"/>
        <w:rPr>
          <w:rFonts w:hint="eastAsia" w:hAnsi="宋体" w:cs="宋体"/>
          <w:color w:val="auto"/>
          <w:sz w:val="24"/>
          <w:szCs w:val="24"/>
          <w:highlight w:val="none"/>
        </w:rPr>
      </w:pPr>
    </w:p>
    <w:p w14:paraId="6C8CFBB8">
      <w:pPr>
        <w:spacing w:beforeLines="0" w:afterLines="0" w:line="360" w:lineRule="auto"/>
        <w:ind w:firstLine="435"/>
        <w:rPr>
          <w:rFonts w:hint="eastAsia" w:hAnsi="宋体" w:cs="宋体"/>
          <w:color w:val="auto"/>
          <w:sz w:val="24"/>
          <w:szCs w:val="24"/>
          <w:highlight w:val="none"/>
        </w:rPr>
      </w:pPr>
    </w:p>
    <w:p w14:paraId="04D167A4">
      <w:pPr>
        <w:spacing w:beforeLines="0" w:afterLines="0" w:line="360" w:lineRule="auto"/>
        <w:ind w:firstLine="4228" w:firstLineChars="1762"/>
        <w:rPr>
          <w:rFonts w:hint="eastAsia" w:hAnsi="宋体" w:cs="宋体"/>
          <w:color w:val="auto"/>
          <w:sz w:val="24"/>
          <w:szCs w:val="24"/>
          <w:highlight w:val="none"/>
          <w:u w:val="single"/>
        </w:rPr>
      </w:pPr>
      <w:r>
        <w:rPr>
          <w:rFonts w:hint="eastAsia" w:hAnsi="宋体" w:cs="宋体"/>
          <w:color w:val="auto"/>
          <w:sz w:val="24"/>
          <w:szCs w:val="24"/>
          <w:highlight w:val="none"/>
        </w:rPr>
        <w:t>供应商电子签章：</w:t>
      </w:r>
      <w:r>
        <w:rPr>
          <w:rFonts w:hint="eastAsia" w:hAnsi="宋体" w:cs="宋体"/>
          <w:color w:val="auto"/>
          <w:sz w:val="24"/>
          <w:szCs w:val="24"/>
          <w:highlight w:val="none"/>
          <w:u w:val="single"/>
        </w:rPr>
        <w:t xml:space="preserve">             </w:t>
      </w:r>
    </w:p>
    <w:p w14:paraId="0EE20525">
      <w:pPr>
        <w:tabs>
          <w:tab w:val="left" w:pos="4620"/>
        </w:tabs>
        <w:spacing w:beforeLines="0" w:afterLines="0" w:line="360" w:lineRule="auto"/>
        <w:ind w:firstLine="4252" w:firstLineChars="1772"/>
        <w:rPr>
          <w:rFonts w:hint="eastAsia" w:hAnsi="宋体" w:cs="宋体"/>
          <w:color w:val="auto"/>
          <w:sz w:val="24"/>
          <w:szCs w:val="24"/>
          <w:highlight w:val="none"/>
          <w:u w:val="single"/>
        </w:rPr>
      </w:pPr>
      <w:r>
        <w:rPr>
          <w:rFonts w:hint="eastAsia" w:hAnsi="宋体" w:cs="宋体"/>
          <w:color w:val="auto"/>
          <w:sz w:val="24"/>
          <w:szCs w:val="24"/>
          <w:highlight w:val="none"/>
        </w:rPr>
        <w:t>日          期：</w:t>
      </w:r>
      <w:r>
        <w:rPr>
          <w:rFonts w:hint="eastAsia" w:hAnsi="宋体" w:cs="宋体"/>
          <w:color w:val="auto"/>
          <w:sz w:val="24"/>
          <w:szCs w:val="24"/>
          <w:highlight w:val="none"/>
          <w:u w:val="single"/>
        </w:rPr>
        <w:t xml:space="preserve">             </w:t>
      </w:r>
    </w:p>
    <w:p w14:paraId="41C1F523">
      <w:pPr>
        <w:tabs>
          <w:tab w:val="left" w:pos="4620"/>
        </w:tabs>
        <w:spacing w:beforeLines="0" w:afterLines="0" w:line="360" w:lineRule="auto"/>
        <w:jc w:val="left"/>
        <w:rPr>
          <w:rFonts w:hint="eastAsia" w:hAnsi="宋体" w:cs="宋体"/>
          <w:color w:val="auto"/>
          <w:sz w:val="24"/>
          <w:szCs w:val="24"/>
          <w:highlight w:val="none"/>
        </w:rPr>
      </w:pPr>
    </w:p>
    <w:p w14:paraId="681437EE">
      <w:pPr>
        <w:tabs>
          <w:tab w:val="left" w:pos="4620"/>
        </w:tabs>
        <w:spacing w:beforeLines="0" w:afterLines="0" w:line="360" w:lineRule="auto"/>
        <w:jc w:val="left"/>
        <w:rPr>
          <w:rFonts w:hint="eastAsia" w:hAnsi="宋体" w:cs="宋体"/>
          <w:color w:val="auto"/>
          <w:sz w:val="24"/>
          <w:szCs w:val="24"/>
          <w:highlight w:val="none"/>
        </w:rPr>
      </w:pPr>
      <w:r>
        <w:rPr>
          <w:rFonts w:hint="eastAsia" w:hAnsi="宋体" w:cs="宋体"/>
          <w:color w:val="auto"/>
          <w:sz w:val="24"/>
          <w:szCs w:val="24"/>
          <w:highlight w:val="none"/>
        </w:rPr>
        <w:t>注：从业人员、营业收入、资产总额填报上一年数据，无上一年数据的新成立企业可不填报。</w:t>
      </w:r>
    </w:p>
    <w:p w14:paraId="4EE51F6A">
      <w:pPr>
        <w:widowControl/>
        <w:spacing w:beforeLines="0" w:afterLines="0"/>
        <w:jc w:val="center"/>
        <w:rPr>
          <w:rFonts w:hint="eastAsia" w:hAnsi="宋体"/>
          <w:b/>
          <w:color w:val="auto"/>
          <w:sz w:val="24"/>
          <w:szCs w:val="24"/>
          <w:highlight w:val="none"/>
        </w:rPr>
      </w:pPr>
      <w:bookmarkStart w:id="1285" w:name="_Toc15526"/>
      <w:bookmarkStart w:id="1286" w:name="_Toc32323"/>
      <w:r>
        <w:rPr>
          <w:rFonts w:hint="eastAsia" w:hAnsi="宋体"/>
          <w:color w:val="auto"/>
          <w:sz w:val="24"/>
          <w:szCs w:val="24"/>
          <w:highlight w:val="none"/>
        </w:rPr>
        <w:t>（二）</w:t>
      </w:r>
      <w:r>
        <w:rPr>
          <w:rFonts w:hint="eastAsia" w:hAnsi="宋体"/>
          <w:b/>
          <w:color w:val="auto"/>
          <w:sz w:val="24"/>
          <w:szCs w:val="24"/>
          <w:highlight w:val="none"/>
        </w:rPr>
        <w:t>残疾人福利性单位声明函</w:t>
      </w:r>
      <w:bookmarkEnd w:id="1285"/>
      <w:bookmarkEnd w:id="1286"/>
    </w:p>
    <w:p w14:paraId="538A55B8">
      <w:pPr>
        <w:spacing w:beforeLines="0" w:afterLines="0" w:line="360" w:lineRule="auto"/>
        <w:ind w:firstLine="435"/>
        <w:rPr>
          <w:rFonts w:hint="eastAsia" w:hAnsi="宋体"/>
          <w:color w:val="auto"/>
          <w:spacing w:val="6"/>
          <w:sz w:val="24"/>
          <w:szCs w:val="24"/>
          <w:highlight w:val="none"/>
        </w:rPr>
      </w:pPr>
    </w:p>
    <w:p w14:paraId="567838EA">
      <w:pPr>
        <w:pStyle w:val="9"/>
        <w:spacing w:beforeLines="0" w:afterLines="0"/>
        <w:ind w:firstLine="584"/>
        <w:rPr>
          <w:rFonts w:hint="eastAsia"/>
          <w:color w:val="auto"/>
          <w:spacing w:val="6"/>
          <w:sz w:val="28"/>
          <w:szCs w:val="32"/>
          <w:highlight w:val="none"/>
        </w:rPr>
      </w:pPr>
    </w:p>
    <w:p w14:paraId="54E10324">
      <w:pPr>
        <w:pStyle w:val="11"/>
        <w:spacing w:beforeLines="0" w:afterLines="0"/>
        <w:rPr>
          <w:rFonts w:hint="default"/>
          <w:color w:val="auto"/>
          <w:sz w:val="24"/>
          <w:szCs w:val="24"/>
          <w:highlight w:val="none"/>
        </w:rPr>
      </w:pPr>
    </w:p>
    <w:p w14:paraId="68CBB5B1">
      <w:pPr>
        <w:spacing w:beforeLines="0" w:afterLines="0" w:line="360" w:lineRule="auto"/>
        <w:ind w:firstLine="435"/>
        <w:rPr>
          <w:rFonts w:hint="eastAsia" w:hAnsi="宋体"/>
          <w:color w:val="auto"/>
          <w:spacing w:val="6"/>
          <w:sz w:val="24"/>
          <w:szCs w:val="24"/>
          <w:highlight w:val="none"/>
        </w:rPr>
      </w:pPr>
      <w:r>
        <w:rPr>
          <w:rFonts w:hint="eastAsia" w:hAnsi="宋体"/>
          <w:color w:val="auto"/>
          <w:spacing w:val="6"/>
          <w:sz w:val="24"/>
          <w:szCs w:val="24"/>
          <w:highlight w:val="none"/>
        </w:rPr>
        <w:t>本单位</w:t>
      </w:r>
      <w:r>
        <w:rPr>
          <w:rFonts w:hint="eastAsia" w:hAnsi="宋体"/>
          <w:color w:val="auto"/>
          <w:sz w:val="24"/>
          <w:szCs w:val="24"/>
          <w:highlight w:val="none"/>
        </w:rPr>
        <w:t>郑重</w:t>
      </w:r>
      <w:r>
        <w:rPr>
          <w:rFonts w:hint="eastAsia" w:hAnsi="宋体"/>
          <w:color w:val="auto"/>
          <w:spacing w:val="6"/>
          <w:sz w:val="24"/>
          <w:szCs w:val="24"/>
          <w:highlight w:val="none"/>
        </w:rPr>
        <w:t>声明，根据《财政部 民政部 中国残疾人联合会关于促进残疾人就业政府采购政策的通知》（财库</w:t>
      </w:r>
      <w:r>
        <w:rPr>
          <w:rFonts w:hint="eastAsia" w:hAnsi="宋体"/>
          <w:color w:val="auto"/>
          <w:sz w:val="24"/>
          <w:szCs w:val="24"/>
          <w:highlight w:val="none"/>
        </w:rPr>
        <w:t>〔2017〕141</w:t>
      </w:r>
      <w:r>
        <w:rPr>
          <w:rFonts w:hint="eastAsia" w:hAnsi="宋体"/>
          <w:color w:val="auto"/>
          <w:spacing w:val="6"/>
          <w:sz w:val="24"/>
          <w:szCs w:val="24"/>
          <w:highlight w:val="none"/>
        </w:rPr>
        <w:t>号）的规定，本单位为</w:t>
      </w:r>
      <w:r>
        <w:rPr>
          <w:rFonts w:hint="eastAsia" w:hAnsi="宋体"/>
          <w:color w:val="auto"/>
          <w:sz w:val="24"/>
          <w:szCs w:val="24"/>
          <w:highlight w:val="none"/>
        </w:rPr>
        <w:t>符合</w:t>
      </w:r>
      <w:r>
        <w:rPr>
          <w:rFonts w:hint="eastAsia" w:hAnsi="宋体"/>
          <w:color w:val="auto"/>
          <w:spacing w:val="6"/>
          <w:sz w:val="24"/>
          <w:szCs w:val="24"/>
          <w:highlight w:val="none"/>
        </w:rPr>
        <w:t>条件的残疾人福利性单位，且本单位参加</w:t>
      </w:r>
      <w:r>
        <w:rPr>
          <w:rFonts w:hint="eastAsia" w:hAnsi="宋体"/>
          <w:color w:val="auto"/>
          <w:sz w:val="24"/>
          <w:szCs w:val="24"/>
          <w:highlight w:val="none"/>
          <w:u w:val="single"/>
          <w:lang w:val="zh-CN"/>
        </w:rPr>
        <w:t>（</w:t>
      </w:r>
      <w:r>
        <w:rPr>
          <w:rFonts w:hint="eastAsia" w:cs="宋体"/>
          <w:color w:val="auto"/>
          <w:sz w:val="24"/>
          <w:szCs w:val="24"/>
          <w:highlight w:val="none"/>
          <w:u w:val="single"/>
          <w:lang w:val="zh-CN"/>
        </w:rPr>
        <w:t>某单位</w:t>
      </w:r>
      <w:r>
        <w:rPr>
          <w:rFonts w:hint="eastAsia" w:hAnsi="宋体"/>
          <w:color w:val="auto"/>
          <w:sz w:val="24"/>
          <w:szCs w:val="24"/>
          <w:highlight w:val="none"/>
          <w:u w:val="single"/>
          <w:lang w:val="zh-CN"/>
        </w:rPr>
        <w:t>）</w:t>
      </w:r>
      <w:r>
        <w:rPr>
          <w:rFonts w:hint="eastAsia" w:hAnsi="宋体"/>
          <w:color w:val="auto"/>
          <w:sz w:val="24"/>
          <w:szCs w:val="24"/>
          <w:highlight w:val="none"/>
          <w:lang w:val="zh-CN"/>
        </w:rPr>
        <w:t>的</w:t>
      </w:r>
      <w:r>
        <w:rPr>
          <w:rFonts w:hint="eastAsia" w:hAnsi="宋体"/>
          <w:color w:val="auto"/>
          <w:sz w:val="24"/>
          <w:szCs w:val="24"/>
          <w:highlight w:val="none"/>
          <w:u w:val="single"/>
          <w:lang w:val="zh-CN"/>
        </w:rPr>
        <w:t>（</w:t>
      </w:r>
      <w:r>
        <w:rPr>
          <w:rFonts w:hint="eastAsia" w:cs="宋体"/>
          <w:color w:val="auto"/>
          <w:sz w:val="24"/>
          <w:szCs w:val="24"/>
          <w:highlight w:val="none"/>
          <w:u w:val="single"/>
          <w:lang w:val="zh-CN"/>
        </w:rPr>
        <w:t>某项目</w:t>
      </w:r>
      <w:r>
        <w:rPr>
          <w:rFonts w:hint="eastAsia" w:hAnsi="宋体"/>
          <w:color w:val="auto"/>
          <w:sz w:val="24"/>
          <w:szCs w:val="24"/>
          <w:highlight w:val="none"/>
          <w:u w:val="single"/>
          <w:lang w:val="zh-CN"/>
        </w:rPr>
        <w:t>）</w:t>
      </w:r>
      <w:r>
        <w:rPr>
          <w:rFonts w:hint="eastAsia" w:hAnsi="宋体"/>
          <w:color w:val="auto"/>
          <w:spacing w:val="6"/>
          <w:sz w:val="24"/>
          <w:szCs w:val="24"/>
          <w:highlight w:val="none"/>
        </w:rPr>
        <w:t>采购活动由本单位承担工程。</w:t>
      </w:r>
    </w:p>
    <w:p w14:paraId="1A5421A7">
      <w:pPr>
        <w:spacing w:beforeLines="0" w:afterLines="0" w:line="360" w:lineRule="auto"/>
        <w:ind w:firstLine="435"/>
        <w:rPr>
          <w:rFonts w:hint="eastAsia" w:hAnsi="宋体"/>
          <w:color w:val="auto"/>
          <w:spacing w:val="6"/>
          <w:sz w:val="24"/>
          <w:szCs w:val="24"/>
          <w:highlight w:val="none"/>
        </w:rPr>
      </w:pPr>
      <w:r>
        <w:rPr>
          <w:rFonts w:hint="eastAsia" w:hAnsi="宋体"/>
          <w:color w:val="auto"/>
          <w:spacing w:val="6"/>
          <w:sz w:val="24"/>
          <w:szCs w:val="24"/>
          <w:highlight w:val="none"/>
        </w:rPr>
        <w:t>本单位对上述声明的真实性负责。如有虚假，将依法承担相应责任。</w:t>
      </w:r>
    </w:p>
    <w:p w14:paraId="6413D94F">
      <w:pPr>
        <w:spacing w:beforeLines="0" w:afterLines="0" w:line="360" w:lineRule="auto"/>
        <w:ind w:firstLine="4228" w:firstLineChars="1762"/>
        <w:rPr>
          <w:rFonts w:hint="eastAsia" w:hAnsi="宋体"/>
          <w:color w:val="auto"/>
          <w:sz w:val="24"/>
          <w:szCs w:val="24"/>
          <w:highlight w:val="none"/>
        </w:rPr>
      </w:pPr>
    </w:p>
    <w:p w14:paraId="492F0989">
      <w:pPr>
        <w:spacing w:beforeLines="0" w:afterLines="0" w:line="360" w:lineRule="auto"/>
        <w:ind w:firstLine="4228" w:firstLineChars="1762"/>
        <w:rPr>
          <w:rFonts w:hint="eastAsia" w:hAnsi="宋体"/>
          <w:color w:val="auto"/>
          <w:sz w:val="24"/>
          <w:szCs w:val="24"/>
          <w:highlight w:val="none"/>
        </w:rPr>
      </w:pPr>
    </w:p>
    <w:p w14:paraId="6CCAFFDE">
      <w:pPr>
        <w:spacing w:beforeLines="0" w:afterLines="0" w:line="360" w:lineRule="auto"/>
        <w:ind w:firstLine="4228" w:firstLineChars="1762"/>
        <w:rPr>
          <w:rFonts w:hint="eastAsia" w:hAnsi="宋体"/>
          <w:color w:val="auto"/>
          <w:sz w:val="24"/>
          <w:szCs w:val="24"/>
          <w:highlight w:val="none"/>
          <w:u w:val="single"/>
        </w:rPr>
      </w:pPr>
      <w:r>
        <w:rPr>
          <w:rFonts w:hint="eastAsia" w:hAnsi="宋体"/>
          <w:color w:val="auto"/>
          <w:sz w:val="24"/>
          <w:szCs w:val="24"/>
          <w:highlight w:val="none"/>
        </w:rPr>
        <w:t>供应商电子签章：</w:t>
      </w:r>
      <w:r>
        <w:rPr>
          <w:rFonts w:hint="eastAsia" w:hAnsi="宋体"/>
          <w:color w:val="auto"/>
          <w:sz w:val="24"/>
          <w:szCs w:val="24"/>
          <w:highlight w:val="none"/>
          <w:u w:val="single"/>
        </w:rPr>
        <w:t xml:space="preserve">             </w:t>
      </w:r>
    </w:p>
    <w:p w14:paraId="59F56526">
      <w:pPr>
        <w:tabs>
          <w:tab w:val="left" w:pos="4620"/>
        </w:tabs>
        <w:spacing w:beforeLines="0" w:afterLines="0" w:line="360" w:lineRule="auto"/>
        <w:ind w:firstLine="4252" w:firstLineChars="1772"/>
        <w:rPr>
          <w:rFonts w:hint="eastAsia" w:hAnsi="宋体"/>
          <w:color w:val="auto"/>
          <w:sz w:val="24"/>
          <w:szCs w:val="24"/>
          <w:highlight w:val="none"/>
          <w:u w:val="single"/>
        </w:rPr>
      </w:pPr>
      <w:r>
        <w:rPr>
          <w:rFonts w:hint="eastAsia" w:hAnsi="宋体"/>
          <w:color w:val="auto"/>
          <w:sz w:val="24"/>
          <w:szCs w:val="24"/>
          <w:highlight w:val="none"/>
        </w:rPr>
        <w:t>日          期：</w:t>
      </w:r>
      <w:r>
        <w:rPr>
          <w:rFonts w:hint="eastAsia" w:hAnsi="宋体"/>
          <w:color w:val="auto"/>
          <w:sz w:val="24"/>
          <w:szCs w:val="24"/>
          <w:highlight w:val="none"/>
          <w:u w:val="single"/>
        </w:rPr>
        <w:t xml:space="preserve">             </w:t>
      </w:r>
    </w:p>
    <w:p w14:paraId="19C4488D">
      <w:pPr>
        <w:widowControl/>
        <w:spacing w:beforeLines="0" w:afterLines="0"/>
        <w:jc w:val="center"/>
        <w:rPr>
          <w:rFonts w:hint="eastAsia" w:hAnsi="宋体"/>
          <w:b/>
          <w:color w:val="auto"/>
          <w:sz w:val="24"/>
          <w:szCs w:val="24"/>
          <w:highlight w:val="none"/>
        </w:rPr>
      </w:pPr>
    </w:p>
    <w:p w14:paraId="001F7B7C">
      <w:pPr>
        <w:widowControl/>
        <w:spacing w:beforeLines="0" w:afterLines="0"/>
        <w:jc w:val="center"/>
        <w:rPr>
          <w:rFonts w:hint="eastAsia" w:hAnsi="宋体"/>
          <w:b/>
          <w:color w:val="auto"/>
          <w:sz w:val="24"/>
          <w:szCs w:val="24"/>
          <w:highlight w:val="none"/>
        </w:rPr>
      </w:pPr>
    </w:p>
    <w:p w14:paraId="6A3CD4C9">
      <w:pPr>
        <w:widowControl/>
        <w:spacing w:beforeLines="0" w:afterLines="0"/>
        <w:jc w:val="center"/>
        <w:rPr>
          <w:rFonts w:hint="eastAsia" w:hAnsi="宋体"/>
          <w:b/>
          <w:color w:val="auto"/>
          <w:sz w:val="24"/>
          <w:szCs w:val="24"/>
          <w:highlight w:val="none"/>
        </w:rPr>
      </w:pPr>
    </w:p>
    <w:p w14:paraId="274DD8F5">
      <w:pPr>
        <w:widowControl/>
        <w:spacing w:beforeLines="0" w:afterLines="0"/>
        <w:jc w:val="center"/>
        <w:rPr>
          <w:rFonts w:hint="eastAsia" w:hAnsi="宋体"/>
          <w:b/>
          <w:color w:val="auto"/>
          <w:sz w:val="24"/>
          <w:szCs w:val="24"/>
          <w:highlight w:val="none"/>
        </w:rPr>
      </w:pPr>
    </w:p>
    <w:p w14:paraId="067EB5DA">
      <w:pPr>
        <w:widowControl/>
        <w:spacing w:beforeLines="0" w:afterLines="0"/>
        <w:jc w:val="center"/>
        <w:rPr>
          <w:rFonts w:hint="eastAsia" w:hAnsi="宋体"/>
          <w:b/>
          <w:color w:val="auto"/>
          <w:sz w:val="24"/>
          <w:szCs w:val="24"/>
          <w:highlight w:val="none"/>
        </w:rPr>
      </w:pPr>
    </w:p>
    <w:p w14:paraId="3B9CFFAA">
      <w:pPr>
        <w:widowControl/>
        <w:numPr>
          <w:ilvl w:val="0"/>
          <w:numId w:val="9"/>
        </w:numPr>
        <w:spacing w:beforeLines="0" w:afterLines="0"/>
        <w:jc w:val="center"/>
        <w:rPr>
          <w:rFonts w:hint="eastAsia" w:hAnsi="宋体"/>
          <w:b/>
          <w:color w:val="auto"/>
          <w:sz w:val="24"/>
          <w:szCs w:val="24"/>
          <w:highlight w:val="none"/>
        </w:rPr>
      </w:pPr>
      <w:r>
        <w:rPr>
          <w:rFonts w:hint="eastAsia" w:hAnsi="宋体"/>
          <w:b/>
          <w:color w:val="auto"/>
          <w:sz w:val="24"/>
          <w:szCs w:val="24"/>
          <w:highlight w:val="none"/>
        </w:rPr>
        <w:t xml:space="preserve">监狱企业证明材料 </w:t>
      </w:r>
    </w:p>
    <w:p w14:paraId="74D42F6C">
      <w:pPr>
        <w:pStyle w:val="7"/>
        <w:spacing w:beforeLines="0" w:afterLines="0"/>
        <w:rPr>
          <w:rFonts w:hint="eastAsia"/>
          <w:color w:val="auto"/>
          <w:sz w:val="24"/>
          <w:szCs w:val="24"/>
          <w:highlight w:val="none"/>
        </w:rPr>
      </w:pPr>
    </w:p>
    <w:p w14:paraId="71165328">
      <w:pPr>
        <w:spacing w:beforeLines="0" w:afterLines="0" w:line="360" w:lineRule="auto"/>
        <w:ind w:firstLine="504" w:firstLineChars="200"/>
        <w:rPr>
          <w:rFonts w:hint="eastAsia"/>
          <w:color w:val="auto"/>
          <w:sz w:val="24"/>
          <w:szCs w:val="22"/>
          <w:highlight w:val="none"/>
        </w:rPr>
      </w:pPr>
      <w:r>
        <w:rPr>
          <w:rFonts w:hint="eastAsia" w:hAnsi="宋体"/>
          <w:color w:val="auto"/>
          <w:spacing w:val="6"/>
          <w:sz w:val="24"/>
          <w:szCs w:val="24"/>
          <w:highlight w:val="none"/>
        </w:rPr>
        <w:t>监狱企业须提供省级以上监狱管理局、戒毒管理局（含新疆生产建设兵团）出具的属于监狱企业的证明文件扫描件</w:t>
      </w:r>
    </w:p>
    <w:p w14:paraId="0452BA26">
      <w:pPr>
        <w:widowControl/>
        <w:spacing w:beforeLines="0" w:afterLines="0"/>
        <w:jc w:val="left"/>
        <w:rPr>
          <w:rFonts w:hint="eastAsia"/>
          <w:color w:val="auto"/>
          <w:sz w:val="24"/>
          <w:szCs w:val="22"/>
          <w:highlight w:val="none"/>
        </w:rPr>
      </w:pPr>
    </w:p>
    <w:p w14:paraId="4CB908E8">
      <w:pPr>
        <w:widowControl/>
        <w:spacing w:beforeLines="0" w:afterLines="0"/>
        <w:jc w:val="left"/>
        <w:rPr>
          <w:rFonts w:hint="eastAsia"/>
          <w:color w:val="auto"/>
          <w:sz w:val="24"/>
          <w:szCs w:val="22"/>
          <w:highlight w:val="none"/>
        </w:rPr>
      </w:pPr>
    </w:p>
    <w:p w14:paraId="67020883">
      <w:pPr>
        <w:widowControl/>
        <w:spacing w:beforeLines="0" w:afterLines="0"/>
        <w:jc w:val="left"/>
        <w:rPr>
          <w:rFonts w:hint="eastAsia"/>
          <w:color w:val="auto"/>
          <w:sz w:val="24"/>
          <w:szCs w:val="22"/>
          <w:highlight w:val="none"/>
        </w:rPr>
      </w:pPr>
    </w:p>
    <w:p w14:paraId="2EBDB5F3">
      <w:pPr>
        <w:widowControl/>
        <w:spacing w:beforeLines="0" w:afterLines="0"/>
        <w:jc w:val="left"/>
        <w:rPr>
          <w:rFonts w:hint="eastAsia"/>
          <w:color w:val="auto"/>
          <w:sz w:val="24"/>
          <w:szCs w:val="22"/>
          <w:highlight w:val="none"/>
        </w:rPr>
      </w:pPr>
    </w:p>
    <w:p w14:paraId="7B692D23">
      <w:pPr>
        <w:widowControl/>
        <w:spacing w:beforeLines="0" w:afterLines="0"/>
        <w:jc w:val="left"/>
        <w:rPr>
          <w:rFonts w:hint="eastAsia"/>
          <w:color w:val="auto"/>
          <w:sz w:val="24"/>
          <w:szCs w:val="22"/>
          <w:highlight w:val="none"/>
        </w:rPr>
      </w:pPr>
    </w:p>
    <w:p w14:paraId="6A1AD418">
      <w:pPr>
        <w:tabs>
          <w:tab w:val="left" w:pos="5760"/>
        </w:tabs>
        <w:autoSpaceDE w:val="0"/>
        <w:autoSpaceDN w:val="0"/>
        <w:adjustRightInd w:val="0"/>
        <w:spacing w:beforeLines="0" w:afterLines="0" w:line="300" w:lineRule="exact"/>
        <w:ind w:right="11"/>
        <w:rPr>
          <w:rFonts w:hint="eastAsia" w:hAnsi="宋体"/>
          <w:color w:val="auto"/>
          <w:sz w:val="24"/>
          <w:szCs w:val="22"/>
          <w:highlight w:val="none"/>
        </w:rPr>
      </w:pPr>
    </w:p>
    <w:p w14:paraId="4AF2584A">
      <w:pPr>
        <w:tabs>
          <w:tab w:val="left" w:pos="5760"/>
        </w:tabs>
        <w:autoSpaceDE w:val="0"/>
        <w:autoSpaceDN w:val="0"/>
        <w:adjustRightInd w:val="0"/>
        <w:spacing w:beforeLines="0" w:afterLines="0" w:line="300" w:lineRule="exact"/>
        <w:ind w:right="11"/>
        <w:rPr>
          <w:rFonts w:hint="eastAsia" w:hAnsi="宋体"/>
          <w:b/>
          <w:color w:val="auto"/>
          <w:sz w:val="28"/>
          <w:szCs w:val="22"/>
          <w:highlight w:val="none"/>
        </w:rPr>
      </w:pPr>
    </w:p>
    <w:p w14:paraId="75844CC4">
      <w:pPr>
        <w:tabs>
          <w:tab w:val="left" w:pos="4620"/>
        </w:tabs>
        <w:spacing w:beforeLines="0" w:afterLines="0" w:line="360" w:lineRule="auto"/>
        <w:jc w:val="left"/>
        <w:rPr>
          <w:rFonts w:hint="eastAsia" w:hAnsi="宋体" w:cs="宋体"/>
          <w:color w:val="auto"/>
          <w:sz w:val="24"/>
          <w:szCs w:val="24"/>
          <w:highlight w:val="none"/>
        </w:rPr>
      </w:pPr>
    </w:p>
    <w:p w14:paraId="6677595D">
      <w:pPr>
        <w:spacing w:beforeLines="0" w:afterLines="0" w:line="510" w:lineRule="exact"/>
        <w:jc w:val="left"/>
        <w:rPr>
          <w:rFonts w:hint="eastAsia" w:hAnsi="宋体"/>
          <w:color w:val="auto"/>
          <w:sz w:val="24"/>
          <w:szCs w:val="22"/>
          <w:highlight w:val="none"/>
        </w:rPr>
      </w:pPr>
      <w:r>
        <w:rPr>
          <w:rFonts w:hint="eastAsia" w:hAnsi="宋体"/>
          <w:color w:val="auto"/>
          <w:sz w:val="24"/>
          <w:szCs w:val="22"/>
          <w:highlight w:val="none"/>
        </w:rPr>
        <w:t>注：对照评标办法要求，由投标人自行提供相关证明或资料。如证明或声明或资料与实际不符，将被取消投标或中标资格，其投标保证金按规定予以处理。</w:t>
      </w:r>
    </w:p>
    <w:p w14:paraId="0E1AD738">
      <w:pPr>
        <w:spacing w:before="480" w:beforeLines="200" w:afterLines="0" w:line="360" w:lineRule="auto"/>
        <w:jc w:val="center"/>
        <w:rPr>
          <w:rFonts w:hint="eastAsia" w:ascii="Times New Roman"/>
          <w:b/>
          <w:color w:val="auto"/>
          <w:sz w:val="44"/>
          <w:szCs w:val="44"/>
          <w:highlight w:val="none"/>
        </w:rPr>
      </w:pPr>
      <w:r>
        <w:rPr>
          <w:rFonts w:hint="eastAsia" w:ascii="Times New Roman"/>
          <w:color w:val="auto"/>
          <w:sz w:val="24"/>
          <w:szCs w:val="24"/>
          <w:highlight w:val="none"/>
        </w:rPr>
        <w:br w:type="page"/>
      </w:r>
      <w:bookmarkStart w:id="1287" w:name="_Toc17482"/>
      <w:bookmarkStart w:id="1288" w:name="_Toc30110"/>
      <w:bookmarkStart w:id="1289" w:name="_Toc0"/>
      <w:bookmarkStart w:id="1290" w:name="_Toc14552"/>
      <w:bookmarkStart w:id="1291" w:name="_Toc15622"/>
      <w:bookmarkStart w:id="1292" w:name="_Toc9691"/>
      <w:bookmarkStart w:id="1293" w:name="_Toc128950280"/>
      <w:bookmarkStart w:id="1294" w:name="_Toc584"/>
      <w:r>
        <w:rPr>
          <w:rFonts w:hint="eastAsia" w:ascii="Times New Roman"/>
          <w:b/>
          <w:color w:val="auto"/>
          <w:sz w:val="44"/>
          <w:szCs w:val="44"/>
          <w:highlight w:val="none"/>
          <w:u w:val="single"/>
        </w:rPr>
        <w:t>（招标项目名称）</w:t>
      </w:r>
      <w:r>
        <w:rPr>
          <w:rFonts w:hint="eastAsia" w:ascii="Times New Roman"/>
          <w:color w:val="auto"/>
          <w:sz w:val="44"/>
          <w:szCs w:val="44"/>
          <w:highlight w:val="none"/>
        </w:rPr>
        <w:t xml:space="preserve"> </w:t>
      </w:r>
      <w:r>
        <w:rPr>
          <w:rFonts w:hint="eastAsia" w:ascii="Times New Roman"/>
          <w:color w:val="auto"/>
          <w:sz w:val="44"/>
          <w:szCs w:val="44"/>
          <w:highlight w:val="none"/>
          <w:u w:val="single"/>
        </w:rPr>
        <w:t xml:space="preserve">    /  </w:t>
      </w:r>
      <w:r>
        <w:rPr>
          <w:rFonts w:hint="eastAsia" w:ascii="Times New Roman"/>
          <w:b/>
          <w:color w:val="auto"/>
          <w:sz w:val="44"/>
          <w:szCs w:val="44"/>
          <w:highlight w:val="none"/>
        </w:rPr>
        <w:t>标段招标</w:t>
      </w:r>
      <w:bookmarkEnd w:id="1287"/>
      <w:bookmarkEnd w:id="1288"/>
      <w:bookmarkEnd w:id="1289"/>
      <w:bookmarkEnd w:id="1290"/>
      <w:bookmarkEnd w:id="1291"/>
      <w:bookmarkEnd w:id="1292"/>
      <w:bookmarkEnd w:id="1293"/>
      <w:bookmarkEnd w:id="1294"/>
    </w:p>
    <w:p w14:paraId="195A04C3">
      <w:pPr>
        <w:pStyle w:val="3"/>
        <w:spacing w:before="1200" w:beforeLines="500" w:after="240" w:afterLines="100" w:line="240" w:lineRule="auto"/>
        <w:jc w:val="center"/>
        <w:rPr>
          <w:rFonts w:hint="eastAsia" w:ascii="Times New Roman" w:hAnsi="Times New Roman" w:eastAsia="黑体"/>
          <w:b w:val="0"/>
          <w:color w:val="auto"/>
          <w:sz w:val="44"/>
          <w:szCs w:val="44"/>
          <w:highlight w:val="none"/>
        </w:rPr>
      </w:pPr>
      <w:bookmarkStart w:id="1295" w:name="_Toc23579"/>
      <w:bookmarkStart w:id="1296" w:name="_Toc23592"/>
      <w:r>
        <w:rPr>
          <w:rFonts w:hint="eastAsia" w:ascii="Times New Roman" w:hAnsi="Times New Roman" w:eastAsia="黑体"/>
          <w:b w:val="0"/>
          <w:color w:val="auto"/>
          <w:sz w:val="44"/>
          <w:szCs w:val="44"/>
          <w:highlight w:val="none"/>
        </w:rPr>
        <w:t>投标文件</w:t>
      </w:r>
      <w:bookmarkEnd w:id="1295"/>
    </w:p>
    <w:p w14:paraId="626E778F">
      <w:pPr>
        <w:pStyle w:val="3"/>
        <w:spacing w:beforeLines="0" w:afterLines="0"/>
        <w:jc w:val="center"/>
        <w:rPr>
          <w:rFonts w:hint="eastAsia" w:ascii="Times New Roman" w:hAnsi="Times New Roman" w:eastAsia="黑体"/>
          <w:b w:val="0"/>
          <w:color w:val="auto"/>
          <w:sz w:val="36"/>
          <w:szCs w:val="22"/>
          <w:highlight w:val="none"/>
        </w:rPr>
      </w:pPr>
      <w:bookmarkStart w:id="1297" w:name="_Toc5286"/>
      <w:r>
        <w:rPr>
          <w:rFonts w:hint="eastAsia" w:ascii="Times New Roman" w:hAnsi="Times New Roman" w:eastAsia="黑体"/>
          <w:b w:val="0"/>
          <w:color w:val="auto"/>
          <w:sz w:val="36"/>
          <w:szCs w:val="22"/>
          <w:highlight w:val="none"/>
        </w:rPr>
        <w:t>（技术文件）</w:t>
      </w:r>
      <w:bookmarkEnd w:id="1296"/>
      <w:bookmarkEnd w:id="1297"/>
    </w:p>
    <w:p w14:paraId="5D7A9C66">
      <w:pPr>
        <w:spacing w:before="7200" w:beforeLines="3000" w:afterLines="0" w:line="480" w:lineRule="auto"/>
        <w:jc w:val="center"/>
        <w:rPr>
          <w:rFonts w:hint="eastAsia" w:ascii="Times New Roman" w:eastAsia="黑体"/>
          <w:color w:val="auto"/>
          <w:sz w:val="28"/>
          <w:szCs w:val="28"/>
          <w:highlight w:val="none"/>
        </w:rPr>
      </w:pPr>
      <w:bookmarkStart w:id="1298" w:name="_Toc15620"/>
      <w:bookmarkStart w:id="1299" w:name="_Toc14549"/>
      <w:bookmarkStart w:id="1300" w:name="_Toc18372"/>
      <w:bookmarkStart w:id="1301" w:name="_Toc128950283"/>
      <w:bookmarkStart w:id="1302" w:name="_Toc2070"/>
      <w:bookmarkStart w:id="1303" w:name="_Toc7858"/>
      <w:r>
        <w:rPr>
          <w:rFonts w:hint="eastAsia" w:ascii="Times New Roman" w:eastAsia="黑体"/>
          <w:color w:val="auto"/>
          <w:sz w:val="28"/>
          <w:szCs w:val="28"/>
          <w:highlight w:val="none"/>
        </w:rPr>
        <w:t>投标人：</w:t>
      </w:r>
      <w:r>
        <w:rPr>
          <w:rFonts w:hint="eastAsia" w:ascii="Times New Roman" w:eastAsia="黑体"/>
          <w:color w:val="auto"/>
          <w:sz w:val="28"/>
          <w:szCs w:val="28"/>
          <w:highlight w:val="none"/>
          <w:u w:val="single"/>
        </w:rPr>
        <w:t xml:space="preserve">                               </w:t>
      </w:r>
      <w:r>
        <w:rPr>
          <w:rFonts w:hint="eastAsia" w:ascii="Times New Roman" w:eastAsia="黑体"/>
          <w:color w:val="auto"/>
          <w:sz w:val="28"/>
          <w:szCs w:val="28"/>
          <w:highlight w:val="none"/>
        </w:rPr>
        <w:t>（盖单位章）</w:t>
      </w:r>
      <w:bookmarkEnd w:id="1298"/>
      <w:bookmarkEnd w:id="1299"/>
      <w:bookmarkEnd w:id="1300"/>
      <w:bookmarkEnd w:id="1301"/>
      <w:bookmarkEnd w:id="1302"/>
      <w:bookmarkEnd w:id="1303"/>
    </w:p>
    <w:p w14:paraId="7710191C">
      <w:pPr>
        <w:tabs>
          <w:tab w:val="left" w:pos="3280"/>
          <w:tab w:val="left" w:pos="4680"/>
          <w:tab w:val="left" w:pos="6080"/>
        </w:tabs>
        <w:autoSpaceDE w:val="0"/>
        <w:autoSpaceDN w:val="0"/>
        <w:adjustRightInd w:val="0"/>
        <w:snapToGrid w:val="0"/>
        <w:spacing w:beforeLines="0" w:afterLines="0" w:line="480" w:lineRule="auto"/>
        <w:jc w:val="center"/>
        <w:rPr>
          <w:rFonts w:hint="eastAsia" w:ascii="Times New Roman"/>
          <w:b/>
          <w:color w:val="auto"/>
          <w:w w:val="99"/>
          <w:sz w:val="28"/>
          <w:szCs w:val="22"/>
          <w:highlight w:val="none"/>
        </w:rPr>
      </w:pPr>
      <w:bookmarkStart w:id="1304" w:name="_Toc31763"/>
      <w:bookmarkStart w:id="1305" w:name="_Toc128950284"/>
      <w:bookmarkStart w:id="1306" w:name="_Toc18115"/>
      <w:bookmarkStart w:id="1307" w:name="_Toc23773"/>
      <w:bookmarkStart w:id="1308" w:name="_Toc16137"/>
      <w:bookmarkStart w:id="1309" w:name="_Toc518"/>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年</w:t>
      </w:r>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月</w:t>
      </w:r>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日</w:t>
      </w:r>
      <w:bookmarkEnd w:id="1304"/>
      <w:bookmarkEnd w:id="1305"/>
      <w:bookmarkEnd w:id="1306"/>
      <w:bookmarkEnd w:id="1307"/>
      <w:bookmarkEnd w:id="1308"/>
      <w:bookmarkEnd w:id="1309"/>
    </w:p>
    <w:p w14:paraId="51D0DC0F">
      <w:pPr>
        <w:spacing w:before="240" w:beforeLines="100" w:after="240" w:afterLines="100"/>
        <w:ind w:firstLine="640" w:firstLineChars="200"/>
        <w:jc w:val="center"/>
        <w:rPr>
          <w:rFonts w:hint="eastAsia" w:ascii="Times New Roman"/>
          <w:b/>
          <w:color w:val="auto"/>
          <w:sz w:val="28"/>
          <w:szCs w:val="21"/>
          <w:highlight w:val="none"/>
        </w:rPr>
      </w:pPr>
      <w:bookmarkStart w:id="1310" w:name="_Toc421917018"/>
      <w:bookmarkStart w:id="1311" w:name="_Toc460660258"/>
      <w:bookmarkStart w:id="1312" w:name="_Toc460227143"/>
      <w:bookmarkStart w:id="1313" w:name="_Toc535241146"/>
      <w:bookmarkStart w:id="1314" w:name="_Toc390411637"/>
      <w:bookmarkStart w:id="1315" w:name="_Toc224103503"/>
      <w:r>
        <w:rPr>
          <w:rFonts w:hint="eastAsia" w:ascii="Times New Roman" w:eastAsia="Times New Roman"/>
          <w:color w:val="auto"/>
          <w:sz w:val="32"/>
          <w:szCs w:val="32"/>
          <w:highlight w:val="none"/>
        </w:rPr>
        <w:br w:type="page"/>
      </w:r>
      <w:r>
        <w:rPr>
          <w:rFonts w:hint="eastAsia" w:ascii="Times New Roman"/>
          <w:b/>
          <w:color w:val="auto"/>
          <w:sz w:val="28"/>
          <w:szCs w:val="21"/>
          <w:highlight w:val="none"/>
        </w:rPr>
        <w:t>目  录</w:t>
      </w:r>
    </w:p>
    <w:p w14:paraId="330FAC6A">
      <w:pPr>
        <w:spacing w:beforeLines="0" w:afterLines="0" w:line="360" w:lineRule="auto"/>
        <w:ind w:firstLine="480" w:firstLineChars="200"/>
        <w:rPr>
          <w:rFonts w:hint="eastAsia" w:ascii="Times New Roman"/>
          <w:color w:val="auto"/>
          <w:sz w:val="24"/>
          <w:szCs w:val="21"/>
          <w:highlight w:val="none"/>
        </w:rPr>
      </w:pPr>
      <w:bookmarkStart w:id="1316" w:name="_Toc128950285"/>
      <w:r>
        <w:rPr>
          <w:rFonts w:hint="eastAsia" w:ascii="Times New Roman"/>
          <w:color w:val="auto"/>
          <w:sz w:val="24"/>
          <w:szCs w:val="21"/>
          <w:highlight w:val="none"/>
        </w:rPr>
        <w:t>一、施工组织设计</w:t>
      </w:r>
      <w:bookmarkEnd w:id="1316"/>
    </w:p>
    <w:p w14:paraId="3A7767E6">
      <w:pPr>
        <w:spacing w:beforeLines="0" w:afterLines="0" w:line="360" w:lineRule="auto"/>
        <w:ind w:firstLine="480" w:firstLineChars="200"/>
        <w:rPr>
          <w:rFonts w:hint="eastAsia" w:ascii="Times New Roman"/>
          <w:color w:val="auto"/>
          <w:sz w:val="24"/>
          <w:szCs w:val="21"/>
          <w:highlight w:val="none"/>
        </w:rPr>
      </w:pPr>
      <w:bookmarkStart w:id="1317" w:name="_Toc128950287"/>
      <w:r>
        <w:rPr>
          <w:rFonts w:hint="eastAsia" w:ascii="Times New Roman"/>
          <w:color w:val="auto"/>
          <w:sz w:val="24"/>
          <w:szCs w:val="21"/>
          <w:highlight w:val="none"/>
        </w:rPr>
        <w:t>二、其他内容</w:t>
      </w:r>
      <w:bookmarkEnd w:id="1317"/>
    </w:p>
    <w:p w14:paraId="31F8B165">
      <w:pPr>
        <w:pStyle w:val="4"/>
        <w:spacing w:before="240" w:beforeLines="100" w:after="240" w:afterLines="100" w:line="240" w:lineRule="auto"/>
        <w:jc w:val="center"/>
        <w:rPr>
          <w:rFonts w:hint="eastAsia" w:ascii="Times New Roman" w:hAnsi="Times New Roman"/>
          <w:color w:val="auto"/>
          <w:sz w:val="24"/>
          <w:szCs w:val="24"/>
          <w:highlight w:val="none"/>
        </w:rPr>
      </w:pPr>
      <w:r>
        <w:rPr>
          <w:rFonts w:hint="eastAsia" w:ascii="Times New Roman" w:hAnsi="Times New Roman" w:eastAsia="Times New Roman"/>
          <w:color w:val="auto"/>
          <w:sz w:val="32"/>
          <w:szCs w:val="32"/>
          <w:highlight w:val="none"/>
        </w:rPr>
        <w:br w:type="page"/>
      </w:r>
      <w:bookmarkEnd w:id="1310"/>
      <w:bookmarkEnd w:id="1311"/>
      <w:bookmarkEnd w:id="1312"/>
      <w:bookmarkEnd w:id="1313"/>
      <w:bookmarkEnd w:id="1314"/>
      <w:bookmarkStart w:id="1318" w:name="_Toc16075"/>
      <w:bookmarkStart w:id="1319" w:name="_Toc390411640"/>
      <w:bookmarkStart w:id="1320" w:name="_Toc18818"/>
      <w:bookmarkStart w:id="1321" w:name="_Toc9008"/>
      <w:bookmarkStart w:id="1322" w:name="_Toc535241149"/>
      <w:bookmarkStart w:id="1323" w:name="_Toc460227146"/>
      <w:bookmarkStart w:id="1324" w:name="_Toc4372"/>
      <w:bookmarkStart w:id="1325" w:name="_Toc6971"/>
      <w:bookmarkStart w:id="1326" w:name="_Toc460660261"/>
      <w:bookmarkStart w:id="1327" w:name="_Toc19322"/>
      <w:bookmarkStart w:id="1328" w:name="_Toc421917021"/>
      <w:bookmarkStart w:id="1329" w:name="_Toc29620"/>
      <w:bookmarkStart w:id="1330" w:name="_Toc6329"/>
      <w:bookmarkStart w:id="1331" w:name="_Toc14708"/>
      <w:bookmarkStart w:id="1332" w:name="_Toc460660259"/>
      <w:bookmarkStart w:id="1333" w:name="_Toc421917019"/>
      <w:bookmarkStart w:id="1334" w:name="_Toc460227144"/>
      <w:bookmarkStart w:id="1335" w:name="_Toc390411638"/>
      <w:bookmarkStart w:id="1336" w:name="_Toc535241147"/>
      <w:r>
        <w:rPr>
          <w:rFonts w:hint="eastAsia" w:ascii="Times New Roman" w:hAnsi="Times New Roman"/>
          <w:color w:val="auto"/>
          <w:sz w:val="24"/>
          <w:szCs w:val="24"/>
          <w:highlight w:val="none"/>
        </w:rPr>
        <w:t>一、施工组织设计</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285D618C">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1.投标人应根据对现场的踏勘情况（如有）及本招标文件评标办法关于施工组织设计的评审因素，采用文字并结合图表形式编制。</w:t>
      </w:r>
    </w:p>
    <w:p w14:paraId="63B6B61A">
      <w:pPr>
        <w:spacing w:beforeLines="0" w:afterLines="0" w:line="360" w:lineRule="auto"/>
        <w:ind w:firstLine="480" w:firstLineChars="200"/>
        <w:rPr>
          <w:rFonts w:hint="eastAsia" w:ascii="Times New Roman"/>
          <w:color w:val="auto"/>
          <w:sz w:val="24"/>
          <w:szCs w:val="21"/>
          <w:highlight w:val="none"/>
          <w:u w:val="single"/>
        </w:rPr>
      </w:pPr>
      <w:r>
        <w:rPr>
          <w:rFonts w:hint="eastAsia" w:ascii="Times New Roman"/>
          <w:color w:val="auto"/>
          <w:sz w:val="24"/>
          <w:szCs w:val="21"/>
          <w:highlight w:val="none"/>
        </w:rPr>
        <w:t>2.</w:t>
      </w:r>
      <w:r>
        <w:rPr>
          <w:rFonts w:hint="eastAsia" w:ascii="Times New Roman"/>
          <w:color w:val="auto"/>
          <w:sz w:val="24"/>
          <w:szCs w:val="21"/>
          <w:highlight w:val="none"/>
          <w:u w:val="single"/>
        </w:rPr>
        <w:t>……</w:t>
      </w:r>
      <w:bookmarkEnd w:id="1315"/>
      <w:bookmarkEnd w:id="1332"/>
      <w:bookmarkEnd w:id="1333"/>
      <w:bookmarkEnd w:id="1334"/>
      <w:bookmarkEnd w:id="1335"/>
      <w:bookmarkEnd w:id="1336"/>
      <w:bookmarkStart w:id="1337" w:name="_Toc20196"/>
      <w:bookmarkStart w:id="1338" w:name="_Toc390411641"/>
      <w:bookmarkStart w:id="1339" w:name="_Toc19083"/>
      <w:bookmarkStart w:id="1340" w:name="_Toc460660268"/>
      <w:bookmarkStart w:id="1341" w:name="_Toc5939"/>
      <w:bookmarkStart w:id="1342" w:name="_Toc8515"/>
      <w:bookmarkStart w:id="1343" w:name="_Toc6340"/>
      <w:bookmarkStart w:id="1344" w:name="_Toc535241090"/>
      <w:bookmarkStart w:id="1345" w:name="_Toc421917022"/>
      <w:bookmarkStart w:id="1346" w:name="_Toc535241233"/>
      <w:bookmarkStart w:id="1347" w:name="_Toc8361"/>
      <w:bookmarkStart w:id="1348" w:name="_Toc29551"/>
      <w:bookmarkStart w:id="1349" w:name="_Toc31411"/>
      <w:bookmarkStart w:id="1350" w:name="_Toc6436"/>
      <w:bookmarkStart w:id="1351" w:name="_Toc535241156"/>
      <w:bookmarkStart w:id="1352" w:name="_Toc460227153"/>
    </w:p>
    <w:p w14:paraId="76ECE34B">
      <w:pPr>
        <w:pStyle w:val="4"/>
        <w:spacing w:before="240" w:beforeLines="100" w:after="240" w:afterLines="100" w:line="240" w:lineRule="auto"/>
        <w:jc w:val="center"/>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br w:type="page"/>
      </w:r>
      <w:r>
        <w:rPr>
          <w:rFonts w:hint="eastAsia" w:ascii="Times New Roman" w:hAnsi="Times New Roman"/>
          <w:color w:val="auto"/>
          <w:sz w:val="24"/>
          <w:szCs w:val="24"/>
          <w:highlight w:val="none"/>
        </w:rPr>
        <w:t>二、其他内容</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5940C6EF">
      <w:pPr>
        <w:tabs>
          <w:tab w:val="left" w:pos="2580"/>
          <w:tab w:val="left" w:pos="5940"/>
        </w:tabs>
        <w:autoSpaceDE w:val="0"/>
        <w:autoSpaceDN w:val="0"/>
        <w:adjustRightInd w:val="0"/>
        <w:snapToGrid w:val="0"/>
        <w:spacing w:beforeLines="0" w:afterLines="0" w:line="400" w:lineRule="exact"/>
        <w:ind w:firstLine="456" w:firstLineChars="200"/>
        <w:jc w:val="center"/>
        <w:rPr>
          <w:rFonts w:hint="eastAsia" w:ascii="Times New Roman"/>
          <w:color w:val="auto"/>
          <w:spacing w:val="-6"/>
          <w:sz w:val="24"/>
          <w:szCs w:val="21"/>
          <w:highlight w:val="none"/>
        </w:rPr>
      </w:pPr>
      <w:r>
        <w:rPr>
          <w:rFonts w:hint="eastAsia" w:ascii="Times New Roman"/>
          <w:color w:val="auto"/>
          <w:spacing w:val="-6"/>
          <w:sz w:val="24"/>
          <w:szCs w:val="21"/>
          <w:highlight w:val="none"/>
        </w:rPr>
        <w:t>投标人根据自身情况可以自行增加相关内容，如无，本节可以不附。</w:t>
      </w:r>
    </w:p>
    <w:p w14:paraId="75F6D326">
      <w:pPr>
        <w:tabs>
          <w:tab w:val="left" w:pos="2580"/>
          <w:tab w:val="left" w:pos="5940"/>
        </w:tabs>
        <w:autoSpaceDE w:val="0"/>
        <w:autoSpaceDN w:val="0"/>
        <w:adjustRightInd w:val="0"/>
        <w:snapToGrid w:val="0"/>
        <w:spacing w:before="480" w:beforeLines="200" w:afterLines="0" w:line="360" w:lineRule="auto"/>
        <w:jc w:val="center"/>
        <w:rPr>
          <w:rFonts w:hint="eastAsia" w:ascii="Times New Roman"/>
          <w:b/>
          <w:color w:val="auto"/>
          <w:sz w:val="44"/>
          <w:szCs w:val="44"/>
          <w:highlight w:val="none"/>
        </w:rPr>
      </w:pPr>
      <w:r>
        <w:rPr>
          <w:rFonts w:hint="eastAsia" w:ascii="Times New Roman" w:eastAsia="黑体"/>
          <w:color w:val="auto"/>
          <w:sz w:val="28"/>
          <w:szCs w:val="28"/>
          <w:highlight w:val="none"/>
          <w:u w:val="single"/>
        </w:rPr>
        <w:br w:type="page"/>
      </w:r>
      <w:bookmarkStart w:id="1353" w:name="_Toc128950288"/>
      <w:r>
        <w:rPr>
          <w:rFonts w:hint="eastAsia" w:ascii="Times New Roman"/>
          <w:b/>
          <w:color w:val="auto"/>
          <w:sz w:val="44"/>
          <w:szCs w:val="44"/>
          <w:highlight w:val="none"/>
          <w:u w:val="single"/>
        </w:rPr>
        <w:t>（招标项目名称）</w:t>
      </w:r>
      <w:r>
        <w:rPr>
          <w:rFonts w:hint="eastAsia" w:ascii="Times New Roman"/>
          <w:color w:val="auto"/>
          <w:sz w:val="44"/>
          <w:szCs w:val="44"/>
          <w:highlight w:val="none"/>
        </w:rPr>
        <w:t xml:space="preserve"> </w:t>
      </w:r>
      <w:r>
        <w:rPr>
          <w:rFonts w:hint="eastAsia" w:ascii="Times New Roman"/>
          <w:color w:val="auto"/>
          <w:sz w:val="44"/>
          <w:szCs w:val="44"/>
          <w:highlight w:val="none"/>
          <w:u w:val="single"/>
        </w:rPr>
        <w:t xml:space="preserve">    /  </w:t>
      </w:r>
      <w:r>
        <w:rPr>
          <w:rFonts w:hint="eastAsia" w:ascii="Times New Roman"/>
          <w:b/>
          <w:color w:val="auto"/>
          <w:sz w:val="44"/>
          <w:szCs w:val="44"/>
          <w:highlight w:val="none"/>
        </w:rPr>
        <w:t>标段招标</w:t>
      </w:r>
      <w:bookmarkEnd w:id="1353"/>
    </w:p>
    <w:p w14:paraId="4111422E">
      <w:pPr>
        <w:pStyle w:val="3"/>
        <w:spacing w:before="1200" w:beforeLines="500" w:after="240" w:afterLines="100" w:line="240" w:lineRule="auto"/>
        <w:jc w:val="center"/>
        <w:rPr>
          <w:rFonts w:hint="eastAsia" w:ascii="Times New Roman" w:hAnsi="Times New Roman" w:eastAsia="黑体"/>
          <w:b w:val="0"/>
          <w:color w:val="auto"/>
          <w:sz w:val="44"/>
          <w:szCs w:val="44"/>
          <w:highlight w:val="none"/>
        </w:rPr>
      </w:pPr>
      <w:bookmarkStart w:id="1354" w:name="_Toc19172"/>
      <w:bookmarkStart w:id="1355" w:name="_Toc7747"/>
      <w:r>
        <w:rPr>
          <w:rFonts w:hint="eastAsia" w:ascii="Times New Roman" w:hAnsi="Times New Roman" w:eastAsia="黑体"/>
          <w:b w:val="0"/>
          <w:color w:val="auto"/>
          <w:sz w:val="44"/>
          <w:szCs w:val="44"/>
          <w:highlight w:val="none"/>
        </w:rPr>
        <w:t>投标文件</w:t>
      </w:r>
      <w:bookmarkEnd w:id="1354"/>
    </w:p>
    <w:p w14:paraId="7E118266">
      <w:pPr>
        <w:pStyle w:val="3"/>
        <w:spacing w:beforeLines="0" w:afterLines="0"/>
        <w:jc w:val="center"/>
        <w:rPr>
          <w:rFonts w:hint="eastAsia" w:ascii="Times New Roman" w:hAnsi="Times New Roman" w:eastAsia="黑体"/>
          <w:b w:val="0"/>
          <w:color w:val="auto"/>
          <w:sz w:val="32"/>
          <w:szCs w:val="32"/>
          <w:highlight w:val="none"/>
        </w:rPr>
      </w:pPr>
      <w:bookmarkStart w:id="1356" w:name="_Toc13039"/>
      <w:r>
        <w:rPr>
          <w:rFonts w:hint="eastAsia" w:ascii="Times New Roman" w:hAnsi="Times New Roman" w:eastAsia="黑体"/>
          <w:b w:val="0"/>
          <w:color w:val="auto"/>
          <w:sz w:val="32"/>
          <w:szCs w:val="32"/>
          <w:highlight w:val="none"/>
        </w:rPr>
        <w:t>（报价文件）</w:t>
      </w:r>
      <w:bookmarkEnd w:id="1355"/>
      <w:bookmarkEnd w:id="1356"/>
    </w:p>
    <w:p w14:paraId="4D241544">
      <w:pPr>
        <w:spacing w:before="7200" w:beforeLines="3000" w:afterLines="0" w:line="480" w:lineRule="auto"/>
        <w:jc w:val="center"/>
        <w:rPr>
          <w:rFonts w:hint="eastAsia" w:ascii="Times New Roman" w:eastAsia="黑体"/>
          <w:color w:val="auto"/>
          <w:sz w:val="28"/>
          <w:szCs w:val="28"/>
          <w:highlight w:val="none"/>
        </w:rPr>
      </w:pPr>
      <w:bookmarkStart w:id="1357" w:name="_Toc9461"/>
      <w:bookmarkStart w:id="1358" w:name="_Toc28590"/>
      <w:bookmarkStart w:id="1359" w:name="_Toc11104"/>
      <w:bookmarkStart w:id="1360" w:name="_Toc19468"/>
      <w:bookmarkStart w:id="1361" w:name="_Toc128950291"/>
      <w:r>
        <w:rPr>
          <w:rFonts w:hint="eastAsia" w:ascii="Times New Roman" w:eastAsia="黑体"/>
          <w:color w:val="auto"/>
          <w:sz w:val="28"/>
          <w:szCs w:val="28"/>
          <w:highlight w:val="none"/>
        </w:rPr>
        <w:t>投标人：</w:t>
      </w:r>
      <w:r>
        <w:rPr>
          <w:rFonts w:hint="eastAsia" w:ascii="Times New Roman" w:eastAsia="黑体"/>
          <w:color w:val="auto"/>
          <w:sz w:val="28"/>
          <w:szCs w:val="28"/>
          <w:highlight w:val="none"/>
          <w:u w:val="single"/>
        </w:rPr>
        <w:t xml:space="preserve">                               </w:t>
      </w:r>
      <w:r>
        <w:rPr>
          <w:rFonts w:hint="eastAsia" w:ascii="Times New Roman" w:eastAsia="黑体"/>
          <w:color w:val="auto"/>
          <w:sz w:val="28"/>
          <w:szCs w:val="28"/>
          <w:highlight w:val="none"/>
        </w:rPr>
        <w:t>（盖单位章）</w:t>
      </w:r>
      <w:bookmarkEnd w:id="1357"/>
      <w:bookmarkEnd w:id="1358"/>
      <w:bookmarkEnd w:id="1359"/>
      <w:bookmarkEnd w:id="1360"/>
      <w:bookmarkEnd w:id="1361"/>
    </w:p>
    <w:p w14:paraId="5ACA8E69">
      <w:pPr>
        <w:tabs>
          <w:tab w:val="left" w:pos="3280"/>
          <w:tab w:val="left" w:pos="4680"/>
          <w:tab w:val="left" w:pos="6080"/>
        </w:tabs>
        <w:autoSpaceDE w:val="0"/>
        <w:autoSpaceDN w:val="0"/>
        <w:adjustRightInd w:val="0"/>
        <w:snapToGrid w:val="0"/>
        <w:spacing w:beforeLines="0" w:afterLines="0" w:line="480" w:lineRule="auto"/>
        <w:jc w:val="center"/>
        <w:rPr>
          <w:rFonts w:hint="eastAsia" w:ascii="Times New Roman"/>
          <w:b/>
          <w:color w:val="auto"/>
          <w:sz w:val="28"/>
          <w:szCs w:val="22"/>
          <w:highlight w:val="none"/>
        </w:rPr>
      </w:pPr>
      <w:bookmarkStart w:id="1362" w:name="_Toc9542"/>
      <w:bookmarkStart w:id="1363" w:name="_Toc128950292"/>
      <w:bookmarkStart w:id="1364" w:name="_Toc2813"/>
      <w:bookmarkStart w:id="1365" w:name="_Toc27697"/>
      <w:bookmarkStart w:id="1366" w:name="_Toc30859"/>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年</w:t>
      </w:r>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月</w:t>
      </w:r>
      <w:r>
        <w:rPr>
          <w:rFonts w:hint="eastAsia" w:ascii="Times New Roman" w:eastAsia="Times New Roman"/>
          <w:color w:val="auto"/>
          <w:sz w:val="28"/>
          <w:szCs w:val="28"/>
          <w:highlight w:val="none"/>
          <w:u w:val="single"/>
        </w:rPr>
        <w:t xml:space="preserve">   </w:t>
      </w:r>
      <w:r>
        <w:rPr>
          <w:rFonts w:hint="eastAsia" w:ascii="Times New Roman" w:eastAsia="黑体"/>
          <w:color w:val="auto"/>
          <w:sz w:val="28"/>
          <w:szCs w:val="28"/>
          <w:highlight w:val="none"/>
        </w:rPr>
        <w:t>日</w:t>
      </w:r>
      <w:bookmarkEnd w:id="1362"/>
      <w:bookmarkEnd w:id="1363"/>
      <w:bookmarkEnd w:id="1364"/>
      <w:bookmarkEnd w:id="1365"/>
      <w:bookmarkEnd w:id="1366"/>
    </w:p>
    <w:p w14:paraId="22FADFB4">
      <w:pPr>
        <w:spacing w:before="240" w:beforeLines="100" w:after="240" w:afterLines="100" w:line="360" w:lineRule="auto"/>
        <w:ind w:firstLine="480" w:firstLineChars="200"/>
        <w:jc w:val="center"/>
        <w:rPr>
          <w:rFonts w:hint="eastAsia" w:ascii="Times New Roman"/>
          <w:b/>
          <w:color w:val="auto"/>
          <w:sz w:val="28"/>
          <w:szCs w:val="21"/>
          <w:highlight w:val="none"/>
        </w:rPr>
      </w:pPr>
      <w:bookmarkStart w:id="1367" w:name="_Toc460660235"/>
      <w:bookmarkStart w:id="1368" w:name="_Toc390411631"/>
      <w:bookmarkStart w:id="1369" w:name="_Toc460227120"/>
      <w:bookmarkStart w:id="1370" w:name="_Toc421917012"/>
      <w:r>
        <w:rPr>
          <w:rFonts w:hint="eastAsia" w:ascii="Times New Roman"/>
          <w:color w:val="auto"/>
          <w:sz w:val="24"/>
          <w:szCs w:val="24"/>
          <w:highlight w:val="none"/>
        </w:rPr>
        <w:br w:type="page"/>
      </w:r>
      <w:r>
        <w:rPr>
          <w:rFonts w:hint="eastAsia" w:ascii="Times New Roman"/>
          <w:b/>
          <w:color w:val="auto"/>
          <w:sz w:val="28"/>
          <w:szCs w:val="21"/>
          <w:highlight w:val="none"/>
        </w:rPr>
        <w:t>目  录</w:t>
      </w:r>
    </w:p>
    <w:p w14:paraId="3FD3E158">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一、投标函</w:t>
      </w:r>
    </w:p>
    <w:p w14:paraId="2A16E7FB">
      <w:pPr>
        <w:spacing w:beforeLines="0" w:afterLines="0" w:line="360" w:lineRule="auto"/>
        <w:ind w:firstLine="480" w:firstLineChars="200"/>
        <w:rPr>
          <w:rFonts w:hint="eastAsia" w:ascii="Times New Roman"/>
          <w:color w:val="auto"/>
          <w:sz w:val="24"/>
          <w:szCs w:val="21"/>
          <w:highlight w:val="none"/>
        </w:rPr>
      </w:pPr>
      <w:r>
        <w:rPr>
          <w:rFonts w:hint="eastAsia" w:ascii="Times New Roman"/>
          <w:color w:val="auto"/>
          <w:sz w:val="24"/>
          <w:szCs w:val="21"/>
          <w:highlight w:val="none"/>
        </w:rPr>
        <w:t>二、工程量清单报价书</w:t>
      </w:r>
    </w:p>
    <w:p w14:paraId="08CD5837">
      <w:pPr>
        <w:pStyle w:val="4"/>
        <w:spacing w:before="240" w:beforeLines="100" w:after="240" w:afterLines="100" w:line="240" w:lineRule="auto"/>
        <w:jc w:val="center"/>
        <w:rPr>
          <w:rFonts w:hint="eastAsia" w:ascii="Times New Roman" w:hAnsi="Times New Roman"/>
          <w:color w:val="auto"/>
          <w:sz w:val="24"/>
          <w:szCs w:val="24"/>
          <w:highlight w:val="none"/>
        </w:rPr>
      </w:pPr>
      <w:bookmarkStart w:id="1371" w:name="_Toc16012"/>
      <w:bookmarkStart w:id="1372" w:name="_Toc20295"/>
      <w:bookmarkStart w:id="1373" w:name="_Toc4869"/>
      <w:bookmarkStart w:id="1374" w:name="_Toc14679"/>
      <w:r>
        <w:rPr>
          <w:rFonts w:hint="eastAsia" w:ascii="Times New Roman" w:hAnsi="Times New Roman"/>
          <w:color w:val="auto"/>
          <w:sz w:val="24"/>
          <w:szCs w:val="24"/>
          <w:highlight w:val="none"/>
        </w:rPr>
        <w:br w:type="page"/>
      </w:r>
      <w:bookmarkStart w:id="1375" w:name="_Toc7926"/>
      <w:bookmarkStart w:id="1376" w:name="_Toc31835"/>
      <w:r>
        <w:rPr>
          <w:rFonts w:hint="eastAsia" w:ascii="Times New Roman" w:hAnsi="Times New Roman"/>
          <w:color w:val="auto"/>
          <w:sz w:val="24"/>
          <w:szCs w:val="24"/>
          <w:highlight w:val="none"/>
        </w:rPr>
        <w:t>一、投标函</w:t>
      </w:r>
      <w:bookmarkEnd w:id="1367"/>
      <w:bookmarkEnd w:id="1368"/>
      <w:bookmarkEnd w:id="1369"/>
      <w:bookmarkEnd w:id="1370"/>
      <w:bookmarkEnd w:id="1371"/>
      <w:bookmarkEnd w:id="1372"/>
      <w:bookmarkEnd w:id="1373"/>
      <w:bookmarkEnd w:id="1374"/>
      <w:bookmarkEnd w:id="1375"/>
      <w:bookmarkEnd w:id="1376"/>
    </w:p>
    <w:p w14:paraId="55902D0E">
      <w:pPr>
        <w:adjustRightInd w:val="0"/>
        <w:snapToGrid w:val="0"/>
        <w:spacing w:before="48" w:beforeLines="20" w:after="48" w:afterLines="20" w:line="400" w:lineRule="exact"/>
        <w:rPr>
          <w:rFonts w:hint="eastAsia" w:ascii="Times New Roman"/>
          <w:color w:val="auto"/>
          <w:sz w:val="24"/>
          <w:szCs w:val="22"/>
          <w:highlight w:val="none"/>
          <w:u w:val="single"/>
        </w:rPr>
      </w:pPr>
      <w:r>
        <w:rPr>
          <w:rFonts w:hint="eastAsia" w:ascii="Times New Roman" w:cs="宋体"/>
          <w:color w:val="auto"/>
          <w:sz w:val="24"/>
          <w:szCs w:val="24"/>
          <w:highlight w:val="none"/>
        </w:rPr>
        <w:t>致：</w:t>
      </w:r>
      <w:r>
        <w:rPr>
          <w:rFonts w:hint="eastAsia" w:ascii="Times New Roman" w:cs="宋体"/>
          <w:color w:val="auto"/>
          <w:sz w:val="24"/>
          <w:szCs w:val="24"/>
          <w:highlight w:val="none"/>
          <w:u w:val="single"/>
        </w:rPr>
        <w:t>（招标人）</w:t>
      </w:r>
    </w:p>
    <w:p w14:paraId="6480F63E">
      <w:pPr>
        <w:tabs>
          <w:tab w:val="left" w:pos="7560"/>
        </w:tabs>
        <w:adjustRightInd w:val="0"/>
        <w:snapToGrid w:val="0"/>
        <w:spacing w:before="48" w:beforeLines="20" w:after="48" w:afterLines="20" w:line="400" w:lineRule="exact"/>
        <w:ind w:firstLine="480" w:firstLineChars="200"/>
        <w:jc w:val="left"/>
        <w:rPr>
          <w:rFonts w:hint="eastAsia" w:ascii="Times New Roman"/>
          <w:color w:val="auto"/>
          <w:sz w:val="24"/>
          <w:szCs w:val="22"/>
          <w:highlight w:val="none"/>
          <w:u w:val="single"/>
        </w:rPr>
      </w:pPr>
      <w:r>
        <w:rPr>
          <w:rFonts w:hint="eastAsia" w:ascii="Times New Roman"/>
          <w:color w:val="auto"/>
          <w:sz w:val="24"/>
          <w:szCs w:val="22"/>
          <w:highlight w:val="none"/>
        </w:rPr>
        <w:t>1. 我方已仔细研究</w:t>
      </w:r>
      <w:r>
        <w:rPr>
          <w:rFonts w:hint="eastAsia" w:ascii="Times New Roman"/>
          <w:color w:val="auto"/>
          <w:sz w:val="24"/>
          <w:szCs w:val="22"/>
          <w:highlight w:val="none"/>
          <w:u w:val="single"/>
        </w:rPr>
        <w:t>（招标项目名称）</w:t>
      </w:r>
      <w:r>
        <w:rPr>
          <w:rFonts w:hint="eastAsia" w:ascii="Times New Roman"/>
          <w:color w:val="auto"/>
          <w:sz w:val="24"/>
          <w:szCs w:val="22"/>
          <w:highlight w:val="none"/>
        </w:rPr>
        <w:t xml:space="preserve"> </w:t>
      </w:r>
      <w:r>
        <w:rPr>
          <w:rFonts w:hint="eastAsia" w:ascii="Times New Roman"/>
          <w:color w:val="auto"/>
          <w:sz w:val="24"/>
          <w:szCs w:val="22"/>
          <w:highlight w:val="none"/>
          <w:u w:val="single"/>
        </w:rPr>
        <w:t xml:space="preserve">  /    </w:t>
      </w:r>
      <w:r>
        <w:rPr>
          <w:rFonts w:hint="eastAsia" w:ascii="Times New Roman"/>
          <w:color w:val="auto"/>
          <w:sz w:val="24"/>
          <w:szCs w:val="22"/>
          <w:highlight w:val="none"/>
        </w:rPr>
        <w:t>标段招标文件的全部内容，在考察工程现场后，愿意以人民币（大写）</w:t>
      </w:r>
      <w:r>
        <w:rPr>
          <w:rFonts w:hint="eastAsia" w:ascii="Times New Roman"/>
          <w:color w:val="auto"/>
          <w:sz w:val="24"/>
          <w:szCs w:val="22"/>
          <w:highlight w:val="none"/>
          <w:u w:val="single"/>
        </w:rPr>
        <w:t xml:space="preserve">      </w:t>
      </w:r>
      <w:r>
        <w:rPr>
          <w:rFonts w:hint="eastAsia" w:ascii="Times New Roman"/>
          <w:color w:val="auto"/>
          <w:sz w:val="24"/>
          <w:szCs w:val="22"/>
          <w:highlight w:val="none"/>
        </w:rPr>
        <w:t>（¥</w:t>
      </w:r>
      <w:r>
        <w:rPr>
          <w:rFonts w:hint="eastAsia" w:ascii="Times New Roman"/>
          <w:color w:val="auto"/>
          <w:sz w:val="24"/>
          <w:szCs w:val="22"/>
          <w:highlight w:val="none"/>
          <w:u w:val="single"/>
        </w:rPr>
        <w:t xml:space="preserve">      </w:t>
      </w:r>
      <w:r>
        <w:rPr>
          <w:rFonts w:hint="eastAsia" w:ascii="Times New Roman"/>
          <w:color w:val="auto"/>
          <w:sz w:val="24"/>
          <w:szCs w:val="22"/>
          <w:highlight w:val="none"/>
        </w:rPr>
        <w:t>元）的投标总报价，按照合同约定实施和完成承包工程，修补工程中的任何缺陷。</w:t>
      </w:r>
    </w:p>
    <w:p w14:paraId="595674F4">
      <w:pPr>
        <w:adjustRightInd w:val="0"/>
        <w:snapToGrid w:val="0"/>
        <w:spacing w:before="48" w:beforeLines="20" w:after="48" w:afterLines="20" w:line="400" w:lineRule="exact"/>
        <w:ind w:firstLine="420" w:firstLineChars="175"/>
        <w:rPr>
          <w:rFonts w:hint="eastAsia" w:ascii="Times New Roman"/>
          <w:color w:val="auto"/>
          <w:sz w:val="24"/>
          <w:szCs w:val="32"/>
          <w:highlight w:val="none"/>
        </w:rPr>
      </w:pPr>
      <w:r>
        <w:rPr>
          <w:rFonts w:hint="eastAsia" w:ascii="Times New Roman"/>
          <w:color w:val="auto"/>
          <w:sz w:val="24"/>
          <w:szCs w:val="32"/>
          <w:highlight w:val="none"/>
        </w:rPr>
        <w:t>2. 我方已按照招标文件要求详细审核并确认全部招标文件及有关附件，充分理解投标价格不得低于企业个别成本有关规定。我方经成本核算，所填报的投标报价不低于企业个别成本。</w:t>
      </w:r>
    </w:p>
    <w:p w14:paraId="652F638F">
      <w:pPr>
        <w:adjustRightInd w:val="0"/>
        <w:snapToGrid w:val="0"/>
        <w:spacing w:before="48" w:beforeLines="20" w:after="48" w:afterLines="20" w:line="400" w:lineRule="exact"/>
        <w:ind w:firstLine="420" w:firstLineChars="175"/>
        <w:rPr>
          <w:rFonts w:hint="eastAsia" w:ascii="Times New Roman"/>
          <w:color w:val="auto"/>
          <w:sz w:val="24"/>
          <w:szCs w:val="32"/>
          <w:highlight w:val="none"/>
        </w:rPr>
      </w:pPr>
      <w:r>
        <w:rPr>
          <w:rFonts w:hint="eastAsia" w:ascii="Times New Roman"/>
          <w:color w:val="auto"/>
          <w:sz w:val="24"/>
          <w:szCs w:val="32"/>
          <w:highlight w:val="none"/>
        </w:rPr>
        <w:t xml:space="preserve">3. </w:t>
      </w:r>
      <w:r>
        <w:rPr>
          <w:rFonts w:hint="eastAsia" w:ascii="Times New Roman"/>
          <w:color w:val="auto"/>
          <w:sz w:val="24"/>
          <w:szCs w:val="22"/>
          <w:highlight w:val="none"/>
          <w:u w:val="single"/>
        </w:rPr>
        <w:t xml:space="preserve">      </w:t>
      </w:r>
      <w:r>
        <w:rPr>
          <w:rFonts w:hint="eastAsia" w:ascii="Times New Roman"/>
          <w:snapToGrid w:val="0"/>
          <w:color w:val="auto"/>
          <w:sz w:val="24"/>
          <w:szCs w:val="21"/>
          <w:highlight w:val="none"/>
        </w:rPr>
        <w:t>（其他补充说明）。</w:t>
      </w:r>
    </w:p>
    <w:p w14:paraId="2B2C39E8">
      <w:pPr>
        <w:adjustRightInd w:val="0"/>
        <w:snapToGrid w:val="0"/>
        <w:spacing w:before="48" w:beforeLines="20" w:after="48" w:afterLines="20" w:line="400" w:lineRule="exact"/>
        <w:ind w:firstLine="420" w:firstLineChars="175"/>
        <w:rPr>
          <w:rFonts w:hint="eastAsia" w:ascii="Times New Roman"/>
          <w:color w:val="auto"/>
          <w:sz w:val="24"/>
          <w:szCs w:val="21"/>
          <w:highlight w:val="none"/>
        </w:rPr>
      </w:pPr>
    </w:p>
    <w:p w14:paraId="163C5140">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2CFC41D9">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z w:val="24"/>
          <w:szCs w:val="21"/>
          <w:highlight w:val="none"/>
        </w:rPr>
        <w:t>法定代表人：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（签字或盖章）</w:t>
      </w:r>
    </w:p>
    <w:p w14:paraId="4EEC6F5B">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575C8238">
      <w:pPr>
        <w:spacing w:before="240" w:beforeLines="100" w:after="240" w:afterLines="100" w:line="240" w:lineRule="auto"/>
        <w:jc w:val="center"/>
        <w:outlineLvl w:val="9"/>
        <w:rPr>
          <w:rFonts w:hint="eastAsia"/>
          <w:color w:val="auto"/>
          <w:sz w:val="32"/>
          <w:szCs w:val="32"/>
          <w:highlight w:val="none"/>
        </w:rPr>
      </w:pPr>
      <w:bookmarkStart w:id="1377" w:name="_Toc460660237"/>
      <w:bookmarkStart w:id="1378" w:name="_Toc421917014"/>
      <w:bookmarkStart w:id="1379" w:name="_Toc460227122"/>
    </w:p>
    <w:p w14:paraId="56F1B4CB">
      <w:pPr>
        <w:pStyle w:val="4"/>
        <w:spacing w:before="240" w:beforeLines="100" w:after="240" w:afterLines="100" w:line="240" w:lineRule="auto"/>
        <w:rPr>
          <w:rFonts w:hint="eastAsia" w:ascii="Times New Roman" w:hAnsi="Times New Roman"/>
          <w:color w:val="auto"/>
          <w:sz w:val="24"/>
          <w:szCs w:val="24"/>
          <w:highlight w:val="none"/>
        </w:rPr>
      </w:pPr>
      <w:r>
        <w:rPr>
          <w:rFonts w:hint="eastAsia"/>
          <w:color w:val="auto"/>
          <w:sz w:val="32"/>
          <w:szCs w:val="32"/>
          <w:highlight w:val="none"/>
        </w:rPr>
        <w:t>投标文件制作软件中“投标函”（报价文件）中的内容与招标文件本项“投标函”部分内容不一致，且无法更改，两者均可。</w:t>
      </w:r>
      <w:r>
        <w:rPr>
          <w:rFonts w:hint="eastAsia" w:ascii="Times New Roman" w:hAnsi="Times New Roman"/>
          <w:color w:val="auto"/>
          <w:sz w:val="24"/>
          <w:szCs w:val="24"/>
          <w:highlight w:val="none"/>
        </w:rPr>
        <w:br w:type="page"/>
      </w:r>
      <w:bookmarkStart w:id="1380" w:name="_Toc14237"/>
      <w:bookmarkStart w:id="1381" w:name="_Toc21016"/>
      <w:bookmarkStart w:id="1382" w:name="_Toc19874"/>
      <w:bookmarkStart w:id="1383" w:name="_Toc19977"/>
      <w:bookmarkStart w:id="1384" w:name="_Toc8411"/>
      <w:bookmarkStart w:id="1385" w:name="_Toc2718"/>
      <w:r>
        <w:rPr>
          <w:rFonts w:hint="eastAsia" w:ascii="Times New Roman" w:hAnsi="Times New Roman"/>
          <w:color w:val="auto"/>
          <w:sz w:val="24"/>
          <w:szCs w:val="24"/>
          <w:highlight w:val="none"/>
        </w:rPr>
        <w:t xml:space="preserve">                 二、工程量清单报价书</w:t>
      </w:r>
      <w:bookmarkEnd w:id="1377"/>
      <w:bookmarkEnd w:id="1378"/>
      <w:bookmarkEnd w:id="1379"/>
      <w:bookmarkEnd w:id="1380"/>
      <w:bookmarkEnd w:id="1381"/>
      <w:bookmarkEnd w:id="1382"/>
      <w:bookmarkEnd w:id="1383"/>
      <w:bookmarkEnd w:id="1384"/>
      <w:bookmarkEnd w:id="1385"/>
    </w:p>
    <w:p w14:paraId="2615C26E">
      <w:pPr>
        <w:adjustRightInd w:val="0"/>
        <w:snapToGrid w:val="0"/>
        <w:spacing w:before="48" w:beforeLines="20" w:after="48" w:afterLines="20" w:line="540" w:lineRule="exact"/>
        <w:rPr>
          <w:rFonts w:hint="eastAsia" w:hAnsi="宋体" w:cs="宋体"/>
          <w:color w:val="auto"/>
          <w:sz w:val="24"/>
          <w:szCs w:val="24"/>
          <w:highlight w:val="none"/>
        </w:rPr>
      </w:pPr>
    </w:p>
    <w:p w14:paraId="388E34AC">
      <w:pPr>
        <w:adjustRightInd w:val="0"/>
        <w:snapToGrid w:val="0"/>
        <w:spacing w:before="48" w:beforeLines="20" w:after="48" w:afterLines="20" w:line="540" w:lineRule="exact"/>
        <w:jc w:val="center"/>
        <w:rPr>
          <w:rFonts w:hint="eastAsia" w:hAnsi="宋体" w:cs="宋体"/>
          <w:b/>
          <w:color w:val="auto"/>
          <w:sz w:val="24"/>
          <w:szCs w:val="24"/>
          <w:highlight w:val="none"/>
        </w:rPr>
      </w:pPr>
      <w:bookmarkStart w:id="1386" w:name="_Toc9257"/>
      <w:bookmarkStart w:id="1387" w:name="_Toc23559"/>
      <w:bookmarkStart w:id="1388" w:name="_Toc12383"/>
      <w:bookmarkStart w:id="1389" w:name="_Toc6706"/>
      <w:bookmarkStart w:id="1390" w:name="_Toc11633"/>
      <w:bookmarkStart w:id="1391" w:name="_Toc11126"/>
      <w:bookmarkStart w:id="1392" w:name="_Toc128950293"/>
      <w:bookmarkStart w:id="1393" w:name="_Toc30968"/>
      <w:r>
        <w:rPr>
          <w:rFonts w:hint="eastAsia" w:hAnsi="宋体" w:cs="宋体"/>
          <w:b/>
          <w:color w:val="auto"/>
          <w:sz w:val="24"/>
          <w:szCs w:val="24"/>
          <w:highlight w:val="none"/>
        </w:rPr>
        <w:t>投标总价</w:t>
      </w:r>
      <w:bookmarkEnd w:id="1386"/>
      <w:bookmarkEnd w:id="1387"/>
      <w:bookmarkEnd w:id="1388"/>
      <w:bookmarkEnd w:id="1389"/>
      <w:bookmarkEnd w:id="1390"/>
      <w:bookmarkEnd w:id="1391"/>
      <w:bookmarkEnd w:id="1392"/>
      <w:bookmarkEnd w:id="1393"/>
    </w:p>
    <w:p w14:paraId="5C91BCC3">
      <w:pPr>
        <w:adjustRightInd w:val="0"/>
        <w:snapToGrid w:val="0"/>
        <w:spacing w:before="48" w:beforeLines="20" w:after="48" w:afterLines="20" w:line="540" w:lineRule="exact"/>
        <w:ind w:firstLine="2400" w:firstLineChars="996"/>
        <w:rPr>
          <w:rFonts w:hint="eastAsia" w:hAnsi="宋体" w:cs="宋体"/>
          <w:b/>
          <w:color w:val="auto"/>
          <w:sz w:val="24"/>
          <w:szCs w:val="24"/>
          <w:highlight w:val="none"/>
        </w:rPr>
      </w:pPr>
    </w:p>
    <w:p w14:paraId="259B8F77">
      <w:pPr>
        <w:adjustRightInd w:val="0"/>
        <w:snapToGrid w:val="0"/>
        <w:spacing w:before="48" w:beforeLines="20" w:after="48" w:afterLines="20" w:line="540" w:lineRule="exact"/>
        <w:ind w:firstLine="2400" w:firstLineChars="996"/>
        <w:rPr>
          <w:rFonts w:hint="eastAsia" w:hAnsi="宋体" w:cs="宋体"/>
          <w:b/>
          <w:color w:val="auto"/>
          <w:sz w:val="24"/>
          <w:szCs w:val="24"/>
          <w:highlight w:val="none"/>
        </w:rPr>
      </w:pPr>
    </w:p>
    <w:p w14:paraId="71A16D39">
      <w:pPr>
        <w:adjustRightInd w:val="0"/>
        <w:snapToGrid w:val="0"/>
        <w:spacing w:before="48" w:beforeLines="20" w:after="48" w:afterLines="20" w:line="540" w:lineRule="exact"/>
        <w:ind w:firstLine="2400" w:firstLineChars="996"/>
        <w:rPr>
          <w:rFonts w:hint="eastAsia" w:hAnsi="宋体" w:cs="宋体"/>
          <w:b/>
          <w:color w:val="auto"/>
          <w:sz w:val="24"/>
          <w:szCs w:val="24"/>
          <w:highlight w:val="none"/>
        </w:rPr>
      </w:pPr>
    </w:p>
    <w:p w14:paraId="52A15993">
      <w:pPr>
        <w:adjustRightInd w:val="0"/>
        <w:snapToGrid w:val="0"/>
        <w:spacing w:before="48" w:beforeLines="20" w:after="48" w:afterLines="20" w:line="540" w:lineRule="exact"/>
        <w:ind w:firstLine="688" w:firstLineChars="287"/>
        <w:rPr>
          <w:rFonts w:hint="eastAsia" w:hAnsi="宋体" w:cs="宋体"/>
          <w:color w:val="auto"/>
          <w:sz w:val="24"/>
          <w:szCs w:val="24"/>
          <w:highlight w:val="none"/>
        </w:rPr>
      </w:pPr>
      <w:bookmarkStart w:id="1394" w:name="_Toc27871"/>
      <w:bookmarkStart w:id="1395" w:name="_Toc31912"/>
      <w:bookmarkStart w:id="1396" w:name="_Toc32454"/>
      <w:bookmarkStart w:id="1397" w:name="_Toc29794"/>
      <w:bookmarkStart w:id="1398" w:name="_Toc19346"/>
      <w:bookmarkStart w:id="1399" w:name="_Toc2532"/>
      <w:bookmarkStart w:id="1400" w:name="_Toc17969"/>
      <w:bookmarkStart w:id="1401" w:name="_Toc128950294"/>
      <w:r>
        <w:rPr>
          <w:rFonts w:hint="eastAsia" w:hAnsi="宋体" w:cs="宋体"/>
          <w:color w:val="auto"/>
          <w:sz w:val="24"/>
          <w:szCs w:val="24"/>
          <w:highlight w:val="none"/>
        </w:rPr>
        <w:t>招标人:</w:t>
      </w:r>
      <w:bookmarkEnd w:id="1394"/>
      <w:bookmarkEnd w:id="1395"/>
      <w:bookmarkEnd w:id="1396"/>
      <w:bookmarkEnd w:id="1397"/>
      <w:bookmarkEnd w:id="1398"/>
      <w:bookmarkEnd w:id="1399"/>
      <w:bookmarkEnd w:id="1400"/>
      <w:bookmarkEnd w:id="1401"/>
      <w:r>
        <w:rPr>
          <w:rFonts w:hint="eastAsia" w:hAnsi="宋体" w:cs="宋体"/>
          <w:color w:val="auto"/>
          <w:sz w:val="24"/>
          <w:szCs w:val="24"/>
          <w:highlight w:val="none"/>
          <w:u w:val="single"/>
        </w:rPr>
        <w:t xml:space="preserve">                                    </w:t>
      </w:r>
    </w:p>
    <w:p w14:paraId="642D3B89">
      <w:pPr>
        <w:adjustRightInd w:val="0"/>
        <w:snapToGrid w:val="0"/>
        <w:spacing w:before="48" w:beforeLines="20" w:after="48" w:afterLines="20" w:line="540" w:lineRule="exact"/>
        <w:ind w:firstLine="688" w:firstLineChars="287"/>
        <w:rPr>
          <w:rFonts w:hint="eastAsia" w:hAnsi="宋体" w:cs="宋体"/>
          <w:color w:val="auto"/>
          <w:sz w:val="24"/>
          <w:szCs w:val="24"/>
          <w:highlight w:val="none"/>
        </w:rPr>
      </w:pPr>
      <w:bookmarkStart w:id="1402" w:name="_Toc12714"/>
      <w:bookmarkStart w:id="1403" w:name="_Toc128950295"/>
      <w:bookmarkStart w:id="1404" w:name="_Toc4619"/>
      <w:bookmarkStart w:id="1405" w:name="_Toc31223"/>
      <w:bookmarkStart w:id="1406" w:name="_Toc25354"/>
      <w:bookmarkStart w:id="1407" w:name="_Toc26807"/>
      <w:bookmarkStart w:id="1408" w:name="_Toc8803"/>
      <w:bookmarkStart w:id="1409" w:name="_Toc3280"/>
      <w:r>
        <w:rPr>
          <w:rFonts w:hint="eastAsia" w:hAnsi="宋体" w:cs="宋体"/>
          <w:color w:val="auto"/>
          <w:sz w:val="24"/>
          <w:szCs w:val="24"/>
          <w:highlight w:val="none"/>
        </w:rPr>
        <w:t>工程名称：</w:t>
      </w:r>
      <w:bookmarkEnd w:id="1402"/>
      <w:bookmarkEnd w:id="1403"/>
      <w:bookmarkEnd w:id="1404"/>
      <w:bookmarkEnd w:id="1405"/>
      <w:bookmarkEnd w:id="1406"/>
      <w:bookmarkEnd w:id="1407"/>
      <w:bookmarkEnd w:id="1408"/>
      <w:bookmarkEnd w:id="1409"/>
      <w:r>
        <w:rPr>
          <w:rFonts w:hint="eastAsia" w:hAnsi="宋体" w:cs="宋体"/>
          <w:color w:val="auto"/>
          <w:sz w:val="24"/>
          <w:szCs w:val="24"/>
          <w:highlight w:val="none"/>
          <w:u w:val="single"/>
        </w:rPr>
        <w:t xml:space="preserve">                                 </w:t>
      </w:r>
    </w:p>
    <w:p w14:paraId="7B9D035D">
      <w:pPr>
        <w:adjustRightInd w:val="0"/>
        <w:snapToGrid w:val="0"/>
        <w:spacing w:before="48" w:beforeLines="20" w:after="48" w:afterLines="20" w:line="540" w:lineRule="exact"/>
        <w:ind w:firstLine="688" w:firstLineChars="287"/>
        <w:rPr>
          <w:rFonts w:hint="eastAsia" w:hAnsi="宋体" w:cs="宋体"/>
          <w:color w:val="auto"/>
          <w:sz w:val="24"/>
          <w:szCs w:val="24"/>
          <w:highlight w:val="none"/>
        </w:rPr>
      </w:pPr>
      <w:bookmarkStart w:id="1410" w:name="_Toc22923"/>
      <w:bookmarkStart w:id="1411" w:name="_Toc8540"/>
      <w:bookmarkStart w:id="1412" w:name="_Toc20454"/>
      <w:bookmarkStart w:id="1413" w:name="_Toc17860"/>
      <w:bookmarkStart w:id="1414" w:name="_Toc29499"/>
      <w:bookmarkStart w:id="1415" w:name="_Toc2858"/>
      <w:bookmarkStart w:id="1416" w:name="_Toc23790"/>
      <w:bookmarkStart w:id="1417" w:name="_Toc128950296"/>
      <w:r>
        <w:rPr>
          <w:rFonts w:hint="eastAsia" w:hAnsi="宋体" w:cs="宋体"/>
          <w:color w:val="auto"/>
          <w:sz w:val="24"/>
          <w:szCs w:val="24"/>
          <w:highlight w:val="none"/>
        </w:rPr>
        <w:t>投标总价（小写）：</w:t>
      </w:r>
      <w:bookmarkEnd w:id="1410"/>
      <w:bookmarkEnd w:id="1411"/>
      <w:bookmarkEnd w:id="1412"/>
      <w:bookmarkEnd w:id="1413"/>
      <w:bookmarkEnd w:id="1414"/>
      <w:bookmarkEnd w:id="1415"/>
      <w:bookmarkEnd w:id="1416"/>
      <w:bookmarkEnd w:id="1417"/>
      <w:r>
        <w:rPr>
          <w:rFonts w:hint="eastAsia" w:hAnsi="宋体" w:cs="宋体"/>
          <w:color w:val="auto"/>
          <w:sz w:val="24"/>
          <w:szCs w:val="24"/>
          <w:highlight w:val="none"/>
          <w:u w:val="single"/>
        </w:rPr>
        <w:t xml:space="preserve">                          </w:t>
      </w:r>
    </w:p>
    <w:p w14:paraId="5BED4186">
      <w:pPr>
        <w:adjustRightInd w:val="0"/>
        <w:snapToGrid w:val="0"/>
        <w:spacing w:before="48" w:beforeLines="20" w:after="48" w:afterLines="20" w:line="540" w:lineRule="exact"/>
        <w:ind w:firstLine="1701" w:firstLineChars="709"/>
        <w:rPr>
          <w:rFonts w:hint="eastAsia" w:hAnsi="宋体" w:cs="宋体"/>
          <w:b/>
          <w:color w:val="auto"/>
          <w:sz w:val="24"/>
          <w:szCs w:val="24"/>
          <w:highlight w:val="none"/>
          <w:u w:val="single"/>
        </w:rPr>
      </w:pPr>
      <w:bookmarkStart w:id="1418" w:name="_Toc6140"/>
      <w:bookmarkStart w:id="1419" w:name="_Toc443"/>
      <w:bookmarkStart w:id="1420" w:name="_Toc32754"/>
      <w:bookmarkStart w:id="1421" w:name="_Toc128950297"/>
      <w:bookmarkStart w:id="1422" w:name="_Toc31207"/>
      <w:bookmarkStart w:id="1423" w:name="_Toc29027"/>
      <w:bookmarkStart w:id="1424" w:name="_Toc2841"/>
      <w:bookmarkStart w:id="1425" w:name="_Toc22918"/>
      <w:r>
        <w:rPr>
          <w:rFonts w:hint="eastAsia" w:hAnsi="宋体" w:cs="宋体"/>
          <w:color w:val="auto"/>
          <w:sz w:val="24"/>
          <w:szCs w:val="24"/>
          <w:highlight w:val="none"/>
        </w:rPr>
        <w:t>（大写）：</w:t>
      </w:r>
      <w:bookmarkEnd w:id="1418"/>
      <w:bookmarkEnd w:id="1419"/>
      <w:bookmarkEnd w:id="1420"/>
      <w:bookmarkEnd w:id="1421"/>
      <w:bookmarkEnd w:id="1422"/>
      <w:bookmarkEnd w:id="1423"/>
      <w:bookmarkEnd w:id="1424"/>
      <w:bookmarkEnd w:id="1425"/>
      <w:r>
        <w:rPr>
          <w:rFonts w:hint="eastAsia" w:hAnsi="宋体" w:cs="宋体"/>
          <w:color w:val="auto"/>
          <w:sz w:val="24"/>
          <w:szCs w:val="24"/>
          <w:highlight w:val="none"/>
          <w:u w:val="single"/>
        </w:rPr>
        <w:t xml:space="preserve">                          </w:t>
      </w:r>
    </w:p>
    <w:p w14:paraId="381A6E63">
      <w:pPr>
        <w:adjustRightInd w:val="0"/>
        <w:snapToGrid w:val="0"/>
        <w:spacing w:before="48" w:beforeLines="20" w:after="48" w:afterLines="20" w:line="540" w:lineRule="exact"/>
        <w:ind w:firstLine="2400" w:firstLineChars="996"/>
        <w:rPr>
          <w:rFonts w:hint="eastAsia" w:hAnsi="宋体" w:cs="宋体"/>
          <w:b/>
          <w:color w:val="auto"/>
          <w:sz w:val="24"/>
          <w:szCs w:val="24"/>
          <w:highlight w:val="none"/>
        </w:rPr>
      </w:pPr>
    </w:p>
    <w:p w14:paraId="48EF228C">
      <w:pPr>
        <w:adjustRightInd w:val="0"/>
        <w:snapToGrid w:val="0"/>
        <w:spacing w:before="48" w:beforeLines="20" w:after="48" w:afterLines="20" w:line="540" w:lineRule="exact"/>
        <w:ind w:firstLine="2390" w:firstLineChars="996"/>
        <w:rPr>
          <w:rFonts w:hint="eastAsia" w:hAnsi="宋体" w:cs="宋体"/>
          <w:color w:val="auto"/>
          <w:sz w:val="24"/>
          <w:szCs w:val="24"/>
          <w:highlight w:val="none"/>
        </w:rPr>
      </w:pPr>
    </w:p>
    <w:p w14:paraId="20348EA6">
      <w:pPr>
        <w:spacing w:beforeLines="0" w:afterLines="0" w:line="320" w:lineRule="exact"/>
        <w:ind w:firstLine="480" w:firstLineChars="200"/>
        <w:rPr>
          <w:rFonts w:hint="eastAsia" w:hAnsi="宋体" w:cs="宋体"/>
          <w:color w:val="auto"/>
          <w:sz w:val="24"/>
          <w:szCs w:val="24"/>
          <w:highlight w:val="none"/>
        </w:rPr>
      </w:pPr>
      <w:bookmarkStart w:id="1426" w:name="_Toc29462"/>
      <w:bookmarkStart w:id="1427" w:name="_Toc21293"/>
      <w:bookmarkStart w:id="1428" w:name="_Toc8205"/>
      <w:bookmarkStart w:id="1429" w:name="_Toc16586"/>
      <w:bookmarkStart w:id="1430" w:name="_Toc5068"/>
      <w:bookmarkStart w:id="1431" w:name="_Toc32627"/>
      <w:bookmarkStart w:id="1432" w:name="_Toc128950298"/>
      <w:bookmarkStart w:id="1433" w:name="_Toc16342"/>
      <w:r>
        <w:rPr>
          <w:rFonts w:hint="eastAsia" w:hAnsi="宋体" w:cs="宋体"/>
          <w:color w:val="auto"/>
          <w:sz w:val="24"/>
          <w:szCs w:val="24"/>
          <w:highlight w:val="none"/>
        </w:rPr>
        <w:t>投 标 人：</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(单位盖章)</w:t>
      </w:r>
      <w:bookmarkEnd w:id="1426"/>
      <w:bookmarkEnd w:id="1427"/>
      <w:bookmarkEnd w:id="1428"/>
      <w:bookmarkEnd w:id="1429"/>
      <w:bookmarkEnd w:id="1430"/>
      <w:bookmarkEnd w:id="1431"/>
      <w:bookmarkEnd w:id="1432"/>
      <w:bookmarkEnd w:id="1433"/>
    </w:p>
    <w:p w14:paraId="3829669A">
      <w:pPr>
        <w:spacing w:beforeLines="0" w:afterLines="0" w:line="380" w:lineRule="exact"/>
        <w:ind w:firstLine="480" w:firstLineChars="200"/>
        <w:rPr>
          <w:rFonts w:hint="eastAsia" w:hAnsi="宋体" w:cs="宋体"/>
          <w:color w:val="auto"/>
          <w:sz w:val="24"/>
          <w:szCs w:val="24"/>
          <w:highlight w:val="none"/>
        </w:rPr>
      </w:pPr>
    </w:p>
    <w:p w14:paraId="77557803">
      <w:pPr>
        <w:spacing w:beforeLines="0" w:after="72" w:afterLines="30" w:line="380" w:lineRule="exact"/>
        <w:ind w:firstLine="480" w:firstLineChars="200"/>
        <w:rPr>
          <w:rFonts w:hint="eastAsia" w:hAnsi="宋体" w:cs="宋体"/>
          <w:color w:val="auto"/>
          <w:sz w:val="24"/>
          <w:szCs w:val="24"/>
          <w:highlight w:val="none"/>
        </w:rPr>
      </w:pPr>
      <w:bookmarkStart w:id="1434" w:name="_Toc29226"/>
      <w:bookmarkStart w:id="1435" w:name="_Toc128950299"/>
      <w:bookmarkStart w:id="1436" w:name="_Toc10848"/>
      <w:bookmarkStart w:id="1437" w:name="_Toc5841"/>
      <w:bookmarkStart w:id="1438" w:name="_Toc5850"/>
      <w:bookmarkStart w:id="1439" w:name="_Toc19854"/>
      <w:bookmarkStart w:id="1440" w:name="_Toc21228"/>
      <w:bookmarkStart w:id="1441" w:name="_Toc4728"/>
      <w:r>
        <w:rPr>
          <w:rFonts w:hint="eastAsia" w:hAnsi="宋体" w:cs="宋体"/>
          <w:color w:val="auto"/>
          <w:sz w:val="24"/>
          <w:szCs w:val="24"/>
          <w:highlight w:val="none"/>
        </w:rPr>
        <w:t>法定代表人：</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(签字或盖章)</w:t>
      </w:r>
      <w:bookmarkEnd w:id="1434"/>
      <w:bookmarkEnd w:id="1435"/>
      <w:bookmarkEnd w:id="1436"/>
      <w:bookmarkEnd w:id="1437"/>
      <w:bookmarkEnd w:id="1438"/>
      <w:bookmarkEnd w:id="1439"/>
      <w:bookmarkEnd w:id="1440"/>
      <w:bookmarkEnd w:id="1441"/>
    </w:p>
    <w:p w14:paraId="7B189EDD">
      <w:pPr>
        <w:spacing w:beforeLines="0" w:afterLines="0" w:line="320" w:lineRule="exact"/>
        <w:ind w:firstLine="480" w:firstLineChars="200"/>
        <w:rPr>
          <w:rFonts w:hint="eastAsia" w:hAnsi="宋体" w:cs="宋体"/>
          <w:color w:val="auto"/>
          <w:sz w:val="24"/>
          <w:szCs w:val="24"/>
          <w:highlight w:val="none"/>
        </w:rPr>
      </w:pPr>
      <w:bookmarkStart w:id="1442" w:name="_Toc128950300"/>
      <w:bookmarkStart w:id="1443" w:name="_Toc28673"/>
      <w:bookmarkStart w:id="1444" w:name="_Toc5848"/>
      <w:bookmarkStart w:id="1445" w:name="_Toc23905"/>
      <w:bookmarkStart w:id="1446" w:name="_Toc12840"/>
      <w:bookmarkStart w:id="1447" w:name="_Toc25655"/>
      <w:bookmarkStart w:id="1448" w:name="_Toc19470"/>
      <w:bookmarkStart w:id="1449" w:name="_Toc22963"/>
    </w:p>
    <w:p w14:paraId="5B7DB6D0">
      <w:pPr>
        <w:spacing w:beforeLines="0" w:afterLines="0" w:line="32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编制人：</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(盖造价专业人员执业专用章或电子执业章)</w:t>
      </w:r>
      <w:bookmarkEnd w:id="1442"/>
      <w:bookmarkEnd w:id="1443"/>
      <w:bookmarkEnd w:id="1444"/>
      <w:bookmarkEnd w:id="1445"/>
      <w:bookmarkEnd w:id="1446"/>
      <w:bookmarkEnd w:id="1447"/>
      <w:bookmarkEnd w:id="1448"/>
      <w:bookmarkEnd w:id="1449"/>
    </w:p>
    <w:p w14:paraId="041282C0">
      <w:pPr>
        <w:spacing w:beforeLines="0" w:afterLines="0" w:line="380" w:lineRule="exact"/>
        <w:ind w:firstLine="480" w:firstLineChars="200"/>
        <w:rPr>
          <w:rFonts w:hint="eastAsia" w:hAnsi="宋体" w:cs="宋体"/>
          <w:color w:val="auto"/>
          <w:sz w:val="24"/>
          <w:szCs w:val="24"/>
          <w:highlight w:val="none"/>
        </w:rPr>
      </w:pPr>
      <w:bookmarkStart w:id="1450" w:name="_Toc29346"/>
      <w:bookmarkStart w:id="1451" w:name="_Toc27747"/>
      <w:bookmarkStart w:id="1452" w:name="_Toc6700"/>
      <w:bookmarkStart w:id="1453" w:name="_Toc128950301"/>
      <w:bookmarkStart w:id="1454" w:name="_Toc14662"/>
      <w:bookmarkStart w:id="1455" w:name="_Toc3832"/>
      <w:bookmarkStart w:id="1456" w:name="_Toc12053"/>
      <w:bookmarkStart w:id="1457" w:name="_Toc8765"/>
    </w:p>
    <w:p w14:paraId="41E2387D">
      <w:pPr>
        <w:spacing w:beforeLines="0" w:afterLines="0" w:line="380" w:lineRule="exact"/>
        <w:ind w:firstLine="480" w:firstLineChars="200"/>
        <w:rPr>
          <w:rFonts w:hint="eastAsia" w:hAnsi="宋体" w:cs="宋体"/>
          <w:color w:val="auto"/>
          <w:sz w:val="30"/>
          <w:szCs w:val="30"/>
          <w:highlight w:val="none"/>
        </w:rPr>
      </w:pPr>
      <w:r>
        <w:rPr>
          <w:rFonts w:hint="eastAsia" w:hAnsi="宋体" w:cs="宋体"/>
          <w:color w:val="auto"/>
          <w:sz w:val="24"/>
          <w:szCs w:val="24"/>
          <w:highlight w:val="none"/>
        </w:rPr>
        <w:t xml:space="preserve">编制时间：  </w:t>
      </w:r>
      <w:r>
        <w:rPr>
          <w:rFonts w:hint="eastAsia" w:hAnsi="宋体" w:cs="宋体"/>
          <w:color w:val="auto"/>
          <w:sz w:val="24"/>
          <w:szCs w:val="24"/>
          <w:highlight w:val="none"/>
          <w:u w:val="single"/>
        </w:rPr>
        <w:t xml:space="preserve">            年      月      日</w:t>
      </w:r>
      <w:bookmarkEnd w:id="1450"/>
      <w:bookmarkEnd w:id="1451"/>
      <w:bookmarkEnd w:id="1452"/>
      <w:bookmarkEnd w:id="1453"/>
      <w:bookmarkEnd w:id="1454"/>
      <w:bookmarkEnd w:id="1455"/>
      <w:bookmarkEnd w:id="1456"/>
      <w:bookmarkEnd w:id="1457"/>
    </w:p>
    <w:p w14:paraId="6A7071F9">
      <w:pPr>
        <w:spacing w:before="240" w:beforeLines="100" w:after="240" w:afterLines="100"/>
        <w:jc w:val="center"/>
        <w:outlineLvl w:val="3"/>
        <w:rPr>
          <w:rFonts w:hint="eastAsia" w:ascii="Times New Roman" w:eastAsia="黑体"/>
          <w:color w:val="auto"/>
          <w:sz w:val="24"/>
          <w:szCs w:val="24"/>
          <w:highlight w:val="none"/>
        </w:rPr>
      </w:pPr>
      <w:bookmarkStart w:id="1458" w:name="_Toc460660238"/>
      <w:bookmarkStart w:id="1459" w:name="_Toc460227123"/>
      <w:r>
        <w:rPr>
          <w:rFonts w:hint="eastAsia" w:ascii="Times New Roman" w:eastAsia="Times New Roman"/>
          <w:color w:val="auto"/>
          <w:sz w:val="28"/>
          <w:szCs w:val="28"/>
          <w:highlight w:val="none"/>
        </w:rPr>
        <w:br w:type="page"/>
      </w:r>
      <w:bookmarkStart w:id="1460" w:name="_Toc10909"/>
      <w:bookmarkStart w:id="1461" w:name="_Toc31828"/>
      <w:bookmarkStart w:id="1462" w:name="_Toc31058"/>
      <w:bookmarkStart w:id="1463" w:name="_Toc403"/>
      <w:bookmarkStart w:id="1464" w:name="_Toc27112"/>
      <w:bookmarkStart w:id="1465" w:name="_Toc22840"/>
      <w:bookmarkStart w:id="1466" w:name="_Toc20151"/>
      <w:bookmarkStart w:id="1467" w:name="_Toc16987"/>
      <w:bookmarkStart w:id="1468" w:name="_Toc27336"/>
      <w:bookmarkStart w:id="1469" w:name="_Toc128950302"/>
      <w:r>
        <w:rPr>
          <w:rFonts w:hint="eastAsia" w:ascii="Times New Roman" w:eastAsia="黑体"/>
          <w:color w:val="auto"/>
          <w:sz w:val="24"/>
          <w:szCs w:val="24"/>
          <w:highlight w:val="none"/>
        </w:rPr>
        <w:t>（一）投标报价说明</w:t>
      </w:r>
      <w:bookmarkEnd w:id="1458"/>
      <w:bookmarkEnd w:id="1459"/>
      <w:bookmarkEnd w:id="1460"/>
      <w:bookmarkEnd w:id="1461"/>
      <w:bookmarkEnd w:id="1462"/>
      <w:bookmarkEnd w:id="1463"/>
      <w:bookmarkEnd w:id="1464"/>
      <w:bookmarkEnd w:id="1465"/>
      <w:bookmarkEnd w:id="1466"/>
      <w:bookmarkEnd w:id="1467"/>
      <w:bookmarkEnd w:id="1468"/>
      <w:bookmarkEnd w:id="1469"/>
    </w:p>
    <w:p w14:paraId="5942ADDE">
      <w:pPr>
        <w:spacing w:beforeLines="0" w:after="120" w:afterLines="50" w:line="380" w:lineRule="exact"/>
        <w:rPr>
          <w:rFonts w:hint="eastAsia" w:ascii="Times New Roman"/>
          <w:color w:val="auto"/>
          <w:sz w:val="24"/>
          <w:szCs w:val="24"/>
          <w:highlight w:val="none"/>
        </w:rPr>
      </w:pPr>
      <w:r>
        <w:rPr>
          <w:rFonts w:hint="eastAsia" w:ascii="Times New Roman"/>
          <w:color w:val="auto"/>
          <w:sz w:val="24"/>
          <w:szCs w:val="24"/>
          <w:highlight w:val="none"/>
        </w:rPr>
        <w:t>工程名称：                                         第  页 共  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135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6" w:hRule="atLeast"/>
          <w:jc w:val="center"/>
        </w:trPr>
        <w:tc>
          <w:tcPr>
            <w:tcW w:w="5000" w:type="pct"/>
            <w:tcBorders>
              <w:top w:val="single" w:color="auto" w:sz="4" w:space="0"/>
              <w:left w:val="single" w:color="auto" w:sz="4" w:space="0"/>
              <w:bottom w:val="single" w:color="auto" w:sz="4" w:space="0"/>
              <w:right w:val="single" w:color="auto" w:sz="4" w:space="0"/>
              <w:tl2br w:val="nil"/>
              <w:tr2bl w:val="nil"/>
            </w:tcBorders>
            <w:noWrap w:val="0"/>
            <w:vAlign w:val="top"/>
          </w:tcPr>
          <w:p w14:paraId="6215D0A5">
            <w:pPr>
              <w:tabs>
                <w:tab w:val="left" w:pos="1680"/>
                <w:tab w:val="left" w:pos="4215"/>
                <w:tab w:val="left" w:pos="4305"/>
                <w:tab w:val="left" w:pos="8000"/>
              </w:tabs>
              <w:autoSpaceDE w:val="0"/>
              <w:autoSpaceDN w:val="0"/>
              <w:adjustRightInd w:val="0"/>
              <w:snapToGrid w:val="0"/>
              <w:spacing w:beforeLines="0" w:afterLines="0" w:line="360" w:lineRule="auto"/>
              <w:rPr>
                <w:rFonts w:hint="eastAsia" w:ascii="Times New Roman"/>
                <w:color w:val="auto"/>
                <w:sz w:val="24"/>
                <w:szCs w:val="22"/>
                <w:highlight w:val="none"/>
              </w:rPr>
            </w:pPr>
            <w:r>
              <w:rPr>
                <w:rFonts w:hint="eastAsia" w:ascii="Times New Roman"/>
                <w:color w:val="auto"/>
                <w:sz w:val="24"/>
                <w:szCs w:val="22"/>
                <w:highlight w:val="none"/>
              </w:rPr>
              <w:t>1. 本报价依据本工程招标文件中投标须知、合同文件、计价依据及工程造价确定等有关条款进行编制。</w:t>
            </w:r>
          </w:p>
          <w:p w14:paraId="5CD7E700">
            <w:pPr>
              <w:tabs>
                <w:tab w:val="left" w:pos="1680"/>
                <w:tab w:val="left" w:pos="4215"/>
                <w:tab w:val="left" w:pos="4305"/>
                <w:tab w:val="left" w:pos="8000"/>
              </w:tabs>
              <w:autoSpaceDE w:val="0"/>
              <w:autoSpaceDN w:val="0"/>
              <w:adjustRightInd w:val="0"/>
              <w:snapToGrid w:val="0"/>
              <w:spacing w:beforeLines="0" w:afterLines="0" w:line="360" w:lineRule="auto"/>
              <w:rPr>
                <w:rFonts w:hint="eastAsia" w:ascii="Times New Roman"/>
                <w:color w:val="auto"/>
                <w:sz w:val="24"/>
                <w:szCs w:val="22"/>
                <w:highlight w:val="none"/>
              </w:rPr>
            </w:pPr>
            <w:r>
              <w:rPr>
                <w:rFonts w:hint="eastAsia" w:ascii="Times New Roman"/>
                <w:color w:val="auto"/>
                <w:sz w:val="24"/>
                <w:szCs w:val="22"/>
                <w:highlight w:val="none"/>
              </w:rPr>
              <w:t>2. 工程量清单报价表中所填入的综合单价和合价，均包括人工费、材料费、机械费、综合费、施工期内的风险金等全部费用。</w:t>
            </w:r>
          </w:p>
          <w:p w14:paraId="0DF3C156">
            <w:pPr>
              <w:tabs>
                <w:tab w:val="left" w:pos="1680"/>
                <w:tab w:val="left" w:pos="4215"/>
                <w:tab w:val="left" w:pos="4305"/>
                <w:tab w:val="left" w:pos="8000"/>
              </w:tabs>
              <w:autoSpaceDE w:val="0"/>
              <w:autoSpaceDN w:val="0"/>
              <w:adjustRightInd w:val="0"/>
              <w:snapToGrid w:val="0"/>
              <w:spacing w:beforeLines="0" w:afterLines="0" w:line="360" w:lineRule="auto"/>
              <w:rPr>
                <w:rFonts w:hint="eastAsia" w:ascii="Times New Roman"/>
                <w:color w:val="auto"/>
                <w:sz w:val="24"/>
                <w:szCs w:val="22"/>
                <w:highlight w:val="none"/>
              </w:rPr>
            </w:pPr>
            <w:r>
              <w:rPr>
                <w:rFonts w:hint="eastAsia" w:ascii="Times New Roman"/>
                <w:color w:val="auto"/>
                <w:sz w:val="24"/>
                <w:szCs w:val="22"/>
                <w:highlight w:val="none"/>
              </w:rPr>
              <w:t>3. 措施项目报价表中所填入的措施项目报价，包括采用的各种措施的费用。</w:t>
            </w:r>
          </w:p>
          <w:p w14:paraId="57339EFA">
            <w:pPr>
              <w:tabs>
                <w:tab w:val="left" w:pos="1680"/>
                <w:tab w:val="left" w:pos="4215"/>
                <w:tab w:val="left" w:pos="4305"/>
                <w:tab w:val="left" w:pos="8000"/>
              </w:tabs>
              <w:autoSpaceDE w:val="0"/>
              <w:autoSpaceDN w:val="0"/>
              <w:adjustRightInd w:val="0"/>
              <w:snapToGrid w:val="0"/>
              <w:spacing w:beforeLines="0" w:afterLines="0" w:line="360" w:lineRule="auto"/>
              <w:rPr>
                <w:rFonts w:hint="eastAsia" w:ascii="Times New Roman"/>
                <w:color w:val="auto"/>
                <w:sz w:val="24"/>
                <w:szCs w:val="22"/>
                <w:highlight w:val="none"/>
              </w:rPr>
            </w:pPr>
            <w:r>
              <w:rPr>
                <w:rFonts w:hint="eastAsia" w:ascii="Times New Roman"/>
                <w:color w:val="auto"/>
                <w:sz w:val="24"/>
                <w:szCs w:val="22"/>
                <w:highlight w:val="none"/>
              </w:rPr>
              <w:t>4. 其他项目报价表中所填入的其他项目报价，包括工程量清单报价表和措施项目报价表以外的，为完成本工程项目的施工所必须发生的其他费用。</w:t>
            </w:r>
          </w:p>
          <w:p w14:paraId="72826D91">
            <w:pPr>
              <w:tabs>
                <w:tab w:val="left" w:pos="1680"/>
                <w:tab w:val="left" w:pos="4215"/>
                <w:tab w:val="left" w:pos="4305"/>
                <w:tab w:val="left" w:pos="8000"/>
              </w:tabs>
              <w:autoSpaceDE w:val="0"/>
              <w:autoSpaceDN w:val="0"/>
              <w:adjustRightInd w:val="0"/>
              <w:snapToGrid w:val="0"/>
              <w:spacing w:beforeLines="0" w:afterLines="0" w:line="360" w:lineRule="auto"/>
              <w:rPr>
                <w:rFonts w:hint="eastAsia" w:ascii="Times New Roman"/>
                <w:color w:val="auto"/>
                <w:sz w:val="24"/>
                <w:szCs w:val="22"/>
                <w:highlight w:val="none"/>
              </w:rPr>
            </w:pPr>
            <w:r>
              <w:rPr>
                <w:rFonts w:hint="eastAsia" w:ascii="Times New Roman"/>
                <w:color w:val="auto"/>
                <w:sz w:val="24"/>
                <w:szCs w:val="22"/>
                <w:highlight w:val="none"/>
              </w:rPr>
              <w:t>5. 本工程量清单报价表中的每一清单项目均应填写单价和合价，对没有填写单价和合价的项目费用，视为已包括在工程量清单的其他单价或合价之中。</w:t>
            </w:r>
          </w:p>
          <w:p w14:paraId="68F34FCA">
            <w:pPr>
              <w:tabs>
                <w:tab w:val="left" w:pos="1680"/>
                <w:tab w:val="left" w:pos="4215"/>
                <w:tab w:val="left" w:pos="4305"/>
                <w:tab w:val="left" w:pos="8000"/>
              </w:tabs>
              <w:autoSpaceDE w:val="0"/>
              <w:autoSpaceDN w:val="0"/>
              <w:adjustRightInd w:val="0"/>
              <w:snapToGrid w:val="0"/>
              <w:spacing w:beforeLines="0" w:afterLines="0" w:line="360" w:lineRule="auto"/>
              <w:rPr>
                <w:rFonts w:hint="eastAsia" w:ascii="Times New Roman"/>
                <w:color w:val="auto"/>
                <w:sz w:val="24"/>
                <w:szCs w:val="22"/>
                <w:highlight w:val="none"/>
              </w:rPr>
            </w:pPr>
            <w:r>
              <w:rPr>
                <w:rFonts w:hint="eastAsia" w:ascii="Times New Roman"/>
                <w:color w:val="auto"/>
                <w:sz w:val="24"/>
                <w:szCs w:val="22"/>
                <w:highlight w:val="none"/>
              </w:rPr>
              <w:t>6. 本报价的币种为</w:t>
            </w:r>
            <w:r>
              <w:rPr>
                <w:rFonts w:hint="eastAsia" w:ascii="Times New Roman"/>
                <w:color w:val="auto"/>
                <w:sz w:val="24"/>
                <w:szCs w:val="22"/>
                <w:highlight w:val="none"/>
                <w:u w:val="single"/>
              </w:rPr>
              <w:t xml:space="preserve"> 人民币 </w:t>
            </w:r>
            <w:r>
              <w:rPr>
                <w:rFonts w:hint="eastAsia" w:ascii="Times New Roman"/>
                <w:color w:val="auto"/>
                <w:sz w:val="24"/>
                <w:szCs w:val="22"/>
                <w:highlight w:val="none"/>
              </w:rPr>
              <w:t>。</w:t>
            </w:r>
          </w:p>
          <w:p w14:paraId="2EB98246">
            <w:pPr>
              <w:spacing w:beforeLines="0" w:afterLines="0" w:line="380" w:lineRule="exact"/>
              <w:rPr>
                <w:rFonts w:hint="eastAsia" w:ascii="Times New Roman" w:eastAsia="黑体"/>
                <w:color w:val="auto"/>
                <w:sz w:val="24"/>
                <w:szCs w:val="24"/>
                <w:highlight w:val="none"/>
              </w:rPr>
            </w:pPr>
            <w:r>
              <w:rPr>
                <w:rFonts w:hint="eastAsia" w:ascii="Times New Roman"/>
                <w:color w:val="auto"/>
                <w:sz w:val="24"/>
                <w:szCs w:val="22"/>
                <w:highlight w:val="none"/>
              </w:rPr>
              <w:t>7. 投标人应将投标报价需要说明的事项，用文字书写与投标报价表一并报送。</w:t>
            </w:r>
          </w:p>
        </w:tc>
      </w:tr>
    </w:tbl>
    <w:p w14:paraId="4364F774">
      <w:pPr>
        <w:pStyle w:val="28"/>
        <w:spacing w:beforeLines="0" w:afterLines="0"/>
        <w:rPr>
          <w:rFonts w:hint="eastAsia"/>
          <w:color w:val="auto"/>
          <w:sz w:val="21"/>
          <w:szCs w:val="24"/>
          <w:highlight w:val="none"/>
        </w:rPr>
      </w:pPr>
    </w:p>
    <w:p w14:paraId="1FEC7A48">
      <w:pPr>
        <w:spacing w:before="240" w:beforeLines="100" w:after="240" w:afterLines="100"/>
        <w:jc w:val="center"/>
        <w:outlineLvl w:val="3"/>
        <w:rPr>
          <w:rFonts w:hint="eastAsia" w:ascii="Times New Roman" w:eastAsia="黑体"/>
          <w:color w:val="auto"/>
          <w:sz w:val="24"/>
          <w:szCs w:val="24"/>
          <w:highlight w:val="none"/>
        </w:rPr>
      </w:pPr>
      <w:bookmarkStart w:id="1470" w:name="_Toc460227124"/>
      <w:bookmarkStart w:id="1471" w:name="_Toc460660239"/>
      <w:r>
        <w:rPr>
          <w:rFonts w:hint="eastAsia" w:ascii="Times New Roman" w:eastAsia="Times New Roman"/>
          <w:color w:val="auto"/>
          <w:sz w:val="28"/>
          <w:szCs w:val="28"/>
          <w:highlight w:val="none"/>
        </w:rPr>
        <w:br w:type="page"/>
      </w:r>
      <w:bookmarkStart w:id="1472" w:name="_Toc17445"/>
      <w:bookmarkStart w:id="1473" w:name="_Toc4663"/>
      <w:bookmarkStart w:id="1474" w:name="_Toc6958"/>
      <w:bookmarkStart w:id="1475" w:name="_Toc30453"/>
      <w:bookmarkStart w:id="1476" w:name="_Toc1241"/>
      <w:bookmarkStart w:id="1477" w:name="_Toc15897"/>
      <w:bookmarkStart w:id="1478" w:name="_Toc20333"/>
      <w:bookmarkStart w:id="1479" w:name="_Toc128950303"/>
      <w:bookmarkStart w:id="1480" w:name="_Toc10294"/>
      <w:bookmarkStart w:id="1481" w:name="_Toc444"/>
      <w:r>
        <w:rPr>
          <w:rFonts w:hint="eastAsia" w:ascii="Times New Roman" w:eastAsia="黑体"/>
          <w:color w:val="auto"/>
          <w:sz w:val="24"/>
          <w:szCs w:val="24"/>
          <w:highlight w:val="none"/>
        </w:rPr>
        <w:t>（二）</w:t>
      </w:r>
      <w:bookmarkEnd w:id="1470"/>
      <w:bookmarkEnd w:id="1471"/>
      <w:r>
        <w:rPr>
          <w:rFonts w:hint="eastAsia" w:ascii="Times New Roman" w:eastAsia="黑体"/>
          <w:color w:val="auto"/>
          <w:sz w:val="24"/>
          <w:szCs w:val="24"/>
          <w:highlight w:val="none"/>
        </w:rPr>
        <w:t>建设项目投标报价汇总表</w:t>
      </w:r>
      <w:bookmarkEnd w:id="1472"/>
      <w:bookmarkEnd w:id="1473"/>
      <w:bookmarkEnd w:id="1474"/>
      <w:bookmarkEnd w:id="1475"/>
      <w:bookmarkEnd w:id="1476"/>
      <w:bookmarkEnd w:id="1477"/>
      <w:bookmarkEnd w:id="1478"/>
      <w:bookmarkEnd w:id="1479"/>
      <w:bookmarkEnd w:id="1480"/>
      <w:bookmarkEnd w:id="1481"/>
    </w:p>
    <w:p w14:paraId="48EBA1A8">
      <w:pPr>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
        <w:gridCol w:w="2878"/>
        <w:gridCol w:w="1482"/>
        <w:gridCol w:w="1235"/>
        <w:gridCol w:w="2141"/>
      </w:tblGrid>
      <w:tr w14:paraId="0AE02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458" w:type="pct"/>
            <w:vMerge w:val="restar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7B06FD1B">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690"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4658636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单项工程名称</w:t>
            </w:r>
          </w:p>
        </w:tc>
        <w:tc>
          <w:tcPr>
            <w:tcW w:w="870"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43AEAAE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c>
          <w:tcPr>
            <w:tcW w:w="1982" w:type="pct"/>
            <w:gridSpan w:val="2"/>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0E32215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其中：（元）</w:t>
            </w:r>
          </w:p>
        </w:tc>
      </w:tr>
      <w:tr w14:paraId="3080F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58" w:type="pct"/>
            <w:vMerge w:val="continue"/>
            <w:tcBorders>
              <w:top w:val="single" w:color="000000" w:sz="8" w:space="0"/>
              <w:left w:val="single" w:color="000000" w:sz="8" w:space="0"/>
              <w:bottom w:val="single" w:color="000000" w:sz="4" w:space="0"/>
              <w:right w:val="single" w:color="000000" w:sz="4" w:space="0"/>
              <w:tl2br w:val="nil"/>
              <w:tr2bl w:val="nil"/>
            </w:tcBorders>
            <w:shd w:val="clear" w:color="auto" w:fill="auto"/>
            <w:noWrap w:val="0"/>
            <w:vAlign w:val="center"/>
          </w:tcPr>
          <w:p w14:paraId="56F4512F">
            <w:pPr>
              <w:widowControl/>
              <w:spacing w:beforeLines="0" w:afterLines="0"/>
              <w:jc w:val="left"/>
              <w:rPr>
                <w:rFonts w:hint="eastAsia" w:ascii="Times New Roman" w:eastAsia="Times New Roman" w:cs="Arial"/>
                <w:color w:val="auto"/>
                <w:sz w:val="24"/>
                <w:szCs w:val="21"/>
                <w:highlight w:val="none"/>
              </w:rPr>
            </w:pPr>
          </w:p>
        </w:tc>
        <w:tc>
          <w:tcPr>
            <w:tcW w:w="1690"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482E81A9">
            <w:pPr>
              <w:widowControl/>
              <w:spacing w:beforeLines="0" w:afterLines="0"/>
              <w:jc w:val="left"/>
              <w:rPr>
                <w:rFonts w:hint="eastAsia" w:ascii="Times New Roman" w:eastAsia="Times New Roman" w:cs="Arial"/>
                <w:color w:val="auto"/>
                <w:sz w:val="24"/>
                <w:szCs w:val="21"/>
                <w:highlight w:val="none"/>
              </w:rPr>
            </w:pPr>
          </w:p>
        </w:tc>
        <w:tc>
          <w:tcPr>
            <w:tcW w:w="870"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5903000F">
            <w:pPr>
              <w:widowControl/>
              <w:spacing w:beforeLines="0" w:afterLines="0"/>
              <w:jc w:val="lef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shd w:val="clear" w:color="FFFFFF" w:fill="FFFFFF"/>
            <w:noWrap w:val="0"/>
            <w:vAlign w:val="center"/>
          </w:tcPr>
          <w:p w14:paraId="742744D5">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暂估价</w:t>
            </w:r>
          </w:p>
        </w:tc>
        <w:tc>
          <w:tcPr>
            <w:tcW w:w="1257" w:type="pct"/>
            <w:tcBorders>
              <w:top w:val="nil"/>
              <w:left w:val="nil"/>
              <w:bottom w:val="single" w:color="000000" w:sz="4" w:space="0"/>
              <w:right w:val="single" w:color="000000" w:sz="8" w:space="0"/>
              <w:tl2br w:val="nil"/>
              <w:tr2bl w:val="nil"/>
            </w:tcBorders>
            <w:shd w:val="clear" w:color="FFFFFF" w:fill="FFFFFF"/>
            <w:noWrap w:val="0"/>
            <w:vAlign w:val="center"/>
          </w:tcPr>
          <w:p w14:paraId="7FAA945A">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不可竞争费</w:t>
            </w:r>
          </w:p>
        </w:tc>
      </w:tr>
      <w:tr w14:paraId="1491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233604E5">
            <w:pPr>
              <w:widowControl/>
              <w:spacing w:beforeLines="0" w:afterLines="0"/>
              <w:jc w:val="center"/>
              <w:rPr>
                <w:rFonts w:hint="eastAsia" w:ascii="Times New Roman" w:eastAsia="Times New Roman" w:cs="Arial"/>
                <w:color w:val="auto"/>
                <w:sz w:val="24"/>
                <w:szCs w:val="21"/>
                <w:highlight w:val="none"/>
              </w:rPr>
            </w:pPr>
          </w:p>
        </w:tc>
        <w:tc>
          <w:tcPr>
            <w:tcW w:w="1690" w:type="pct"/>
            <w:tcBorders>
              <w:top w:val="single" w:color="000000" w:sz="4" w:space="0"/>
              <w:left w:val="nil"/>
              <w:bottom w:val="single" w:color="000000" w:sz="4" w:space="0"/>
              <w:right w:val="single" w:color="000000" w:sz="4" w:space="0"/>
              <w:tl2br w:val="nil"/>
              <w:tr2bl w:val="nil"/>
            </w:tcBorders>
            <w:noWrap w:val="0"/>
            <w:vAlign w:val="center"/>
          </w:tcPr>
          <w:p w14:paraId="04869F69">
            <w:pPr>
              <w:widowControl/>
              <w:spacing w:beforeLines="0" w:afterLines="0"/>
              <w:jc w:val="left"/>
              <w:rPr>
                <w:rFonts w:hint="eastAsia" w:ascii="Times New Roman" w:eastAsia="Times New Roman" w:cs="Arial"/>
                <w:color w:val="auto"/>
                <w:sz w:val="24"/>
                <w:szCs w:val="21"/>
                <w:highlight w:val="none"/>
              </w:rPr>
            </w:pP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015519C9">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6B90BBBF">
            <w:pPr>
              <w:widowControl/>
              <w:spacing w:beforeLines="0" w:afterLines="0"/>
              <w:jc w:val="right"/>
              <w:rPr>
                <w:rFonts w:hint="eastAsia" w:ascii="Times New Roman" w:eastAsia="Times New Roman" w:cs="Arial"/>
                <w:color w:val="auto"/>
                <w:sz w:val="24"/>
                <w:szCs w:val="21"/>
                <w:highlight w:val="none"/>
              </w:rPr>
            </w:pPr>
          </w:p>
        </w:tc>
        <w:tc>
          <w:tcPr>
            <w:tcW w:w="1257" w:type="pct"/>
            <w:tcBorders>
              <w:top w:val="nil"/>
              <w:left w:val="nil"/>
              <w:bottom w:val="single" w:color="000000" w:sz="4" w:space="0"/>
              <w:right w:val="single" w:color="000000" w:sz="8" w:space="0"/>
              <w:tl2br w:val="nil"/>
              <w:tr2bl w:val="nil"/>
            </w:tcBorders>
            <w:noWrap w:val="0"/>
            <w:vAlign w:val="center"/>
          </w:tcPr>
          <w:p w14:paraId="7DCB0264">
            <w:pPr>
              <w:widowControl/>
              <w:spacing w:beforeLines="0" w:afterLines="0"/>
              <w:jc w:val="right"/>
              <w:rPr>
                <w:rFonts w:hint="eastAsia" w:ascii="Times New Roman" w:eastAsia="Times New Roman" w:cs="Arial"/>
                <w:color w:val="auto"/>
                <w:sz w:val="24"/>
                <w:szCs w:val="21"/>
                <w:highlight w:val="none"/>
              </w:rPr>
            </w:pPr>
          </w:p>
        </w:tc>
      </w:tr>
      <w:tr w14:paraId="30FF5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15036BF8">
            <w:pPr>
              <w:widowControl/>
              <w:spacing w:beforeLines="0" w:afterLines="0"/>
              <w:jc w:val="center"/>
              <w:rPr>
                <w:rFonts w:hint="eastAsia" w:ascii="Times New Roman" w:eastAsia="Times New Roman" w:cs="Arial"/>
                <w:color w:val="auto"/>
                <w:sz w:val="24"/>
                <w:szCs w:val="21"/>
                <w:highlight w:val="none"/>
              </w:rPr>
            </w:pPr>
          </w:p>
        </w:tc>
        <w:tc>
          <w:tcPr>
            <w:tcW w:w="1690" w:type="pct"/>
            <w:tcBorders>
              <w:top w:val="single" w:color="000000" w:sz="4" w:space="0"/>
              <w:left w:val="nil"/>
              <w:bottom w:val="single" w:color="000000" w:sz="4" w:space="0"/>
              <w:right w:val="single" w:color="000000" w:sz="4" w:space="0"/>
              <w:tl2br w:val="nil"/>
              <w:tr2bl w:val="nil"/>
            </w:tcBorders>
            <w:noWrap w:val="0"/>
            <w:vAlign w:val="center"/>
          </w:tcPr>
          <w:p w14:paraId="0CE45C6F">
            <w:pPr>
              <w:widowControl/>
              <w:spacing w:beforeLines="0" w:afterLines="0"/>
              <w:jc w:val="left"/>
              <w:rPr>
                <w:rFonts w:hint="eastAsia" w:ascii="Times New Roman" w:eastAsia="Times New Roman" w:cs="Arial"/>
                <w:color w:val="auto"/>
                <w:sz w:val="24"/>
                <w:szCs w:val="21"/>
                <w:highlight w:val="none"/>
              </w:rPr>
            </w:pP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541EE4D2">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4814AFFC">
            <w:pPr>
              <w:widowControl/>
              <w:spacing w:beforeLines="0" w:afterLines="0"/>
              <w:jc w:val="right"/>
              <w:rPr>
                <w:rFonts w:hint="eastAsia" w:ascii="Times New Roman" w:eastAsia="Times New Roman" w:cs="Arial"/>
                <w:color w:val="auto"/>
                <w:sz w:val="24"/>
                <w:szCs w:val="21"/>
                <w:highlight w:val="none"/>
              </w:rPr>
            </w:pPr>
          </w:p>
        </w:tc>
        <w:tc>
          <w:tcPr>
            <w:tcW w:w="1257" w:type="pct"/>
            <w:tcBorders>
              <w:top w:val="nil"/>
              <w:left w:val="nil"/>
              <w:bottom w:val="single" w:color="000000" w:sz="4" w:space="0"/>
              <w:right w:val="single" w:color="000000" w:sz="8" w:space="0"/>
              <w:tl2br w:val="nil"/>
              <w:tr2bl w:val="nil"/>
            </w:tcBorders>
            <w:noWrap w:val="0"/>
            <w:vAlign w:val="center"/>
          </w:tcPr>
          <w:p w14:paraId="724E3921">
            <w:pPr>
              <w:widowControl/>
              <w:spacing w:beforeLines="0" w:afterLines="0"/>
              <w:jc w:val="right"/>
              <w:rPr>
                <w:rFonts w:hint="eastAsia" w:ascii="Times New Roman" w:eastAsia="Times New Roman" w:cs="Arial"/>
                <w:color w:val="auto"/>
                <w:sz w:val="24"/>
                <w:szCs w:val="21"/>
                <w:highlight w:val="none"/>
              </w:rPr>
            </w:pPr>
          </w:p>
        </w:tc>
      </w:tr>
      <w:tr w14:paraId="39CB5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31694C5C">
            <w:pPr>
              <w:widowControl/>
              <w:spacing w:beforeLines="0" w:afterLines="0"/>
              <w:jc w:val="center"/>
              <w:rPr>
                <w:rFonts w:hint="eastAsia" w:ascii="Times New Roman" w:eastAsia="Times New Roman" w:cs="Arial"/>
                <w:color w:val="auto"/>
                <w:sz w:val="24"/>
                <w:szCs w:val="21"/>
                <w:highlight w:val="none"/>
              </w:rPr>
            </w:pPr>
          </w:p>
        </w:tc>
        <w:tc>
          <w:tcPr>
            <w:tcW w:w="1690" w:type="pct"/>
            <w:tcBorders>
              <w:top w:val="single" w:color="000000" w:sz="4" w:space="0"/>
              <w:left w:val="nil"/>
              <w:bottom w:val="single" w:color="000000" w:sz="4" w:space="0"/>
              <w:right w:val="single" w:color="000000" w:sz="4" w:space="0"/>
              <w:tl2br w:val="nil"/>
              <w:tr2bl w:val="nil"/>
            </w:tcBorders>
            <w:noWrap w:val="0"/>
            <w:vAlign w:val="center"/>
          </w:tcPr>
          <w:p w14:paraId="7839F878">
            <w:pPr>
              <w:widowControl/>
              <w:spacing w:beforeLines="0" w:afterLines="0"/>
              <w:jc w:val="left"/>
              <w:rPr>
                <w:rFonts w:hint="eastAsia" w:ascii="Times New Roman" w:eastAsia="Times New Roman" w:cs="Arial"/>
                <w:color w:val="auto"/>
                <w:sz w:val="24"/>
                <w:szCs w:val="21"/>
                <w:highlight w:val="none"/>
              </w:rPr>
            </w:pP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5831D3FE">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01ED46E5">
            <w:pPr>
              <w:widowControl/>
              <w:spacing w:beforeLines="0" w:afterLines="0"/>
              <w:jc w:val="right"/>
              <w:rPr>
                <w:rFonts w:hint="eastAsia" w:ascii="Times New Roman" w:eastAsia="Times New Roman" w:cs="Arial"/>
                <w:color w:val="auto"/>
                <w:sz w:val="24"/>
                <w:szCs w:val="21"/>
                <w:highlight w:val="none"/>
              </w:rPr>
            </w:pPr>
          </w:p>
        </w:tc>
        <w:tc>
          <w:tcPr>
            <w:tcW w:w="1257" w:type="pct"/>
            <w:tcBorders>
              <w:top w:val="nil"/>
              <w:left w:val="nil"/>
              <w:bottom w:val="single" w:color="000000" w:sz="4" w:space="0"/>
              <w:right w:val="single" w:color="000000" w:sz="8" w:space="0"/>
              <w:tl2br w:val="nil"/>
              <w:tr2bl w:val="nil"/>
            </w:tcBorders>
            <w:noWrap w:val="0"/>
            <w:vAlign w:val="center"/>
          </w:tcPr>
          <w:p w14:paraId="2F7C26FD">
            <w:pPr>
              <w:widowControl/>
              <w:spacing w:beforeLines="0" w:afterLines="0"/>
              <w:jc w:val="right"/>
              <w:rPr>
                <w:rFonts w:hint="eastAsia" w:ascii="Times New Roman" w:eastAsia="Times New Roman" w:cs="Arial"/>
                <w:color w:val="auto"/>
                <w:sz w:val="24"/>
                <w:szCs w:val="21"/>
                <w:highlight w:val="none"/>
              </w:rPr>
            </w:pPr>
          </w:p>
        </w:tc>
      </w:tr>
      <w:tr w14:paraId="76464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148" w:type="pct"/>
            <w:gridSpan w:val="2"/>
            <w:tcBorders>
              <w:top w:val="nil"/>
              <w:left w:val="single" w:color="000000" w:sz="8" w:space="0"/>
              <w:bottom w:val="single" w:color="000000" w:sz="4" w:space="0"/>
              <w:right w:val="single" w:color="000000" w:sz="4" w:space="0"/>
              <w:tl2br w:val="nil"/>
              <w:tr2bl w:val="nil"/>
            </w:tcBorders>
            <w:noWrap w:val="0"/>
            <w:vAlign w:val="center"/>
          </w:tcPr>
          <w:p w14:paraId="50433647">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合计</w:t>
            </w: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661BAEDF">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66F9B693">
            <w:pPr>
              <w:widowControl/>
              <w:spacing w:beforeLines="0" w:afterLines="0"/>
              <w:jc w:val="right"/>
              <w:rPr>
                <w:rFonts w:hint="eastAsia" w:ascii="Times New Roman" w:eastAsia="Times New Roman" w:cs="Arial"/>
                <w:color w:val="auto"/>
                <w:sz w:val="24"/>
                <w:szCs w:val="21"/>
                <w:highlight w:val="none"/>
              </w:rPr>
            </w:pPr>
          </w:p>
        </w:tc>
        <w:tc>
          <w:tcPr>
            <w:tcW w:w="1257" w:type="pct"/>
            <w:tcBorders>
              <w:top w:val="nil"/>
              <w:left w:val="nil"/>
              <w:bottom w:val="single" w:color="000000" w:sz="4" w:space="0"/>
              <w:right w:val="single" w:color="000000" w:sz="8" w:space="0"/>
              <w:tl2br w:val="nil"/>
              <w:tr2bl w:val="nil"/>
            </w:tcBorders>
            <w:noWrap w:val="0"/>
            <w:vAlign w:val="center"/>
          </w:tcPr>
          <w:p w14:paraId="69B338D1">
            <w:pPr>
              <w:widowControl/>
              <w:spacing w:beforeLines="0" w:afterLines="0"/>
              <w:jc w:val="right"/>
              <w:rPr>
                <w:rFonts w:hint="eastAsia" w:ascii="Times New Roman" w:eastAsia="Times New Roman" w:cs="Arial"/>
                <w:color w:val="auto"/>
                <w:sz w:val="24"/>
                <w:szCs w:val="21"/>
                <w:highlight w:val="none"/>
              </w:rPr>
            </w:pPr>
          </w:p>
        </w:tc>
      </w:tr>
    </w:tbl>
    <w:p w14:paraId="7C959501">
      <w:pPr>
        <w:spacing w:before="240" w:beforeLines="100" w:after="240" w:afterLines="100"/>
        <w:jc w:val="center"/>
        <w:outlineLvl w:val="3"/>
        <w:rPr>
          <w:rFonts w:hint="eastAsia" w:ascii="Times New Roman" w:eastAsia="Times New Roman"/>
          <w:color w:val="auto"/>
          <w:sz w:val="24"/>
          <w:szCs w:val="24"/>
          <w:highlight w:val="none"/>
        </w:rPr>
      </w:pPr>
      <w:bookmarkStart w:id="1482" w:name="_Toc460660240"/>
      <w:bookmarkStart w:id="1483" w:name="_Toc460227125"/>
      <w:bookmarkStart w:id="1484" w:name="_Toc12908"/>
      <w:bookmarkStart w:id="1485" w:name="_Toc9130"/>
      <w:bookmarkStart w:id="1486" w:name="_Toc10386"/>
      <w:bookmarkStart w:id="1487" w:name="_Toc26052"/>
      <w:bookmarkStart w:id="1488" w:name="_Toc23146"/>
      <w:bookmarkStart w:id="1489" w:name="_Toc31098"/>
      <w:bookmarkStart w:id="1490" w:name="_Toc21468"/>
      <w:bookmarkStart w:id="1491" w:name="_Toc1055"/>
      <w:bookmarkStart w:id="1492" w:name="_Toc29589"/>
      <w:r>
        <w:rPr>
          <w:rFonts w:hint="eastAsia" w:ascii="Times New Roman" w:eastAsia="Times New Roman"/>
          <w:color w:val="auto"/>
          <w:sz w:val="24"/>
          <w:szCs w:val="24"/>
          <w:highlight w:val="none"/>
        </w:rPr>
        <w:br w:type="page"/>
      </w:r>
      <w:bookmarkStart w:id="1493" w:name="_Toc128950304"/>
      <w:r>
        <w:rPr>
          <w:rFonts w:hint="eastAsia" w:ascii="Times New Roman" w:eastAsia="黑体"/>
          <w:color w:val="auto"/>
          <w:sz w:val="24"/>
          <w:szCs w:val="24"/>
          <w:highlight w:val="none"/>
        </w:rPr>
        <w:t>（三）</w:t>
      </w:r>
      <w:bookmarkEnd w:id="1482"/>
      <w:bookmarkEnd w:id="1483"/>
      <w:r>
        <w:rPr>
          <w:rFonts w:hint="eastAsia" w:ascii="Times New Roman" w:eastAsia="黑体"/>
          <w:color w:val="auto"/>
          <w:sz w:val="24"/>
          <w:szCs w:val="24"/>
          <w:highlight w:val="none"/>
        </w:rPr>
        <w:t>单项工程投标报价汇总表</w:t>
      </w:r>
      <w:bookmarkEnd w:id="1484"/>
      <w:bookmarkEnd w:id="1485"/>
      <w:bookmarkEnd w:id="1486"/>
      <w:bookmarkEnd w:id="1487"/>
      <w:bookmarkEnd w:id="1488"/>
      <w:bookmarkEnd w:id="1489"/>
      <w:bookmarkEnd w:id="1490"/>
      <w:bookmarkEnd w:id="1491"/>
      <w:bookmarkEnd w:id="1492"/>
      <w:bookmarkEnd w:id="1493"/>
    </w:p>
    <w:p w14:paraId="3F607842">
      <w:pPr>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
        <w:gridCol w:w="2878"/>
        <w:gridCol w:w="1482"/>
        <w:gridCol w:w="1235"/>
        <w:gridCol w:w="2141"/>
      </w:tblGrid>
      <w:tr w14:paraId="2CA0A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458" w:type="pct"/>
            <w:vMerge w:val="restar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2AC9344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690"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31F27C3E">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单位工程名称</w:t>
            </w:r>
          </w:p>
        </w:tc>
        <w:tc>
          <w:tcPr>
            <w:tcW w:w="870"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0B71C6B9">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c>
          <w:tcPr>
            <w:tcW w:w="1982" w:type="pct"/>
            <w:gridSpan w:val="2"/>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7692A2CC">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其中：（元）</w:t>
            </w:r>
          </w:p>
        </w:tc>
      </w:tr>
      <w:tr w14:paraId="4CF93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58" w:type="pct"/>
            <w:vMerge w:val="continue"/>
            <w:tcBorders>
              <w:top w:val="single" w:color="000000" w:sz="8" w:space="0"/>
              <w:left w:val="single" w:color="000000" w:sz="8" w:space="0"/>
              <w:bottom w:val="single" w:color="000000" w:sz="4" w:space="0"/>
              <w:right w:val="single" w:color="000000" w:sz="4" w:space="0"/>
              <w:tl2br w:val="nil"/>
              <w:tr2bl w:val="nil"/>
            </w:tcBorders>
            <w:shd w:val="clear" w:color="auto" w:fill="auto"/>
            <w:noWrap w:val="0"/>
            <w:vAlign w:val="center"/>
          </w:tcPr>
          <w:p w14:paraId="3E34F001">
            <w:pPr>
              <w:widowControl/>
              <w:spacing w:beforeLines="0" w:afterLines="0"/>
              <w:jc w:val="left"/>
              <w:rPr>
                <w:rFonts w:hint="eastAsia" w:ascii="Times New Roman" w:eastAsia="Times New Roman" w:cs="Arial"/>
                <w:color w:val="auto"/>
                <w:sz w:val="24"/>
                <w:szCs w:val="21"/>
                <w:highlight w:val="none"/>
              </w:rPr>
            </w:pPr>
          </w:p>
        </w:tc>
        <w:tc>
          <w:tcPr>
            <w:tcW w:w="1690"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5E415D5D">
            <w:pPr>
              <w:widowControl/>
              <w:spacing w:beforeLines="0" w:afterLines="0"/>
              <w:jc w:val="left"/>
              <w:rPr>
                <w:rFonts w:hint="eastAsia" w:ascii="Times New Roman" w:eastAsia="Times New Roman" w:cs="Arial"/>
                <w:color w:val="auto"/>
                <w:sz w:val="24"/>
                <w:szCs w:val="21"/>
                <w:highlight w:val="none"/>
              </w:rPr>
            </w:pPr>
          </w:p>
        </w:tc>
        <w:tc>
          <w:tcPr>
            <w:tcW w:w="870"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250EDE2A">
            <w:pPr>
              <w:widowControl/>
              <w:spacing w:beforeLines="0" w:afterLines="0"/>
              <w:jc w:val="lef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shd w:val="clear" w:color="FFFFFF" w:fill="FFFFFF"/>
            <w:noWrap w:val="0"/>
            <w:vAlign w:val="center"/>
          </w:tcPr>
          <w:p w14:paraId="0CDB1821">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暂估价</w:t>
            </w:r>
          </w:p>
        </w:tc>
        <w:tc>
          <w:tcPr>
            <w:tcW w:w="1256" w:type="pct"/>
            <w:tcBorders>
              <w:top w:val="nil"/>
              <w:left w:val="nil"/>
              <w:bottom w:val="single" w:color="000000" w:sz="4" w:space="0"/>
              <w:right w:val="single" w:color="000000" w:sz="8" w:space="0"/>
              <w:tl2br w:val="nil"/>
              <w:tr2bl w:val="nil"/>
            </w:tcBorders>
            <w:shd w:val="clear" w:color="FFFFFF" w:fill="FFFFFF"/>
            <w:noWrap w:val="0"/>
            <w:vAlign w:val="center"/>
          </w:tcPr>
          <w:p w14:paraId="3ABC76F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不可竞争费</w:t>
            </w:r>
          </w:p>
        </w:tc>
      </w:tr>
      <w:tr w14:paraId="2DBA8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36D1FD1B">
            <w:pPr>
              <w:widowControl/>
              <w:spacing w:beforeLines="0" w:afterLines="0"/>
              <w:jc w:val="center"/>
              <w:rPr>
                <w:rFonts w:hint="eastAsia" w:ascii="Times New Roman" w:eastAsia="Times New Roman" w:cs="Arial"/>
                <w:color w:val="auto"/>
                <w:sz w:val="24"/>
                <w:szCs w:val="21"/>
                <w:highlight w:val="none"/>
              </w:rPr>
            </w:pPr>
          </w:p>
        </w:tc>
        <w:tc>
          <w:tcPr>
            <w:tcW w:w="1690" w:type="pct"/>
            <w:tcBorders>
              <w:top w:val="single" w:color="000000" w:sz="4" w:space="0"/>
              <w:left w:val="nil"/>
              <w:bottom w:val="single" w:color="000000" w:sz="4" w:space="0"/>
              <w:right w:val="single" w:color="000000" w:sz="4" w:space="0"/>
              <w:tl2br w:val="nil"/>
              <w:tr2bl w:val="nil"/>
            </w:tcBorders>
            <w:noWrap w:val="0"/>
            <w:vAlign w:val="center"/>
          </w:tcPr>
          <w:p w14:paraId="5DBEAC84">
            <w:pPr>
              <w:widowControl/>
              <w:spacing w:beforeLines="0" w:afterLines="0"/>
              <w:jc w:val="left"/>
              <w:rPr>
                <w:rFonts w:hint="eastAsia" w:ascii="Times New Roman" w:eastAsia="Times New Roman" w:cs="Arial"/>
                <w:color w:val="auto"/>
                <w:sz w:val="24"/>
                <w:szCs w:val="21"/>
                <w:highlight w:val="none"/>
              </w:rPr>
            </w:pP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5698FA13">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3C5811A1">
            <w:pPr>
              <w:widowControl/>
              <w:spacing w:beforeLines="0" w:afterLines="0"/>
              <w:jc w:val="right"/>
              <w:rPr>
                <w:rFonts w:hint="eastAsia" w:ascii="Times New Roman" w:eastAsia="Times New Roman" w:cs="Arial"/>
                <w:color w:val="auto"/>
                <w:sz w:val="24"/>
                <w:szCs w:val="21"/>
                <w:highlight w:val="none"/>
              </w:rPr>
            </w:pPr>
          </w:p>
        </w:tc>
        <w:tc>
          <w:tcPr>
            <w:tcW w:w="1256" w:type="pct"/>
            <w:tcBorders>
              <w:top w:val="nil"/>
              <w:left w:val="nil"/>
              <w:bottom w:val="single" w:color="000000" w:sz="4" w:space="0"/>
              <w:right w:val="single" w:color="000000" w:sz="8" w:space="0"/>
              <w:tl2br w:val="nil"/>
              <w:tr2bl w:val="nil"/>
            </w:tcBorders>
            <w:noWrap w:val="0"/>
            <w:vAlign w:val="center"/>
          </w:tcPr>
          <w:p w14:paraId="6C6E2139">
            <w:pPr>
              <w:widowControl/>
              <w:spacing w:beforeLines="0" w:afterLines="0"/>
              <w:jc w:val="right"/>
              <w:rPr>
                <w:rFonts w:hint="eastAsia" w:ascii="Times New Roman" w:eastAsia="Times New Roman" w:cs="Arial"/>
                <w:color w:val="auto"/>
                <w:sz w:val="24"/>
                <w:szCs w:val="21"/>
                <w:highlight w:val="none"/>
              </w:rPr>
            </w:pPr>
          </w:p>
        </w:tc>
      </w:tr>
      <w:tr w14:paraId="546FA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190F5103">
            <w:pPr>
              <w:widowControl/>
              <w:spacing w:beforeLines="0" w:afterLines="0"/>
              <w:jc w:val="center"/>
              <w:rPr>
                <w:rFonts w:hint="eastAsia" w:ascii="Times New Roman" w:eastAsia="Times New Roman" w:cs="Arial"/>
                <w:color w:val="auto"/>
                <w:sz w:val="24"/>
                <w:szCs w:val="21"/>
                <w:highlight w:val="none"/>
              </w:rPr>
            </w:pPr>
          </w:p>
        </w:tc>
        <w:tc>
          <w:tcPr>
            <w:tcW w:w="1690" w:type="pct"/>
            <w:tcBorders>
              <w:top w:val="single" w:color="000000" w:sz="4" w:space="0"/>
              <w:left w:val="nil"/>
              <w:bottom w:val="single" w:color="000000" w:sz="4" w:space="0"/>
              <w:right w:val="single" w:color="000000" w:sz="4" w:space="0"/>
              <w:tl2br w:val="nil"/>
              <w:tr2bl w:val="nil"/>
            </w:tcBorders>
            <w:noWrap w:val="0"/>
            <w:vAlign w:val="center"/>
          </w:tcPr>
          <w:p w14:paraId="21D47967">
            <w:pPr>
              <w:widowControl/>
              <w:spacing w:beforeLines="0" w:afterLines="0"/>
              <w:jc w:val="left"/>
              <w:rPr>
                <w:rFonts w:hint="eastAsia" w:ascii="Times New Roman" w:eastAsia="Times New Roman" w:cs="Arial"/>
                <w:color w:val="auto"/>
                <w:sz w:val="24"/>
                <w:szCs w:val="21"/>
                <w:highlight w:val="none"/>
              </w:rPr>
            </w:pP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51474C9D">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772AC575">
            <w:pPr>
              <w:widowControl/>
              <w:spacing w:beforeLines="0" w:afterLines="0"/>
              <w:jc w:val="right"/>
              <w:rPr>
                <w:rFonts w:hint="eastAsia" w:ascii="Times New Roman" w:eastAsia="Times New Roman" w:cs="Arial"/>
                <w:color w:val="auto"/>
                <w:sz w:val="24"/>
                <w:szCs w:val="21"/>
                <w:highlight w:val="none"/>
              </w:rPr>
            </w:pPr>
          </w:p>
        </w:tc>
        <w:tc>
          <w:tcPr>
            <w:tcW w:w="1256" w:type="pct"/>
            <w:tcBorders>
              <w:top w:val="nil"/>
              <w:left w:val="nil"/>
              <w:bottom w:val="single" w:color="000000" w:sz="4" w:space="0"/>
              <w:right w:val="single" w:color="000000" w:sz="8" w:space="0"/>
              <w:tl2br w:val="nil"/>
              <w:tr2bl w:val="nil"/>
            </w:tcBorders>
            <w:noWrap w:val="0"/>
            <w:vAlign w:val="center"/>
          </w:tcPr>
          <w:p w14:paraId="59F5A13B">
            <w:pPr>
              <w:widowControl/>
              <w:spacing w:beforeLines="0" w:afterLines="0"/>
              <w:jc w:val="right"/>
              <w:rPr>
                <w:rFonts w:hint="eastAsia" w:ascii="Times New Roman" w:eastAsia="Times New Roman" w:cs="Arial"/>
                <w:color w:val="auto"/>
                <w:sz w:val="24"/>
                <w:szCs w:val="21"/>
                <w:highlight w:val="none"/>
              </w:rPr>
            </w:pPr>
          </w:p>
        </w:tc>
      </w:tr>
      <w:tr w14:paraId="137DE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6B1DAB03">
            <w:pPr>
              <w:widowControl/>
              <w:spacing w:beforeLines="0" w:afterLines="0"/>
              <w:jc w:val="center"/>
              <w:rPr>
                <w:rFonts w:hint="eastAsia" w:ascii="Times New Roman" w:eastAsia="Times New Roman" w:cs="Arial"/>
                <w:color w:val="auto"/>
                <w:sz w:val="24"/>
                <w:szCs w:val="21"/>
                <w:highlight w:val="none"/>
              </w:rPr>
            </w:pPr>
          </w:p>
        </w:tc>
        <w:tc>
          <w:tcPr>
            <w:tcW w:w="1690" w:type="pct"/>
            <w:tcBorders>
              <w:top w:val="single" w:color="000000" w:sz="4" w:space="0"/>
              <w:left w:val="nil"/>
              <w:bottom w:val="single" w:color="000000" w:sz="4" w:space="0"/>
              <w:right w:val="single" w:color="000000" w:sz="4" w:space="0"/>
              <w:tl2br w:val="nil"/>
              <w:tr2bl w:val="nil"/>
            </w:tcBorders>
            <w:noWrap w:val="0"/>
            <w:vAlign w:val="center"/>
          </w:tcPr>
          <w:p w14:paraId="75AAA79B">
            <w:pPr>
              <w:widowControl/>
              <w:spacing w:beforeLines="0" w:afterLines="0"/>
              <w:jc w:val="left"/>
              <w:rPr>
                <w:rFonts w:hint="eastAsia" w:ascii="Times New Roman" w:eastAsia="Times New Roman" w:cs="Arial"/>
                <w:color w:val="auto"/>
                <w:sz w:val="24"/>
                <w:szCs w:val="21"/>
                <w:highlight w:val="none"/>
              </w:rPr>
            </w:pP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0CDBDA41">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5CFF3046">
            <w:pPr>
              <w:widowControl/>
              <w:spacing w:beforeLines="0" w:afterLines="0"/>
              <w:jc w:val="right"/>
              <w:rPr>
                <w:rFonts w:hint="eastAsia" w:ascii="Times New Roman" w:eastAsia="Times New Roman" w:cs="Arial"/>
                <w:color w:val="auto"/>
                <w:sz w:val="24"/>
                <w:szCs w:val="21"/>
                <w:highlight w:val="none"/>
              </w:rPr>
            </w:pPr>
          </w:p>
        </w:tc>
        <w:tc>
          <w:tcPr>
            <w:tcW w:w="1256" w:type="pct"/>
            <w:tcBorders>
              <w:top w:val="nil"/>
              <w:left w:val="nil"/>
              <w:bottom w:val="single" w:color="000000" w:sz="4" w:space="0"/>
              <w:right w:val="single" w:color="000000" w:sz="8" w:space="0"/>
              <w:tl2br w:val="nil"/>
              <w:tr2bl w:val="nil"/>
            </w:tcBorders>
            <w:noWrap w:val="0"/>
            <w:vAlign w:val="center"/>
          </w:tcPr>
          <w:p w14:paraId="64114629">
            <w:pPr>
              <w:widowControl/>
              <w:spacing w:beforeLines="0" w:afterLines="0"/>
              <w:jc w:val="right"/>
              <w:rPr>
                <w:rFonts w:hint="eastAsia" w:ascii="Times New Roman" w:eastAsia="Times New Roman" w:cs="Arial"/>
                <w:color w:val="auto"/>
                <w:sz w:val="24"/>
                <w:szCs w:val="21"/>
                <w:highlight w:val="none"/>
              </w:rPr>
            </w:pPr>
          </w:p>
        </w:tc>
      </w:tr>
      <w:tr w14:paraId="1567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148" w:type="pct"/>
            <w:gridSpan w:val="2"/>
            <w:tcBorders>
              <w:top w:val="nil"/>
              <w:left w:val="single" w:color="000000" w:sz="8" w:space="0"/>
              <w:bottom w:val="single" w:color="000000" w:sz="4" w:space="0"/>
              <w:right w:val="single" w:color="000000" w:sz="4" w:space="0"/>
              <w:tl2br w:val="nil"/>
              <w:tr2bl w:val="nil"/>
            </w:tcBorders>
            <w:noWrap w:val="0"/>
            <w:vAlign w:val="center"/>
          </w:tcPr>
          <w:p w14:paraId="3D97BE4B">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合计</w:t>
            </w:r>
          </w:p>
        </w:tc>
        <w:tc>
          <w:tcPr>
            <w:tcW w:w="870" w:type="pct"/>
            <w:tcBorders>
              <w:top w:val="single" w:color="000000" w:sz="4" w:space="0"/>
              <w:left w:val="nil"/>
              <w:bottom w:val="single" w:color="000000" w:sz="4" w:space="0"/>
              <w:right w:val="single" w:color="000000" w:sz="4" w:space="0"/>
              <w:tl2br w:val="nil"/>
              <w:tr2bl w:val="nil"/>
            </w:tcBorders>
            <w:noWrap w:val="0"/>
            <w:vAlign w:val="center"/>
          </w:tcPr>
          <w:p w14:paraId="2CB18A0B">
            <w:pPr>
              <w:widowControl/>
              <w:spacing w:beforeLines="0" w:afterLines="0"/>
              <w:jc w:val="right"/>
              <w:rPr>
                <w:rFonts w:hint="eastAsia" w:ascii="Times New Roman" w:eastAsia="Times New Roman" w:cs="Arial"/>
                <w:color w:val="auto"/>
                <w:sz w:val="24"/>
                <w:szCs w:val="21"/>
                <w:highlight w:val="none"/>
              </w:rPr>
            </w:pPr>
          </w:p>
        </w:tc>
        <w:tc>
          <w:tcPr>
            <w:tcW w:w="725" w:type="pct"/>
            <w:tcBorders>
              <w:top w:val="single" w:color="000000" w:sz="4" w:space="0"/>
              <w:left w:val="nil"/>
              <w:bottom w:val="single" w:color="000000" w:sz="4" w:space="0"/>
              <w:right w:val="single" w:color="000000" w:sz="4" w:space="0"/>
              <w:tl2br w:val="nil"/>
              <w:tr2bl w:val="nil"/>
            </w:tcBorders>
            <w:noWrap w:val="0"/>
            <w:vAlign w:val="center"/>
          </w:tcPr>
          <w:p w14:paraId="4EDD5AFD">
            <w:pPr>
              <w:widowControl/>
              <w:spacing w:beforeLines="0" w:afterLines="0"/>
              <w:jc w:val="right"/>
              <w:rPr>
                <w:rFonts w:hint="eastAsia" w:ascii="Times New Roman" w:eastAsia="Times New Roman" w:cs="Arial"/>
                <w:color w:val="auto"/>
                <w:sz w:val="24"/>
                <w:szCs w:val="21"/>
                <w:highlight w:val="none"/>
              </w:rPr>
            </w:pPr>
          </w:p>
        </w:tc>
        <w:tc>
          <w:tcPr>
            <w:tcW w:w="1256" w:type="pct"/>
            <w:tcBorders>
              <w:top w:val="nil"/>
              <w:left w:val="nil"/>
              <w:bottom w:val="single" w:color="000000" w:sz="4" w:space="0"/>
              <w:right w:val="single" w:color="000000" w:sz="8" w:space="0"/>
              <w:tl2br w:val="nil"/>
              <w:tr2bl w:val="nil"/>
            </w:tcBorders>
            <w:noWrap w:val="0"/>
            <w:vAlign w:val="center"/>
          </w:tcPr>
          <w:p w14:paraId="3697C12A">
            <w:pPr>
              <w:widowControl/>
              <w:spacing w:beforeLines="0" w:afterLines="0"/>
              <w:jc w:val="right"/>
              <w:rPr>
                <w:rFonts w:hint="eastAsia" w:ascii="Times New Roman" w:eastAsia="Times New Roman" w:cs="Arial"/>
                <w:color w:val="auto"/>
                <w:sz w:val="24"/>
                <w:szCs w:val="21"/>
                <w:highlight w:val="none"/>
              </w:rPr>
            </w:pPr>
          </w:p>
        </w:tc>
      </w:tr>
    </w:tbl>
    <w:p w14:paraId="5B278E77">
      <w:pPr>
        <w:spacing w:beforeLines="0" w:afterLines="0"/>
        <w:jc w:val="center"/>
        <w:rPr>
          <w:rFonts w:hint="eastAsia" w:ascii="Times New Roman" w:eastAsia="Times New Roman"/>
          <w:color w:val="auto"/>
          <w:sz w:val="32"/>
          <w:szCs w:val="32"/>
          <w:highlight w:val="none"/>
        </w:rPr>
      </w:pPr>
      <w:bookmarkStart w:id="1494" w:name="_Toc460227126"/>
      <w:bookmarkStart w:id="1495" w:name="_Toc460660241"/>
    </w:p>
    <w:p w14:paraId="2D24B3B6">
      <w:pPr>
        <w:spacing w:before="240" w:beforeLines="100" w:after="240" w:afterLines="100"/>
        <w:jc w:val="center"/>
        <w:outlineLvl w:val="3"/>
        <w:rPr>
          <w:rFonts w:hint="eastAsia" w:ascii="Times New Roman" w:eastAsia="黑体"/>
          <w:color w:val="auto"/>
          <w:sz w:val="24"/>
          <w:szCs w:val="24"/>
          <w:highlight w:val="none"/>
        </w:rPr>
      </w:pPr>
      <w:r>
        <w:rPr>
          <w:rFonts w:hint="eastAsia" w:ascii="Times New Roman" w:eastAsia="Times New Roman"/>
          <w:color w:val="auto"/>
          <w:sz w:val="28"/>
          <w:szCs w:val="28"/>
          <w:highlight w:val="none"/>
        </w:rPr>
        <w:br w:type="page"/>
      </w:r>
      <w:bookmarkStart w:id="1496" w:name="_Toc13998"/>
      <w:bookmarkStart w:id="1497" w:name="_Toc128950305"/>
      <w:bookmarkStart w:id="1498" w:name="_Toc21804"/>
      <w:bookmarkStart w:id="1499" w:name="_Toc25424"/>
      <w:bookmarkStart w:id="1500" w:name="_Toc6046"/>
      <w:bookmarkStart w:id="1501" w:name="_Toc24293"/>
      <w:bookmarkStart w:id="1502" w:name="_Toc15536"/>
      <w:bookmarkStart w:id="1503" w:name="_Toc25852"/>
      <w:bookmarkStart w:id="1504" w:name="_Toc7885"/>
      <w:bookmarkStart w:id="1505" w:name="_Toc30659"/>
      <w:r>
        <w:rPr>
          <w:rFonts w:hint="eastAsia" w:ascii="Times New Roman" w:eastAsia="黑体"/>
          <w:color w:val="auto"/>
          <w:sz w:val="24"/>
          <w:szCs w:val="24"/>
          <w:highlight w:val="none"/>
        </w:rPr>
        <w:t>（四）</w:t>
      </w:r>
      <w:bookmarkEnd w:id="1494"/>
      <w:bookmarkEnd w:id="1495"/>
      <w:r>
        <w:rPr>
          <w:rFonts w:hint="eastAsia" w:ascii="Times New Roman" w:eastAsia="黑体"/>
          <w:color w:val="auto"/>
          <w:sz w:val="24"/>
          <w:szCs w:val="24"/>
          <w:highlight w:val="none"/>
        </w:rPr>
        <w:t>单位工程投标报价汇总表</w:t>
      </w:r>
      <w:bookmarkEnd w:id="1496"/>
      <w:bookmarkEnd w:id="1497"/>
      <w:bookmarkEnd w:id="1498"/>
      <w:bookmarkEnd w:id="1499"/>
      <w:bookmarkEnd w:id="1500"/>
      <w:bookmarkEnd w:id="1501"/>
      <w:bookmarkEnd w:id="1502"/>
      <w:bookmarkEnd w:id="1503"/>
      <w:bookmarkEnd w:id="1504"/>
      <w:bookmarkEnd w:id="1505"/>
    </w:p>
    <w:p w14:paraId="59FC3282">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
        <w:gridCol w:w="3282"/>
        <w:gridCol w:w="1620"/>
        <w:gridCol w:w="2834"/>
      </w:tblGrid>
      <w:tr w14:paraId="081A9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58"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04CA84A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927"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1E2EE053">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汇总内容</w:t>
            </w:r>
          </w:p>
        </w:tc>
        <w:tc>
          <w:tcPr>
            <w:tcW w:w="951"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3B06D8C2">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c>
          <w:tcPr>
            <w:tcW w:w="1664"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484FB57D">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其中：材料、设备暂估价（元）</w:t>
            </w:r>
          </w:p>
        </w:tc>
      </w:tr>
      <w:tr w14:paraId="626B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286141E5">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1</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05DDC568">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分部分项工程费</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0E418B38">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56C3ABCD">
            <w:pPr>
              <w:widowControl/>
              <w:spacing w:beforeLines="0" w:afterLines="0"/>
              <w:jc w:val="right"/>
              <w:rPr>
                <w:rFonts w:hint="eastAsia" w:ascii="Times New Roman" w:eastAsia="Times New Roman" w:cs="Arial"/>
                <w:color w:val="auto"/>
                <w:sz w:val="24"/>
                <w:szCs w:val="21"/>
                <w:highlight w:val="none"/>
              </w:rPr>
            </w:pPr>
          </w:p>
        </w:tc>
      </w:tr>
      <w:tr w14:paraId="41D2E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75C8C61B">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2</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05233797">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措施项目费</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3C4C2B38">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76D10E9B">
            <w:pPr>
              <w:widowControl/>
              <w:spacing w:beforeLines="0" w:afterLines="0"/>
              <w:jc w:val="right"/>
              <w:rPr>
                <w:rFonts w:hint="eastAsia" w:ascii="Times New Roman" w:eastAsia="Times New Roman" w:cs="Arial"/>
                <w:color w:val="auto"/>
                <w:sz w:val="24"/>
                <w:szCs w:val="21"/>
                <w:highlight w:val="none"/>
              </w:rPr>
            </w:pPr>
          </w:p>
        </w:tc>
      </w:tr>
      <w:tr w14:paraId="4B877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16BF0FE0">
            <w:pPr>
              <w:widowControl/>
              <w:spacing w:beforeLines="0" w:afterLines="0"/>
              <w:jc w:val="center"/>
              <w:rPr>
                <w:rFonts w:hint="eastAsia" w:ascii="Times New Roman" w:eastAsia="Times New Roman" w:cs="Arial"/>
                <w:color w:val="auto"/>
                <w:sz w:val="24"/>
                <w:szCs w:val="21"/>
                <w:highlight w:val="none"/>
              </w:rPr>
            </w:pP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3DDDF212">
            <w:pPr>
              <w:widowControl/>
              <w:spacing w:beforeLines="0" w:afterLines="0"/>
              <w:jc w:val="left"/>
              <w:rPr>
                <w:rFonts w:hint="eastAsia" w:ascii="Times New Roman" w:eastAsia="Times New Roman" w:cs="Arial"/>
                <w:color w:val="auto"/>
                <w:sz w:val="24"/>
                <w:szCs w:val="21"/>
                <w:highlight w:val="none"/>
              </w:rPr>
            </w:pP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7088C803">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49801A1B">
            <w:pPr>
              <w:widowControl/>
              <w:spacing w:beforeLines="0" w:afterLines="0"/>
              <w:jc w:val="right"/>
              <w:rPr>
                <w:rFonts w:hint="eastAsia" w:ascii="Times New Roman" w:eastAsia="Times New Roman" w:cs="Arial"/>
                <w:color w:val="auto"/>
                <w:sz w:val="24"/>
                <w:szCs w:val="21"/>
                <w:highlight w:val="none"/>
              </w:rPr>
            </w:pPr>
          </w:p>
        </w:tc>
      </w:tr>
      <w:tr w14:paraId="4D1DB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0F279F80">
            <w:pPr>
              <w:widowControl/>
              <w:spacing w:beforeLines="0" w:afterLines="0"/>
              <w:jc w:val="center"/>
              <w:rPr>
                <w:rFonts w:hint="eastAsia" w:ascii="Times New Roman" w:eastAsia="Times New Roman" w:cs="Arial"/>
                <w:color w:val="auto"/>
                <w:sz w:val="24"/>
                <w:szCs w:val="21"/>
                <w:highlight w:val="none"/>
              </w:rPr>
            </w:pP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5D96DBF2">
            <w:pPr>
              <w:widowControl/>
              <w:spacing w:beforeLines="0" w:afterLines="0"/>
              <w:jc w:val="left"/>
              <w:rPr>
                <w:rFonts w:hint="eastAsia" w:ascii="Times New Roman" w:eastAsia="Times New Roman" w:cs="Arial"/>
                <w:color w:val="auto"/>
                <w:sz w:val="24"/>
                <w:szCs w:val="21"/>
                <w:highlight w:val="none"/>
              </w:rPr>
            </w:pP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264FA6AC">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6A83DEC2">
            <w:pPr>
              <w:widowControl/>
              <w:spacing w:beforeLines="0" w:afterLines="0"/>
              <w:jc w:val="right"/>
              <w:rPr>
                <w:rFonts w:hint="eastAsia" w:ascii="Times New Roman" w:eastAsia="Times New Roman" w:cs="Arial"/>
                <w:color w:val="auto"/>
                <w:sz w:val="24"/>
                <w:szCs w:val="21"/>
                <w:highlight w:val="none"/>
              </w:rPr>
            </w:pPr>
          </w:p>
        </w:tc>
      </w:tr>
      <w:tr w14:paraId="49D1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228E8474">
            <w:pPr>
              <w:widowControl/>
              <w:spacing w:beforeLines="0" w:afterLines="0"/>
              <w:jc w:val="center"/>
              <w:rPr>
                <w:rFonts w:hint="eastAsia" w:ascii="Times New Roman" w:eastAsia="Times New Roman" w:cs="Arial"/>
                <w:color w:val="auto"/>
                <w:sz w:val="24"/>
                <w:szCs w:val="21"/>
                <w:highlight w:val="none"/>
              </w:rPr>
            </w:pP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793EE96A">
            <w:pPr>
              <w:widowControl/>
              <w:spacing w:beforeLines="0" w:afterLines="0"/>
              <w:jc w:val="left"/>
              <w:rPr>
                <w:rFonts w:hint="eastAsia" w:ascii="Times New Roman" w:eastAsia="Times New Roman" w:cs="Arial"/>
                <w:color w:val="auto"/>
                <w:sz w:val="24"/>
                <w:szCs w:val="21"/>
                <w:highlight w:val="none"/>
              </w:rPr>
            </w:pP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186CE251">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36535CA0">
            <w:pPr>
              <w:widowControl/>
              <w:spacing w:beforeLines="0" w:afterLines="0"/>
              <w:jc w:val="right"/>
              <w:rPr>
                <w:rFonts w:hint="eastAsia" w:ascii="Times New Roman" w:eastAsia="Times New Roman" w:cs="Arial"/>
                <w:color w:val="auto"/>
                <w:sz w:val="24"/>
                <w:szCs w:val="21"/>
                <w:highlight w:val="none"/>
              </w:rPr>
            </w:pPr>
          </w:p>
        </w:tc>
      </w:tr>
      <w:tr w14:paraId="1F1CD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0B68DC4A">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3</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4FD235AA">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不可竞争费</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73FA346E">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7ADF7E63">
            <w:pPr>
              <w:widowControl/>
              <w:spacing w:beforeLines="0" w:afterLines="0"/>
              <w:jc w:val="right"/>
              <w:rPr>
                <w:rFonts w:hint="eastAsia" w:ascii="Times New Roman" w:eastAsia="Times New Roman" w:cs="Arial"/>
                <w:color w:val="auto"/>
                <w:sz w:val="24"/>
                <w:szCs w:val="21"/>
                <w:highlight w:val="none"/>
              </w:rPr>
            </w:pPr>
          </w:p>
        </w:tc>
      </w:tr>
      <w:tr w14:paraId="6D87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697360E5">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3.1</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277467BA">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安全文明施工费</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3D92A4EC">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4716226D">
            <w:pPr>
              <w:widowControl/>
              <w:spacing w:beforeLines="0" w:afterLines="0"/>
              <w:jc w:val="right"/>
              <w:rPr>
                <w:rFonts w:hint="eastAsia" w:ascii="Times New Roman" w:eastAsia="Times New Roman" w:cs="Arial"/>
                <w:color w:val="auto"/>
                <w:sz w:val="24"/>
                <w:szCs w:val="21"/>
                <w:highlight w:val="none"/>
              </w:rPr>
            </w:pPr>
          </w:p>
        </w:tc>
      </w:tr>
      <w:tr w14:paraId="6619B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797541F9">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3.2</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0FA4A076">
            <w:pPr>
              <w:widowControl/>
              <w:spacing w:beforeLines="0" w:afterLines="0"/>
              <w:jc w:val="left"/>
              <w:rPr>
                <w:rFonts w:hint="eastAsia" w:ascii="Times New Roman" w:cs="Arial"/>
                <w:color w:val="auto"/>
                <w:sz w:val="24"/>
                <w:szCs w:val="21"/>
                <w:highlight w:val="none"/>
              </w:rPr>
            </w:pPr>
            <w:r>
              <w:rPr>
                <w:rFonts w:hint="eastAsia" w:ascii="Times New Roman" w:cs="Arial"/>
                <w:color w:val="auto"/>
                <w:sz w:val="24"/>
                <w:szCs w:val="21"/>
                <w:highlight w:val="none"/>
              </w:rPr>
              <w:t>环境保护税</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4DA73C56">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3BE4C800">
            <w:pPr>
              <w:widowControl/>
              <w:spacing w:beforeLines="0" w:afterLines="0"/>
              <w:jc w:val="right"/>
              <w:rPr>
                <w:rFonts w:hint="eastAsia" w:ascii="Times New Roman" w:eastAsia="Times New Roman" w:cs="Arial"/>
                <w:color w:val="auto"/>
                <w:sz w:val="24"/>
                <w:szCs w:val="21"/>
                <w:highlight w:val="none"/>
              </w:rPr>
            </w:pPr>
          </w:p>
        </w:tc>
      </w:tr>
      <w:tr w14:paraId="03EB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5B8B4AFC">
            <w:pPr>
              <w:widowControl/>
              <w:spacing w:beforeLines="0" w:afterLines="0"/>
              <w:jc w:val="center"/>
              <w:rPr>
                <w:rFonts w:hint="eastAsia" w:ascii="Times New Roman" w:cs="Arial"/>
                <w:color w:val="auto"/>
                <w:sz w:val="24"/>
                <w:szCs w:val="21"/>
                <w:highlight w:val="none"/>
              </w:rPr>
            </w:pP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34436D2E">
            <w:pPr>
              <w:widowControl/>
              <w:spacing w:beforeLines="0" w:afterLines="0"/>
              <w:jc w:val="left"/>
              <w:rPr>
                <w:rFonts w:hint="eastAsia" w:ascii="Times New Roman" w:cs="Arial"/>
                <w:color w:val="auto"/>
                <w:sz w:val="24"/>
                <w:szCs w:val="21"/>
                <w:highlight w:val="none"/>
              </w:rPr>
            </w:pP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75CC5C31">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78B0CB57">
            <w:pPr>
              <w:widowControl/>
              <w:spacing w:beforeLines="0" w:afterLines="0"/>
              <w:jc w:val="right"/>
              <w:rPr>
                <w:rFonts w:hint="eastAsia" w:ascii="Times New Roman" w:eastAsia="Times New Roman" w:cs="Arial"/>
                <w:color w:val="auto"/>
                <w:sz w:val="24"/>
                <w:szCs w:val="21"/>
                <w:highlight w:val="none"/>
              </w:rPr>
            </w:pPr>
          </w:p>
        </w:tc>
      </w:tr>
      <w:tr w14:paraId="605B4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103879E8">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4</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337A8F30">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其他项目</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08DB8F2C">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0232D1E3">
            <w:pPr>
              <w:widowControl/>
              <w:spacing w:beforeLines="0" w:afterLines="0"/>
              <w:jc w:val="right"/>
              <w:rPr>
                <w:rFonts w:hint="eastAsia" w:ascii="Times New Roman" w:eastAsia="Times New Roman" w:cs="Arial"/>
                <w:color w:val="auto"/>
                <w:sz w:val="24"/>
                <w:szCs w:val="21"/>
                <w:highlight w:val="none"/>
              </w:rPr>
            </w:pPr>
          </w:p>
        </w:tc>
      </w:tr>
      <w:tr w14:paraId="416B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1C332D83">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4.1</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21E1944A">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xml:space="preserve">  暂列金额</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0686482C">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6DEE1EBE">
            <w:pPr>
              <w:widowControl/>
              <w:spacing w:beforeLines="0" w:afterLines="0"/>
              <w:jc w:val="right"/>
              <w:rPr>
                <w:rFonts w:hint="eastAsia" w:ascii="Times New Roman" w:eastAsia="Times New Roman" w:cs="Arial"/>
                <w:color w:val="auto"/>
                <w:sz w:val="24"/>
                <w:szCs w:val="21"/>
                <w:highlight w:val="none"/>
              </w:rPr>
            </w:pPr>
          </w:p>
        </w:tc>
      </w:tr>
      <w:tr w14:paraId="20E3C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13DC15FE">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4.2</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60CEB44C">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xml:space="preserve">  专业工程暂估价</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3507F6AD">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5E8CBF4B">
            <w:pPr>
              <w:widowControl/>
              <w:spacing w:beforeLines="0" w:afterLines="0"/>
              <w:jc w:val="right"/>
              <w:rPr>
                <w:rFonts w:hint="eastAsia" w:ascii="Times New Roman" w:eastAsia="Times New Roman" w:cs="Arial"/>
                <w:color w:val="auto"/>
                <w:sz w:val="24"/>
                <w:szCs w:val="21"/>
                <w:highlight w:val="none"/>
              </w:rPr>
            </w:pPr>
          </w:p>
        </w:tc>
      </w:tr>
      <w:tr w14:paraId="7055C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5D2C5C63">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4.3</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5226FDCB">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xml:space="preserve">  计日工</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6A060E46">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1790CDAC">
            <w:pPr>
              <w:widowControl/>
              <w:spacing w:beforeLines="0" w:afterLines="0"/>
              <w:jc w:val="right"/>
              <w:rPr>
                <w:rFonts w:hint="eastAsia" w:ascii="Times New Roman" w:eastAsia="Times New Roman" w:cs="Arial"/>
                <w:color w:val="auto"/>
                <w:sz w:val="24"/>
                <w:szCs w:val="21"/>
                <w:highlight w:val="none"/>
              </w:rPr>
            </w:pPr>
          </w:p>
        </w:tc>
      </w:tr>
      <w:tr w14:paraId="03903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1BC3B0EC">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4.4</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402D2F0B">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xml:space="preserve">  总承包服务费</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297ABCAD">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2D9F253B">
            <w:pPr>
              <w:widowControl/>
              <w:spacing w:beforeLines="0" w:afterLines="0"/>
              <w:jc w:val="right"/>
              <w:rPr>
                <w:rFonts w:hint="eastAsia" w:ascii="Times New Roman" w:eastAsia="Times New Roman" w:cs="Arial"/>
                <w:color w:val="auto"/>
                <w:sz w:val="24"/>
                <w:szCs w:val="21"/>
                <w:highlight w:val="none"/>
              </w:rPr>
            </w:pPr>
          </w:p>
        </w:tc>
      </w:tr>
      <w:tr w14:paraId="400A8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8" w:type="pct"/>
            <w:tcBorders>
              <w:top w:val="nil"/>
              <w:left w:val="single" w:color="000000" w:sz="8" w:space="0"/>
              <w:bottom w:val="single" w:color="000000" w:sz="4" w:space="0"/>
              <w:right w:val="single" w:color="000000" w:sz="4" w:space="0"/>
              <w:tl2br w:val="nil"/>
              <w:tr2bl w:val="nil"/>
            </w:tcBorders>
            <w:noWrap w:val="0"/>
            <w:vAlign w:val="center"/>
          </w:tcPr>
          <w:p w14:paraId="23907022">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5</w:t>
            </w:r>
          </w:p>
        </w:tc>
        <w:tc>
          <w:tcPr>
            <w:tcW w:w="1927" w:type="pct"/>
            <w:tcBorders>
              <w:top w:val="single" w:color="000000" w:sz="4" w:space="0"/>
              <w:left w:val="nil"/>
              <w:bottom w:val="single" w:color="000000" w:sz="4" w:space="0"/>
              <w:right w:val="single" w:color="000000" w:sz="4" w:space="0"/>
              <w:tl2br w:val="nil"/>
              <w:tr2bl w:val="nil"/>
            </w:tcBorders>
            <w:noWrap w:val="0"/>
            <w:vAlign w:val="center"/>
          </w:tcPr>
          <w:p w14:paraId="728B3865">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税金</w:t>
            </w:r>
          </w:p>
        </w:tc>
        <w:tc>
          <w:tcPr>
            <w:tcW w:w="951" w:type="pct"/>
            <w:tcBorders>
              <w:top w:val="single" w:color="000000" w:sz="4" w:space="0"/>
              <w:left w:val="nil"/>
              <w:bottom w:val="single" w:color="000000" w:sz="4" w:space="0"/>
              <w:right w:val="single" w:color="000000" w:sz="4" w:space="0"/>
              <w:tl2br w:val="nil"/>
              <w:tr2bl w:val="nil"/>
            </w:tcBorders>
            <w:noWrap w:val="0"/>
            <w:vAlign w:val="center"/>
          </w:tcPr>
          <w:p w14:paraId="22118DB5">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4" w:space="0"/>
              <w:right w:val="single" w:color="000000" w:sz="8" w:space="0"/>
              <w:tl2br w:val="nil"/>
              <w:tr2bl w:val="nil"/>
            </w:tcBorders>
            <w:noWrap w:val="0"/>
            <w:vAlign w:val="center"/>
          </w:tcPr>
          <w:p w14:paraId="6D48612D">
            <w:pPr>
              <w:widowControl/>
              <w:spacing w:beforeLines="0" w:afterLines="0"/>
              <w:jc w:val="right"/>
              <w:rPr>
                <w:rFonts w:hint="eastAsia" w:ascii="Times New Roman" w:eastAsia="Times New Roman" w:cs="Arial"/>
                <w:color w:val="auto"/>
                <w:sz w:val="24"/>
                <w:szCs w:val="21"/>
                <w:highlight w:val="none"/>
              </w:rPr>
            </w:pPr>
          </w:p>
        </w:tc>
      </w:tr>
      <w:tr w14:paraId="1DA2E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385" w:type="pct"/>
            <w:gridSpan w:val="2"/>
            <w:tcBorders>
              <w:top w:val="single" w:color="000000" w:sz="4" w:space="0"/>
              <w:left w:val="single" w:color="000000" w:sz="8" w:space="0"/>
              <w:bottom w:val="single" w:color="000000" w:sz="8" w:space="0"/>
              <w:right w:val="single" w:color="000000" w:sz="4" w:space="0"/>
              <w:tl2br w:val="nil"/>
              <w:tr2bl w:val="nil"/>
            </w:tcBorders>
            <w:noWrap w:val="0"/>
            <w:vAlign w:val="center"/>
          </w:tcPr>
          <w:p w14:paraId="373380F1">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工程造价=1+2+3+4+5</w:t>
            </w:r>
          </w:p>
        </w:tc>
        <w:tc>
          <w:tcPr>
            <w:tcW w:w="951" w:type="pct"/>
            <w:tcBorders>
              <w:top w:val="single" w:color="000000" w:sz="4" w:space="0"/>
              <w:left w:val="nil"/>
              <w:bottom w:val="single" w:color="000000" w:sz="8" w:space="0"/>
              <w:right w:val="single" w:color="000000" w:sz="4" w:space="0"/>
              <w:tl2br w:val="nil"/>
              <w:tr2bl w:val="nil"/>
            </w:tcBorders>
            <w:noWrap w:val="0"/>
            <w:vAlign w:val="center"/>
          </w:tcPr>
          <w:p w14:paraId="1F5455DC">
            <w:pPr>
              <w:widowControl/>
              <w:spacing w:beforeLines="0" w:afterLines="0"/>
              <w:jc w:val="right"/>
              <w:rPr>
                <w:rFonts w:hint="eastAsia" w:ascii="Times New Roman" w:eastAsia="Times New Roman" w:cs="Arial"/>
                <w:color w:val="auto"/>
                <w:sz w:val="24"/>
                <w:szCs w:val="21"/>
                <w:highlight w:val="none"/>
              </w:rPr>
            </w:pPr>
          </w:p>
        </w:tc>
        <w:tc>
          <w:tcPr>
            <w:tcW w:w="1664" w:type="pct"/>
            <w:tcBorders>
              <w:top w:val="single" w:color="000000" w:sz="4" w:space="0"/>
              <w:left w:val="nil"/>
              <w:bottom w:val="single" w:color="000000" w:sz="8" w:space="0"/>
              <w:right w:val="single" w:color="000000" w:sz="8" w:space="0"/>
              <w:tl2br w:val="nil"/>
              <w:tr2bl w:val="nil"/>
            </w:tcBorders>
            <w:noWrap w:val="0"/>
            <w:vAlign w:val="center"/>
          </w:tcPr>
          <w:p w14:paraId="2D482ADA">
            <w:pPr>
              <w:widowControl/>
              <w:spacing w:beforeLines="0" w:afterLines="0"/>
              <w:jc w:val="right"/>
              <w:rPr>
                <w:rFonts w:hint="eastAsia" w:ascii="Times New Roman" w:eastAsia="Times New Roman" w:cs="Arial"/>
                <w:color w:val="auto"/>
                <w:sz w:val="24"/>
                <w:szCs w:val="21"/>
                <w:highlight w:val="none"/>
              </w:rPr>
            </w:pPr>
          </w:p>
        </w:tc>
      </w:tr>
    </w:tbl>
    <w:p w14:paraId="326AF246">
      <w:pPr>
        <w:spacing w:before="240" w:beforeLines="100" w:after="240" w:afterLines="100"/>
        <w:jc w:val="center"/>
        <w:outlineLvl w:val="3"/>
        <w:rPr>
          <w:rFonts w:hint="eastAsia" w:ascii="Times New Roman" w:eastAsia="Times New Roman"/>
          <w:color w:val="auto"/>
          <w:sz w:val="24"/>
          <w:szCs w:val="24"/>
          <w:highlight w:val="none"/>
        </w:rPr>
      </w:pPr>
      <w:bookmarkStart w:id="1506" w:name="_Toc460660242"/>
      <w:bookmarkStart w:id="1507" w:name="_Toc460227127"/>
      <w:r>
        <w:rPr>
          <w:rFonts w:hint="eastAsia" w:ascii="Times New Roman" w:eastAsia="Times New Roman"/>
          <w:color w:val="auto"/>
          <w:sz w:val="28"/>
          <w:szCs w:val="28"/>
          <w:highlight w:val="none"/>
        </w:rPr>
        <w:br w:type="page"/>
      </w:r>
      <w:bookmarkStart w:id="1508" w:name="_Toc32338"/>
      <w:bookmarkStart w:id="1509" w:name="_Toc32399"/>
      <w:bookmarkStart w:id="1510" w:name="_Toc26416"/>
      <w:bookmarkStart w:id="1511" w:name="_Toc128950306"/>
      <w:bookmarkStart w:id="1512" w:name="_Toc8346"/>
      <w:bookmarkStart w:id="1513" w:name="_Toc28264"/>
      <w:bookmarkStart w:id="1514" w:name="_Toc21208"/>
      <w:bookmarkStart w:id="1515" w:name="_Toc30043"/>
      <w:bookmarkStart w:id="1516" w:name="_Toc6873"/>
      <w:bookmarkStart w:id="1517" w:name="_Toc27321"/>
      <w:r>
        <w:rPr>
          <w:rFonts w:hint="eastAsia" w:ascii="Times New Roman" w:eastAsia="黑体"/>
          <w:color w:val="auto"/>
          <w:sz w:val="24"/>
          <w:szCs w:val="24"/>
          <w:highlight w:val="none"/>
        </w:rPr>
        <w:t>（五）</w:t>
      </w:r>
      <w:bookmarkEnd w:id="1506"/>
      <w:bookmarkEnd w:id="1507"/>
      <w:r>
        <w:rPr>
          <w:rFonts w:hint="eastAsia" w:ascii="Times New Roman" w:eastAsia="黑体"/>
          <w:color w:val="auto"/>
          <w:sz w:val="24"/>
          <w:szCs w:val="24"/>
          <w:highlight w:val="none"/>
        </w:rPr>
        <w:t>分部分项工程量清单计价表</w:t>
      </w:r>
      <w:bookmarkEnd w:id="1508"/>
      <w:bookmarkEnd w:id="1509"/>
      <w:bookmarkEnd w:id="1510"/>
      <w:bookmarkEnd w:id="1511"/>
      <w:bookmarkEnd w:id="1512"/>
      <w:bookmarkEnd w:id="1513"/>
      <w:bookmarkEnd w:id="1514"/>
      <w:bookmarkEnd w:id="1515"/>
      <w:bookmarkEnd w:id="1516"/>
      <w:bookmarkEnd w:id="1517"/>
    </w:p>
    <w:p w14:paraId="16946CCB">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
        <w:gridCol w:w="979"/>
        <w:gridCol w:w="979"/>
        <w:gridCol w:w="854"/>
        <w:gridCol w:w="692"/>
        <w:gridCol w:w="731"/>
        <w:gridCol w:w="670"/>
        <w:gridCol w:w="806"/>
        <w:gridCol w:w="844"/>
        <w:gridCol w:w="784"/>
        <w:gridCol w:w="721"/>
      </w:tblGrid>
      <w:tr w14:paraId="5D21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49" w:type="pct"/>
            <w:vMerge w:val="restar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1E46ED01">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序号</w:t>
            </w:r>
          </w:p>
        </w:tc>
        <w:tc>
          <w:tcPr>
            <w:tcW w:w="577"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50254167">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项目编码</w:t>
            </w:r>
          </w:p>
        </w:tc>
        <w:tc>
          <w:tcPr>
            <w:tcW w:w="577"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27FFE66B">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项目名称</w:t>
            </w:r>
          </w:p>
        </w:tc>
        <w:tc>
          <w:tcPr>
            <w:tcW w:w="503"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24C50E6A">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项目特征描述</w:t>
            </w:r>
          </w:p>
        </w:tc>
        <w:tc>
          <w:tcPr>
            <w:tcW w:w="408"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76BB584E">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计量单位</w:t>
            </w:r>
          </w:p>
        </w:tc>
        <w:tc>
          <w:tcPr>
            <w:tcW w:w="431" w:type="pct"/>
            <w:vMerge w:val="restart"/>
            <w:tcBorders>
              <w:top w:val="single" w:color="000000" w:sz="8" w:space="0"/>
              <w:left w:val="single" w:color="000000" w:sz="4" w:space="0"/>
              <w:bottom w:val="single" w:color="000000" w:sz="4" w:space="0"/>
              <w:right w:val="single" w:color="000000" w:sz="4" w:space="0"/>
              <w:tl2br w:val="nil"/>
              <w:tr2bl w:val="nil"/>
            </w:tcBorders>
            <w:shd w:val="clear" w:color="FFFFFF" w:fill="FFFFFF"/>
            <w:noWrap w:val="0"/>
            <w:vAlign w:val="center"/>
          </w:tcPr>
          <w:p w14:paraId="41E9E21E">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工程量</w:t>
            </w:r>
          </w:p>
        </w:tc>
        <w:tc>
          <w:tcPr>
            <w:tcW w:w="2254" w:type="pct"/>
            <w:gridSpan w:val="5"/>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1133AFBA">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金额（元）</w:t>
            </w:r>
          </w:p>
        </w:tc>
      </w:tr>
      <w:tr w14:paraId="0232A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49" w:type="pct"/>
            <w:vMerge w:val="continue"/>
            <w:tcBorders>
              <w:top w:val="single" w:color="000000" w:sz="8" w:space="0"/>
              <w:left w:val="single" w:color="000000" w:sz="8" w:space="0"/>
              <w:bottom w:val="single" w:color="000000" w:sz="4" w:space="0"/>
              <w:right w:val="single" w:color="000000" w:sz="4" w:space="0"/>
              <w:tl2br w:val="nil"/>
              <w:tr2bl w:val="nil"/>
            </w:tcBorders>
            <w:shd w:val="clear" w:color="auto" w:fill="auto"/>
            <w:noWrap w:val="0"/>
            <w:vAlign w:val="center"/>
          </w:tcPr>
          <w:p w14:paraId="1FFCCE4C">
            <w:pPr>
              <w:widowControl/>
              <w:snapToGrid w:val="0"/>
              <w:spacing w:beforeLines="0" w:afterLines="0"/>
              <w:jc w:val="left"/>
              <w:rPr>
                <w:rFonts w:hint="eastAsia" w:ascii="Times New Roman" w:eastAsia="Times New Roman" w:cs="Arial"/>
                <w:color w:val="auto"/>
                <w:sz w:val="24"/>
                <w:szCs w:val="21"/>
                <w:highlight w:val="none"/>
              </w:rPr>
            </w:pPr>
          </w:p>
        </w:tc>
        <w:tc>
          <w:tcPr>
            <w:tcW w:w="577"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2743F8E0">
            <w:pPr>
              <w:widowControl/>
              <w:snapToGrid w:val="0"/>
              <w:spacing w:beforeLines="0" w:afterLines="0"/>
              <w:jc w:val="left"/>
              <w:rPr>
                <w:rFonts w:hint="eastAsia" w:ascii="Times New Roman" w:eastAsia="Times New Roman" w:cs="Arial"/>
                <w:color w:val="auto"/>
                <w:sz w:val="24"/>
                <w:szCs w:val="21"/>
                <w:highlight w:val="none"/>
              </w:rPr>
            </w:pPr>
          </w:p>
        </w:tc>
        <w:tc>
          <w:tcPr>
            <w:tcW w:w="577"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7AD18788">
            <w:pPr>
              <w:widowControl/>
              <w:snapToGrid w:val="0"/>
              <w:spacing w:beforeLines="0" w:afterLines="0"/>
              <w:jc w:val="left"/>
              <w:rPr>
                <w:rFonts w:hint="eastAsia" w:ascii="Times New Roman" w:eastAsia="Times New Roman" w:cs="Arial"/>
                <w:color w:val="auto"/>
                <w:sz w:val="24"/>
                <w:szCs w:val="21"/>
                <w:highlight w:val="none"/>
              </w:rPr>
            </w:pPr>
          </w:p>
        </w:tc>
        <w:tc>
          <w:tcPr>
            <w:tcW w:w="503"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5236E71A">
            <w:pPr>
              <w:widowControl/>
              <w:snapToGrid w:val="0"/>
              <w:spacing w:beforeLines="0" w:afterLines="0"/>
              <w:jc w:val="left"/>
              <w:rPr>
                <w:rFonts w:hint="eastAsia" w:ascii="Times New Roman" w:eastAsia="Times New Roman" w:cs="Arial"/>
                <w:color w:val="auto"/>
                <w:sz w:val="24"/>
                <w:szCs w:val="21"/>
                <w:highlight w:val="none"/>
              </w:rPr>
            </w:pPr>
          </w:p>
        </w:tc>
        <w:tc>
          <w:tcPr>
            <w:tcW w:w="408"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5F743B34">
            <w:pPr>
              <w:widowControl/>
              <w:snapToGrid w:val="0"/>
              <w:spacing w:beforeLines="0" w:afterLines="0"/>
              <w:jc w:val="left"/>
              <w:rPr>
                <w:rFonts w:hint="eastAsia" w:ascii="Times New Roman" w:eastAsia="Times New Roman" w:cs="Arial"/>
                <w:color w:val="auto"/>
                <w:sz w:val="24"/>
                <w:szCs w:val="21"/>
                <w:highlight w:val="none"/>
              </w:rPr>
            </w:pPr>
          </w:p>
        </w:tc>
        <w:tc>
          <w:tcPr>
            <w:tcW w:w="431"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26A1F802">
            <w:pPr>
              <w:widowControl/>
              <w:snapToGrid w:val="0"/>
              <w:spacing w:beforeLines="0" w:afterLines="0"/>
              <w:jc w:val="left"/>
              <w:rPr>
                <w:rFonts w:hint="eastAsia" w:ascii="Times New Roman" w:eastAsia="Times New Roman" w:cs="Arial"/>
                <w:color w:val="auto"/>
                <w:sz w:val="24"/>
                <w:szCs w:val="21"/>
                <w:highlight w:val="none"/>
              </w:rPr>
            </w:pPr>
          </w:p>
        </w:tc>
        <w:tc>
          <w:tcPr>
            <w:tcW w:w="395" w:type="pct"/>
            <w:vMerge w:val="restart"/>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64703FC3">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综合单价</w:t>
            </w:r>
          </w:p>
        </w:tc>
        <w:tc>
          <w:tcPr>
            <w:tcW w:w="475" w:type="pct"/>
            <w:vMerge w:val="restart"/>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412172BA">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合价</w:t>
            </w:r>
          </w:p>
        </w:tc>
        <w:tc>
          <w:tcPr>
            <w:tcW w:w="1383" w:type="pct"/>
            <w:gridSpan w:val="3"/>
            <w:tcBorders>
              <w:top w:val="single" w:color="000000" w:sz="4" w:space="0"/>
              <w:left w:val="nil"/>
              <w:bottom w:val="single" w:color="000000" w:sz="4" w:space="0"/>
              <w:right w:val="single" w:color="000000" w:sz="8" w:space="0"/>
              <w:tl2br w:val="nil"/>
              <w:tr2bl w:val="nil"/>
            </w:tcBorders>
            <w:shd w:val="clear" w:color="FFFFFF" w:fill="FFFFFF"/>
            <w:noWrap w:val="0"/>
            <w:vAlign w:val="center"/>
          </w:tcPr>
          <w:p w14:paraId="08961010">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其中</w:t>
            </w:r>
          </w:p>
        </w:tc>
      </w:tr>
      <w:tr w14:paraId="20D28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249" w:type="pct"/>
            <w:vMerge w:val="continue"/>
            <w:tcBorders>
              <w:top w:val="single" w:color="000000" w:sz="8" w:space="0"/>
              <w:left w:val="single" w:color="000000" w:sz="8" w:space="0"/>
              <w:bottom w:val="single" w:color="000000" w:sz="4" w:space="0"/>
              <w:right w:val="single" w:color="000000" w:sz="4" w:space="0"/>
              <w:tl2br w:val="nil"/>
              <w:tr2bl w:val="nil"/>
            </w:tcBorders>
            <w:shd w:val="clear" w:color="auto" w:fill="auto"/>
            <w:noWrap w:val="0"/>
            <w:vAlign w:val="center"/>
          </w:tcPr>
          <w:p w14:paraId="4E2AE16A">
            <w:pPr>
              <w:widowControl/>
              <w:snapToGrid w:val="0"/>
              <w:spacing w:beforeLines="0" w:afterLines="0"/>
              <w:jc w:val="left"/>
              <w:rPr>
                <w:rFonts w:hint="eastAsia" w:ascii="Times New Roman" w:eastAsia="Times New Roman" w:cs="Arial"/>
                <w:color w:val="auto"/>
                <w:sz w:val="24"/>
                <w:szCs w:val="21"/>
                <w:highlight w:val="none"/>
              </w:rPr>
            </w:pPr>
          </w:p>
        </w:tc>
        <w:tc>
          <w:tcPr>
            <w:tcW w:w="577"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40458DAC">
            <w:pPr>
              <w:widowControl/>
              <w:snapToGrid w:val="0"/>
              <w:spacing w:beforeLines="0" w:afterLines="0"/>
              <w:jc w:val="left"/>
              <w:rPr>
                <w:rFonts w:hint="eastAsia" w:ascii="Times New Roman" w:eastAsia="Times New Roman" w:cs="Arial"/>
                <w:color w:val="auto"/>
                <w:sz w:val="24"/>
                <w:szCs w:val="21"/>
                <w:highlight w:val="none"/>
              </w:rPr>
            </w:pPr>
          </w:p>
        </w:tc>
        <w:tc>
          <w:tcPr>
            <w:tcW w:w="577"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1F881806">
            <w:pPr>
              <w:widowControl/>
              <w:snapToGrid w:val="0"/>
              <w:spacing w:beforeLines="0" w:afterLines="0"/>
              <w:jc w:val="left"/>
              <w:rPr>
                <w:rFonts w:hint="eastAsia" w:ascii="Times New Roman" w:eastAsia="Times New Roman" w:cs="Arial"/>
                <w:color w:val="auto"/>
                <w:sz w:val="24"/>
                <w:szCs w:val="21"/>
                <w:highlight w:val="none"/>
              </w:rPr>
            </w:pPr>
          </w:p>
        </w:tc>
        <w:tc>
          <w:tcPr>
            <w:tcW w:w="503"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45F25914">
            <w:pPr>
              <w:widowControl/>
              <w:snapToGrid w:val="0"/>
              <w:spacing w:beforeLines="0" w:afterLines="0"/>
              <w:jc w:val="left"/>
              <w:rPr>
                <w:rFonts w:hint="eastAsia" w:ascii="Times New Roman" w:eastAsia="Times New Roman" w:cs="Arial"/>
                <w:color w:val="auto"/>
                <w:sz w:val="24"/>
                <w:szCs w:val="21"/>
                <w:highlight w:val="none"/>
              </w:rPr>
            </w:pPr>
          </w:p>
        </w:tc>
        <w:tc>
          <w:tcPr>
            <w:tcW w:w="408"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51153F42">
            <w:pPr>
              <w:widowControl/>
              <w:snapToGrid w:val="0"/>
              <w:spacing w:beforeLines="0" w:afterLines="0"/>
              <w:jc w:val="left"/>
              <w:rPr>
                <w:rFonts w:hint="eastAsia" w:ascii="Times New Roman" w:eastAsia="Times New Roman" w:cs="Arial"/>
                <w:color w:val="auto"/>
                <w:sz w:val="24"/>
                <w:szCs w:val="21"/>
                <w:highlight w:val="none"/>
              </w:rPr>
            </w:pPr>
          </w:p>
        </w:tc>
        <w:tc>
          <w:tcPr>
            <w:tcW w:w="431" w:type="pct"/>
            <w:vMerge w:val="continue"/>
            <w:tcBorders>
              <w:top w:val="single" w:color="000000" w:sz="8" w:space="0"/>
              <w:left w:val="single" w:color="000000" w:sz="4" w:space="0"/>
              <w:bottom w:val="single" w:color="000000" w:sz="4" w:space="0"/>
              <w:right w:val="single" w:color="000000" w:sz="4" w:space="0"/>
              <w:tl2br w:val="nil"/>
              <w:tr2bl w:val="nil"/>
            </w:tcBorders>
            <w:shd w:val="clear" w:color="auto" w:fill="auto"/>
            <w:noWrap w:val="0"/>
            <w:vAlign w:val="center"/>
          </w:tcPr>
          <w:p w14:paraId="3016CC91">
            <w:pPr>
              <w:widowControl/>
              <w:snapToGrid w:val="0"/>
              <w:spacing w:beforeLines="0" w:afterLines="0"/>
              <w:jc w:val="left"/>
              <w:rPr>
                <w:rFonts w:hint="eastAsia" w:ascii="Times New Roman" w:eastAsia="Times New Roman" w:cs="Arial"/>
                <w:color w:val="auto"/>
                <w:sz w:val="24"/>
                <w:szCs w:val="21"/>
                <w:highlight w:val="none"/>
              </w:rPr>
            </w:pPr>
          </w:p>
        </w:tc>
        <w:tc>
          <w:tcPr>
            <w:tcW w:w="395"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AF5A036">
            <w:pPr>
              <w:widowControl/>
              <w:snapToGrid w:val="0"/>
              <w:spacing w:beforeLines="0" w:afterLines="0"/>
              <w:jc w:val="left"/>
              <w:rPr>
                <w:rFonts w:hint="eastAsia" w:ascii="Times New Roman" w:eastAsia="Times New Roman" w:cs="Arial"/>
                <w:color w:val="auto"/>
                <w:sz w:val="24"/>
                <w:szCs w:val="21"/>
                <w:highlight w:val="none"/>
              </w:rPr>
            </w:pPr>
          </w:p>
        </w:tc>
        <w:tc>
          <w:tcPr>
            <w:tcW w:w="475"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E45B66">
            <w:pPr>
              <w:widowControl/>
              <w:snapToGrid w:val="0"/>
              <w:spacing w:beforeLines="0" w:afterLines="0"/>
              <w:jc w:val="left"/>
              <w:rPr>
                <w:rFonts w:hint="eastAsia" w:ascii="Times New Roman" w:eastAsia="Times New Roman" w:cs="Arial"/>
                <w:color w:val="auto"/>
                <w:sz w:val="24"/>
                <w:szCs w:val="21"/>
                <w:highlight w:val="none"/>
              </w:rPr>
            </w:pPr>
          </w:p>
        </w:tc>
        <w:tc>
          <w:tcPr>
            <w:tcW w:w="497" w:type="pct"/>
            <w:tcBorders>
              <w:top w:val="nil"/>
              <w:left w:val="nil"/>
              <w:bottom w:val="single" w:color="000000" w:sz="4" w:space="0"/>
              <w:right w:val="single" w:color="000000" w:sz="4" w:space="0"/>
              <w:tl2br w:val="nil"/>
              <w:tr2bl w:val="nil"/>
            </w:tcBorders>
            <w:shd w:val="clear" w:color="FFFFFF" w:fill="FFFFFF"/>
            <w:noWrap w:val="0"/>
            <w:vAlign w:val="center"/>
          </w:tcPr>
          <w:p w14:paraId="2E25D771">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定额人工费</w:t>
            </w:r>
          </w:p>
        </w:tc>
        <w:tc>
          <w:tcPr>
            <w:tcW w:w="462" w:type="pct"/>
            <w:tcBorders>
              <w:top w:val="nil"/>
              <w:left w:val="nil"/>
              <w:bottom w:val="single" w:color="000000" w:sz="4" w:space="0"/>
              <w:right w:val="single" w:color="000000" w:sz="4" w:space="0"/>
              <w:tl2br w:val="nil"/>
              <w:tr2bl w:val="nil"/>
            </w:tcBorders>
            <w:shd w:val="clear" w:color="FFFFFF" w:fill="FFFFFF"/>
            <w:noWrap w:val="0"/>
            <w:vAlign w:val="center"/>
          </w:tcPr>
          <w:p w14:paraId="2E6BD035">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定额机械费</w:t>
            </w:r>
          </w:p>
        </w:tc>
        <w:tc>
          <w:tcPr>
            <w:tcW w:w="424" w:type="pct"/>
            <w:tcBorders>
              <w:top w:val="nil"/>
              <w:left w:val="nil"/>
              <w:bottom w:val="single" w:color="000000" w:sz="4" w:space="0"/>
              <w:right w:val="single" w:color="000000" w:sz="8" w:space="0"/>
              <w:tl2br w:val="nil"/>
              <w:tr2bl w:val="nil"/>
            </w:tcBorders>
            <w:shd w:val="clear" w:color="FFFFFF" w:fill="FFFFFF"/>
            <w:noWrap w:val="0"/>
            <w:vAlign w:val="center"/>
          </w:tcPr>
          <w:p w14:paraId="5F68DB54">
            <w:pPr>
              <w:widowControl/>
              <w:snapToGrid w:val="0"/>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暂估价</w:t>
            </w:r>
          </w:p>
        </w:tc>
      </w:tr>
      <w:tr w14:paraId="685F8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9" w:type="pct"/>
            <w:tcBorders>
              <w:top w:val="nil"/>
              <w:left w:val="single" w:color="000000" w:sz="8" w:space="0"/>
              <w:bottom w:val="single" w:color="000000" w:sz="4" w:space="0"/>
              <w:right w:val="single" w:color="000000" w:sz="4" w:space="0"/>
              <w:tl2br w:val="nil"/>
              <w:tr2bl w:val="nil"/>
            </w:tcBorders>
            <w:noWrap w:val="0"/>
            <w:vAlign w:val="center"/>
          </w:tcPr>
          <w:p w14:paraId="67A75448">
            <w:pPr>
              <w:widowControl/>
              <w:snapToGrid w:val="0"/>
              <w:spacing w:beforeLines="0" w:afterLines="0"/>
              <w:jc w:val="center"/>
              <w:rPr>
                <w:rFonts w:hint="eastAsia" w:ascii="Times New Roman" w:eastAsia="Times New Roman" w:cs="Arial"/>
                <w:color w:val="auto"/>
                <w:sz w:val="24"/>
                <w:szCs w:val="21"/>
                <w:highlight w:val="none"/>
              </w:rPr>
            </w:pPr>
          </w:p>
        </w:tc>
        <w:tc>
          <w:tcPr>
            <w:tcW w:w="577" w:type="pct"/>
            <w:tcBorders>
              <w:top w:val="nil"/>
              <w:left w:val="nil"/>
              <w:bottom w:val="single" w:color="000000" w:sz="4" w:space="0"/>
              <w:right w:val="single" w:color="000000" w:sz="4" w:space="0"/>
              <w:tl2br w:val="nil"/>
              <w:tr2bl w:val="nil"/>
            </w:tcBorders>
            <w:noWrap w:val="0"/>
            <w:vAlign w:val="center"/>
          </w:tcPr>
          <w:p w14:paraId="5A4C10D0">
            <w:pPr>
              <w:widowControl/>
              <w:snapToGrid w:val="0"/>
              <w:spacing w:beforeLines="0" w:afterLines="0"/>
              <w:jc w:val="center"/>
              <w:rPr>
                <w:rFonts w:hint="eastAsia" w:ascii="Times New Roman" w:eastAsia="Times New Roman" w:cs="Arial"/>
                <w:color w:val="auto"/>
                <w:sz w:val="24"/>
                <w:szCs w:val="21"/>
                <w:highlight w:val="none"/>
              </w:rPr>
            </w:pPr>
          </w:p>
        </w:tc>
        <w:tc>
          <w:tcPr>
            <w:tcW w:w="577" w:type="pct"/>
            <w:tcBorders>
              <w:top w:val="nil"/>
              <w:left w:val="nil"/>
              <w:bottom w:val="single" w:color="000000" w:sz="4" w:space="0"/>
              <w:right w:val="single" w:color="000000" w:sz="4" w:space="0"/>
              <w:tl2br w:val="nil"/>
              <w:tr2bl w:val="nil"/>
            </w:tcBorders>
            <w:noWrap w:val="0"/>
            <w:vAlign w:val="center"/>
          </w:tcPr>
          <w:p w14:paraId="0AB9F94C">
            <w:pPr>
              <w:widowControl/>
              <w:snapToGrid w:val="0"/>
              <w:spacing w:beforeLines="0" w:afterLines="0"/>
              <w:jc w:val="left"/>
              <w:rPr>
                <w:rFonts w:hint="eastAsia" w:ascii="Times New Roman" w:eastAsia="Times New Roman" w:cs="Arial"/>
                <w:color w:val="auto"/>
                <w:sz w:val="24"/>
                <w:szCs w:val="21"/>
                <w:highlight w:val="none"/>
              </w:rPr>
            </w:pPr>
          </w:p>
        </w:tc>
        <w:tc>
          <w:tcPr>
            <w:tcW w:w="503" w:type="pct"/>
            <w:tcBorders>
              <w:top w:val="single" w:color="000000" w:sz="4" w:space="0"/>
              <w:left w:val="nil"/>
              <w:bottom w:val="single" w:color="000000" w:sz="4" w:space="0"/>
              <w:right w:val="single" w:color="000000" w:sz="4" w:space="0"/>
              <w:tl2br w:val="nil"/>
              <w:tr2bl w:val="nil"/>
            </w:tcBorders>
            <w:noWrap w:val="0"/>
            <w:vAlign w:val="center"/>
          </w:tcPr>
          <w:p w14:paraId="39E8684B">
            <w:pPr>
              <w:widowControl/>
              <w:snapToGrid w:val="0"/>
              <w:spacing w:beforeLines="0" w:afterLines="0"/>
              <w:jc w:val="left"/>
              <w:rPr>
                <w:rFonts w:hint="eastAsia" w:ascii="Times New Roman" w:eastAsia="Times New Roman" w:cs="Arial"/>
                <w:color w:val="auto"/>
                <w:sz w:val="24"/>
                <w:szCs w:val="21"/>
                <w:highlight w:val="none"/>
              </w:rPr>
            </w:pPr>
          </w:p>
        </w:tc>
        <w:tc>
          <w:tcPr>
            <w:tcW w:w="408" w:type="pct"/>
            <w:tcBorders>
              <w:top w:val="nil"/>
              <w:left w:val="nil"/>
              <w:bottom w:val="single" w:color="000000" w:sz="4" w:space="0"/>
              <w:right w:val="single" w:color="000000" w:sz="4" w:space="0"/>
              <w:tl2br w:val="nil"/>
              <w:tr2bl w:val="nil"/>
            </w:tcBorders>
            <w:noWrap w:val="0"/>
            <w:vAlign w:val="center"/>
          </w:tcPr>
          <w:p w14:paraId="1FC01D77">
            <w:pPr>
              <w:widowControl/>
              <w:snapToGrid w:val="0"/>
              <w:spacing w:beforeLines="0" w:afterLines="0"/>
              <w:jc w:val="center"/>
              <w:rPr>
                <w:rFonts w:hint="eastAsia" w:ascii="Times New Roman" w:eastAsia="Times New Roman" w:cs="Arial"/>
                <w:color w:val="auto"/>
                <w:sz w:val="24"/>
                <w:szCs w:val="21"/>
                <w:highlight w:val="none"/>
              </w:rPr>
            </w:pPr>
          </w:p>
        </w:tc>
        <w:tc>
          <w:tcPr>
            <w:tcW w:w="431" w:type="pct"/>
            <w:tcBorders>
              <w:top w:val="nil"/>
              <w:left w:val="nil"/>
              <w:bottom w:val="single" w:color="000000" w:sz="4" w:space="0"/>
              <w:right w:val="single" w:color="000000" w:sz="4" w:space="0"/>
              <w:tl2br w:val="nil"/>
              <w:tr2bl w:val="nil"/>
            </w:tcBorders>
            <w:noWrap w:val="0"/>
            <w:vAlign w:val="center"/>
          </w:tcPr>
          <w:p w14:paraId="212FD719">
            <w:pPr>
              <w:widowControl/>
              <w:snapToGrid w:val="0"/>
              <w:spacing w:beforeLines="0" w:afterLines="0"/>
              <w:jc w:val="right"/>
              <w:rPr>
                <w:rFonts w:hint="eastAsia" w:ascii="Times New Roman" w:eastAsia="Times New Roman" w:cs="Arial"/>
                <w:color w:val="auto"/>
                <w:sz w:val="24"/>
                <w:szCs w:val="21"/>
                <w:highlight w:val="none"/>
              </w:rPr>
            </w:pPr>
          </w:p>
        </w:tc>
        <w:tc>
          <w:tcPr>
            <w:tcW w:w="395" w:type="pct"/>
            <w:tcBorders>
              <w:top w:val="single" w:color="000000" w:sz="4" w:space="0"/>
              <w:left w:val="nil"/>
              <w:bottom w:val="single" w:color="000000" w:sz="4" w:space="0"/>
              <w:right w:val="single" w:color="000000" w:sz="4" w:space="0"/>
              <w:tl2br w:val="nil"/>
              <w:tr2bl w:val="nil"/>
            </w:tcBorders>
            <w:noWrap w:val="0"/>
            <w:vAlign w:val="center"/>
          </w:tcPr>
          <w:p w14:paraId="5566D6B9">
            <w:pPr>
              <w:widowControl/>
              <w:snapToGrid w:val="0"/>
              <w:spacing w:beforeLines="0" w:afterLines="0"/>
              <w:jc w:val="right"/>
              <w:rPr>
                <w:rFonts w:hint="eastAsia" w:ascii="Times New Roman" w:eastAsia="Times New Roman" w:cs="Arial"/>
                <w:color w:val="auto"/>
                <w:sz w:val="24"/>
                <w:szCs w:val="21"/>
                <w:highlight w:val="none"/>
              </w:rPr>
            </w:pPr>
          </w:p>
        </w:tc>
        <w:tc>
          <w:tcPr>
            <w:tcW w:w="475" w:type="pct"/>
            <w:tcBorders>
              <w:top w:val="single" w:color="000000" w:sz="4" w:space="0"/>
              <w:left w:val="nil"/>
              <w:bottom w:val="single" w:color="000000" w:sz="4" w:space="0"/>
              <w:right w:val="single" w:color="000000" w:sz="4" w:space="0"/>
              <w:tl2br w:val="nil"/>
              <w:tr2bl w:val="nil"/>
            </w:tcBorders>
            <w:noWrap w:val="0"/>
            <w:vAlign w:val="center"/>
          </w:tcPr>
          <w:p w14:paraId="20EED45C">
            <w:pPr>
              <w:widowControl/>
              <w:snapToGrid w:val="0"/>
              <w:spacing w:beforeLines="0" w:afterLines="0"/>
              <w:jc w:val="right"/>
              <w:rPr>
                <w:rFonts w:hint="eastAsia" w:ascii="Times New Roman" w:eastAsia="Times New Roman" w:cs="Arial"/>
                <w:color w:val="auto"/>
                <w:sz w:val="24"/>
                <w:szCs w:val="21"/>
                <w:highlight w:val="none"/>
              </w:rPr>
            </w:pPr>
          </w:p>
        </w:tc>
        <w:tc>
          <w:tcPr>
            <w:tcW w:w="497" w:type="pct"/>
            <w:tcBorders>
              <w:top w:val="nil"/>
              <w:left w:val="nil"/>
              <w:bottom w:val="single" w:color="000000" w:sz="4" w:space="0"/>
              <w:right w:val="single" w:color="000000" w:sz="4" w:space="0"/>
              <w:tl2br w:val="nil"/>
              <w:tr2bl w:val="nil"/>
            </w:tcBorders>
            <w:noWrap w:val="0"/>
            <w:vAlign w:val="center"/>
          </w:tcPr>
          <w:p w14:paraId="1A83A290">
            <w:pPr>
              <w:widowControl/>
              <w:snapToGrid w:val="0"/>
              <w:spacing w:beforeLines="0" w:afterLines="0"/>
              <w:jc w:val="right"/>
              <w:rPr>
                <w:rFonts w:hint="eastAsia" w:ascii="Times New Roman" w:eastAsia="Times New Roman" w:cs="Arial"/>
                <w:color w:val="auto"/>
                <w:sz w:val="24"/>
                <w:szCs w:val="21"/>
                <w:highlight w:val="none"/>
              </w:rPr>
            </w:pPr>
          </w:p>
        </w:tc>
        <w:tc>
          <w:tcPr>
            <w:tcW w:w="462" w:type="pct"/>
            <w:tcBorders>
              <w:top w:val="nil"/>
              <w:left w:val="nil"/>
              <w:bottom w:val="single" w:color="000000" w:sz="4" w:space="0"/>
              <w:right w:val="single" w:color="000000" w:sz="4" w:space="0"/>
              <w:tl2br w:val="nil"/>
              <w:tr2bl w:val="nil"/>
            </w:tcBorders>
            <w:noWrap w:val="0"/>
            <w:vAlign w:val="center"/>
          </w:tcPr>
          <w:p w14:paraId="6259DEE2">
            <w:pPr>
              <w:widowControl/>
              <w:snapToGrid w:val="0"/>
              <w:spacing w:beforeLines="0" w:afterLines="0"/>
              <w:jc w:val="right"/>
              <w:rPr>
                <w:rFonts w:hint="eastAsia" w:ascii="Times New Roman" w:eastAsia="Times New Roman" w:cs="Arial"/>
                <w:color w:val="auto"/>
                <w:sz w:val="24"/>
                <w:szCs w:val="21"/>
                <w:highlight w:val="none"/>
              </w:rPr>
            </w:pPr>
          </w:p>
        </w:tc>
        <w:tc>
          <w:tcPr>
            <w:tcW w:w="424" w:type="pct"/>
            <w:tcBorders>
              <w:top w:val="nil"/>
              <w:left w:val="nil"/>
              <w:bottom w:val="single" w:color="000000" w:sz="4" w:space="0"/>
              <w:right w:val="single" w:color="000000" w:sz="8" w:space="0"/>
              <w:tl2br w:val="nil"/>
              <w:tr2bl w:val="nil"/>
            </w:tcBorders>
            <w:noWrap w:val="0"/>
            <w:vAlign w:val="center"/>
          </w:tcPr>
          <w:p w14:paraId="7D0A875B">
            <w:pPr>
              <w:widowControl/>
              <w:snapToGrid w:val="0"/>
              <w:spacing w:beforeLines="0" w:afterLines="0"/>
              <w:jc w:val="right"/>
              <w:rPr>
                <w:rFonts w:hint="eastAsia" w:ascii="Times New Roman" w:eastAsia="Times New Roman" w:cs="Arial"/>
                <w:color w:val="auto"/>
                <w:sz w:val="24"/>
                <w:szCs w:val="21"/>
                <w:highlight w:val="none"/>
              </w:rPr>
            </w:pPr>
          </w:p>
        </w:tc>
      </w:tr>
      <w:tr w14:paraId="282C1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9" w:type="pct"/>
            <w:tcBorders>
              <w:top w:val="nil"/>
              <w:left w:val="single" w:color="000000" w:sz="8" w:space="0"/>
              <w:bottom w:val="single" w:color="000000" w:sz="4" w:space="0"/>
              <w:right w:val="single" w:color="000000" w:sz="4" w:space="0"/>
              <w:tl2br w:val="nil"/>
              <w:tr2bl w:val="nil"/>
            </w:tcBorders>
            <w:noWrap w:val="0"/>
            <w:vAlign w:val="center"/>
          </w:tcPr>
          <w:p w14:paraId="4A5BA3C0">
            <w:pPr>
              <w:widowControl/>
              <w:snapToGrid w:val="0"/>
              <w:spacing w:beforeLines="0" w:afterLines="0"/>
              <w:jc w:val="center"/>
              <w:rPr>
                <w:rFonts w:hint="eastAsia" w:ascii="Times New Roman" w:eastAsia="Times New Roman" w:cs="Arial"/>
                <w:color w:val="auto"/>
                <w:sz w:val="24"/>
                <w:szCs w:val="21"/>
                <w:highlight w:val="none"/>
              </w:rPr>
            </w:pPr>
          </w:p>
        </w:tc>
        <w:tc>
          <w:tcPr>
            <w:tcW w:w="577" w:type="pct"/>
            <w:tcBorders>
              <w:top w:val="nil"/>
              <w:left w:val="nil"/>
              <w:bottom w:val="single" w:color="000000" w:sz="4" w:space="0"/>
              <w:right w:val="single" w:color="000000" w:sz="4" w:space="0"/>
              <w:tl2br w:val="nil"/>
              <w:tr2bl w:val="nil"/>
            </w:tcBorders>
            <w:noWrap w:val="0"/>
            <w:vAlign w:val="center"/>
          </w:tcPr>
          <w:p w14:paraId="79DD9886">
            <w:pPr>
              <w:widowControl/>
              <w:snapToGrid w:val="0"/>
              <w:spacing w:beforeLines="0" w:afterLines="0"/>
              <w:jc w:val="center"/>
              <w:rPr>
                <w:rFonts w:hint="eastAsia" w:ascii="Times New Roman" w:eastAsia="Times New Roman" w:cs="Arial"/>
                <w:color w:val="auto"/>
                <w:sz w:val="24"/>
                <w:szCs w:val="21"/>
                <w:highlight w:val="none"/>
              </w:rPr>
            </w:pPr>
          </w:p>
        </w:tc>
        <w:tc>
          <w:tcPr>
            <w:tcW w:w="577" w:type="pct"/>
            <w:tcBorders>
              <w:top w:val="nil"/>
              <w:left w:val="nil"/>
              <w:bottom w:val="single" w:color="000000" w:sz="4" w:space="0"/>
              <w:right w:val="single" w:color="000000" w:sz="4" w:space="0"/>
              <w:tl2br w:val="nil"/>
              <w:tr2bl w:val="nil"/>
            </w:tcBorders>
            <w:noWrap w:val="0"/>
            <w:vAlign w:val="center"/>
          </w:tcPr>
          <w:p w14:paraId="6F3F4DB5">
            <w:pPr>
              <w:widowControl/>
              <w:snapToGrid w:val="0"/>
              <w:spacing w:beforeLines="0" w:afterLines="0"/>
              <w:jc w:val="left"/>
              <w:rPr>
                <w:rFonts w:hint="eastAsia" w:ascii="Times New Roman" w:eastAsia="Times New Roman" w:cs="Arial"/>
                <w:color w:val="auto"/>
                <w:sz w:val="24"/>
                <w:szCs w:val="21"/>
                <w:highlight w:val="none"/>
              </w:rPr>
            </w:pPr>
          </w:p>
        </w:tc>
        <w:tc>
          <w:tcPr>
            <w:tcW w:w="503" w:type="pct"/>
            <w:tcBorders>
              <w:top w:val="single" w:color="000000" w:sz="4" w:space="0"/>
              <w:left w:val="nil"/>
              <w:bottom w:val="single" w:color="000000" w:sz="4" w:space="0"/>
              <w:right w:val="single" w:color="000000" w:sz="4" w:space="0"/>
              <w:tl2br w:val="nil"/>
              <w:tr2bl w:val="nil"/>
            </w:tcBorders>
            <w:noWrap w:val="0"/>
            <w:vAlign w:val="center"/>
          </w:tcPr>
          <w:p w14:paraId="221F3401">
            <w:pPr>
              <w:widowControl/>
              <w:snapToGrid w:val="0"/>
              <w:spacing w:beforeLines="0" w:afterLines="0"/>
              <w:jc w:val="left"/>
              <w:rPr>
                <w:rFonts w:hint="eastAsia" w:ascii="Times New Roman" w:eastAsia="Times New Roman" w:cs="Arial"/>
                <w:color w:val="auto"/>
                <w:sz w:val="24"/>
                <w:szCs w:val="21"/>
                <w:highlight w:val="none"/>
              </w:rPr>
            </w:pPr>
          </w:p>
        </w:tc>
        <w:tc>
          <w:tcPr>
            <w:tcW w:w="408" w:type="pct"/>
            <w:tcBorders>
              <w:top w:val="nil"/>
              <w:left w:val="nil"/>
              <w:bottom w:val="single" w:color="000000" w:sz="4" w:space="0"/>
              <w:right w:val="single" w:color="000000" w:sz="4" w:space="0"/>
              <w:tl2br w:val="nil"/>
              <w:tr2bl w:val="nil"/>
            </w:tcBorders>
            <w:noWrap w:val="0"/>
            <w:vAlign w:val="center"/>
          </w:tcPr>
          <w:p w14:paraId="271CCBD6">
            <w:pPr>
              <w:widowControl/>
              <w:snapToGrid w:val="0"/>
              <w:spacing w:beforeLines="0" w:afterLines="0"/>
              <w:jc w:val="center"/>
              <w:rPr>
                <w:rFonts w:hint="eastAsia" w:ascii="Times New Roman" w:eastAsia="Times New Roman" w:cs="Arial"/>
                <w:color w:val="auto"/>
                <w:sz w:val="24"/>
                <w:szCs w:val="21"/>
                <w:highlight w:val="none"/>
              </w:rPr>
            </w:pPr>
          </w:p>
        </w:tc>
        <w:tc>
          <w:tcPr>
            <w:tcW w:w="431" w:type="pct"/>
            <w:tcBorders>
              <w:top w:val="nil"/>
              <w:left w:val="nil"/>
              <w:bottom w:val="single" w:color="000000" w:sz="4" w:space="0"/>
              <w:right w:val="single" w:color="000000" w:sz="4" w:space="0"/>
              <w:tl2br w:val="nil"/>
              <w:tr2bl w:val="nil"/>
            </w:tcBorders>
            <w:noWrap w:val="0"/>
            <w:vAlign w:val="center"/>
          </w:tcPr>
          <w:p w14:paraId="1139DF1F">
            <w:pPr>
              <w:widowControl/>
              <w:snapToGrid w:val="0"/>
              <w:spacing w:beforeLines="0" w:afterLines="0"/>
              <w:jc w:val="right"/>
              <w:rPr>
                <w:rFonts w:hint="eastAsia" w:ascii="Times New Roman" w:eastAsia="Times New Roman" w:cs="Arial"/>
                <w:color w:val="auto"/>
                <w:sz w:val="24"/>
                <w:szCs w:val="21"/>
                <w:highlight w:val="none"/>
              </w:rPr>
            </w:pPr>
          </w:p>
        </w:tc>
        <w:tc>
          <w:tcPr>
            <w:tcW w:w="395" w:type="pct"/>
            <w:tcBorders>
              <w:top w:val="single" w:color="000000" w:sz="4" w:space="0"/>
              <w:left w:val="nil"/>
              <w:bottom w:val="single" w:color="000000" w:sz="4" w:space="0"/>
              <w:right w:val="single" w:color="000000" w:sz="4" w:space="0"/>
              <w:tl2br w:val="nil"/>
              <w:tr2bl w:val="nil"/>
            </w:tcBorders>
            <w:noWrap w:val="0"/>
            <w:vAlign w:val="center"/>
          </w:tcPr>
          <w:p w14:paraId="45DD25EC">
            <w:pPr>
              <w:widowControl/>
              <w:snapToGrid w:val="0"/>
              <w:spacing w:beforeLines="0" w:afterLines="0"/>
              <w:jc w:val="right"/>
              <w:rPr>
                <w:rFonts w:hint="eastAsia" w:ascii="Times New Roman" w:eastAsia="Times New Roman" w:cs="Arial"/>
                <w:color w:val="auto"/>
                <w:sz w:val="24"/>
                <w:szCs w:val="21"/>
                <w:highlight w:val="none"/>
              </w:rPr>
            </w:pPr>
          </w:p>
        </w:tc>
        <w:tc>
          <w:tcPr>
            <w:tcW w:w="475" w:type="pct"/>
            <w:tcBorders>
              <w:top w:val="single" w:color="000000" w:sz="4" w:space="0"/>
              <w:left w:val="nil"/>
              <w:bottom w:val="single" w:color="000000" w:sz="4" w:space="0"/>
              <w:right w:val="single" w:color="000000" w:sz="4" w:space="0"/>
              <w:tl2br w:val="nil"/>
              <w:tr2bl w:val="nil"/>
            </w:tcBorders>
            <w:noWrap w:val="0"/>
            <w:vAlign w:val="center"/>
          </w:tcPr>
          <w:p w14:paraId="07F653CD">
            <w:pPr>
              <w:widowControl/>
              <w:snapToGrid w:val="0"/>
              <w:spacing w:beforeLines="0" w:afterLines="0"/>
              <w:jc w:val="right"/>
              <w:rPr>
                <w:rFonts w:hint="eastAsia" w:ascii="Times New Roman" w:eastAsia="Times New Roman" w:cs="Arial"/>
                <w:color w:val="auto"/>
                <w:sz w:val="24"/>
                <w:szCs w:val="21"/>
                <w:highlight w:val="none"/>
              </w:rPr>
            </w:pPr>
          </w:p>
        </w:tc>
        <w:tc>
          <w:tcPr>
            <w:tcW w:w="497" w:type="pct"/>
            <w:tcBorders>
              <w:top w:val="nil"/>
              <w:left w:val="nil"/>
              <w:bottom w:val="single" w:color="000000" w:sz="4" w:space="0"/>
              <w:right w:val="single" w:color="000000" w:sz="4" w:space="0"/>
              <w:tl2br w:val="nil"/>
              <w:tr2bl w:val="nil"/>
            </w:tcBorders>
            <w:noWrap w:val="0"/>
            <w:vAlign w:val="center"/>
          </w:tcPr>
          <w:p w14:paraId="17B65EAB">
            <w:pPr>
              <w:widowControl/>
              <w:snapToGrid w:val="0"/>
              <w:spacing w:beforeLines="0" w:afterLines="0"/>
              <w:jc w:val="right"/>
              <w:rPr>
                <w:rFonts w:hint="eastAsia" w:ascii="Times New Roman" w:eastAsia="Times New Roman" w:cs="Arial"/>
                <w:color w:val="auto"/>
                <w:sz w:val="24"/>
                <w:szCs w:val="21"/>
                <w:highlight w:val="none"/>
              </w:rPr>
            </w:pPr>
          </w:p>
        </w:tc>
        <w:tc>
          <w:tcPr>
            <w:tcW w:w="462" w:type="pct"/>
            <w:tcBorders>
              <w:top w:val="nil"/>
              <w:left w:val="nil"/>
              <w:bottom w:val="single" w:color="000000" w:sz="4" w:space="0"/>
              <w:right w:val="single" w:color="000000" w:sz="4" w:space="0"/>
              <w:tl2br w:val="nil"/>
              <w:tr2bl w:val="nil"/>
            </w:tcBorders>
            <w:noWrap w:val="0"/>
            <w:vAlign w:val="center"/>
          </w:tcPr>
          <w:p w14:paraId="614385C1">
            <w:pPr>
              <w:widowControl/>
              <w:snapToGrid w:val="0"/>
              <w:spacing w:beforeLines="0" w:afterLines="0"/>
              <w:jc w:val="right"/>
              <w:rPr>
                <w:rFonts w:hint="eastAsia" w:ascii="Times New Roman" w:eastAsia="Times New Roman" w:cs="Arial"/>
                <w:color w:val="auto"/>
                <w:sz w:val="24"/>
                <w:szCs w:val="21"/>
                <w:highlight w:val="none"/>
              </w:rPr>
            </w:pPr>
          </w:p>
        </w:tc>
        <w:tc>
          <w:tcPr>
            <w:tcW w:w="424" w:type="pct"/>
            <w:tcBorders>
              <w:top w:val="nil"/>
              <w:left w:val="nil"/>
              <w:bottom w:val="single" w:color="000000" w:sz="4" w:space="0"/>
              <w:right w:val="single" w:color="000000" w:sz="8" w:space="0"/>
              <w:tl2br w:val="nil"/>
              <w:tr2bl w:val="nil"/>
            </w:tcBorders>
            <w:noWrap w:val="0"/>
            <w:vAlign w:val="center"/>
          </w:tcPr>
          <w:p w14:paraId="7F158FC6">
            <w:pPr>
              <w:widowControl/>
              <w:snapToGrid w:val="0"/>
              <w:spacing w:beforeLines="0" w:afterLines="0"/>
              <w:jc w:val="right"/>
              <w:rPr>
                <w:rFonts w:hint="eastAsia" w:ascii="Times New Roman" w:eastAsia="Times New Roman" w:cs="Arial"/>
                <w:color w:val="auto"/>
                <w:sz w:val="24"/>
                <w:szCs w:val="21"/>
                <w:highlight w:val="none"/>
              </w:rPr>
            </w:pPr>
          </w:p>
        </w:tc>
      </w:tr>
      <w:tr w14:paraId="42EEB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9" w:type="pct"/>
            <w:tcBorders>
              <w:top w:val="nil"/>
              <w:left w:val="single" w:color="000000" w:sz="8" w:space="0"/>
              <w:bottom w:val="single" w:color="000000" w:sz="4" w:space="0"/>
              <w:right w:val="single" w:color="000000" w:sz="4" w:space="0"/>
              <w:tl2br w:val="nil"/>
              <w:tr2bl w:val="nil"/>
            </w:tcBorders>
            <w:noWrap w:val="0"/>
            <w:vAlign w:val="center"/>
          </w:tcPr>
          <w:p w14:paraId="6FD64195">
            <w:pPr>
              <w:widowControl/>
              <w:snapToGrid w:val="0"/>
              <w:spacing w:beforeLines="0" w:afterLines="0"/>
              <w:jc w:val="center"/>
              <w:rPr>
                <w:rFonts w:hint="eastAsia" w:ascii="Times New Roman" w:eastAsia="Times New Roman" w:cs="Arial"/>
                <w:color w:val="auto"/>
                <w:sz w:val="24"/>
                <w:szCs w:val="21"/>
                <w:highlight w:val="none"/>
              </w:rPr>
            </w:pPr>
          </w:p>
        </w:tc>
        <w:tc>
          <w:tcPr>
            <w:tcW w:w="577" w:type="pct"/>
            <w:tcBorders>
              <w:top w:val="nil"/>
              <w:left w:val="nil"/>
              <w:bottom w:val="single" w:color="000000" w:sz="4" w:space="0"/>
              <w:right w:val="single" w:color="000000" w:sz="4" w:space="0"/>
              <w:tl2br w:val="nil"/>
              <w:tr2bl w:val="nil"/>
            </w:tcBorders>
            <w:noWrap w:val="0"/>
            <w:vAlign w:val="center"/>
          </w:tcPr>
          <w:p w14:paraId="29384B2B">
            <w:pPr>
              <w:widowControl/>
              <w:snapToGrid w:val="0"/>
              <w:spacing w:beforeLines="0" w:afterLines="0"/>
              <w:jc w:val="center"/>
              <w:rPr>
                <w:rFonts w:hint="eastAsia" w:ascii="Times New Roman" w:eastAsia="Times New Roman" w:cs="Arial"/>
                <w:color w:val="auto"/>
                <w:sz w:val="24"/>
                <w:szCs w:val="21"/>
                <w:highlight w:val="none"/>
              </w:rPr>
            </w:pPr>
          </w:p>
        </w:tc>
        <w:tc>
          <w:tcPr>
            <w:tcW w:w="577" w:type="pct"/>
            <w:tcBorders>
              <w:top w:val="nil"/>
              <w:left w:val="nil"/>
              <w:bottom w:val="single" w:color="000000" w:sz="4" w:space="0"/>
              <w:right w:val="single" w:color="000000" w:sz="4" w:space="0"/>
              <w:tl2br w:val="nil"/>
              <w:tr2bl w:val="nil"/>
            </w:tcBorders>
            <w:noWrap w:val="0"/>
            <w:vAlign w:val="center"/>
          </w:tcPr>
          <w:p w14:paraId="2E4588C4">
            <w:pPr>
              <w:widowControl/>
              <w:snapToGrid w:val="0"/>
              <w:spacing w:beforeLines="0" w:afterLines="0"/>
              <w:jc w:val="left"/>
              <w:rPr>
                <w:rFonts w:hint="eastAsia" w:ascii="Times New Roman" w:eastAsia="Times New Roman" w:cs="Arial"/>
                <w:color w:val="auto"/>
                <w:sz w:val="24"/>
                <w:szCs w:val="21"/>
                <w:highlight w:val="none"/>
              </w:rPr>
            </w:pPr>
          </w:p>
        </w:tc>
        <w:tc>
          <w:tcPr>
            <w:tcW w:w="503" w:type="pct"/>
            <w:tcBorders>
              <w:top w:val="single" w:color="000000" w:sz="4" w:space="0"/>
              <w:left w:val="nil"/>
              <w:bottom w:val="single" w:color="000000" w:sz="4" w:space="0"/>
              <w:right w:val="single" w:color="000000" w:sz="4" w:space="0"/>
              <w:tl2br w:val="nil"/>
              <w:tr2bl w:val="nil"/>
            </w:tcBorders>
            <w:noWrap w:val="0"/>
            <w:vAlign w:val="center"/>
          </w:tcPr>
          <w:p w14:paraId="5C119455">
            <w:pPr>
              <w:widowControl/>
              <w:snapToGrid w:val="0"/>
              <w:spacing w:beforeLines="0" w:afterLines="0"/>
              <w:jc w:val="left"/>
              <w:rPr>
                <w:rFonts w:hint="eastAsia" w:ascii="Times New Roman" w:eastAsia="Times New Roman" w:cs="Arial"/>
                <w:color w:val="auto"/>
                <w:sz w:val="24"/>
                <w:szCs w:val="21"/>
                <w:highlight w:val="none"/>
              </w:rPr>
            </w:pPr>
          </w:p>
        </w:tc>
        <w:tc>
          <w:tcPr>
            <w:tcW w:w="408" w:type="pct"/>
            <w:tcBorders>
              <w:top w:val="nil"/>
              <w:left w:val="nil"/>
              <w:bottom w:val="single" w:color="000000" w:sz="4" w:space="0"/>
              <w:right w:val="single" w:color="000000" w:sz="4" w:space="0"/>
              <w:tl2br w:val="nil"/>
              <w:tr2bl w:val="nil"/>
            </w:tcBorders>
            <w:noWrap w:val="0"/>
            <w:vAlign w:val="center"/>
          </w:tcPr>
          <w:p w14:paraId="485AD7F1">
            <w:pPr>
              <w:widowControl/>
              <w:snapToGrid w:val="0"/>
              <w:spacing w:beforeLines="0" w:afterLines="0"/>
              <w:jc w:val="center"/>
              <w:rPr>
                <w:rFonts w:hint="eastAsia" w:ascii="Times New Roman" w:eastAsia="Times New Roman" w:cs="Arial"/>
                <w:color w:val="auto"/>
                <w:sz w:val="24"/>
                <w:szCs w:val="21"/>
                <w:highlight w:val="none"/>
              </w:rPr>
            </w:pPr>
          </w:p>
        </w:tc>
        <w:tc>
          <w:tcPr>
            <w:tcW w:w="431" w:type="pct"/>
            <w:tcBorders>
              <w:top w:val="nil"/>
              <w:left w:val="nil"/>
              <w:bottom w:val="single" w:color="000000" w:sz="4" w:space="0"/>
              <w:right w:val="single" w:color="000000" w:sz="4" w:space="0"/>
              <w:tl2br w:val="nil"/>
              <w:tr2bl w:val="nil"/>
            </w:tcBorders>
            <w:noWrap w:val="0"/>
            <w:vAlign w:val="center"/>
          </w:tcPr>
          <w:p w14:paraId="38216489">
            <w:pPr>
              <w:widowControl/>
              <w:snapToGrid w:val="0"/>
              <w:spacing w:beforeLines="0" w:afterLines="0"/>
              <w:jc w:val="right"/>
              <w:rPr>
                <w:rFonts w:hint="eastAsia" w:ascii="Times New Roman" w:eastAsia="Times New Roman" w:cs="Arial"/>
                <w:color w:val="auto"/>
                <w:sz w:val="24"/>
                <w:szCs w:val="21"/>
                <w:highlight w:val="none"/>
              </w:rPr>
            </w:pPr>
          </w:p>
        </w:tc>
        <w:tc>
          <w:tcPr>
            <w:tcW w:w="395" w:type="pct"/>
            <w:tcBorders>
              <w:top w:val="single" w:color="000000" w:sz="4" w:space="0"/>
              <w:left w:val="nil"/>
              <w:bottom w:val="single" w:color="000000" w:sz="4" w:space="0"/>
              <w:right w:val="single" w:color="000000" w:sz="4" w:space="0"/>
              <w:tl2br w:val="nil"/>
              <w:tr2bl w:val="nil"/>
            </w:tcBorders>
            <w:noWrap w:val="0"/>
            <w:vAlign w:val="center"/>
          </w:tcPr>
          <w:p w14:paraId="7E495985">
            <w:pPr>
              <w:widowControl/>
              <w:snapToGrid w:val="0"/>
              <w:spacing w:beforeLines="0" w:afterLines="0"/>
              <w:jc w:val="right"/>
              <w:rPr>
                <w:rFonts w:hint="eastAsia" w:ascii="Times New Roman" w:eastAsia="Times New Roman" w:cs="Arial"/>
                <w:color w:val="auto"/>
                <w:sz w:val="24"/>
                <w:szCs w:val="21"/>
                <w:highlight w:val="none"/>
              </w:rPr>
            </w:pPr>
          </w:p>
        </w:tc>
        <w:tc>
          <w:tcPr>
            <w:tcW w:w="475" w:type="pct"/>
            <w:tcBorders>
              <w:top w:val="single" w:color="000000" w:sz="4" w:space="0"/>
              <w:left w:val="nil"/>
              <w:bottom w:val="single" w:color="000000" w:sz="4" w:space="0"/>
              <w:right w:val="single" w:color="000000" w:sz="4" w:space="0"/>
              <w:tl2br w:val="nil"/>
              <w:tr2bl w:val="nil"/>
            </w:tcBorders>
            <w:noWrap w:val="0"/>
            <w:vAlign w:val="center"/>
          </w:tcPr>
          <w:p w14:paraId="1E00C1CC">
            <w:pPr>
              <w:widowControl/>
              <w:snapToGrid w:val="0"/>
              <w:spacing w:beforeLines="0" w:afterLines="0"/>
              <w:jc w:val="right"/>
              <w:rPr>
                <w:rFonts w:hint="eastAsia" w:ascii="Times New Roman" w:eastAsia="Times New Roman" w:cs="Arial"/>
                <w:color w:val="auto"/>
                <w:sz w:val="24"/>
                <w:szCs w:val="21"/>
                <w:highlight w:val="none"/>
              </w:rPr>
            </w:pPr>
          </w:p>
        </w:tc>
        <w:tc>
          <w:tcPr>
            <w:tcW w:w="497" w:type="pct"/>
            <w:tcBorders>
              <w:top w:val="nil"/>
              <w:left w:val="nil"/>
              <w:bottom w:val="single" w:color="000000" w:sz="4" w:space="0"/>
              <w:right w:val="single" w:color="000000" w:sz="4" w:space="0"/>
              <w:tl2br w:val="nil"/>
              <w:tr2bl w:val="nil"/>
            </w:tcBorders>
            <w:noWrap w:val="0"/>
            <w:vAlign w:val="center"/>
          </w:tcPr>
          <w:p w14:paraId="517A40EC">
            <w:pPr>
              <w:widowControl/>
              <w:snapToGrid w:val="0"/>
              <w:spacing w:beforeLines="0" w:afterLines="0"/>
              <w:jc w:val="right"/>
              <w:rPr>
                <w:rFonts w:hint="eastAsia" w:ascii="Times New Roman" w:eastAsia="Times New Roman" w:cs="Arial"/>
                <w:color w:val="auto"/>
                <w:sz w:val="24"/>
                <w:szCs w:val="21"/>
                <w:highlight w:val="none"/>
              </w:rPr>
            </w:pPr>
          </w:p>
        </w:tc>
        <w:tc>
          <w:tcPr>
            <w:tcW w:w="462" w:type="pct"/>
            <w:tcBorders>
              <w:top w:val="nil"/>
              <w:left w:val="nil"/>
              <w:bottom w:val="single" w:color="000000" w:sz="4" w:space="0"/>
              <w:right w:val="single" w:color="000000" w:sz="4" w:space="0"/>
              <w:tl2br w:val="nil"/>
              <w:tr2bl w:val="nil"/>
            </w:tcBorders>
            <w:noWrap w:val="0"/>
            <w:vAlign w:val="center"/>
          </w:tcPr>
          <w:p w14:paraId="485FCFE6">
            <w:pPr>
              <w:widowControl/>
              <w:snapToGrid w:val="0"/>
              <w:spacing w:beforeLines="0" w:afterLines="0"/>
              <w:jc w:val="right"/>
              <w:rPr>
                <w:rFonts w:hint="eastAsia" w:ascii="Times New Roman" w:eastAsia="Times New Roman" w:cs="Arial"/>
                <w:color w:val="auto"/>
                <w:sz w:val="24"/>
                <w:szCs w:val="21"/>
                <w:highlight w:val="none"/>
              </w:rPr>
            </w:pPr>
          </w:p>
        </w:tc>
        <w:tc>
          <w:tcPr>
            <w:tcW w:w="424" w:type="pct"/>
            <w:tcBorders>
              <w:top w:val="nil"/>
              <w:left w:val="nil"/>
              <w:bottom w:val="single" w:color="000000" w:sz="4" w:space="0"/>
              <w:right w:val="single" w:color="000000" w:sz="8" w:space="0"/>
              <w:tl2br w:val="nil"/>
              <w:tr2bl w:val="nil"/>
            </w:tcBorders>
            <w:noWrap w:val="0"/>
            <w:vAlign w:val="center"/>
          </w:tcPr>
          <w:p w14:paraId="1B25C37C">
            <w:pPr>
              <w:widowControl/>
              <w:snapToGrid w:val="0"/>
              <w:spacing w:beforeLines="0" w:afterLines="0"/>
              <w:jc w:val="right"/>
              <w:rPr>
                <w:rFonts w:hint="eastAsia" w:ascii="Times New Roman" w:eastAsia="Times New Roman" w:cs="Arial"/>
                <w:color w:val="auto"/>
                <w:sz w:val="24"/>
                <w:szCs w:val="21"/>
                <w:highlight w:val="none"/>
              </w:rPr>
            </w:pPr>
          </w:p>
        </w:tc>
      </w:tr>
    </w:tbl>
    <w:p w14:paraId="0B148284">
      <w:pPr>
        <w:spacing w:before="240" w:beforeLines="100" w:after="240" w:afterLines="100"/>
        <w:jc w:val="center"/>
        <w:outlineLvl w:val="3"/>
        <w:rPr>
          <w:rFonts w:hint="eastAsia" w:ascii="Times New Roman" w:eastAsia="Times New Roman"/>
          <w:color w:val="auto"/>
          <w:sz w:val="24"/>
          <w:szCs w:val="24"/>
          <w:highlight w:val="none"/>
        </w:rPr>
      </w:pPr>
      <w:bookmarkStart w:id="1518" w:name="_Toc460660243"/>
      <w:bookmarkStart w:id="1519" w:name="_Toc460227128"/>
      <w:bookmarkStart w:id="1520" w:name="_Toc12282"/>
      <w:r>
        <w:rPr>
          <w:rFonts w:hint="eastAsia" w:ascii="Times New Roman"/>
          <w:color w:val="auto"/>
          <w:sz w:val="28"/>
          <w:szCs w:val="28"/>
          <w:highlight w:val="none"/>
        </w:rPr>
        <w:br w:type="page"/>
      </w:r>
      <w:bookmarkStart w:id="1521" w:name="_Toc13977"/>
      <w:bookmarkStart w:id="1522" w:name="_Toc28072"/>
      <w:bookmarkStart w:id="1523" w:name="_Toc2505"/>
      <w:bookmarkStart w:id="1524" w:name="_Toc128950307"/>
      <w:bookmarkStart w:id="1525" w:name="_Toc24352"/>
      <w:bookmarkStart w:id="1526" w:name="_Toc3402"/>
      <w:bookmarkStart w:id="1527" w:name="_Toc15067"/>
      <w:bookmarkStart w:id="1528" w:name="_Toc7920"/>
      <w:bookmarkStart w:id="1529" w:name="_Toc24041"/>
      <w:r>
        <w:rPr>
          <w:rFonts w:hint="eastAsia" w:ascii="Times New Roman" w:eastAsia="黑体"/>
          <w:color w:val="auto"/>
          <w:sz w:val="24"/>
          <w:szCs w:val="24"/>
          <w:highlight w:val="none"/>
        </w:rPr>
        <w:t>（六）</w:t>
      </w:r>
      <w:bookmarkEnd w:id="1518"/>
      <w:bookmarkEnd w:id="1519"/>
      <w:r>
        <w:rPr>
          <w:rFonts w:hint="eastAsia" w:ascii="Times New Roman" w:eastAsia="黑体"/>
          <w:color w:val="auto"/>
          <w:sz w:val="24"/>
          <w:szCs w:val="24"/>
          <w:highlight w:val="none"/>
        </w:rPr>
        <w:t>分部分项工程量清单综合单价分析表</w:t>
      </w:r>
      <w:bookmarkEnd w:id="1520"/>
      <w:bookmarkEnd w:id="1521"/>
      <w:bookmarkEnd w:id="1522"/>
      <w:bookmarkEnd w:id="1523"/>
      <w:bookmarkEnd w:id="1524"/>
      <w:bookmarkEnd w:id="1525"/>
      <w:bookmarkEnd w:id="1526"/>
      <w:bookmarkEnd w:id="1527"/>
      <w:bookmarkEnd w:id="1528"/>
      <w:bookmarkEnd w:id="1529"/>
    </w:p>
    <w:p w14:paraId="6C776A32">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8"/>
        <w:gridCol w:w="309"/>
        <w:gridCol w:w="970"/>
        <w:gridCol w:w="389"/>
        <w:gridCol w:w="562"/>
        <w:gridCol w:w="735"/>
        <w:gridCol w:w="518"/>
        <w:gridCol w:w="217"/>
        <w:gridCol w:w="533"/>
        <w:gridCol w:w="202"/>
        <w:gridCol w:w="735"/>
        <w:gridCol w:w="735"/>
        <w:gridCol w:w="214"/>
        <w:gridCol w:w="539"/>
        <w:gridCol w:w="735"/>
        <w:gridCol w:w="735"/>
      </w:tblGrid>
      <w:tr w14:paraId="66955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401" w:type="pct"/>
            <w:gridSpan w:val="2"/>
            <w:tcBorders>
              <w:top w:val="single" w:color="000000" w:sz="8" w:space="0"/>
              <w:left w:val="single" w:color="000000" w:sz="8" w:space="0"/>
              <w:bottom w:val="single" w:color="000000" w:sz="4" w:space="0"/>
              <w:right w:val="single" w:color="000000" w:sz="4" w:space="0"/>
              <w:tl2br w:val="nil"/>
              <w:tr2bl w:val="nil"/>
            </w:tcBorders>
            <w:noWrap w:val="0"/>
            <w:vAlign w:val="center"/>
          </w:tcPr>
          <w:p w14:paraId="438C5BEE">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项目编码</w:t>
            </w:r>
          </w:p>
        </w:tc>
        <w:tc>
          <w:tcPr>
            <w:tcW w:w="579" w:type="pct"/>
            <w:tcBorders>
              <w:top w:val="single" w:color="000000" w:sz="8" w:space="0"/>
              <w:left w:val="nil"/>
              <w:bottom w:val="single" w:color="000000" w:sz="4" w:space="0"/>
              <w:right w:val="single" w:color="000000" w:sz="4" w:space="0"/>
              <w:tl2br w:val="nil"/>
              <w:tr2bl w:val="nil"/>
            </w:tcBorders>
            <w:noWrap w:val="0"/>
            <w:vAlign w:val="center"/>
          </w:tcPr>
          <w:p w14:paraId="3EADEFAA">
            <w:pPr>
              <w:widowControl/>
              <w:spacing w:beforeLines="0" w:afterLines="0"/>
              <w:jc w:val="center"/>
              <w:rPr>
                <w:rFonts w:hint="eastAsia" w:ascii="Times New Roman" w:eastAsia="Times New Roman" w:cs="Arial"/>
                <w:color w:val="auto"/>
                <w:sz w:val="24"/>
                <w:szCs w:val="21"/>
                <w:highlight w:val="none"/>
              </w:rPr>
            </w:pPr>
          </w:p>
        </w:tc>
        <w:tc>
          <w:tcPr>
            <w:tcW w:w="543" w:type="pct"/>
            <w:gridSpan w:val="2"/>
            <w:tcBorders>
              <w:top w:val="single" w:color="000000" w:sz="8" w:space="0"/>
              <w:left w:val="nil"/>
              <w:bottom w:val="single" w:color="000000" w:sz="4" w:space="0"/>
              <w:right w:val="single" w:color="000000" w:sz="4" w:space="0"/>
              <w:tl2br w:val="nil"/>
              <w:tr2bl w:val="nil"/>
            </w:tcBorders>
            <w:noWrap w:val="0"/>
            <w:vAlign w:val="center"/>
          </w:tcPr>
          <w:p w14:paraId="2F68C6F2">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项目名称</w:t>
            </w:r>
          </w:p>
        </w:tc>
        <w:tc>
          <w:tcPr>
            <w:tcW w:w="1751" w:type="pct"/>
            <w:gridSpan w:val="6"/>
            <w:tcBorders>
              <w:top w:val="single" w:color="000000" w:sz="8" w:space="0"/>
              <w:left w:val="nil"/>
              <w:bottom w:val="single" w:color="000000" w:sz="4" w:space="0"/>
              <w:right w:val="single" w:color="000000" w:sz="4" w:space="0"/>
              <w:tl2br w:val="nil"/>
              <w:tr2bl w:val="nil"/>
            </w:tcBorders>
            <w:noWrap w:val="0"/>
            <w:vAlign w:val="center"/>
          </w:tcPr>
          <w:p w14:paraId="2780AE3C">
            <w:pPr>
              <w:widowControl/>
              <w:spacing w:beforeLines="0" w:afterLines="0"/>
              <w:jc w:val="center"/>
              <w:rPr>
                <w:rFonts w:hint="eastAsia" w:ascii="Times New Roman" w:eastAsia="Times New Roman" w:cs="Arial"/>
                <w:color w:val="auto"/>
                <w:sz w:val="24"/>
                <w:szCs w:val="21"/>
                <w:highlight w:val="none"/>
              </w:rPr>
            </w:pPr>
          </w:p>
        </w:tc>
        <w:tc>
          <w:tcPr>
            <w:tcW w:w="556" w:type="pct"/>
            <w:gridSpan w:val="2"/>
            <w:tcBorders>
              <w:top w:val="single" w:color="000000" w:sz="8" w:space="0"/>
              <w:left w:val="nil"/>
              <w:bottom w:val="single" w:color="000000" w:sz="4" w:space="0"/>
              <w:right w:val="single" w:color="000000" w:sz="4" w:space="0"/>
              <w:tl2br w:val="nil"/>
              <w:tr2bl w:val="nil"/>
            </w:tcBorders>
            <w:noWrap w:val="0"/>
            <w:vAlign w:val="center"/>
          </w:tcPr>
          <w:p w14:paraId="23AEA3CB">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计量单位</w:t>
            </w:r>
          </w:p>
        </w:tc>
        <w:tc>
          <w:tcPr>
            <w:tcW w:w="319" w:type="pct"/>
            <w:tcBorders>
              <w:top w:val="single" w:color="000000" w:sz="8" w:space="0"/>
              <w:left w:val="nil"/>
              <w:bottom w:val="single" w:color="000000" w:sz="4" w:space="0"/>
              <w:right w:val="single" w:color="000000" w:sz="4" w:space="0"/>
              <w:tl2br w:val="nil"/>
              <w:tr2bl w:val="nil"/>
            </w:tcBorders>
            <w:noWrap w:val="0"/>
            <w:vAlign w:val="center"/>
          </w:tcPr>
          <w:p w14:paraId="117E8235">
            <w:pPr>
              <w:widowControl/>
              <w:spacing w:beforeLines="0" w:afterLines="0"/>
              <w:jc w:val="center"/>
              <w:rPr>
                <w:rFonts w:hint="eastAsia" w:ascii="Times New Roman" w:eastAsia="Times New Roman" w:cs="Arial"/>
                <w:color w:val="auto"/>
                <w:sz w:val="24"/>
                <w:szCs w:val="21"/>
                <w:highlight w:val="none"/>
              </w:rPr>
            </w:pPr>
          </w:p>
        </w:tc>
        <w:tc>
          <w:tcPr>
            <w:tcW w:w="425" w:type="pct"/>
            <w:tcBorders>
              <w:top w:val="single" w:color="000000" w:sz="8" w:space="0"/>
              <w:left w:val="nil"/>
              <w:bottom w:val="single" w:color="000000" w:sz="4" w:space="0"/>
              <w:right w:val="single" w:color="000000" w:sz="4" w:space="0"/>
              <w:tl2br w:val="nil"/>
              <w:tr2bl w:val="nil"/>
            </w:tcBorders>
            <w:noWrap w:val="0"/>
            <w:vAlign w:val="center"/>
          </w:tcPr>
          <w:p w14:paraId="466E2F2E">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工程量</w:t>
            </w:r>
          </w:p>
        </w:tc>
        <w:tc>
          <w:tcPr>
            <w:tcW w:w="425" w:type="pct"/>
            <w:tcBorders>
              <w:top w:val="single" w:color="000000" w:sz="8" w:space="0"/>
              <w:left w:val="nil"/>
              <w:bottom w:val="single" w:color="000000" w:sz="4" w:space="0"/>
              <w:right w:val="single" w:color="000000" w:sz="8" w:space="0"/>
              <w:tl2br w:val="nil"/>
              <w:tr2bl w:val="nil"/>
            </w:tcBorders>
            <w:noWrap w:val="0"/>
            <w:vAlign w:val="center"/>
          </w:tcPr>
          <w:p w14:paraId="4793EB60">
            <w:pPr>
              <w:widowControl/>
              <w:spacing w:beforeLines="0" w:afterLines="0"/>
              <w:jc w:val="center"/>
              <w:rPr>
                <w:rFonts w:hint="eastAsia" w:ascii="Times New Roman" w:eastAsia="Times New Roman" w:cs="Arial"/>
                <w:color w:val="auto"/>
                <w:sz w:val="24"/>
                <w:szCs w:val="21"/>
                <w:highlight w:val="none"/>
              </w:rPr>
            </w:pPr>
          </w:p>
        </w:tc>
      </w:tr>
      <w:tr w14:paraId="5A7C7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000" w:type="pct"/>
            <w:gridSpan w:val="16"/>
            <w:tcBorders>
              <w:top w:val="single" w:color="000000" w:sz="4" w:space="0"/>
              <w:left w:val="single" w:color="000000" w:sz="8" w:space="0"/>
              <w:bottom w:val="single" w:color="000000" w:sz="4" w:space="0"/>
              <w:right w:val="single" w:color="000000" w:sz="8" w:space="0"/>
              <w:tl2br w:val="nil"/>
              <w:tr2bl w:val="nil"/>
            </w:tcBorders>
            <w:noWrap/>
            <w:vAlign w:val="center"/>
          </w:tcPr>
          <w:p w14:paraId="668D8207">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清单综合单价组成明细</w:t>
            </w:r>
          </w:p>
        </w:tc>
      </w:tr>
      <w:tr w14:paraId="09D58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21" w:type="pct"/>
            <w:vMerge w:val="restart"/>
            <w:tcBorders>
              <w:top w:val="nil"/>
              <w:left w:val="single" w:color="000000" w:sz="8" w:space="0"/>
              <w:bottom w:val="single" w:color="000000" w:sz="4" w:space="0"/>
              <w:right w:val="single" w:color="000000" w:sz="4" w:space="0"/>
              <w:tl2br w:val="nil"/>
              <w:tr2bl w:val="nil"/>
            </w:tcBorders>
            <w:noWrap w:val="0"/>
            <w:vAlign w:val="center"/>
          </w:tcPr>
          <w:p w14:paraId="33A13301">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定额编码</w:t>
            </w:r>
          </w:p>
        </w:tc>
        <w:tc>
          <w:tcPr>
            <w:tcW w:w="759" w:type="pct"/>
            <w:gridSpan w:val="2"/>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522ACD1">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定额项目名称</w:t>
            </w:r>
          </w:p>
        </w:tc>
        <w:tc>
          <w:tcPr>
            <w:tcW w:w="220" w:type="pct"/>
            <w:vMerge w:val="restart"/>
            <w:tcBorders>
              <w:top w:val="nil"/>
              <w:left w:val="single" w:color="000000" w:sz="4" w:space="0"/>
              <w:bottom w:val="single" w:color="000000" w:sz="4" w:space="0"/>
              <w:right w:val="single" w:color="000000" w:sz="4" w:space="0"/>
              <w:tl2br w:val="nil"/>
              <w:tr2bl w:val="nil"/>
            </w:tcBorders>
            <w:noWrap w:val="0"/>
            <w:vAlign w:val="center"/>
          </w:tcPr>
          <w:p w14:paraId="6A674960">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定额单位</w:t>
            </w:r>
          </w:p>
        </w:tc>
        <w:tc>
          <w:tcPr>
            <w:tcW w:w="323" w:type="pct"/>
            <w:vMerge w:val="restart"/>
            <w:tcBorders>
              <w:top w:val="nil"/>
              <w:left w:val="single" w:color="000000" w:sz="4" w:space="0"/>
              <w:bottom w:val="single" w:color="000000" w:sz="4" w:space="0"/>
              <w:right w:val="single" w:color="000000" w:sz="4" w:space="0"/>
              <w:tl2br w:val="nil"/>
              <w:tr2bl w:val="nil"/>
            </w:tcBorders>
            <w:noWrap/>
            <w:vAlign w:val="center"/>
          </w:tcPr>
          <w:p w14:paraId="137973F7">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数量</w:t>
            </w:r>
          </w:p>
        </w:tc>
        <w:tc>
          <w:tcPr>
            <w:tcW w:w="1751" w:type="pct"/>
            <w:gridSpan w:val="6"/>
            <w:tcBorders>
              <w:top w:val="single" w:color="000000" w:sz="4" w:space="0"/>
              <w:left w:val="nil"/>
              <w:bottom w:val="single" w:color="000000" w:sz="4" w:space="0"/>
              <w:right w:val="single" w:color="000000" w:sz="4" w:space="0"/>
              <w:tl2br w:val="nil"/>
              <w:tr2bl w:val="nil"/>
            </w:tcBorders>
            <w:noWrap/>
            <w:vAlign w:val="center"/>
          </w:tcPr>
          <w:p w14:paraId="4C1B8B28">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单价</w:t>
            </w:r>
          </w:p>
        </w:tc>
        <w:tc>
          <w:tcPr>
            <w:tcW w:w="1726" w:type="pct"/>
            <w:gridSpan w:val="5"/>
            <w:tcBorders>
              <w:top w:val="single" w:color="000000" w:sz="4" w:space="0"/>
              <w:left w:val="nil"/>
              <w:bottom w:val="single" w:color="000000" w:sz="4" w:space="0"/>
              <w:right w:val="single" w:color="000000" w:sz="8" w:space="0"/>
              <w:tl2br w:val="nil"/>
              <w:tr2bl w:val="nil"/>
            </w:tcBorders>
            <w:noWrap/>
            <w:vAlign w:val="center"/>
          </w:tcPr>
          <w:p w14:paraId="56362316">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合价</w:t>
            </w:r>
          </w:p>
        </w:tc>
      </w:tr>
      <w:tr w14:paraId="42B8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1" w:type="pct"/>
            <w:vMerge w:val="continue"/>
            <w:tcBorders>
              <w:top w:val="nil"/>
              <w:left w:val="single" w:color="000000" w:sz="8" w:space="0"/>
              <w:bottom w:val="single" w:color="000000" w:sz="4" w:space="0"/>
              <w:right w:val="single" w:color="000000" w:sz="4" w:space="0"/>
              <w:tl2br w:val="nil"/>
              <w:tr2bl w:val="nil"/>
            </w:tcBorders>
            <w:noWrap w:val="0"/>
            <w:vAlign w:val="center"/>
          </w:tcPr>
          <w:p w14:paraId="635203A4">
            <w:pPr>
              <w:widowControl/>
              <w:spacing w:beforeLines="0" w:afterLines="0"/>
              <w:jc w:val="left"/>
              <w:rPr>
                <w:rFonts w:hint="eastAsia" w:ascii="Times New Roman" w:eastAsia="Times New Roman" w:cs="Arial"/>
                <w:color w:val="auto"/>
                <w:sz w:val="24"/>
                <w:szCs w:val="21"/>
                <w:highlight w:val="none"/>
              </w:rPr>
            </w:pPr>
          </w:p>
        </w:tc>
        <w:tc>
          <w:tcPr>
            <w:tcW w:w="759"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450E5">
            <w:pPr>
              <w:widowControl/>
              <w:spacing w:beforeLines="0" w:afterLines="0"/>
              <w:jc w:val="left"/>
              <w:rPr>
                <w:rFonts w:hint="eastAsia" w:ascii="Times New Roman" w:eastAsia="Times New Roman" w:cs="Arial"/>
                <w:color w:val="auto"/>
                <w:sz w:val="24"/>
                <w:szCs w:val="21"/>
                <w:highlight w:val="none"/>
              </w:rPr>
            </w:pPr>
          </w:p>
        </w:tc>
        <w:tc>
          <w:tcPr>
            <w:tcW w:w="220" w:type="pct"/>
            <w:vMerge w:val="continue"/>
            <w:tcBorders>
              <w:top w:val="nil"/>
              <w:left w:val="single" w:color="000000" w:sz="4" w:space="0"/>
              <w:bottom w:val="single" w:color="000000" w:sz="4" w:space="0"/>
              <w:right w:val="single" w:color="000000" w:sz="4" w:space="0"/>
              <w:tl2br w:val="nil"/>
              <w:tr2bl w:val="nil"/>
            </w:tcBorders>
            <w:noWrap w:val="0"/>
            <w:vAlign w:val="center"/>
          </w:tcPr>
          <w:p w14:paraId="0E009000">
            <w:pPr>
              <w:widowControl/>
              <w:spacing w:beforeLines="0" w:afterLines="0"/>
              <w:jc w:val="left"/>
              <w:rPr>
                <w:rFonts w:hint="eastAsia" w:ascii="Times New Roman" w:eastAsia="Times New Roman" w:cs="Arial"/>
                <w:color w:val="auto"/>
                <w:sz w:val="24"/>
                <w:szCs w:val="21"/>
                <w:highlight w:val="none"/>
              </w:rPr>
            </w:pPr>
          </w:p>
        </w:tc>
        <w:tc>
          <w:tcPr>
            <w:tcW w:w="323" w:type="pct"/>
            <w:vMerge w:val="continue"/>
            <w:tcBorders>
              <w:top w:val="nil"/>
              <w:left w:val="single" w:color="000000" w:sz="4" w:space="0"/>
              <w:bottom w:val="single" w:color="000000" w:sz="4" w:space="0"/>
              <w:right w:val="single" w:color="000000" w:sz="4" w:space="0"/>
              <w:tl2br w:val="nil"/>
              <w:tr2bl w:val="nil"/>
            </w:tcBorders>
            <w:noWrap w:val="0"/>
            <w:vAlign w:val="center"/>
          </w:tcPr>
          <w:p w14:paraId="6E9FEDDC">
            <w:pPr>
              <w:widowControl/>
              <w:spacing w:beforeLines="0" w:afterLines="0"/>
              <w:jc w:val="lef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ign w:val="center"/>
          </w:tcPr>
          <w:p w14:paraId="5795429D">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人工费</w:t>
            </w:r>
          </w:p>
        </w:tc>
        <w:tc>
          <w:tcPr>
            <w:tcW w:w="451" w:type="pct"/>
            <w:gridSpan w:val="2"/>
            <w:tcBorders>
              <w:top w:val="single" w:color="000000" w:sz="4" w:space="0"/>
              <w:left w:val="nil"/>
              <w:bottom w:val="single" w:color="000000" w:sz="4" w:space="0"/>
              <w:right w:val="single" w:color="000000" w:sz="4" w:space="0"/>
              <w:tl2br w:val="nil"/>
              <w:tr2bl w:val="nil"/>
            </w:tcBorders>
            <w:noWrap/>
            <w:vAlign w:val="center"/>
          </w:tcPr>
          <w:p w14:paraId="354730B2">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材料费</w:t>
            </w:r>
          </w:p>
        </w:tc>
        <w:tc>
          <w:tcPr>
            <w:tcW w:w="451" w:type="pct"/>
            <w:gridSpan w:val="2"/>
            <w:tcBorders>
              <w:top w:val="single" w:color="000000" w:sz="4" w:space="0"/>
              <w:left w:val="nil"/>
              <w:bottom w:val="single" w:color="000000" w:sz="4" w:space="0"/>
              <w:right w:val="single" w:color="000000" w:sz="4" w:space="0"/>
              <w:tl2br w:val="nil"/>
              <w:tr2bl w:val="nil"/>
            </w:tcBorders>
            <w:noWrap/>
            <w:vAlign w:val="center"/>
          </w:tcPr>
          <w:p w14:paraId="70114138">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机械费</w:t>
            </w:r>
          </w:p>
        </w:tc>
        <w:tc>
          <w:tcPr>
            <w:tcW w:w="425" w:type="pct"/>
            <w:tcBorders>
              <w:top w:val="nil"/>
              <w:left w:val="nil"/>
              <w:bottom w:val="single" w:color="000000" w:sz="4" w:space="0"/>
              <w:right w:val="single" w:color="000000" w:sz="4" w:space="0"/>
              <w:tl2br w:val="nil"/>
              <w:tr2bl w:val="nil"/>
            </w:tcBorders>
            <w:noWrap/>
            <w:vAlign w:val="center"/>
          </w:tcPr>
          <w:p w14:paraId="13EBF401">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综合费</w:t>
            </w:r>
          </w:p>
        </w:tc>
        <w:tc>
          <w:tcPr>
            <w:tcW w:w="425" w:type="pct"/>
            <w:tcBorders>
              <w:top w:val="single" w:color="000000" w:sz="4" w:space="0"/>
              <w:left w:val="nil"/>
              <w:bottom w:val="single" w:color="000000" w:sz="4" w:space="0"/>
              <w:right w:val="single" w:color="000000" w:sz="4" w:space="0"/>
              <w:tl2br w:val="nil"/>
              <w:tr2bl w:val="nil"/>
            </w:tcBorders>
            <w:noWrap/>
            <w:vAlign w:val="center"/>
          </w:tcPr>
          <w:p w14:paraId="6CC93B5A">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人工费</w:t>
            </w:r>
          </w:p>
        </w:tc>
        <w:tc>
          <w:tcPr>
            <w:tcW w:w="451" w:type="pct"/>
            <w:gridSpan w:val="2"/>
            <w:tcBorders>
              <w:top w:val="single" w:color="000000" w:sz="4" w:space="0"/>
              <w:left w:val="nil"/>
              <w:bottom w:val="single" w:color="000000" w:sz="4" w:space="0"/>
              <w:right w:val="single" w:color="000000" w:sz="4" w:space="0"/>
              <w:tl2br w:val="nil"/>
              <w:tr2bl w:val="nil"/>
            </w:tcBorders>
            <w:noWrap/>
            <w:vAlign w:val="center"/>
          </w:tcPr>
          <w:p w14:paraId="5FE5ECEF">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材料费</w:t>
            </w:r>
          </w:p>
        </w:tc>
        <w:tc>
          <w:tcPr>
            <w:tcW w:w="425" w:type="pct"/>
            <w:tcBorders>
              <w:top w:val="nil"/>
              <w:left w:val="nil"/>
              <w:bottom w:val="single" w:color="000000" w:sz="4" w:space="0"/>
              <w:right w:val="single" w:color="000000" w:sz="4" w:space="0"/>
              <w:tl2br w:val="nil"/>
              <w:tr2bl w:val="nil"/>
            </w:tcBorders>
            <w:noWrap/>
            <w:vAlign w:val="center"/>
          </w:tcPr>
          <w:p w14:paraId="4C35541A">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机械费</w:t>
            </w:r>
          </w:p>
        </w:tc>
        <w:tc>
          <w:tcPr>
            <w:tcW w:w="425" w:type="pct"/>
            <w:tcBorders>
              <w:top w:val="nil"/>
              <w:left w:val="nil"/>
              <w:bottom w:val="single" w:color="000000" w:sz="4" w:space="0"/>
              <w:right w:val="single" w:color="000000" w:sz="8" w:space="0"/>
              <w:tl2br w:val="nil"/>
              <w:tr2bl w:val="nil"/>
            </w:tcBorders>
            <w:noWrap/>
            <w:vAlign w:val="center"/>
          </w:tcPr>
          <w:p w14:paraId="6538F154">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综合费</w:t>
            </w:r>
          </w:p>
        </w:tc>
      </w:tr>
      <w:tr w14:paraId="37CD1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1" w:type="pct"/>
            <w:tcBorders>
              <w:top w:val="nil"/>
              <w:left w:val="single" w:color="000000" w:sz="8" w:space="0"/>
              <w:bottom w:val="single" w:color="000000" w:sz="4" w:space="0"/>
              <w:right w:val="single" w:color="000000" w:sz="4" w:space="0"/>
              <w:tl2br w:val="nil"/>
              <w:tr2bl w:val="nil"/>
            </w:tcBorders>
            <w:noWrap w:val="0"/>
            <w:vAlign w:val="center"/>
          </w:tcPr>
          <w:p w14:paraId="18AA2F4D">
            <w:pPr>
              <w:widowControl/>
              <w:spacing w:beforeLines="0" w:afterLines="0"/>
              <w:jc w:val="center"/>
              <w:rPr>
                <w:rFonts w:hint="eastAsia" w:ascii="Times New Roman" w:eastAsia="Times New Roman" w:cs="Arial"/>
                <w:color w:val="auto"/>
                <w:sz w:val="24"/>
                <w:szCs w:val="21"/>
                <w:highlight w:val="none"/>
              </w:rPr>
            </w:pPr>
          </w:p>
        </w:tc>
        <w:tc>
          <w:tcPr>
            <w:tcW w:w="759" w:type="pct"/>
            <w:gridSpan w:val="2"/>
            <w:tcBorders>
              <w:top w:val="single" w:color="000000" w:sz="4" w:space="0"/>
              <w:left w:val="nil"/>
              <w:bottom w:val="single" w:color="000000" w:sz="4" w:space="0"/>
              <w:right w:val="single" w:color="000000" w:sz="4" w:space="0"/>
              <w:tl2br w:val="nil"/>
              <w:tr2bl w:val="nil"/>
            </w:tcBorders>
            <w:noWrap w:val="0"/>
            <w:vAlign w:val="center"/>
          </w:tcPr>
          <w:p w14:paraId="07F64103">
            <w:pPr>
              <w:widowControl/>
              <w:spacing w:beforeLines="0" w:afterLines="0"/>
              <w:jc w:val="left"/>
              <w:rPr>
                <w:rFonts w:hint="eastAsia" w:ascii="Times New Roman" w:eastAsia="Times New Roman" w:cs="Arial"/>
                <w:color w:val="auto"/>
                <w:sz w:val="24"/>
                <w:szCs w:val="21"/>
                <w:highlight w:val="none"/>
              </w:rPr>
            </w:pPr>
          </w:p>
        </w:tc>
        <w:tc>
          <w:tcPr>
            <w:tcW w:w="220" w:type="pct"/>
            <w:tcBorders>
              <w:top w:val="nil"/>
              <w:left w:val="nil"/>
              <w:bottom w:val="single" w:color="000000" w:sz="4" w:space="0"/>
              <w:right w:val="single" w:color="000000" w:sz="4" w:space="0"/>
              <w:tl2br w:val="nil"/>
              <w:tr2bl w:val="nil"/>
            </w:tcBorders>
            <w:noWrap w:val="0"/>
            <w:vAlign w:val="center"/>
          </w:tcPr>
          <w:p w14:paraId="63E9D969">
            <w:pPr>
              <w:widowControl/>
              <w:spacing w:beforeLines="0" w:afterLines="0"/>
              <w:jc w:val="center"/>
              <w:rPr>
                <w:rFonts w:hint="eastAsia" w:ascii="Times New Roman" w:eastAsia="Times New Roman" w:cs="Arial"/>
                <w:color w:val="auto"/>
                <w:sz w:val="24"/>
                <w:szCs w:val="21"/>
                <w:highlight w:val="none"/>
              </w:rPr>
            </w:pPr>
          </w:p>
        </w:tc>
        <w:tc>
          <w:tcPr>
            <w:tcW w:w="323" w:type="pct"/>
            <w:tcBorders>
              <w:top w:val="nil"/>
              <w:left w:val="nil"/>
              <w:bottom w:val="single" w:color="000000" w:sz="4" w:space="0"/>
              <w:right w:val="single" w:color="000000" w:sz="4" w:space="0"/>
              <w:tl2br w:val="nil"/>
              <w:tr2bl w:val="nil"/>
            </w:tcBorders>
            <w:noWrap w:val="0"/>
            <w:vAlign w:val="center"/>
          </w:tcPr>
          <w:p w14:paraId="4F05C936">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0"/>
            <w:vAlign w:val="center"/>
          </w:tcPr>
          <w:p w14:paraId="7307F8DA">
            <w:pPr>
              <w:widowControl/>
              <w:spacing w:beforeLines="0" w:afterLines="0"/>
              <w:jc w:val="right"/>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19F507E2">
            <w:pPr>
              <w:widowControl/>
              <w:spacing w:beforeLines="0" w:afterLines="0"/>
              <w:jc w:val="right"/>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0B997432">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0"/>
            <w:vAlign w:val="center"/>
          </w:tcPr>
          <w:p w14:paraId="1A28D628">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single" w:color="000000" w:sz="4" w:space="0"/>
              <w:left w:val="nil"/>
              <w:bottom w:val="single" w:color="000000" w:sz="4" w:space="0"/>
              <w:right w:val="single" w:color="000000" w:sz="4" w:space="0"/>
              <w:tl2br w:val="nil"/>
              <w:tr2bl w:val="nil"/>
            </w:tcBorders>
            <w:noWrap w:val="0"/>
            <w:vAlign w:val="center"/>
          </w:tcPr>
          <w:p w14:paraId="1A5E1A1B">
            <w:pPr>
              <w:widowControl/>
              <w:spacing w:beforeLines="0" w:afterLines="0"/>
              <w:jc w:val="right"/>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4717C1BF">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0"/>
            <w:vAlign w:val="center"/>
          </w:tcPr>
          <w:p w14:paraId="5C862593">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8" w:space="0"/>
              <w:tl2br w:val="nil"/>
              <w:tr2bl w:val="nil"/>
            </w:tcBorders>
            <w:noWrap w:val="0"/>
            <w:vAlign w:val="center"/>
          </w:tcPr>
          <w:p w14:paraId="213288F0">
            <w:pPr>
              <w:widowControl/>
              <w:spacing w:beforeLines="0" w:afterLines="0"/>
              <w:jc w:val="right"/>
              <w:rPr>
                <w:rFonts w:hint="eastAsia" w:ascii="Times New Roman" w:eastAsia="Times New Roman" w:cs="Arial"/>
                <w:color w:val="auto"/>
                <w:sz w:val="24"/>
                <w:szCs w:val="21"/>
                <w:highlight w:val="none"/>
              </w:rPr>
            </w:pPr>
          </w:p>
        </w:tc>
      </w:tr>
      <w:tr w14:paraId="26C2D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80" w:type="pct"/>
            <w:gridSpan w:val="3"/>
            <w:tcBorders>
              <w:top w:val="single" w:color="000000" w:sz="4" w:space="0"/>
              <w:left w:val="single" w:color="000000" w:sz="8" w:space="0"/>
              <w:bottom w:val="single" w:color="000000" w:sz="4" w:space="0"/>
              <w:right w:val="single" w:color="000000" w:sz="4" w:space="0"/>
              <w:tl2br w:val="nil"/>
              <w:tr2bl w:val="nil"/>
            </w:tcBorders>
            <w:noWrap/>
            <w:vAlign w:val="center"/>
          </w:tcPr>
          <w:p w14:paraId="6401BE9D">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人工单价</w:t>
            </w:r>
          </w:p>
        </w:tc>
        <w:tc>
          <w:tcPr>
            <w:tcW w:w="2294" w:type="pct"/>
            <w:gridSpan w:val="8"/>
            <w:tcBorders>
              <w:top w:val="single" w:color="000000" w:sz="4" w:space="0"/>
              <w:left w:val="nil"/>
              <w:bottom w:val="single" w:color="000000" w:sz="4" w:space="0"/>
              <w:right w:val="single" w:color="000000" w:sz="4" w:space="0"/>
              <w:tl2br w:val="nil"/>
              <w:tr2bl w:val="nil"/>
            </w:tcBorders>
            <w:noWrap/>
            <w:vAlign w:val="center"/>
          </w:tcPr>
          <w:p w14:paraId="2EB1EF2D">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小计</w:t>
            </w:r>
          </w:p>
        </w:tc>
        <w:tc>
          <w:tcPr>
            <w:tcW w:w="425" w:type="pct"/>
            <w:tcBorders>
              <w:top w:val="single" w:color="000000" w:sz="4" w:space="0"/>
              <w:left w:val="nil"/>
              <w:bottom w:val="single" w:color="000000" w:sz="4" w:space="0"/>
              <w:right w:val="single" w:color="000000" w:sz="4" w:space="0"/>
              <w:tl2br w:val="nil"/>
              <w:tr2bl w:val="nil"/>
            </w:tcBorders>
            <w:noWrap w:val="0"/>
            <w:vAlign w:val="center"/>
          </w:tcPr>
          <w:p w14:paraId="1E7E4196">
            <w:pPr>
              <w:widowControl/>
              <w:spacing w:beforeLines="0" w:afterLines="0"/>
              <w:jc w:val="right"/>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05B36905">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0"/>
            <w:vAlign w:val="center"/>
          </w:tcPr>
          <w:p w14:paraId="0DBA61BE">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8" w:space="0"/>
              <w:tl2br w:val="nil"/>
              <w:tr2bl w:val="nil"/>
            </w:tcBorders>
            <w:noWrap w:val="0"/>
            <w:vAlign w:val="center"/>
          </w:tcPr>
          <w:p w14:paraId="2CA8B1E1">
            <w:pPr>
              <w:widowControl/>
              <w:spacing w:beforeLines="0" w:afterLines="0"/>
              <w:jc w:val="right"/>
              <w:rPr>
                <w:rFonts w:hint="eastAsia" w:ascii="Times New Roman" w:eastAsia="Times New Roman" w:cs="Arial"/>
                <w:color w:val="auto"/>
                <w:sz w:val="24"/>
                <w:szCs w:val="21"/>
                <w:highlight w:val="none"/>
              </w:rPr>
            </w:pPr>
          </w:p>
        </w:tc>
      </w:tr>
      <w:tr w14:paraId="6B01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80" w:type="pct"/>
            <w:gridSpan w:val="3"/>
            <w:tcBorders>
              <w:top w:val="single" w:color="000000" w:sz="4" w:space="0"/>
              <w:left w:val="single" w:color="000000" w:sz="8" w:space="0"/>
              <w:bottom w:val="single" w:color="000000" w:sz="4" w:space="0"/>
              <w:right w:val="single" w:color="000000" w:sz="4" w:space="0"/>
              <w:tl2br w:val="nil"/>
              <w:tr2bl w:val="nil"/>
            </w:tcBorders>
            <w:noWrap/>
            <w:vAlign w:val="center"/>
          </w:tcPr>
          <w:p w14:paraId="632B57F9">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）元/工日</w:t>
            </w:r>
          </w:p>
        </w:tc>
        <w:tc>
          <w:tcPr>
            <w:tcW w:w="2294" w:type="pct"/>
            <w:gridSpan w:val="8"/>
            <w:tcBorders>
              <w:top w:val="single" w:color="000000" w:sz="4" w:space="0"/>
              <w:left w:val="nil"/>
              <w:bottom w:val="single" w:color="000000" w:sz="4" w:space="0"/>
              <w:right w:val="single" w:color="000000" w:sz="4" w:space="0"/>
              <w:tl2br w:val="nil"/>
              <w:tr2bl w:val="nil"/>
            </w:tcBorders>
            <w:noWrap/>
            <w:vAlign w:val="center"/>
          </w:tcPr>
          <w:p w14:paraId="62DF44F5">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未计价材料费</w:t>
            </w:r>
          </w:p>
        </w:tc>
        <w:tc>
          <w:tcPr>
            <w:tcW w:w="1726" w:type="pct"/>
            <w:gridSpan w:val="5"/>
            <w:tcBorders>
              <w:top w:val="single" w:color="000000" w:sz="4" w:space="0"/>
              <w:left w:val="nil"/>
              <w:bottom w:val="single" w:color="000000" w:sz="4" w:space="0"/>
              <w:right w:val="single" w:color="000000" w:sz="8" w:space="0"/>
              <w:tl2br w:val="nil"/>
              <w:tr2bl w:val="nil"/>
            </w:tcBorders>
            <w:noWrap w:val="0"/>
            <w:vAlign w:val="center"/>
          </w:tcPr>
          <w:p w14:paraId="68B2D682">
            <w:pPr>
              <w:widowControl/>
              <w:spacing w:beforeLines="0" w:afterLines="0"/>
              <w:jc w:val="center"/>
              <w:rPr>
                <w:rFonts w:hint="eastAsia" w:ascii="Times New Roman" w:eastAsia="Times New Roman" w:cs="Arial"/>
                <w:color w:val="auto"/>
                <w:sz w:val="24"/>
                <w:szCs w:val="21"/>
                <w:highlight w:val="none"/>
              </w:rPr>
            </w:pPr>
          </w:p>
        </w:tc>
      </w:tr>
      <w:tr w14:paraId="224ED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274" w:type="pct"/>
            <w:gridSpan w:val="11"/>
            <w:tcBorders>
              <w:top w:val="single" w:color="000000" w:sz="4" w:space="0"/>
              <w:left w:val="single" w:color="000000" w:sz="8" w:space="0"/>
              <w:bottom w:val="single" w:color="000000" w:sz="4" w:space="0"/>
              <w:right w:val="single" w:color="000000" w:sz="4" w:space="0"/>
              <w:tl2br w:val="nil"/>
              <w:tr2bl w:val="nil"/>
            </w:tcBorders>
            <w:noWrap w:val="0"/>
            <w:vAlign w:val="center"/>
          </w:tcPr>
          <w:p w14:paraId="4FD8D99F">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清单项目综合单价</w:t>
            </w:r>
          </w:p>
        </w:tc>
        <w:tc>
          <w:tcPr>
            <w:tcW w:w="1726" w:type="pct"/>
            <w:gridSpan w:val="5"/>
            <w:tcBorders>
              <w:top w:val="single" w:color="000000" w:sz="4" w:space="0"/>
              <w:left w:val="nil"/>
              <w:bottom w:val="single" w:color="000000" w:sz="4" w:space="0"/>
              <w:right w:val="single" w:color="000000" w:sz="8" w:space="0"/>
              <w:tl2br w:val="nil"/>
              <w:tr2bl w:val="nil"/>
            </w:tcBorders>
            <w:noWrap w:val="0"/>
            <w:vAlign w:val="center"/>
          </w:tcPr>
          <w:p w14:paraId="73DB3C20">
            <w:pPr>
              <w:widowControl/>
              <w:spacing w:beforeLines="0" w:afterLines="0"/>
              <w:jc w:val="center"/>
              <w:rPr>
                <w:rFonts w:hint="eastAsia" w:ascii="Times New Roman" w:eastAsia="Times New Roman" w:cs="Arial"/>
                <w:color w:val="auto"/>
                <w:sz w:val="24"/>
                <w:szCs w:val="21"/>
                <w:highlight w:val="none"/>
              </w:rPr>
            </w:pPr>
          </w:p>
        </w:tc>
      </w:tr>
      <w:tr w14:paraId="1C691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1" w:type="pct"/>
            <w:vMerge w:val="restart"/>
            <w:tcBorders>
              <w:top w:val="nil"/>
              <w:left w:val="single" w:color="000000" w:sz="8" w:space="0"/>
              <w:bottom w:val="single" w:color="000000" w:sz="8" w:space="0"/>
              <w:right w:val="single" w:color="000000" w:sz="4" w:space="0"/>
              <w:tl2br w:val="nil"/>
              <w:tr2bl w:val="nil"/>
            </w:tcBorders>
            <w:noWrap w:val="0"/>
            <w:vAlign w:val="center"/>
          </w:tcPr>
          <w:p w14:paraId="16038581">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材料费明细</w:t>
            </w:r>
          </w:p>
        </w:tc>
        <w:tc>
          <w:tcPr>
            <w:tcW w:w="2045" w:type="pct"/>
            <w:gridSpan w:val="6"/>
            <w:tcBorders>
              <w:top w:val="single" w:color="000000" w:sz="4" w:space="0"/>
              <w:left w:val="nil"/>
              <w:bottom w:val="single" w:color="000000" w:sz="4" w:space="0"/>
              <w:right w:val="single" w:color="000000" w:sz="4" w:space="0"/>
              <w:tl2br w:val="nil"/>
              <w:tr2bl w:val="nil"/>
            </w:tcBorders>
            <w:noWrap/>
            <w:vAlign w:val="center"/>
          </w:tcPr>
          <w:p w14:paraId="23739CE7">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主要材料名称、规格、型号</w:t>
            </w:r>
          </w:p>
        </w:tc>
        <w:tc>
          <w:tcPr>
            <w:tcW w:w="460" w:type="pct"/>
            <w:gridSpan w:val="2"/>
            <w:tcBorders>
              <w:top w:val="single" w:color="000000" w:sz="4" w:space="0"/>
              <w:left w:val="nil"/>
              <w:bottom w:val="single" w:color="000000" w:sz="4" w:space="0"/>
              <w:right w:val="single" w:color="000000" w:sz="4" w:space="0"/>
              <w:tl2br w:val="nil"/>
              <w:tr2bl w:val="nil"/>
            </w:tcBorders>
            <w:noWrap/>
            <w:vAlign w:val="center"/>
          </w:tcPr>
          <w:p w14:paraId="187265C7">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单位</w:t>
            </w:r>
          </w:p>
        </w:tc>
        <w:tc>
          <w:tcPr>
            <w:tcW w:w="548" w:type="pct"/>
            <w:gridSpan w:val="2"/>
            <w:tcBorders>
              <w:top w:val="single" w:color="000000" w:sz="4" w:space="0"/>
              <w:left w:val="nil"/>
              <w:bottom w:val="single" w:color="000000" w:sz="4" w:space="0"/>
              <w:right w:val="single" w:color="000000" w:sz="4" w:space="0"/>
              <w:tl2br w:val="nil"/>
              <w:tr2bl w:val="nil"/>
            </w:tcBorders>
            <w:noWrap/>
            <w:vAlign w:val="center"/>
          </w:tcPr>
          <w:p w14:paraId="0C744D84">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数量</w:t>
            </w:r>
          </w:p>
        </w:tc>
        <w:tc>
          <w:tcPr>
            <w:tcW w:w="425" w:type="pct"/>
            <w:tcBorders>
              <w:top w:val="single" w:color="000000" w:sz="4" w:space="0"/>
              <w:left w:val="nil"/>
              <w:bottom w:val="single" w:color="000000" w:sz="4" w:space="0"/>
              <w:right w:val="single" w:color="000000" w:sz="4" w:space="0"/>
              <w:tl2br w:val="nil"/>
              <w:tr2bl w:val="nil"/>
            </w:tcBorders>
            <w:noWrap w:val="0"/>
            <w:vAlign w:val="center"/>
          </w:tcPr>
          <w:p w14:paraId="5A117969">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单价（元）</w:t>
            </w: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6353AB89">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合价（元）</w:t>
            </w:r>
          </w:p>
        </w:tc>
        <w:tc>
          <w:tcPr>
            <w:tcW w:w="425" w:type="pct"/>
            <w:tcBorders>
              <w:top w:val="nil"/>
              <w:left w:val="nil"/>
              <w:bottom w:val="single" w:color="000000" w:sz="4" w:space="0"/>
              <w:right w:val="single" w:color="000000" w:sz="4" w:space="0"/>
              <w:tl2br w:val="nil"/>
              <w:tr2bl w:val="nil"/>
            </w:tcBorders>
            <w:noWrap w:val="0"/>
            <w:vAlign w:val="center"/>
          </w:tcPr>
          <w:p w14:paraId="572CCE6E">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暂估单价（元）</w:t>
            </w:r>
          </w:p>
        </w:tc>
        <w:tc>
          <w:tcPr>
            <w:tcW w:w="425" w:type="pct"/>
            <w:tcBorders>
              <w:top w:val="nil"/>
              <w:left w:val="nil"/>
              <w:bottom w:val="single" w:color="000000" w:sz="4" w:space="0"/>
              <w:right w:val="single" w:color="000000" w:sz="8" w:space="0"/>
              <w:tl2br w:val="nil"/>
              <w:tr2bl w:val="nil"/>
            </w:tcBorders>
            <w:noWrap w:val="0"/>
            <w:vAlign w:val="center"/>
          </w:tcPr>
          <w:p w14:paraId="47A88B91">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暂估合价（元）</w:t>
            </w:r>
          </w:p>
        </w:tc>
      </w:tr>
      <w:tr w14:paraId="2CC58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1" w:type="pct"/>
            <w:vMerge w:val="continue"/>
            <w:tcBorders>
              <w:top w:val="nil"/>
              <w:left w:val="single" w:color="000000" w:sz="8" w:space="0"/>
              <w:bottom w:val="single" w:color="000000" w:sz="8" w:space="0"/>
              <w:right w:val="single" w:color="000000" w:sz="4" w:space="0"/>
              <w:tl2br w:val="nil"/>
              <w:tr2bl w:val="nil"/>
            </w:tcBorders>
            <w:noWrap w:val="0"/>
            <w:vAlign w:val="center"/>
          </w:tcPr>
          <w:p w14:paraId="241E3A55">
            <w:pPr>
              <w:widowControl/>
              <w:spacing w:beforeLines="0" w:afterLines="0"/>
              <w:jc w:val="left"/>
              <w:rPr>
                <w:rFonts w:hint="eastAsia" w:ascii="Times New Roman" w:eastAsia="Times New Roman" w:cs="Arial"/>
                <w:color w:val="auto"/>
                <w:sz w:val="24"/>
                <w:szCs w:val="21"/>
                <w:highlight w:val="none"/>
              </w:rPr>
            </w:pPr>
          </w:p>
        </w:tc>
        <w:tc>
          <w:tcPr>
            <w:tcW w:w="2045" w:type="pct"/>
            <w:gridSpan w:val="6"/>
            <w:tcBorders>
              <w:top w:val="single" w:color="000000" w:sz="4" w:space="0"/>
              <w:left w:val="nil"/>
              <w:bottom w:val="single" w:color="000000" w:sz="4" w:space="0"/>
              <w:right w:val="single" w:color="000000" w:sz="4" w:space="0"/>
              <w:tl2br w:val="nil"/>
              <w:tr2bl w:val="nil"/>
            </w:tcBorders>
            <w:noWrap w:val="0"/>
            <w:vAlign w:val="center"/>
          </w:tcPr>
          <w:p w14:paraId="39805AAA">
            <w:pPr>
              <w:widowControl/>
              <w:spacing w:beforeLines="0" w:afterLines="0"/>
              <w:jc w:val="left"/>
              <w:rPr>
                <w:rFonts w:hint="eastAsia" w:ascii="Times New Roman" w:eastAsia="Times New Roman" w:cs="Arial"/>
                <w:color w:val="auto"/>
                <w:sz w:val="24"/>
                <w:szCs w:val="21"/>
                <w:highlight w:val="none"/>
              </w:rPr>
            </w:pPr>
          </w:p>
        </w:tc>
        <w:tc>
          <w:tcPr>
            <w:tcW w:w="460" w:type="pct"/>
            <w:gridSpan w:val="2"/>
            <w:tcBorders>
              <w:top w:val="single" w:color="000000" w:sz="4" w:space="0"/>
              <w:left w:val="nil"/>
              <w:bottom w:val="single" w:color="000000" w:sz="4" w:space="0"/>
              <w:right w:val="single" w:color="000000" w:sz="4" w:space="0"/>
              <w:tl2br w:val="nil"/>
              <w:tr2bl w:val="nil"/>
            </w:tcBorders>
            <w:noWrap w:val="0"/>
            <w:vAlign w:val="center"/>
          </w:tcPr>
          <w:p w14:paraId="4E01800F">
            <w:pPr>
              <w:widowControl/>
              <w:spacing w:beforeLines="0" w:afterLines="0"/>
              <w:jc w:val="center"/>
              <w:rPr>
                <w:rFonts w:hint="eastAsia" w:ascii="Times New Roman" w:eastAsia="Times New Roman" w:cs="Arial"/>
                <w:color w:val="auto"/>
                <w:sz w:val="24"/>
                <w:szCs w:val="21"/>
                <w:highlight w:val="none"/>
              </w:rPr>
            </w:pPr>
          </w:p>
        </w:tc>
        <w:tc>
          <w:tcPr>
            <w:tcW w:w="548" w:type="pct"/>
            <w:gridSpan w:val="2"/>
            <w:tcBorders>
              <w:top w:val="single" w:color="000000" w:sz="4" w:space="0"/>
              <w:left w:val="nil"/>
              <w:bottom w:val="single" w:color="000000" w:sz="4" w:space="0"/>
              <w:right w:val="single" w:color="000000" w:sz="4" w:space="0"/>
              <w:tl2br w:val="nil"/>
              <w:tr2bl w:val="nil"/>
            </w:tcBorders>
            <w:noWrap w:val="0"/>
            <w:vAlign w:val="center"/>
          </w:tcPr>
          <w:p w14:paraId="27862296">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single" w:color="000000" w:sz="4" w:space="0"/>
              <w:left w:val="nil"/>
              <w:bottom w:val="single" w:color="000000" w:sz="4" w:space="0"/>
              <w:right w:val="single" w:color="000000" w:sz="4" w:space="0"/>
              <w:tl2br w:val="nil"/>
              <w:tr2bl w:val="nil"/>
            </w:tcBorders>
            <w:noWrap w:val="0"/>
            <w:vAlign w:val="center"/>
          </w:tcPr>
          <w:p w14:paraId="36831F09">
            <w:pPr>
              <w:widowControl/>
              <w:spacing w:beforeLines="0" w:afterLines="0"/>
              <w:jc w:val="right"/>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3C723A07">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0"/>
            <w:vAlign w:val="center"/>
          </w:tcPr>
          <w:p w14:paraId="73E16AE6">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8" w:space="0"/>
              <w:tl2br w:val="nil"/>
              <w:tr2bl w:val="nil"/>
            </w:tcBorders>
            <w:noWrap w:val="0"/>
            <w:vAlign w:val="center"/>
          </w:tcPr>
          <w:p w14:paraId="7CE78B24">
            <w:pPr>
              <w:widowControl/>
              <w:spacing w:beforeLines="0" w:afterLines="0"/>
              <w:jc w:val="right"/>
              <w:rPr>
                <w:rFonts w:hint="eastAsia" w:ascii="Times New Roman" w:eastAsia="Times New Roman" w:cs="Arial"/>
                <w:color w:val="auto"/>
                <w:sz w:val="24"/>
                <w:szCs w:val="21"/>
                <w:highlight w:val="none"/>
              </w:rPr>
            </w:pPr>
          </w:p>
        </w:tc>
      </w:tr>
      <w:tr w14:paraId="5D038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1" w:type="pct"/>
            <w:vMerge w:val="continue"/>
            <w:tcBorders>
              <w:top w:val="nil"/>
              <w:left w:val="single" w:color="000000" w:sz="8" w:space="0"/>
              <w:bottom w:val="single" w:color="000000" w:sz="8" w:space="0"/>
              <w:right w:val="single" w:color="000000" w:sz="4" w:space="0"/>
              <w:tl2br w:val="nil"/>
              <w:tr2bl w:val="nil"/>
            </w:tcBorders>
            <w:noWrap w:val="0"/>
            <w:vAlign w:val="center"/>
          </w:tcPr>
          <w:p w14:paraId="30C29BAB">
            <w:pPr>
              <w:widowControl/>
              <w:spacing w:beforeLines="0" w:afterLines="0"/>
              <w:jc w:val="left"/>
              <w:rPr>
                <w:rFonts w:hint="eastAsia" w:ascii="Times New Roman" w:eastAsia="Times New Roman" w:cs="Arial"/>
                <w:color w:val="auto"/>
                <w:sz w:val="24"/>
                <w:szCs w:val="21"/>
                <w:highlight w:val="none"/>
              </w:rPr>
            </w:pPr>
          </w:p>
        </w:tc>
        <w:tc>
          <w:tcPr>
            <w:tcW w:w="2045" w:type="pct"/>
            <w:gridSpan w:val="6"/>
            <w:tcBorders>
              <w:top w:val="single" w:color="000000" w:sz="4" w:space="0"/>
              <w:left w:val="nil"/>
              <w:bottom w:val="single" w:color="000000" w:sz="4" w:space="0"/>
              <w:right w:val="single" w:color="000000" w:sz="4" w:space="0"/>
              <w:tl2br w:val="nil"/>
              <w:tr2bl w:val="nil"/>
            </w:tcBorders>
            <w:noWrap w:val="0"/>
            <w:vAlign w:val="center"/>
          </w:tcPr>
          <w:p w14:paraId="30B5B8AC">
            <w:pPr>
              <w:widowControl/>
              <w:spacing w:beforeLines="0" w:afterLines="0"/>
              <w:jc w:val="left"/>
              <w:rPr>
                <w:rFonts w:hint="eastAsia" w:ascii="Times New Roman" w:eastAsia="Times New Roman" w:cs="Arial"/>
                <w:color w:val="auto"/>
                <w:sz w:val="24"/>
                <w:szCs w:val="21"/>
                <w:highlight w:val="none"/>
              </w:rPr>
            </w:pPr>
          </w:p>
        </w:tc>
        <w:tc>
          <w:tcPr>
            <w:tcW w:w="460" w:type="pct"/>
            <w:gridSpan w:val="2"/>
            <w:tcBorders>
              <w:top w:val="single" w:color="000000" w:sz="4" w:space="0"/>
              <w:left w:val="nil"/>
              <w:bottom w:val="single" w:color="000000" w:sz="4" w:space="0"/>
              <w:right w:val="single" w:color="000000" w:sz="4" w:space="0"/>
              <w:tl2br w:val="nil"/>
              <w:tr2bl w:val="nil"/>
            </w:tcBorders>
            <w:noWrap w:val="0"/>
            <w:vAlign w:val="center"/>
          </w:tcPr>
          <w:p w14:paraId="062BD091">
            <w:pPr>
              <w:widowControl/>
              <w:spacing w:beforeLines="0" w:afterLines="0"/>
              <w:jc w:val="center"/>
              <w:rPr>
                <w:rFonts w:hint="eastAsia" w:ascii="Times New Roman" w:eastAsia="Times New Roman" w:cs="Arial"/>
                <w:color w:val="auto"/>
                <w:sz w:val="24"/>
                <w:szCs w:val="21"/>
                <w:highlight w:val="none"/>
              </w:rPr>
            </w:pPr>
          </w:p>
        </w:tc>
        <w:tc>
          <w:tcPr>
            <w:tcW w:w="548" w:type="pct"/>
            <w:gridSpan w:val="2"/>
            <w:tcBorders>
              <w:top w:val="single" w:color="000000" w:sz="4" w:space="0"/>
              <w:left w:val="nil"/>
              <w:bottom w:val="single" w:color="000000" w:sz="4" w:space="0"/>
              <w:right w:val="single" w:color="000000" w:sz="4" w:space="0"/>
              <w:tl2br w:val="nil"/>
              <w:tr2bl w:val="nil"/>
            </w:tcBorders>
            <w:noWrap w:val="0"/>
            <w:vAlign w:val="center"/>
          </w:tcPr>
          <w:p w14:paraId="6117BCE6">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single" w:color="000000" w:sz="4" w:space="0"/>
              <w:left w:val="nil"/>
              <w:bottom w:val="single" w:color="000000" w:sz="4" w:space="0"/>
              <w:right w:val="single" w:color="000000" w:sz="4" w:space="0"/>
              <w:tl2br w:val="nil"/>
              <w:tr2bl w:val="nil"/>
            </w:tcBorders>
            <w:noWrap w:val="0"/>
            <w:vAlign w:val="center"/>
          </w:tcPr>
          <w:p w14:paraId="43FA0151">
            <w:pPr>
              <w:widowControl/>
              <w:spacing w:beforeLines="0" w:afterLines="0"/>
              <w:jc w:val="right"/>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210AA181">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0"/>
            <w:vAlign w:val="center"/>
          </w:tcPr>
          <w:p w14:paraId="1FA2D15C">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8" w:space="0"/>
              <w:tl2br w:val="nil"/>
              <w:tr2bl w:val="nil"/>
            </w:tcBorders>
            <w:noWrap w:val="0"/>
            <w:vAlign w:val="center"/>
          </w:tcPr>
          <w:p w14:paraId="70CBC0C5">
            <w:pPr>
              <w:widowControl/>
              <w:spacing w:beforeLines="0" w:afterLines="0"/>
              <w:jc w:val="right"/>
              <w:rPr>
                <w:rFonts w:hint="eastAsia" w:ascii="Times New Roman" w:eastAsia="Times New Roman" w:cs="Arial"/>
                <w:color w:val="auto"/>
                <w:sz w:val="24"/>
                <w:szCs w:val="21"/>
                <w:highlight w:val="none"/>
              </w:rPr>
            </w:pPr>
          </w:p>
        </w:tc>
      </w:tr>
      <w:tr w14:paraId="297D6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1" w:type="pct"/>
            <w:vMerge w:val="continue"/>
            <w:tcBorders>
              <w:top w:val="nil"/>
              <w:left w:val="single" w:color="000000" w:sz="8" w:space="0"/>
              <w:bottom w:val="single" w:color="000000" w:sz="8" w:space="0"/>
              <w:right w:val="single" w:color="000000" w:sz="4" w:space="0"/>
              <w:tl2br w:val="nil"/>
              <w:tr2bl w:val="nil"/>
            </w:tcBorders>
            <w:noWrap w:val="0"/>
            <w:vAlign w:val="center"/>
          </w:tcPr>
          <w:p w14:paraId="426F870C">
            <w:pPr>
              <w:widowControl/>
              <w:spacing w:beforeLines="0" w:afterLines="0"/>
              <w:jc w:val="left"/>
              <w:rPr>
                <w:rFonts w:hint="eastAsia" w:ascii="Times New Roman" w:eastAsia="Times New Roman" w:cs="Arial"/>
                <w:color w:val="auto"/>
                <w:sz w:val="24"/>
                <w:szCs w:val="21"/>
                <w:highlight w:val="none"/>
              </w:rPr>
            </w:pPr>
          </w:p>
        </w:tc>
        <w:tc>
          <w:tcPr>
            <w:tcW w:w="3053" w:type="pct"/>
            <w:gridSpan w:val="10"/>
            <w:tcBorders>
              <w:top w:val="single" w:color="000000" w:sz="4" w:space="0"/>
              <w:left w:val="nil"/>
              <w:bottom w:val="single" w:color="000000" w:sz="4" w:space="0"/>
              <w:right w:val="single" w:color="000000" w:sz="4" w:space="0"/>
              <w:tl2br w:val="nil"/>
              <w:tr2bl w:val="nil"/>
            </w:tcBorders>
            <w:noWrap w:val="0"/>
            <w:vAlign w:val="center"/>
          </w:tcPr>
          <w:p w14:paraId="09B6D27D">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其他材料费</w:t>
            </w:r>
          </w:p>
        </w:tc>
        <w:tc>
          <w:tcPr>
            <w:tcW w:w="425" w:type="pct"/>
            <w:tcBorders>
              <w:top w:val="single" w:color="000000" w:sz="4" w:space="0"/>
              <w:left w:val="nil"/>
              <w:bottom w:val="single" w:color="000000" w:sz="4" w:space="0"/>
              <w:right w:val="single" w:color="000000" w:sz="4" w:space="0"/>
              <w:tl2br w:val="nil"/>
              <w:tr2bl w:val="nil"/>
            </w:tcBorders>
            <w:noWrap/>
            <w:vAlign w:val="center"/>
          </w:tcPr>
          <w:p w14:paraId="68E7262D">
            <w:pPr>
              <w:widowControl/>
              <w:spacing w:beforeLines="0" w:afterLines="0"/>
              <w:jc w:val="center"/>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4" w:space="0"/>
              <w:right w:val="single" w:color="000000" w:sz="4" w:space="0"/>
              <w:tl2br w:val="nil"/>
              <w:tr2bl w:val="nil"/>
            </w:tcBorders>
            <w:noWrap w:val="0"/>
            <w:vAlign w:val="center"/>
          </w:tcPr>
          <w:p w14:paraId="633D61EB">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4" w:space="0"/>
              <w:tl2br w:val="nil"/>
              <w:tr2bl w:val="nil"/>
            </w:tcBorders>
            <w:noWrap/>
            <w:vAlign w:val="center"/>
          </w:tcPr>
          <w:p w14:paraId="319F6A3E">
            <w:pPr>
              <w:widowControl/>
              <w:spacing w:beforeLines="0" w:afterLines="0"/>
              <w:jc w:val="center"/>
              <w:rPr>
                <w:rFonts w:hint="eastAsia" w:ascii="Times New Roman" w:eastAsia="Times New Roman" w:cs="Arial"/>
                <w:color w:val="auto"/>
                <w:sz w:val="24"/>
                <w:szCs w:val="21"/>
                <w:highlight w:val="none"/>
              </w:rPr>
            </w:pPr>
          </w:p>
        </w:tc>
        <w:tc>
          <w:tcPr>
            <w:tcW w:w="425" w:type="pct"/>
            <w:tcBorders>
              <w:top w:val="nil"/>
              <w:left w:val="nil"/>
              <w:bottom w:val="single" w:color="000000" w:sz="4" w:space="0"/>
              <w:right w:val="single" w:color="000000" w:sz="8" w:space="0"/>
              <w:tl2br w:val="nil"/>
              <w:tr2bl w:val="nil"/>
            </w:tcBorders>
            <w:noWrap w:val="0"/>
            <w:vAlign w:val="center"/>
          </w:tcPr>
          <w:p w14:paraId="7B99CA45">
            <w:pPr>
              <w:widowControl/>
              <w:spacing w:beforeLines="0" w:afterLines="0"/>
              <w:jc w:val="right"/>
              <w:rPr>
                <w:rFonts w:hint="eastAsia" w:ascii="Times New Roman" w:eastAsia="Times New Roman" w:cs="Arial"/>
                <w:color w:val="auto"/>
                <w:sz w:val="24"/>
                <w:szCs w:val="21"/>
                <w:highlight w:val="none"/>
              </w:rPr>
            </w:pPr>
          </w:p>
        </w:tc>
      </w:tr>
      <w:tr w14:paraId="4C91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21" w:type="pct"/>
            <w:vMerge w:val="continue"/>
            <w:tcBorders>
              <w:top w:val="nil"/>
              <w:left w:val="single" w:color="000000" w:sz="8" w:space="0"/>
              <w:bottom w:val="single" w:color="000000" w:sz="8" w:space="0"/>
              <w:right w:val="single" w:color="000000" w:sz="4" w:space="0"/>
              <w:tl2br w:val="nil"/>
              <w:tr2bl w:val="nil"/>
            </w:tcBorders>
            <w:noWrap w:val="0"/>
            <w:vAlign w:val="center"/>
          </w:tcPr>
          <w:p w14:paraId="5F628674">
            <w:pPr>
              <w:widowControl/>
              <w:spacing w:beforeLines="0" w:afterLines="0"/>
              <w:jc w:val="left"/>
              <w:rPr>
                <w:rFonts w:hint="eastAsia" w:ascii="Times New Roman" w:eastAsia="Times New Roman" w:cs="Arial"/>
                <w:color w:val="auto"/>
                <w:sz w:val="24"/>
                <w:szCs w:val="21"/>
                <w:highlight w:val="none"/>
              </w:rPr>
            </w:pPr>
          </w:p>
        </w:tc>
        <w:tc>
          <w:tcPr>
            <w:tcW w:w="3053" w:type="pct"/>
            <w:gridSpan w:val="10"/>
            <w:tcBorders>
              <w:top w:val="single" w:color="000000" w:sz="4" w:space="0"/>
              <w:left w:val="nil"/>
              <w:bottom w:val="single" w:color="000000" w:sz="8" w:space="0"/>
              <w:right w:val="single" w:color="000000" w:sz="4" w:space="0"/>
              <w:tl2br w:val="nil"/>
              <w:tr2bl w:val="nil"/>
            </w:tcBorders>
            <w:noWrap w:val="0"/>
            <w:vAlign w:val="center"/>
          </w:tcPr>
          <w:p w14:paraId="62400AC4">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材料费小计</w:t>
            </w:r>
          </w:p>
        </w:tc>
        <w:tc>
          <w:tcPr>
            <w:tcW w:w="425" w:type="pct"/>
            <w:tcBorders>
              <w:top w:val="single" w:color="000000" w:sz="4" w:space="0"/>
              <w:left w:val="nil"/>
              <w:bottom w:val="single" w:color="000000" w:sz="8" w:space="0"/>
              <w:right w:val="single" w:color="000000" w:sz="4" w:space="0"/>
              <w:tl2br w:val="nil"/>
              <w:tr2bl w:val="nil"/>
            </w:tcBorders>
            <w:noWrap/>
            <w:vAlign w:val="center"/>
          </w:tcPr>
          <w:p w14:paraId="6C23AE77">
            <w:pPr>
              <w:widowControl/>
              <w:spacing w:beforeLines="0" w:afterLines="0"/>
              <w:jc w:val="center"/>
              <w:rPr>
                <w:rFonts w:hint="eastAsia" w:ascii="Times New Roman" w:eastAsia="Times New Roman" w:cs="Arial"/>
                <w:color w:val="auto"/>
                <w:sz w:val="24"/>
                <w:szCs w:val="21"/>
                <w:highlight w:val="none"/>
              </w:rPr>
            </w:pPr>
          </w:p>
        </w:tc>
        <w:tc>
          <w:tcPr>
            <w:tcW w:w="451" w:type="pct"/>
            <w:gridSpan w:val="2"/>
            <w:tcBorders>
              <w:top w:val="single" w:color="000000" w:sz="4" w:space="0"/>
              <w:left w:val="nil"/>
              <w:bottom w:val="single" w:color="000000" w:sz="8" w:space="0"/>
              <w:right w:val="single" w:color="000000" w:sz="4" w:space="0"/>
              <w:tl2br w:val="nil"/>
              <w:tr2bl w:val="nil"/>
            </w:tcBorders>
            <w:noWrap w:val="0"/>
            <w:vAlign w:val="center"/>
          </w:tcPr>
          <w:p w14:paraId="3733160D">
            <w:pPr>
              <w:widowControl/>
              <w:spacing w:beforeLines="0" w:afterLines="0"/>
              <w:jc w:val="right"/>
              <w:rPr>
                <w:rFonts w:hint="eastAsia" w:ascii="Times New Roman" w:eastAsia="Times New Roman" w:cs="Arial"/>
                <w:color w:val="auto"/>
                <w:sz w:val="24"/>
                <w:szCs w:val="21"/>
                <w:highlight w:val="none"/>
              </w:rPr>
            </w:pPr>
          </w:p>
        </w:tc>
        <w:tc>
          <w:tcPr>
            <w:tcW w:w="425" w:type="pct"/>
            <w:tcBorders>
              <w:top w:val="nil"/>
              <w:left w:val="nil"/>
              <w:bottom w:val="single" w:color="000000" w:sz="8" w:space="0"/>
              <w:right w:val="single" w:color="000000" w:sz="4" w:space="0"/>
              <w:tl2br w:val="nil"/>
              <w:tr2bl w:val="nil"/>
            </w:tcBorders>
            <w:noWrap/>
            <w:vAlign w:val="center"/>
          </w:tcPr>
          <w:p w14:paraId="669DA53C">
            <w:pPr>
              <w:widowControl/>
              <w:spacing w:beforeLines="0" w:afterLines="0"/>
              <w:jc w:val="center"/>
              <w:rPr>
                <w:rFonts w:hint="eastAsia" w:ascii="Times New Roman" w:eastAsia="Times New Roman" w:cs="Arial"/>
                <w:color w:val="auto"/>
                <w:sz w:val="24"/>
                <w:szCs w:val="21"/>
                <w:highlight w:val="none"/>
              </w:rPr>
            </w:pPr>
          </w:p>
        </w:tc>
        <w:tc>
          <w:tcPr>
            <w:tcW w:w="425" w:type="pct"/>
            <w:tcBorders>
              <w:top w:val="nil"/>
              <w:left w:val="nil"/>
              <w:bottom w:val="single" w:color="000000" w:sz="8" w:space="0"/>
              <w:right w:val="single" w:color="000000" w:sz="8" w:space="0"/>
              <w:tl2br w:val="nil"/>
              <w:tr2bl w:val="nil"/>
            </w:tcBorders>
            <w:noWrap w:val="0"/>
            <w:vAlign w:val="center"/>
          </w:tcPr>
          <w:p w14:paraId="5C1707E6">
            <w:pPr>
              <w:widowControl/>
              <w:spacing w:beforeLines="0" w:afterLines="0"/>
              <w:jc w:val="right"/>
              <w:rPr>
                <w:rFonts w:hint="eastAsia" w:ascii="Times New Roman" w:eastAsia="Times New Roman" w:cs="Arial"/>
                <w:color w:val="auto"/>
                <w:sz w:val="24"/>
                <w:szCs w:val="21"/>
                <w:highlight w:val="none"/>
              </w:rPr>
            </w:pPr>
          </w:p>
        </w:tc>
      </w:tr>
    </w:tbl>
    <w:p w14:paraId="5069EA7E">
      <w:pPr>
        <w:spacing w:before="240" w:beforeLines="100" w:after="240" w:afterLines="100"/>
        <w:jc w:val="center"/>
        <w:outlineLvl w:val="3"/>
        <w:rPr>
          <w:rFonts w:hint="eastAsia" w:ascii="Times New Roman" w:eastAsia="黑体"/>
          <w:color w:val="auto"/>
          <w:sz w:val="24"/>
          <w:szCs w:val="24"/>
          <w:highlight w:val="none"/>
        </w:rPr>
      </w:pPr>
      <w:r>
        <w:rPr>
          <w:rFonts w:hint="eastAsia" w:ascii="Times New Roman" w:eastAsia="Times New Roman"/>
          <w:color w:val="auto"/>
          <w:sz w:val="24"/>
          <w:szCs w:val="21"/>
          <w:highlight w:val="none"/>
        </w:rPr>
        <w:br w:type="page"/>
      </w:r>
      <w:bookmarkStart w:id="1530" w:name="_Toc460227129"/>
      <w:bookmarkStart w:id="1531" w:name="_Toc460660244"/>
      <w:bookmarkStart w:id="1532" w:name="_Toc12475"/>
      <w:bookmarkStart w:id="1533" w:name="_Toc13533"/>
      <w:bookmarkStart w:id="1534" w:name="_Toc20297"/>
      <w:bookmarkStart w:id="1535" w:name="_Toc31014"/>
      <w:bookmarkStart w:id="1536" w:name="_Toc14035"/>
      <w:bookmarkStart w:id="1537" w:name="_Toc128950308"/>
      <w:bookmarkStart w:id="1538" w:name="_Toc411"/>
      <w:bookmarkStart w:id="1539" w:name="_Toc20641"/>
      <w:bookmarkStart w:id="1540" w:name="_Toc25754"/>
      <w:bookmarkStart w:id="1541" w:name="_Toc19986"/>
      <w:r>
        <w:rPr>
          <w:rFonts w:hint="eastAsia" w:ascii="Times New Roman" w:eastAsia="黑体"/>
          <w:color w:val="auto"/>
          <w:sz w:val="24"/>
          <w:szCs w:val="24"/>
          <w:highlight w:val="none"/>
        </w:rPr>
        <w:t>（七）</w:t>
      </w:r>
      <w:bookmarkEnd w:id="1530"/>
      <w:bookmarkEnd w:id="1531"/>
      <w:r>
        <w:rPr>
          <w:rFonts w:hint="eastAsia" w:ascii="Times New Roman" w:eastAsia="黑体"/>
          <w:color w:val="auto"/>
          <w:sz w:val="24"/>
          <w:szCs w:val="24"/>
          <w:highlight w:val="none"/>
        </w:rPr>
        <w:t>措施项目清单与计价表</w:t>
      </w:r>
      <w:bookmarkEnd w:id="1532"/>
      <w:bookmarkEnd w:id="1533"/>
      <w:bookmarkEnd w:id="1534"/>
      <w:bookmarkEnd w:id="1535"/>
      <w:bookmarkEnd w:id="1536"/>
      <w:bookmarkEnd w:id="1537"/>
      <w:bookmarkEnd w:id="1538"/>
      <w:bookmarkEnd w:id="1539"/>
      <w:bookmarkEnd w:id="1540"/>
      <w:bookmarkEnd w:id="1541"/>
    </w:p>
    <w:p w14:paraId="0F2B85CE">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
        <w:gridCol w:w="1640"/>
        <w:gridCol w:w="2143"/>
        <w:gridCol w:w="1434"/>
        <w:gridCol w:w="1158"/>
        <w:gridCol w:w="1432"/>
      </w:tblGrid>
      <w:tr w14:paraId="3A079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16"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2B8D9AE1">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963"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42E01FB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项目编码</w:t>
            </w:r>
          </w:p>
        </w:tc>
        <w:tc>
          <w:tcPr>
            <w:tcW w:w="1258"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318287CA">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项目名称</w:t>
            </w:r>
          </w:p>
        </w:tc>
        <w:tc>
          <w:tcPr>
            <w:tcW w:w="842"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016273E1">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计算基础</w:t>
            </w:r>
          </w:p>
        </w:tc>
        <w:tc>
          <w:tcPr>
            <w:tcW w:w="680"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0318CE90">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费率（%）</w:t>
            </w:r>
          </w:p>
        </w:tc>
        <w:tc>
          <w:tcPr>
            <w:tcW w:w="841"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45B8AD0A">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r>
      <w:tr w14:paraId="40446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6" w:type="pct"/>
            <w:tcBorders>
              <w:top w:val="nil"/>
              <w:left w:val="single" w:color="000000" w:sz="8" w:space="0"/>
              <w:bottom w:val="single" w:color="000000" w:sz="4" w:space="0"/>
              <w:right w:val="single" w:color="000000" w:sz="4" w:space="0"/>
              <w:tl2br w:val="nil"/>
              <w:tr2bl w:val="nil"/>
            </w:tcBorders>
            <w:noWrap w:val="0"/>
            <w:vAlign w:val="center"/>
          </w:tcPr>
          <w:p w14:paraId="64D9B56C">
            <w:pPr>
              <w:widowControl/>
              <w:spacing w:beforeLines="0" w:afterLines="0"/>
              <w:jc w:val="center"/>
              <w:rPr>
                <w:rFonts w:hint="eastAsia" w:ascii="Times New Roman" w:eastAsia="Times New Roman" w:cs="Arial"/>
                <w:color w:val="auto"/>
                <w:sz w:val="24"/>
                <w:szCs w:val="21"/>
                <w:highlight w:val="none"/>
              </w:rPr>
            </w:pPr>
          </w:p>
        </w:tc>
        <w:tc>
          <w:tcPr>
            <w:tcW w:w="963" w:type="pct"/>
            <w:tcBorders>
              <w:top w:val="nil"/>
              <w:left w:val="nil"/>
              <w:bottom w:val="single" w:color="000000" w:sz="4" w:space="0"/>
              <w:right w:val="single" w:color="000000" w:sz="4" w:space="0"/>
              <w:tl2br w:val="nil"/>
              <w:tr2bl w:val="nil"/>
            </w:tcBorders>
            <w:noWrap w:val="0"/>
            <w:vAlign w:val="center"/>
          </w:tcPr>
          <w:p w14:paraId="0B33F302">
            <w:pPr>
              <w:widowControl/>
              <w:spacing w:beforeLines="0" w:afterLines="0"/>
              <w:jc w:val="left"/>
              <w:rPr>
                <w:rFonts w:hint="eastAsia" w:ascii="Times New Roman" w:eastAsia="Times New Roman" w:cs="Arial"/>
                <w:color w:val="auto"/>
                <w:sz w:val="24"/>
                <w:szCs w:val="21"/>
                <w:highlight w:val="none"/>
              </w:rPr>
            </w:pPr>
          </w:p>
        </w:tc>
        <w:tc>
          <w:tcPr>
            <w:tcW w:w="1258" w:type="pct"/>
            <w:tcBorders>
              <w:top w:val="single" w:color="000000" w:sz="4" w:space="0"/>
              <w:left w:val="nil"/>
              <w:bottom w:val="single" w:color="000000" w:sz="4" w:space="0"/>
              <w:right w:val="single" w:color="000000" w:sz="4" w:space="0"/>
              <w:tl2br w:val="nil"/>
              <w:tr2bl w:val="nil"/>
            </w:tcBorders>
            <w:noWrap w:val="0"/>
            <w:vAlign w:val="center"/>
          </w:tcPr>
          <w:p w14:paraId="767E6286">
            <w:pPr>
              <w:widowControl/>
              <w:spacing w:beforeLines="0" w:afterLines="0"/>
              <w:jc w:val="left"/>
              <w:rPr>
                <w:rFonts w:hint="eastAsia" w:ascii="Times New Roman" w:eastAsia="Times New Roman" w:cs="Arial"/>
                <w:color w:val="auto"/>
                <w:sz w:val="24"/>
                <w:szCs w:val="21"/>
                <w:highlight w:val="none"/>
              </w:rPr>
            </w:pPr>
          </w:p>
        </w:tc>
        <w:tc>
          <w:tcPr>
            <w:tcW w:w="842" w:type="pct"/>
            <w:tcBorders>
              <w:top w:val="single" w:color="000000" w:sz="4" w:space="0"/>
              <w:left w:val="nil"/>
              <w:bottom w:val="single" w:color="000000" w:sz="4" w:space="0"/>
              <w:right w:val="single" w:color="000000" w:sz="4" w:space="0"/>
              <w:tl2br w:val="nil"/>
              <w:tr2bl w:val="nil"/>
            </w:tcBorders>
            <w:noWrap w:val="0"/>
            <w:vAlign w:val="center"/>
          </w:tcPr>
          <w:p w14:paraId="278F0024">
            <w:pPr>
              <w:widowControl/>
              <w:spacing w:beforeLines="0" w:afterLines="0"/>
              <w:jc w:val="left"/>
              <w:rPr>
                <w:rFonts w:hint="eastAsia" w:ascii="Times New Roman" w:eastAsia="Times New Roman" w:cs="Arial"/>
                <w:color w:val="auto"/>
                <w:sz w:val="24"/>
                <w:szCs w:val="21"/>
                <w:highlight w:val="none"/>
              </w:rPr>
            </w:pPr>
          </w:p>
        </w:tc>
        <w:tc>
          <w:tcPr>
            <w:tcW w:w="680" w:type="pct"/>
            <w:tcBorders>
              <w:top w:val="single" w:color="000000" w:sz="4" w:space="0"/>
              <w:left w:val="nil"/>
              <w:bottom w:val="single" w:color="000000" w:sz="4" w:space="0"/>
              <w:right w:val="single" w:color="000000" w:sz="4" w:space="0"/>
              <w:tl2br w:val="nil"/>
              <w:tr2bl w:val="nil"/>
            </w:tcBorders>
            <w:noWrap w:val="0"/>
            <w:vAlign w:val="center"/>
          </w:tcPr>
          <w:p w14:paraId="058D238F">
            <w:pPr>
              <w:widowControl/>
              <w:spacing w:beforeLines="0" w:afterLines="0"/>
              <w:jc w:val="right"/>
              <w:rPr>
                <w:rFonts w:hint="eastAsia" w:ascii="Times New Roman" w:eastAsia="Times New Roman" w:cs="Arial"/>
                <w:color w:val="auto"/>
                <w:sz w:val="24"/>
                <w:szCs w:val="21"/>
                <w:highlight w:val="none"/>
              </w:rPr>
            </w:pPr>
          </w:p>
        </w:tc>
        <w:tc>
          <w:tcPr>
            <w:tcW w:w="841" w:type="pct"/>
            <w:tcBorders>
              <w:top w:val="nil"/>
              <w:left w:val="nil"/>
              <w:bottom w:val="single" w:color="000000" w:sz="4" w:space="0"/>
              <w:right w:val="single" w:color="000000" w:sz="8" w:space="0"/>
              <w:tl2br w:val="nil"/>
              <w:tr2bl w:val="nil"/>
            </w:tcBorders>
            <w:noWrap w:val="0"/>
            <w:vAlign w:val="center"/>
          </w:tcPr>
          <w:p w14:paraId="10DD64D3">
            <w:pPr>
              <w:widowControl/>
              <w:spacing w:beforeLines="0" w:afterLines="0"/>
              <w:jc w:val="right"/>
              <w:rPr>
                <w:rFonts w:hint="eastAsia" w:ascii="Times New Roman" w:eastAsia="Times New Roman" w:cs="Arial"/>
                <w:color w:val="auto"/>
                <w:sz w:val="24"/>
                <w:szCs w:val="21"/>
                <w:highlight w:val="none"/>
              </w:rPr>
            </w:pPr>
          </w:p>
        </w:tc>
      </w:tr>
      <w:tr w14:paraId="4502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6" w:type="pct"/>
            <w:tcBorders>
              <w:top w:val="nil"/>
              <w:left w:val="single" w:color="000000" w:sz="8" w:space="0"/>
              <w:bottom w:val="single" w:color="000000" w:sz="4" w:space="0"/>
              <w:right w:val="single" w:color="000000" w:sz="4" w:space="0"/>
              <w:tl2br w:val="nil"/>
              <w:tr2bl w:val="nil"/>
            </w:tcBorders>
            <w:noWrap w:val="0"/>
            <w:vAlign w:val="center"/>
          </w:tcPr>
          <w:p w14:paraId="3D45C99A">
            <w:pPr>
              <w:widowControl/>
              <w:spacing w:beforeLines="0" w:afterLines="0"/>
              <w:jc w:val="center"/>
              <w:rPr>
                <w:rFonts w:hint="eastAsia" w:ascii="Times New Roman" w:eastAsia="Times New Roman" w:cs="Arial"/>
                <w:color w:val="auto"/>
                <w:sz w:val="24"/>
                <w:szCs w:val="21"/>
                <w:highlight w:val="none"/>
              </w:rPr>
            </w:pPr>
          </w:p>
        </w:tc>
        <w:tc>
          <w:tcPr>
            <w:tcW w:w="963" w:type="pct"/>
            <w:tcBorders>
              <w:top w:val="nil"/>
              <w:left w:val="nil"/>
              <w:bottom w:val="single" w:color="000000" w:sz="4" w:space="0"/>
              <w:right w:val="single" w:color="000000" w:sz="4" w:space="0"/>
              <w:tl2br w:val="nil"/>
              <w:tr2bl w:val="nil"/>
            </w:tcBorders>
            <w:noWrap w:val="0"/>
            <w:vAlign w:val="center"/>
          </w:tcPr>
          <w:p w14:paraId="57E07ADF">
            <w:pPr>
              <w:widowControl/>
              <w:spacing w:beforeLines="0" w:afterLines="0"/>
              <w:jc w:val="left"/>
              <w:rPr>
                <w:rFonts w:hint="eastAsia" w:ascii="Times New Roman" w:eastAsia="Times New Roman" w:cs="Arial"/>
                <w:color w:val="auto"/>
                <w:sz w:val="24"/>
                <w:szCs w:val="21"/>
                <w:highlight w:val="none"/>
              </w:rPr>
            </w:pPr>
          </w:p>
        </w:tc>
        <w:tc>
          <w:tcPr>
            <w:tcW w:w="1258" w:type="pct"/>
            <w:tcBorders>
              <w:top w:val="single" w:color="000000" w:sz="4" w:space="0"/>
              <w:left w:val="nil"/>
              <w:bottom w:val="single" w:color="000000" w:sz="4" w:space="0"/>
              <w:right w:val="single" w:color="000000" w:sz="4" w:space="0"/>
              <w:tl2br w:val="nil"/>
              <w:tr2bl w:val="nil"/>
            </w:tcBorders>
            <w:noWrap w:val="0"/>
            <w:vAlign w:val="center"/>
          </w:tcPr>
          <w:p w14:paraId="0ED40435">
            <w:pPr>
              <w:widowControl/>
              <w:spacing w:beforeLines="0" w:afterLines="0"/>
              <w:jc w:val="left"/>
              <w:rPr>
                <w:rFonts w:hint="eastAsia" w:ascii="Times New Roman" w:eastAsia="Times New Roman" w:cs="Arial"/>
                <w:color w:val="auto"/>
                <w:sz w:val="24"/>
                <w:szCs w:val="21"/>
                <w:highlight w:val="none"/>
              </w:rPr>
            </w:pPr>
          </w:p>
        </w:tc>
        <w:tc>
          <w:tcPr>
            <w:tcW w:w="842" w:type="pct"/>
            <w:tcBorders>
              <w:top w:val="single" w:color="000000" w:sz="4" w:space="0"/>
              <w:left w:val="nil"/>
              <w:bottom w:val="single" w:color="000000" w:sz="4" w:space="0"/>
              <w:right w:val="single" w:color="000000" w:sz="4" w:space="0"/>
              <w:tl2br w:val="nil"/>
              <w:tr2bl w:val="nil"/>
            </w:tcBorders>
            <w:noWrap w:val="0"/>
            <w:vAlign w:val="center"/>
          </w:tcPr>
          <w:p w14:paraId="00B36512">
            <w:pPr>
              <w:widowControl/>
              <w:spacing w:beforeLines="0" w:afterLines="0"/>
              <w:jc w:val="left"/>
              <w:rPr>
                <w:rFonts w:hint="eastAsia" w:ascii="Times New Roman" w:eastAsia="Times New Roman" w:cs="Arial"/>
                <w:color w:val="auto"/>
                <w:sz w:val="24"/>
                <w:szCs w:val="21"/>
                <w:highlight w:val="none"/>
              </w:rPr>
            </w:pPr>
          </w:p>
        </w:tc>
        <w:tc>
          <w:tcPr>
            <w:tcW w:w="680" w:type="pct"/>
            <w:tcBorders>
              <w:top w:val="single" w:color="000000" w:sz="4" w:space="0"/>
              <w:left w:val="nil"/>
              <w:bottom w:val="single" w:color="000000" w:sz="4" w:space="0"/>
              <w:right w:val="single" w:color="000000" w:sz="4" w:space="0"/>
              <w:tl2br w:val="nil"/>
              <w:tr2bl w:val="nil"/>
            </w:tcBorders>
            <w:noWrap w:val="0"/>
            <w:vAlign w:val="center"/>
          </w:tcPr>
          <w:p w14:paraId="43AB9903">
            <w:pPr>
              <w:widowControl/>
              <w:spacing w:beforeLines="0" w:afterLines="0"/>
              <w:jc w:val="right"/>
              <w:rPr>
                <w:rFonts w:hint="eastAsia" w:ascii="Times New Roman" w:eastAsia="Times New Roman" w:cs="Arial"/>
                <w:color w:val="auto"/>
                <w:sz w:val="24"/>
                <w:szCs w:val="21"/>
                <w:highlight w:val="none"/>
              </w:rPr>
            </w:pPr>
          </w:p>
        </w:tc>
        <w:tc>
          <w:tcPr>
            <w:tcW w:w="841" w:type="pct"/>
            <w:tcBorders>
              <w:top w:val="nil"/>
              <w:left w:val="nil"/>
              <w:bottom w:val="single" w:color="000000" w:sz="4" w:space="0"/>
              <w:right w:val="single" w:color="000000" w:sz="8" w:space="0"/>
              <w:tl2br w:val="nil"/>
              <w:tr2bl w:val="nil"/>
            </w:tcBorders>
            <w:noWrap w:val="0"/>
            <w:vAlign w:val="center"/>
          </w:tcPr>
          <w:p w14:paraId="02933B61">
            <w:pPr>
              <w:widowControl/>
              <w:spacing w:beforeLines="0" w:afterLines="0"/>
              <w:jc w:val="right"/>
              <w:rPr>
                <w:rFonts w:hint="eastAsia" w:ascii="Times New Roman" w:eastAsia="Times New Roman" w:cs="Arial"/>
                <w:color w:val="auto"/>
                <w:sz w:val="24"/>
                <w:szCs w:val="21"/>
                <w:highlight w:val="none"/>
              </w:rPr>
            </w:pPr>
          </w:p>
        </w:tc>
      </w:tr>
      <w:tr w14:paraId="4F00C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6" w:type="pct"/>
            <w:tcBorders>
              <w:top w:val="nil"/>
              <w:left w:val="single" w:color="000000" w:sz="8" w:space="0"/>
              <w:bottom w:val="single" w:color="000000" w:sz="4" w:space="0"/>
              <w:right w:val="single" w:color="000000" w:sz="4" w:space="0"/>
              <w:tl2br w:val="nil"/>
              <w:tr2bl w:val="nil"/>
            </w:tcBorders>
            <w:noWrap w:val="0"/>
            <w:vAlign w:val="center"/>
          </w:tcPr>
          <w:p w14:paraId="72B7C0C0">
            <w:pPr>
              <w:widowControl/>
              <w:spacing w:beforeLines="0" w:afterLines="0"/>
              <w:jc w:val="center"/>
              <w:rPr>
                <w:rFonts w:hint="eastAsia" w:ascii="Times New Roman" w:eastAsia="Times New Roman" w:cs="Arial"/>
                <w:color w:val="auto"/>
                <w:sz w:val="24"/>
                <w:szCs w:val="21"/>
                <w:highlight w:val="none"/>
              </w:rPr>
            </w:pPr>
          </w:p>
        </w:tc>
        <w:tc>
          <w:tcPr>
            <w:tcW w:w="963" w:type="pct"/>
            <w:tcBorders>
              <w:top w:val="nil"/>
              <w:left w:val="nil"/>
              <w:bottom w:val="single" w:color="000000" w:sz="4" w:space="0"/>
              <w:right w:val="single" w:color="000000" w:sz="4" w:space="0"/>
              <w:tl2br w:val="nil"/>
              <w:tr2bl w:val="nil"/>
            </w:tcBorders>
            <w:noWrap w:val="0"/>
            <w:vAlign w:val="center"/>
          </w:tcPr>
          <w:p w14:paraId="2CEE53A6">
            <w:pPr>
              <w:widowControl/>
              <w:spacing w:beforeLines="0" w:afterLines="0"/>
              <w:jc w:val="left"/>
              <w:rPr>
                <w:rFonts w:hint="eastAsia" w:ascii="Times New Roman" w:eastAsia="Times New Roman" w:cs="Arial"/>
                <w:color w:val="auto"/>
                <w:sz w:val="24"/>
                <w:szCs w:val="21"/>
                <w:highlight w:val="none"/>
              </w:rPr>
            </w:pPr>
          </w:p>
        </w:tc>
        <w:tc>
          <w:tcPr>
            <w:tcW w:w="1258" w:type="pct"/>
            <w:tcBorders>
              <w:top w:val="single" w:color="000000" w:sz="4" w:space="0"/>
              <w:left w:val="nil"/>
              <w:bottom w:val="single" w:color="000000" w:sz="4" w:space="0"/>
              <w:right w:val="single" w:color="000000" w:sz="4" w:space="0"/>
              <w:tl2br w:val="nil"/>
              <w:tr2bl w:val="nil"/>
            </w:tcBorders>
            <w:noWrap w:val="0"/>
            <w:vAlign w:val="center"/>
          </w:tcPr>
          <w:p w14:paraId="17CDCE62">
            <w:pPr>
              <w:widowControl/>
              <w:spacing w:beforeLines="0" w:afterLines="0"/>
              <w:jc w:val="left"/>
              <w:rPr>
                <w:rFonts w:hint="eastAsia" w:ascii="Times New Roman" w:eastAsia="Times New Roman" w:cs="Arial"/>
                <w:color w:val="auto"/>
                <w:sz w:val="24"/>
                <w:szCs w:val="21"/>
                <w:highlight w:val="none"/>
              </w:rPr>
            </w:pPr>
          </w:p>
        </w:tc>
        <w:tc>
          <w:tcPr>
            <w:tcW w:w="842" w:type="pct"/>
            <w:tcBorders>
              <w:top w:val="single" w:color="000000" w:sz="4" w:space="0"/>
              <w:left w:val="nil"/>
              <w:bottom w:val="single" w:color="000000" w:sz="4" w:space="0"/>
              <w:right w:val="single" w:color="000000" w:sz="4" w:space="0"/>
              <w:tl2br w:val="nil"/>
              <w:tr2bl w:val="nil"/>
            </w:tcBorders>
            <w:noWrap w:val="0"/>
            <w:vAlign w:val="center"/>
          </w:tcPr>
          <w:p w14:paraId="577CCA22">
            <w:pPr>
              <w:widowControl/>
              <w:spacing w:beforeLines="0" w:afterLines="0"/>
              <w:jc w:val="left"/>
              <w:rPr>
                <w:rFonts w:hint="eastAsia" w:ascii="Times New Roman" w:eastAsia="Times New Roman" w:cs="Arial"/>
                <w:color w:val="auto"/>
                <w:sz w:val="24"/>
                <w:szCs w:val="21"/>
                <w:highlight w:val="none"/>
              </w:rPr>
            </w:pPr>
          </w:p>
        </w:tc>
        <w:tc>
          <w:tcPr>
            <w:tcW w:w="680" w:type="pct"/>
            <w:tcBorders>
              <w:top w:val="single" w:color="000000" w:sz="4" w:space="0"/>
              <w:left w:val="nil"/>
              <w:bottom w:val="single" w:color="000000" w:sz="4" w:space="0"/>
              <w:right w:val="single" w:color="000000" w:sz="4" w:space="0"/>
              <w:tl2br w:val="nil"/>
              <w:tr2bl w:val="nil"/>
            </w:tcBorders>
            <w:noWrap w:val="0"/>
            <w:vAlign w:val="center"/>
          </w:tcPr>
          <w:p w14:paraId="40296107">
            <w:pPr>
              <w:widowControl/>
              <w:spacing w:beforeLines="0" w:afterLines="0"/>
              <w:jc w:val="right"/>
              <w:rPr>
                <w:rFonts w:hint="eastAsia" w:ascii="Times New Roman" w:eastAsia="Times New Roman" w:cs="Arial"/>
                <w:color w:val="auto"/>
                <w:sz w:val="24"/>
                <w:szCs w:val="21"/>
                <w:highlight w:val="none"/>
              </w:rPr>
            </w:pPr>
          </w:p>
        </w:tc>
        <w:tc>
          <w:tcPr>
            <w:tcW w:w="841" w:type="pct"/>
            <w:tcBorders>
              <w:top w:val="nil"/>
              <w:left w:val="nil"/>
              <w:bottom w:val="single" w:color="000000" w:sz="4" w:space="0"/>
              <w:right w:val="single" w:color="000000" w:sz="8" w:space="0"/>
              <w:tl2br w:val="nil"/>
              <w:tr2bl w:val="nil"/>
            </w:tcBorders>
            <w:noWrap w:val="0"/>
            <w:vAlign w:val="center"/>
          </w:tcPr>
          <w:p w14:paraId="41F8430F">
            <w:pPr>
              <w:widowControl/>
              <w:spacing w:beforeLines="0" w:afterLines="0"/>
              <w:jc w:val="right"/>
              <w:rPr>
                <w:rFonts w:hint="eastAsia" w:ascii="Times New Roman" w:eastAsia="Times New Roman" w:cs="Arial"/>
                <w:color w:val="auto"/>
                <w:sz w:val="24"/>
                <w:szCs w:val="21"/>
                <w:highlight w:val="none"/>
              </w:rPr>
            </w:pPr>
          </w:p>
        </w:tc>
      </w:tr>
      <w:tr w14:paraId="4332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59" w:type="pct"/>
            <w:gridSpan w:val="5"/>
            <w:tcBorders>
              <w:top w:val="single" w:color="000000" w:sz="4" w:space="0"/>
              <w:left w:val="single" w:color="000000" w:sz="8" w:space="0"/>
              <w:bottom w:val="single" w:color="000000" w:sz="8" w:space="0"/>
              <w:right w:val="single" w:color="000000" w:sz="4" w:space="0"/>
              <w:tl2br w:val="nil"/>
              <w:tr2bl w:val="nil"/>
            </w:tcBorders>
            <w:noWrap w:val="0"/>
            <w:vAlign w:val="center"/>
          </w:tcPr>
          <w:p w14:paraId="1BE96740">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841" w:type="pct"/>
            <w:tcBorders>
              <w:top w:val="nil"/>
              <w:left w:val="nil"/>
              <w:bottom w:val="single" w:color="000000" w:sz="8" w:space="0"/>
              <w:right w:val="single" w:color="000000" w:sz="8" w:space="0"/>
              <w:tl2br w:val="nil"/>
              <w:tr2bl w:val="nil"/>
            </w:tcBorders>
            <w:noWrap w:val="0"/>
            <w:vAlign w:val="center"/>
          </w:tcPr>
          <w:p w14:paraId="1A04A253">
            <w:pPr>
              <w:widowControl/>
              <w:spacing w:beforeLines="0" w:afterLines="0"/>
              <w:jc w:val="right"/>
              <w:rPr>
                <w:rFonts w:hint="eastAsia" w:ascii="Times New Roman" w:eastAsia="Times New Roman" w:cs="Arial"/>
                <w:color w:val="auto"/>
                <w:sz w:val="24"/>
                <w:szCs w:val="21"/>
                <w:highlight w:val="none"/>
              </w:rPr>
            </w:pPr>
          </w:p>
        </w:tc>
      </w:tr>
    </w:tbl>
    <w:p w14:paraId="19ABBB0A">
      <w:pPr>
        <w:spacing w:before="240" w:beforeLines="100" w:after="240" w:afterLines="100"/>
        <w:jc w:val="center"/>
        <w:outlineLvl w:val="3"/>
        <w:rPr>
          <w:rFonts w:hint="eastAsia" w:ascii="Times New Roman" w:eastAsia="黑体"/>
          <w:color w:val="auto"/>
          <w:sz w:val="24"/>
          <w:szCs w:val="24"/>
          <w:highlight w:val="none"/>
        </w:rPr>
      </w:pPr>
      <w:bookmarkStart w:id="1542" w:name="_Toc460660245"/>
      <w:bookmarkStart w:id="1543" w:name="_Toc460227130"/>
      <w:bookmarkStart w:id="1544" w:name="_Toc23851"/>
      <w:r>
        <w:rPr>
          <w:rFonts w:hint="eastAsia" w:ascii="Times New Roman"/>
          <w:color w:val="auto"/>
          <w:sz w:val="28"/>
          <w:szCs w:val="28"/>
          <w:highlight w:val="none"/>
        </w:rPr>
        <w:br w:type="page"/>
      </w:r>
      <w:bookmarkStart w:id="1545" w:name="_Toc23516"/>
      <w:bookmarkStart w:id="1546" w:name="_Toc19664"/>
      <w:bookmarkStart w:id="1547" w:name="_Toc128950309"/>
      <w:bookmarkStart w:id="1548" w:name="_Toc3006"/>
      <w:bookmarkStart w:id="1549" w:name="_Toc4924"/>
      <w:bookmarkStart w:id="1550" w:name="_Toc6074"/>
      <w:bookmarkStart w:id="1551" w:name="_Toc24409"/>
      <w:bookmarkStart w:id="1552" w:name="_Toc771"/>
      <w:bookmarkStart w:id="1553" w:name="_Toc20020"/>
      <w:r>
        <w:rPr>
          <w:rFonts w:hint="eastAsia" w:ascii="Times New Roman" w:eastAsia="黑体"/>
          <w:color w:val="auto"/>
          <w:sz w:val="24"/>
          <w:szCs w:val="24"/>
          <w:highlight w:val="none"/>
        </w:rPr>
        <w:t>（八）</w:t>
      </w:r>
      <w:bookmarkEnd w:id="1542"/>
      <w:bookmarkEnd w:id="1543"/>
      <w:r>
        <w:rPr>
          <w:rFonts w:hint="eastAsia" w:ascii="Times New Roman" w:eastAsia="黑体"/>
          <w:color w:val="auto"/>
          <w:sz w:val="24"/>
          <w:szCs w:val="24"/>
          <w:highlight w:val="none"/>
        </w:rPr>
        <w:t>不可竞争项目清单与计价表</w:t>
      </w:r>
      <w:bookmarkEnd w:id="1544"/>
      <w:bookmarkEnd w:id="1545"/>
      <w:bookmarkEnd w:id="1546"/>
      <w:bookmarkEnd w:id="1547"/>
      <w:bookmarkEnd w:id="1548"/>
      <w:bookmarkEnd w:id="1549"/>
      <w:bookmarkEnd w:id="1550"/>
      <w:bookmarkEnd w:id="1551"/>
      <w:bookmarkEnd w:id="1552"/>
      <w:bookmarkEnd w:id="1553"/>
    </w:p>
    <w:p w14:paraId="36D9F24A">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3"/>
        <w:gridCol w:w="1468"/>
        <w:gridCol w:w="2194"/>
        <w:gridCol w:w="1468"/>
        <w:gridCol w:w="1158"/>
        <w:gridCol w:w="1485"/>
      </w:tblGrid>
      <w:tr w14:paraId="710D3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6"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26E55F79">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862"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52E2B0BB">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项目编码</w:t>
            </w:r>
          </w:p>
        </w:tc>
        <w:tc>
          <w:tcPr>
            <w:tcW w:w="1288"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79930AFB">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项目名称</w:t>
            </w:r>
          </w:p>
        </w:tc>
        <w:tc>
          <w:tcPr>
            <w:tcW w:w="862"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5452A2FD">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计算基础</w:t>
            </w:r>
          </w:p>
        </w:tc>
        <w:tc>
          <w:tcPr>
            <w:tcW w:w="680"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2DAA5D4C">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费率（%）</w:t>
            </w:r>
          </w:p>
        </w:tc>
        <w:tc>
          <w:tcPr>
            <w:tcW w:w="872"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4432E8A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r>
      <w:tr w14:paraId="1F80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l2br w:val="nil"/>
              <w:tr2bl w:val="nil"/>
            </w:tcBorders>
            <w:noWrap w:val="0"/>
            <w:vAlign w:val="center"/>
          </w:tcPr>
          <w:p w14:paraId="63C24406">
            <w:pPr>
              <w:widowControl/>
              <w:spacing w:beforeLines="0" w:afterLines="0"/>
              <w:jc w:val="center"/>
              <w:rPr>
                <w:rFonts w:hint="eastAsia" w:ascii="Times New Roman" w:eastAsia="Times New Roman" w:cs="Arial"/>
                <w:color w:val="auto"/>
                <w:sz w:val="24"/>
                <w:szCs w:val="21"/>
                <w:highlight w:val="none"/>
              </w:rPr>
            </w:pPr>
          </w:p>
        </w:tc>
        <w:tc>
          <w:tcPr>
            <w:tcW w:w="862" w:type="pct"/>
            <w:tcBorders>
              <w:top w:val="nil"/>
              <w:left w:val="nil"/>
              <w:bottom w:val="single" w:color="000000" w:sz="4" w:space="0"/>
              <w:right w:val="single" w:color="000000" w:sz="4" w:space="0"/>
              <w:tl2br w:val="nil"/>
              <w:tr2bl w:val="nil"/>
            </w:tcBorders>
            <w:noWrap w:val="0"/>
            <w:vAlign w:val="center"/>
          </w:tcPr>
          <w:p w14:paraId="3A0328D9">
            <w:pPr>
              <w:widowControl/>
              <w:spacing w:beforeLines="0" w:afterLines="0"/>
              <w:jc w:val="left"/>
              <w:rPr>
                <w:rFonts w:hint="eastAsia" w:ascii="Times New Roman" w:eastAsia="Times New Roman" w:cs="Arial"/>
                <w:color w:val="auto"/>
                <w:sz w:val="24"/>
                <w:szCs w:val="21"/>
                <w:highlight w:val="none"/>
              </w:rPr>
            </w:pPr>
          </w:p>
        </w:tc>
        <w:tc>
          <w:tcPr>
            <w:tcW w:w="1288" w:type="pct"/>
            <w:tcBorders>
              <w:top w:val="single" w:color="000000" w:sz="4" w:space="0"/>
              <w:left w:val="nil"/>
              <w:bottom w:val="single" w:color="000000" w:sz="4" w:space="0"/>
              <w:right w:val="single" w:color="000000" w:sz="4" w:space="0"/>
              <w:tl2br w:val="nil"/>
              <w:tr2bl w:val="nil"/>
            </w:tcBorders>
            <w:noWrap w:val="0"/>
            <w:vAlign w:val="center"/>
          </w:tcPr>
          <w:p w14:paraId="3BCA1BA2">
            <w:pPr>
              <w:widowControl/>
              <w:spacing w:beforeLines="0" w:afterLines="0"/>
              <w:jc w:val="left"/>
              <w:rPr>
                <w:rFonts w:hint="eastAsia" w:ascii="Times New Roman" w:eastAsia="Times New Roman" w:cs="Arial"/>
                <w:color w:val="auto"/>
                <w:sz w:val="24"/>
                <w:szCs w:val="21"/>
                <w:highlight w:val="none"/>
              </w:rPr>
            </w:pPr>
          </w:p>
        </w:tc>
        <w:tc>
          <w:tcPr>
            <w:tcW w:w="862" w:type="pct"/>
            <w:tcBorders>
              <w:top w:val="single" w:color="000000" w:sz="4" w:space="0"/>
              <w:left w:val="nil"/>
              <w:bottom w:val="single" w:color="000000" w:sz="4" w:space="0"/>
              <w:right w:val="single" w:color="000000" w:sz="4" w:space="0"/>
              <w:tl2br w:val="nil"/>
              <w:tr2bl w:val="nil"/>
            </w:tcBorders>
            <w:noWrap w:val="0"/>
            <w:vAlign w:val="center"/>
          </w:tcPr>
          <w:p w14:paraId="427970EA">
            <w:pPr>
              <w:widowControl/>
              <w:spacing w:beforeLines="0" w:afterLines="0"/>
              <w:jc w:val="left"/>
              <w:rPr>
                <w:rFonts w:hint="eastAsia" w:ascii="Times New Roman" w:eastAsia="Times New Roman" w:cs="Arial"/>
                <w:color w:val="auto"/>
                <w:sz w:val="24"/>
                <w:szCs w:val="21"/>
                <w:highlight w:val="none"/>
              </w:rPr>
            </w:pPr>
          </w:p>
        </w:tc>
        <w:tc>
          <w:tcPr>
            <w:tcW w:w="680" w:type="pct"/>
            <w:tcBorders>
              <w:top w:val="single" w:color="000000" w:sz="4" w:space="0"/>
              <w:left w:val="nil"/>
              <w:bottom w:val="single" w:color="000000" w:sz="4" w:space="0"/>
              <w:right w:val="single" w:color="000000" w:sz="4" w:space="0"/>
              <w:tl2br w:val="nil"/>
              <w:tr2bl w:val="nil"/>
            </w:tcBorders>
            <w:noWrap w:val="0"/>
            <w:vAlign w:val="center"/>
          </w:tcPr>
          <w:p w14:paraId="2EF821E0">
            <w:pPr>
              <w:widowControl/>
              <w:spacing w:beforeLines="0" w:afterLines="0"/>
              <w:jc w:val="right"/>
              <w:rPr>
                <w:rFonts w:hint="eastAsia" w:ascii="Times New Roman" w:eastAsia="Times New Roman" w:cs="Arial"/>
                <w:color w:val="auto"/>
                <w:sz w:val="24"/>
                <w:szCs w:val="21"/>
                <w:highlight w:val="none"/>
              </w:rPr>
            </w:pPr>
          </w:p>
        </w:tc>
        <w:tc>
          <w:tcPr>
            <w:tcW w:w="872" w:type="pct"/>
            <w:tcBorders>
              <w:top w:val="nil"/>
              <w:left w:val="nil"/>
              <w:bottom w:val="single" w:color="000000" w:sz="4" w:space="0"/>
              <w:right w:val="single" w:color="000000" w:sz="8" w:space="0"/>
              <w:tl2br w:val="nil"/>
              <w:tr2bl w:val="nil"/>
            </w:tcBorders>
            <w:noWrap w:val="0"/>
            <w:vAlign w:val="center"/>
          </w:tcPr>
          <w:p w14:paraId="65A0F2FD">
            <w:pPr>
              <w:widowControl/>
              <w:spacing w:beforeLines="0" w:afterLines="0"/>
              <w:jc w:val="right"/>
              <w:rPr>
                <w:rFonts w:hint="eastAsia" w:ascii="Times New Roman" w:eastAsia="Times New Roman" w:cs="Arial"/>
                <w:color w:val="auto"/>
                <w:sz w:val="24"/>
                <w:szCs w:val="21"/>
                <w:highlight w:val="none"/>
              </w:rPr>
            </w:pPr>
          </w:p>
        </w:tc>
      </w:tr>
      <w:tr w14:paraId="75B40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l2br w:val="nil"/>
              <w:tr2bl w:val="nil"/>
            </w:tcBorders>
            <w:noWrap w:val="0"/>
            <w:vAlign w:val="center"/>
          </w:tcPr>
          <w:p w14:paraId="3CC0EE84">
            <w:pPr>
              <w:widowControl/>
              <w:spacing w:beforeLines="0" w:afterLines="0"/>
              <w:jc w:val="center"/>
              <w:rPr>
                <w:rFonts w:hint="eastAsia" w:ascii="Times New Roman" w:eastAsia="Times New Roman" w:cs="Arial"/>
                <w:color w:val="auto"/>
                <w:sz w:val="24"/>
                <w:szCs w:val="21"/>
                <w:highlight w:val="none"/>
              </w:rPr>
            </w:pPr>
          </w:p>
        </w:tc>
        <w:tc>
          <w:tcPr>
            <w:tcW w:w="862" w:type="pct"/>
            <w:tcBorders>
              <w:top w:val="nil"/>
              <w:left w:val="nil"/>
              <w:bottom w:val="single" w:color="000000" w:sz="4" w:space="0"/>
              <w:right w:val="single" w:color="000000" w:sz="4" w:space="0"/>
              <w:tl2br w:val="nil"/>
              <w:tr2bl w:val="nil"/>
            </w:tcBorders>
            <w:noWrap w:val="0"/>
            <w:vAlign w:val="center"/>
          </w:tcPr>
          <w:p w14:paraId="045765CC">
            <w:pPr>
              <w:widowControl/>
              <w:spacing w:beforeLines="0" w:afterLines="0"/>
              <w:jc w:val="left"/>
              <w:rPr>
                <w:rFonts w:hint="eastAsia" w:ascii="Times New Roman" w:eastAsia="Times New Roman" w:cs="Arial"/>
                <w:color w:val="auto"/>
                <w:sz w:val="24"/>
                <w:szCs w:val="21"/>
                <w:highlight w:val="none"/>
              </w:rPr>
            </w:pPr>
          </w:p>
        </w:tc>
        <w:tc>
          <w:tcPr>
            <w:tcW w:w="1288" w:type="pct"/>
            <w:tcBorders>
              <w:top w:val="single" w:color="000000" w:sz="4" w:space="0"/>
              <w:left w:val="nil"/>
              <w:bottom w:val="single" w:color="000000" w:sz="4" w:space="0"/>
              <w:right w:val="single" w:color="000000" w:sz="4" w:space="0"/>
              <w:tl2br w:val="nil"/>
              <w:tr2bl w:val="nil"/>
            </w:tcBorders>
            <w:noWrap w:val="0"/>
            <w:vAlign w:val="center"/>
          </w:tcPr>
          <w:p w14:paraId="4E48C206">
            <w:pPr>
              <w:widowControl/>
              <w:spacing w:beforeLines="0" w:afterLines="0"/>
              <w:jc w:val="left"/>
              <w:rPr>
                <w:rFonts w:hint="eastAsia" w:ascii="Times New Roman" w:eastAsia="Times New Roman" w:cs="Arial"/>
                <w:color w:val="auto"/>
                <w:sz w:val="24"/>
                <w:szCs w:val="21"/>
                <w:highlight w:val="none"/>
              </w:rPr>
            </w:pPr>
          </w:p>
        </w:tc>
        <w:tc>
          <w:tcPr>
            <w:tcW w:w="862" w:type="pct"/>
            <w:tcBorders>
              <w:top w:val="single" w:color="000000" w:sz="4" w:space="0"/>
              <w:left w:val="nil"/>
              <w:bottom w:val="single" w:color="000000" w:sz="4" w:space="0"/>
              <w:right w:val="single" w:color="000000" w:sz="4" w:space="0"/>
              <w:tl2br w:val="nil"/>
              <w:tr2bl w:val="nil"/>
            </w:tcBorders>
            <w:noWrap w:val="0"/>
            <w:vAlign w:val="center"/>
          </w:tcPr>
          <w:p w14:paraId="7098B31C">
            <w:pPr>
              <w:widowControl/>
              <w:spacing w:beforeLines="0" w:afterLines="0"/>
              <w:jc w:val="left"/>
              <w:rPr>
                <w:rFonts w:hint="eastAsia" w:ascii="Times New Roman" w:eastAsia="Times New Roman" w:cs="Arial"/>
                <w:color w:val="auto"/>
                <w:sz w:val="24"/>
                <w:szCs w:val="21"/>
                <w:highlight w:val="none"/>
              </w:rPr>
            </w:pPr>
          </w:p>
        </w:tc>
        <w:tc>
          <w:tcPr>
            <w:tcW w:w="680" w:type="pct"/>
            <w:tcBorders>
              <w:top w:val="single" w:color="000000" w:sz="4" w:space="0"/>
              <w:left w:val="nil"/>
              <w:bottom w:val="single" w:color="000000" w:sz="4" w:space="0"/>
              <w:right w:val="single" w:color="000000" w:sz="4" w:space="0"/>
              <w:tl2br w:val="nil"/>
              <w:tr2bl w:val="nil"/>
            </w:tcBorders>
            <w:noWrap w:val="0"/>
            <w:vAlign w:val="center"/>
          </w:tcPr>
          <w:p w14:paraId="520F954F">
            <w:pPr>
              <w:widowControl/>
              <w:spacing w:beforeLines="0" w:afterLines="0"/>
              <w:jc w:val="right"/>
              <w:rPr>
                <w:rFonts w:hint="eastAsia" w:ascii="Times New Roman" w:eastAsia="Times New Roman" w:cs="Arial"/>
                <w:color w:val="auto"/>
                <w:sz w:val="24"/>
                <w:szCs w:val="21"/>
                <w:highlight w:val="none"/>
              </w:rPr>
            </w:pPr>
          </w:p>
        </w:tc>
        <w:tc>
          <w:tcPr>
            <w:tcW w:w="872" w:type="pct"/>
            <w:tcBorders>
              <w:top w:val="nil"/>
              <w:left w:val="nil"/>
              <w:bottom w:val="single" w:color="000000" w:sz="4" w:space="0"/>
              <w:right w:val="single" w:color="000000" w:sz="8" w:space="0"/>
              <w:tl2br w:val="nil"/>
              <w:tr2bl w:val="nil"/>
            </w:tcBorders>
            <w:noWrap w:val="0"/>
            <w:vAlign w:val="center"/>
          </w:tcPr>
          <w:p w14:paraId="19E47870">
            <w:pPr>
              <w:widowControl/>
              <w:spacing w:beforeLines="0" w:afterLines="0"/>
              <w:jc w:val="right"/>
              <w:rPr>
                <w:rFonts w:hint="eastAsia" w:ascii="Times New Roman" w:eastAsia="Times New Roman" w:cs="Arial"/>
                <w:color w:val="auto"/>
                <w:sz w:val="24"/>
                <w:szCs w:val="21"/>
                <w:highlight w:val="none"/>
              </w:rPr>
            </w:pPr>
          </w:p>
        </w:tc>
      </w:tr>
      <w:tr w14:paraId="6CB81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l2br w:val="nil"/>
              <w:tr2bl w:val="nil"/>
            </w:tcBorders>
            <w:noWrap w:val="0"/>
            <w:vAlign w:val="center"/>
          </w:tcPr>
          <w:p w14:paraId="750241B2">
            <w:pPr>
              <w:widowControl/>
              <w:spacing w:beforeLines="0" w:afterLines="0"/>
              <w:jc w:val="center"/>
              <w:rPr>
                <w:rFonts w:hint="eastAsia" w:ascii="Times New Roman" w:eastAsia="Times New Roman" w:cs="Arial"/>
                <w:color w:val="auto"/>
                <w:sz w:val="24"/>
                <w:szCs w:val="21"/>
                <w:highlight w:val="none"/>
              </w:rPr>
            </w:pPr>
          </w:p>
        </w:tc>
        <w:tc>
          <w:tcPr>
            <w:tcW w:w="862" w:type="pct"/>
            <w:tcBorders>
              <w:top w:val="nil"/>
              <w:left w:val="nil"/>
              <w:bottom w:val="single" w:color="000000" w:sz="4" w:space="0"/>
              <w:right w:val="single" w:color="000000" w:sz="4" w:space="0"/>
              <w:tl2br w:val="nil"/>
              <w:tr2bl w:val="nil"/>
            </w:tcBorders>
            <w:noWrap w:val="0"/>
            <w:vAlign w:val="center"/>
          </w:tcPr>
          <w:p w14:paraId="0187BDA7">
            <w:pPr>
              <w:widowControl/>
              <w:spacing w:beforeLines="0" w:afterLines="0"/>
              <w:jc w:val="left"/>
              <w:rPr>
                <w:rFonts w:hint="eastAsia" w:ascii="Times New Roman" w:eastAsia="Times New Roman" w:cs="Arial"/>
                <w:color w:val="auto"/>
                <w:sz w:val="24"/>
                <w:szCs w:val="21"/>
                <w:highlight w:val="none"/>
              </w:rPr>
            </w:pPr>
          </w:p>
        </w:tc>
        <w:tc>
          <w:tcPr>
            <w:tcW w:w="1288" w:type="pct"/>
            <w:tcBorders>
              <w:top w:val="single" w:color="000000" w:sz="4" w:space="0"/>
              <w:left w:val="nil"/>
              <w:bottom w:val="single" w:color="000000" w:sz="4" w:space="0"/>
              <w:right w:val="single" w:color="000000" w:sz="4" w:space="0"/>
              <w:tl2br w:val="nil"/>
              <w:tr2bl w:val="nil"/>
            </w:tcBorders>
            <w:noWrap w:val="0"/>
            <w:vAlign w:val="center"/>
          </w:tcPr>
          <w:p w14:paraId="1A76886E">
            <w:pPr>
              <w:widowControl/>
              <w:spacing w:beforeLines="0" w:afterLines="0"/>
              <w:jc w:val="left"/>
              <w:rPr>
                <w:rFonts w:hint="eastAsia" w:ascii="Times New Roman" w:eastAsia="Times New Roman" w:cs="Arial"/>
                <w:color w:val="auto"/>
                <w:sz w:val="24"/>
                <w:szCs w:val="21"/>
                <w:highlight w:val="none"/>
              </w:rPr>
            </w:pPr>
          </w:p>
        </w:tc>
        <w:tc>
          <w:tcPr>
            <w:tcW w:w="862" w:type="pct"/>
            <w:tcBorders>
              <w:top w:val="single" w:color="000000" w:sz="4" w:space="0"/>
              <w:left w:val="nil"/>
              <w:bottom w:val="single" w:color="000000" w:sz="4" w:space="0"/>
              <w:right w:val="single" w:color="000000" w:sz="4" w:space="0"/>
              <w:tl2br w:val="nil"/>
              <w:tr2bl w:val="nil"/>
            </w:tcBorders>
            <w:noWrap w:val="0"/>
            <w:vAlign w:val="center"/>
          </w:tcPr>
          <w:p w14:paraId="1C435A36">
            <w:pPr>
              <w:widowControl/>
              <w:spacing w:beforeLines="0" w:afterLines="0"/>
              <w:jc w:val="left"/>
              <w:rPr>
                <w:rFonts w:hint="eastAsia" w:ascii="Times New Roman" w:eastAsia="Times New Roman" w:cs="Arial"/>
                <w:color w:val="auto"/>
                <w:sz w:val="24"/>
                <w:szCs w:val="21"/>
                <w:highlight w:val="none"/>
              </w:rPr>
            </w:pPr>
          </w:p>
        </w:tc>
        <w:tc>
          <w:tcPr>
            <w:tcW w:w="680" w:type="pct"/>
            <w:tcBorders>
              <w:top w:val="single" w:color="000000" w:sz="4" w:space="0"/>
              <w:left w:val="nil"/>
              <w:bottom w:val="single" w:color="000000" w:sz="4" w:space="0"/>
              <w:right w:val="single" w:color="000000" w:sz="4" w:space="0"/>
              <w:tl2br w:val="nil"/>
              <w:tr2bl w:val="nil"/>
            </w:tcBorders>
            <w:noWrap w:val="0"/>
            <w:vAlign w:val="center"/>
          </w:tcPr>
          <w:p w14:paraId="0E4EE329">
            <w:pPr>
              <w:widowControl/>
              <w:spacing w:beforeLines="0" w:afterLines="0"/>
              <w:jc w:val="right"/>
              <w:rPr>
                <w:rFonts w:hint="eastAsia" w:ascii="Times New Roman" w:eastAsia="Times New Roman" w:cs="Arial"/>
                <w:color w:val="auto"/>
                <w:sz w:val="24"/>
                <w:szCs w:val="21"/>
                <w:highlight w:val="none"/>
              </w:rPr>
            </w:pPr>
          </w:p>
        </w:tc>
        <w:tc>
          <w:tcPr>
            <w:tcW w:w="872" w:type="pct"/>
            <w:tcBorders>
              <w:top w:val="nil"/>
              <w:left w:val="nil"/>
              <w:bottom w:val="single" w:color="000000" w:sz="4" w:space="0"/>
              <w:right w:val="single" w:color="000000" w:sz="8" w:space="0"/>
              <w:tl2br w:val="nil"/>
              <w:tr2bl w:val="nil"/>
            </w:tcBorders>
            <w:noWrap w:val="0"/>
            <w:vAlign w:val="center"/>
          </w:tcPr>
          <w:p w14:paraId="1E8FC40B">
            <w:pPr>
              <w:widowControl/>
              <w:spacing w:beforeLines="0" w:afterLines="0"/>
              <w:jc w:val="right"/>
              <w:rPr>
                <w:rFonts w:hint="eastAsia" w:ascii="Times New Roman" w:eastAsia="Times New Roman" w:cs="Arial"/>
                <w:color w:val="auto"/>
                <w:sz w:val="24"/>
                <w:szCs w:val="21"/>
                <w:highlight w:val="none"/>
              </w:rPr>
            </w:pPr>
          </w:p>
        </w:tc>
      </w:tr>
      <w:tr w14:paraId="4C1AE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36" w:type="pct"/>
            <w:tcBorders>
              <w:top w:val="nil"/>
              <w:left w:val="single" w:color="000000" w:sz="8" w:space="0"/>
              <w:bottom w:val="single" w:color="000000" w:sz="4" w:space="0"/>
              <w:right w:val="single" w:color="000000" w:sz="4" w:space="0"/>
              <w:tl2br w:val="nil"/>
              <w:tr2bl w:val="nil"/>
            </w:tcBorders>
            <w:noWrap w:val="0"/>
            <w:vAlign w:val="center"/>
          </w:tcPr>
          <w:p w14:paraId="235736F1">
            <w:pPr>
              <w:widowControl/>
              <w:spacing w:beforeLines="0" w:afterLines="0"/>
              <w:jc w:val="center"/>
              <w:rPr>
                <w:rFonts w:hint="eastAsia" w:ascii="Times New Roman" w:eastAsia="Times New Roman" w:cs="Arial"/>
                <w:color w:val="auto"/>
                <w:sz w:val="24"/>
                <w:szCs w:val="21"/>
                <w:highlight w:val="none"/>
              </w:rPr>
            </w:pPr>
          </w:p>
        </w:tc>
        <w:tc>
          <w:tcPr>
            <w:tcW w:w="862" w:type="pct"/>
            <w:tcBorders>
              <w:top w:val="nil"/>
              <w:left w:val="nil"/>
              <w:bottom w:val="single" w:color="000000" w:sz="4" w:space="0"/>
              <w:right w:val="single" w:color="000000" w:sz="4" w:space="0"/>
              <w:tl2br w:val="nil"/>
              <w:tr2bl w:val="nil"/>
            </w:tcBorders>
            <w:noWrap w:val="0"/>
            <w:vAlign w:val="center"/>
          </w:tcPr>
          <w:p w14:paraId="08009509">
            <w:pPr>
              <w:widowControl/>
              <w:spacing w:beforeLines="0" w:afterLines="0"/>
              <w:jc w:val="left"/>
              <w:rPr>
                <w:rFonts w:hint="eastAsia" w:ascii="Times New Roman" w:eastAsia="Times New Roman" w:cs="Arial"/>
                <w:color w:val="auto"/>
                <w:sz w:val="24"/>
                <w:szCs w:val="21"/>
                <w:highlight w:val="none"/>
              </w:rPr>
            </w:pPr>
          </w:p>
        </w:tc>
        <w:tc>
          <w:tcPr>
            <w:tcW w:w="1288" w:type="pct"/>
            <w:tcBorders>
              <w:top w:val="single" w:color="000000" w:sz="4" w:space="0"/>
              <w:left w:val="nil"/>
              <w:bottom w:val="single" w:color="000000" w:sz="4" w:space="0"/>
              <w:right w:val="single" w:color="000000" w:sz="4" w:space="0"/>
              <w:tl2br w:val="nil"/>
              <w:tr2bl w:val="nil"/>
            </w:tcBorders>
            <w:noWrap w:val="0"/>
            <w:vAlign w:val="center"/>
          </w:tcPr>
          <w:p w14:paraId="7773C193">
            <w:pPr>
              <w:widowControl/>
              <w:spacing w:beforeLines="0" w:afterLines="0"/>
              <w:jc w:val="left"/>
              <w:rPr>
                <w:rFonts w:hint="eastAsia" w:ascii="Times New Roman" w:eastAsia="Times New Roman" w:cs="Arial"/>
                <w:color w:val="auto"/>
                <w:sz w:val="24"/>
                <w:szCs w:val="21"/>
                <w:highlight w:val="none"/>
              </w:rPr>
            </w:pPr>
          </w:p>
        </w:tc>
        <w:tc>
          <w:tcPr>
            <w:tcW w:w="862" w:type="pct"/>
            <w:tcBorders>
              <w:top w:val="single" w:color="000000" w:sz="4" w:space="0"/>
              <w:left w:val="nil"/>
              <w:bottom w:val="single" w:color="000000" w:sz="4" w:space="0"/>
              <w:right w:val="single" w:color="000000" w:sz="4" w:space="0"/>
              <w:tl2br w:val="nil"/>
              <w:tr2bl w:val="nil"/>
            </w:tcBorders>
            <w:noWrap w:val="0"/>
            <w:vAlign w:val="center"/>
          </w:tcPr>
          <w:p w14:paraId="613B3371">
            <w:pPr>
              <w:widowControl/>
              <w:spacing w:beforeLines="0" w:afterLines="0"/>
              <w:jc w:val="left"/>
              <w:rPr>
                <w:rFonts w:hint="eastAsia" w:ascii="Times New Roman" w:eastAsia="Times New Roman" w:cs="Arial"/>
                <w:color w:val="auto"/>
                <w:sz w:val="24"/>
                <w:szCs w:val="21"/>
                <w:highlight w:val="none"/>
              </w:rPr>
            </w:pPr>
          </w:p>
        </w:tc>
        <w:tc>
          <w:tcPr>
            <w:tcW w:w="680" w:type="pct"/>
            <w:tcBorders>
              <w:top w:val="single" w:color="000000" w:sz="4" w:space="0"/>
              <w:left w:val="nil"/>
              <w:bottom w:val="single" w:color="000000" w:sz="4" w:space="0"/>
              <w:right w:val="single" w:color="000000" w:sz="4" w:space="0"/>
              <w:tl2br w:val="nil"/>
              <w:tr2bl w:val="nil"/>
            </w:tcBorders>
            <w:noWrap w:val="0"/>
            <w:vAlign w:val="center"/>
          </w:tcPr>
          <w:p w14:paraId="11D07D5C">
            <w:pPr>
              <w:widowControl/>
              <w:spacing w:beforeLines="0" w:afterLines="0"/>
              <w:jc w:val="right"/>
              <w:rPr>
                <w:rFonts w:hint="eastAsia" w:ascii="Times New Roman" w:eastAsia="Times New Roman" w:cs="Arial"/>
                <w:color w:val="auto"/>
                <w:sz w:val="24"/>
                <w:szCs w:val="21"/>
                <w:highlight w:val="none"/>
              </w:rPr>
            </w:pPr>
          </w:p>
        </w:tc>
        <w:tc>
          <w:tcPr>
            <w:tcW w:w="872" w:type="pct"/>
            <w:tcBorders>
              <w:top w:val="nil"/>
              <w:left w:val="nil"/>
              <w:bottom w:val="single" w:color="000000" w:sz="4" w:space="0"/>
              <w:right w:val="single" w:color="000000" w:sz="8" w:space="0"/>
              <w:tl2br w:val="nil"/>
              <w:tr2bl w:val="nil"/>
            </w:tcBorders>
            <w:noWrap w:val="0"/>
            <w:vAlign w:val="center"/>
          </w:tcPr>
          <w:p w14:paraId="1A69C23F">
            <w:pPr>
              <w:widowControl/>
              <w:spacing w:beforeLines="0" w:afterLines="0"/>
              <w:jc w:val="right"/>
              <w:rPr>
                <w:rFonts w:hint="eastAsia" w:ascii="Times New Roman" w:eastAsia="Times New Roman" w:cs="Arial"/>
                <w:color w:val="auto"/>
                <w:sz w:val="24"/>
                <w:szCs w:val="21"/>
                <w:highlight w:val="none"/>
              </w:rPr>
            </w:pPr>
          </w:p>
        </w:tc>
      </w:tr>
      <w:tr w14:paraId="0D672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28" w:type="pct"/>
            <w:gridSpan w:val="5"/>
            <w:tcBorders>
              <w:top w:val="single" w:color="000000" w:sz="4" w:space="0"/>
              <w:left w:val="single" w:color="000000" w:sz="8" w:space="0"/>
              <w:bottom w:val="single" w:color="000000" w:sz="8" w:space="0"/>
              <w:right w:val="single" w:color="000000" w:sz="4" w:space="0"/>
              <w:tl2br w:val="nil"/>
              <w:tr2bl w:val="nil"/>
            </w:tcBorders>
            <w:noWrap w:val="0"/>
            <w:vAlign w:val="center"/>
          </w:tcPr>
          <w:p w14:paraId="1AF27C6E">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872" w:type="pct"/>
            <w:tcBorders>
              <w:top w:val="nil"/>
              <w:left w:val="nil"/>
              <w:bottom w:val="single" w:color="000000" w:sz="8" w:space="0"/>
              <w:right w:val="single" w:color="000000" w:sz="8" w:space="0"/>
              <w:tl2br w:val="nil"/>
              <w:tr2bl w:val="nil"/>
            </w:tcBorders>
            <w:noWrap w:val="0"/>
            <w:vAlign w:val="center"/>
          </w:tcPr>
          <w:p w14:paraId="2D98A4FA">
            <w:pPr>
              <w:widowControl/>
              <w:spacing w:beforeLines="0" w:afterLines="0"/>
              <w:jc w:val="right"/>
              <w:rPr>
                <w:rFonts w:hint="eastAsia" w:ascii="Times New Roman" w:eastAsia="Times New Roman" w:cs="Arial"/>
                <w:color w:val="auto"/>
                <w:sz w:val="24"/>
                <w:szCs w:val="21"/>
                <w:highlight w:val="none"/>
              </w:rPr>
            </w:pPr>
          </w:p>
        </w:tc>
      </w:tr>
    </w:tbl>
    <w:p w14:paraId="2BA31E31">
      <w:pPr>
        <w:spacing w:before="240" w:beforeLines="100" w:after="240" w:afterLines="100"/>
        <w:jc w:val="center"/>
        <w:outlineLvl w:val="3"/>
        <w:rPr>
          <w:rFonts w:hint="eastAsia" w:ascii="Times New Roman" w:eastAsia="黑体"/>
          <w:color w:val="auto"/>
          <w:sz w:val="24"/>
          <w:szCs w:val="24"/>
          <w:highlight w:val="none"/>
        </w:rPr>
      </w:pPr>
      <w:bookmarkStart w:id="1554" w:name="_Toc460227131"/>
      <w:bookmarkStart w:id="1555" w:name="_Toc460660246"/>
      <w:r>
        <w:rPr>
          <w:rFonts w:hint="eastAsia" w:ascii="Times New Roman" w:eastAsia="Times New Roman"/>
          <w:color w:val="auto"/>
          <w:sz w:val="28"/>
          <w:szCs w:val="28"/>
          <w:highlight w:val="none"/>
        </w:rPr>
        <w:br w:type="page"/>
      </w:r>
      <w:bookmarkStart w:id="1556" w:name="_Toc2248"/>
      <w:bookmarkStart w:id="1557" w:name="_Toc8245"/>
      <w:bookmarkStart w:id="1558" w:name="_Toc128950310"/>
      <w:bookmarkStart w:id="1559" w:name="_Toc20810"/>
      <w:bookmarkStart w:id="1560" w:name="_Toc23991"/>
      <w:bookmarkStart w:id="1561" w:name="_Toc13337"/>
      <w:bookmarkStart w:id="1562" w:name="_Toc14045"/>
      <w:bookmarkStart w:id="1563" w:name="_Toc30789"/>
      <w:bookmarkStart w:id="1564" w:name="_Toc11208"/>
      <w:bookmarkStart w:id="1565" w:name="_Toc14944"/>
      <w:r>
        <w:rPr>
          <w:rFonts w:hint="eastAsia" w:ascii="Times New Roman" w:eastAsia="黑体"/>
          <w:color w:val="auto"/>
          <w:sz w:val="24"/>
          <w:szCs w:val="24"/>
          <w:highlight w:val="none"/>
        </w:rPr>
        <w:t>（九）</w:t>
      </w:r>
      <w:bookmarkEnd w:id="1554"/>
      <w:bookmarkEnd w:id="1555"/>
      <w:r>
        <w:rPr>
          <w:rFonts w:hint="eastAsia" w:ascii="Times New Roman" w:eastAsia="黑体"/>
          <w:color w:val="auto"/>
          <w:sz w:val="24"/>
          <w:szCs w:val="24"/>
          <w:highlight w:val="none"/>
        </w:rPr>
        <w:t>其他项目清单与计价汇总表</w:t>
      </w:r>
      <w:bookmarkEnd w:id="1556"/>
      <w:bookmarkEnd w:id="1557"/>
      <w:bookmarkEnd w:id="1558"/>
      <w:bookmarkEnd w:id="1559"/>
      <w:bookmarkEnd w:id="1560"/>
      <w:bookmarkEnd w:id="1561"/>
      <w:bookmarkEnd w:id="1562"/>
      <w:bookmarkEnd w:id="1563"/>
      <w:bookmarkEnd w:id="1564"/>
      <w:bookmarkEnd w:id="1565"/>
    </w:p>
    <w:p w14:paraId="0A3B3696">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43"/>
        <w:gridCol w:w="3868"/>
        <w:gridCol w:w="3105"/>
      </w:tblGrid>
      <w:tr w14:paraId="185BE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06"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2A3B8A60">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2271"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00DB5C02">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项目名称</w:t>
            </w:r>
          </w:p>
        </w:tc>
        <w:tc>
          <w:tcPr>
            <w:tcW w:w="1823"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50E036F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r>
      <w:tr w14:paraId="5A282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6" w:type="pct"/>
            <w:tcBorders>
              <w:top w:val="nil"/>
              <w:left w:val="single" w:color="000000" w:sz="8" w:space="0"/>
              <w:bottom w:val="single" w:color="000000" w:sz="4" w:space="0"/>
              <w:right w:val="single" w:color="000000" w:sz="4" w:space="0"/>
              <w:tl2br w:val="nil"/>
              <w:tr2bl w:val="nil"/>
            </w:tcBorders>
            <w:noWrap w:val="0"/>
            <w:vAlign w:val="center"/>
          </w:tcPr>
          <w:p w14:paraId="009BCD4E">
            <w:pPr>
              <w:widowControl/>
              <w:spacing w:beforeLines="0" w:afterLines="0"/>
              <w:jc w:val="center"/>
              <w:rPr>
                <w:rFonts w:hint="eastAsia" w:ascii="Times New Roman" w:eastAsia="Times New Roman" w:cs="Arial"/>
                <w:color w:val="auto"/>
                <w:sz w:val="24"/>
                <w:szCs w:val="21"/>
                <w:highlight w:val="none"/>
              </w:rPr>
            </w:pPr>
          </w:p>
        </w:tc>
        <w:tc>
          <w:tcPr>
            <w:tcW w:w="2271" w:type="pct"/>
            <w:tcBorders>
              <w:top w:val="single" w:color="000000" w:sz="4" w:space="0"/>
              <w:left w:val="nil"/>
              <w:bottom w:val="single" w:color="000000" w:sz="4" w:space="0"/>
              <w:right w:val="single" w:color="000000" w:sz="4" w:space="0"/>
              <w:tl2br w:val="nil"/>
              <w:tr2bl w:val="nil"/>
            </w:tcBorders>
            <w:noWrap w:val="0"/>
            <w:vAlign w:val="center"/>
          </w:tcPr>
          <w:p w14:paraId="14B9272F">
            <w:pPr>
              <w:widowControl/>
              <w:spacing w:beforeLines="0" w:afterLines="0"/>
              <w:jc w:val="left"/>
              <w:rPr>
                <w:rFonts w:hint="eastAsia" w:ascii="Times New Roman" w:eastAsia="Times New Roman" w:cs="Arial"/>
                <w:color w:val="auto"/>
                <w:sz w:val="24"/>
                <w:szCs w:val="21"/>
                <w:highlight w:val="none"/>
              </w:rPr>
            </w:pPr>
          </w:p>
        </w:tc>
        <w:tc>
          <w:tcPr>
            <w:tcW w:w="1823" w:type="pct"/>
            <w:tcBorders>
              <w:top w:val="single" w:color="000000" w:sz="4" w:space="0"/>
              <w:left w:val="nil"/>
              <w:bottom w:val="single" w:color="000000" w:sz="4" w:space="0"/>
              <w:right w:val="single" w:color="000000" w:sz="8" w:space="0"/>
              <w:tl2br w:val="nil"/>
              <w:tr2bl w:val="nil"/>
            </w:tcBorders>
            <w:noWrap w:val="0"/>
            <w:vAlign w:val="center"/>
          </w:tcPr>
          <w:p w14:paraId="6706ACB2">
            <w:pPr>
              <w:widowControl/>
              <w:spacing w:beforeLines="0" w:afterLines="0"/>
              <w:jc w:val="righ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w:t>
            </w:r>
          </w:p>
        </w:tc>
      </w:tr>
      <w:tr w14:paraId="3350A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6" w:type="pct"/>
            <w:tcBorders>
              <w:top w:val="nil"/>
              <w:left w:val="single" w:color="000000" w:sz="8" w:space="0"/>
              <w:bottom w:val="single" w:color="000000" w:sz="4" w:space="0"/>
              <w:right w:val="single" w:color="000000" w:sz="4" w:space="0"/>
              <w:tl2br w:val="nil"/>
              <w:tr2bl w:val="nil"/>
            </w:tcBorders>
            <w:noWrap w:val="0"/>
            <w:vAlign w:val="center"/>
          </w:tcPr>
          <w:p w14:paraId="75D21FBF">
            <w:pPr>
              <w:widowControl/>
              <w:spacing w:beforeLines="0" w:afterLines="0"/>
              <w:jc w:val="center"/>
              <w:rPr>
                <w:rFonts w:hint="eastAsia" w:ascii="Times New Roman" w:eastAsia="Times New Roman" w:cs="Arial"/>
                <w:color w:val="auto"/>
                <w:sz w:val="24"/>
                <w:szCs w:val="21"/>
                <w:highlight w:val="none"/>
              </w:rPr>
            </w:pPr>
          </w:p>
        </w:tc>
        <w:tc>
          <w:tcPr>
            <w:tcW w:w="2271" w:type="pct"/>
            <w:tcBorders>
              <w:top w:val="single" w:color="000000" w:sz="4" w:space="0"/>
              <w:left w:val="nil"/>
              <w:bottom w:val="single" w:color="000000" w:sz="4" w:space="0"/>
              <w:right w:val="single" w:color="000000" w:sz="4" w:space="0"/>
              <w:tl2br w:val="nil"/>
              <w:tr2bl w:val="nil"/>
            </w:tcBorders>
            <w:noWrap w:val="0"/>
            <w:vAlign w:val="center"/>
          </w:tcPr>
          <w:p w14:paraId="076158D7">
            <w:pPr>
              <w:widowControl/>
              <w:spacing w:beforeLines="0" w:afterLines="0"/>
              <w:jc w:val="left"/>
              <w:rPr>
                <w:rFonts w:hint="eastAsia" w:ascii="Times New Roman" w:eastAsia="Times New Roman" w:cs="Arial"/>
                <w:color w:val="auto"/>
                <w:sz w:val="24"/>
                <w:szCs w:val="21"/>
                <w:highlight w:val="none"/>
              </w:rPr>
            </w:pPr>
          </w:p>
        </w:tc>
        <w:tc>
          <w:tcPr>
            <w:tcW w:w="1823" w:type="pct"/>
            <w:tcBorders>
              <w:top w:val="single" w:color="000000" w:sz="4" w:space="0"/>
              <w:left w:val="nil"/>
              <w:bottom w:val="single" w:color="000000" w:sz="4" w:space="0"/>
              <w:right w:val="single" w:color="000000" w:sz="8" w:space="0"/>
              <w:tl2br w:val="nil"/>
              <w:tr2bl w:val="nil"/>
            </w:tcBorders>
            <w:noWrap w:val="0"/>
            <w:vAlign w:val="center"/>
          </w:tcPr>
          <w:p w14:paraId="4FEF7DB7">
            <w:pPr>
              <w:widowControl/>
              <w:spacing w:beforeLines="0" w:afterLines="0"/>
              <w:jc w:val="righ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w:t>
            </w:r>
          </w:p>
        </w:tc>
      </w:tr>
      <w:tr w14:paraId="40D1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6" w:type="pct"/>
            <w:tcBorders>
              <w:top w:val="nil"/>
              <w:left w:val="single" w:color="000000" w:sz="8" w:space="0"/>
              <w:bottom w:val="single" w:color="000000" w:sz="4" w:space="0"/>
              <w:right w:val="single" w:color="000000" w:sz="4" w:space="0"/>
              <w:tl2br w:val="nil"/>
              <w:tr2bl w:val="nil"/>
            </w:tcBorders>
            <w:noWrap w:val="0"/>
            <w:vAlign w:val="center"/>
          </w:tcPr>
          <w:p w14:paraId="32ADD971">
            <w:pPr>
              <w:widowControl/>
              <w:spacing w:beforeLines="0" w:afterLines="0"/>
              <w:jc w:val="center"/>
              <w:rPr>
                <w:rFonts w:hint="eastAsia" w:ascii="Times New Roman" w:eastAsia="Times New Roman" w:cs="Arial"/>
                <w:color w:val="auto"/>
                <w:sz w:val="24"/>
                <w:szCs w:val="21"/>
                <w:highlight w:val="none"/>
              </w:rPr>
            </w:pPr>
          </w:p>
        </w:tc>
        <w:tc>
          <w:tcPr>
            <w:tcW w:w="2271" w:type="pct"/>
            <w:tcBorders>
              <w:top w:val="single" w:color="000000" w:sz="4" w:space="0"/>
              <w:left w:val="nil"/>
              <w:bottom w:val="single" w:color="000000" w:sz="4" w:space="0"/>
              <w:right w:val="single" w:color="000000" w:sz="4" w:space="0"/>
              <w:tl2br w:val="nil"/>
              <w:tr2bl w:val="nil"/>
            </w:tcBorders>
            <w:noWrap w:val="0"/>
            <w:vAlign w:val="center"/>
          </w:tcPr>
          <w:p w14:paraId="628C4EFA">
            <w:pPr>
              <w:widowControl/>
              <w:spacing w:beforeLines="0" w:afterLines="0"/>
              <w:jc w:val="left"/>
              <w:rPr>
                <w:rFonts w:hint="eastAsia" w:ascii="Times New Roman" w:eastAsia="Times New Roman" w:cs="Arial"/>
                <w:color w:val="auto"/>
                <w:sz w:val="24"/>
                <w:szCs w:val="21"/>
                <w:highlight w:val="none"/>
              </w:rPr>
            </w:pPr>
          </w:p>
        </w:tc>
        <w:tc>
          <w:tcPr>
            <w:tcW w:w="1823" w:type="pct"/>
            <w:tcBorders>
              <w:top w:val="single" w:color="000000" w:sz="4" w:space="0"/>
              <w:left w:val="nil"/>
              <w:bottom w:val="single" w:color="000000" w:sz="4" w:space="0"/>
              <w:right w:val="single" w:color="000000" w:sz="8" w:space="0"/>
              <w:tl2br w:val="nil"/>
              <w:tr2bl w:val="nil"/>
            </w:tcBorders>
            <w:noWrap w:val="0"/>
            <w:vAlign w:val="center"/>
          </w:tcPr>
          <w:p w14:paraId="236D07FD">
            <w:pPr>
              <w:widowControl/>
              <w:spacing w:beforeLines="0" w:afterLines="0"/>
              <w:jc w:val="righ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　</w:t>
            </w:r>
          </w:p>
        </w:tc>
      </w:tr>
      <w:tr w14:paraId="2EC81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177" w:type="pct"/>
            <w:gridSpan w:val="2"/>
            <w:tcBorders>
              <w:top w:val="single" w:color="000000" w:sz="4" w:space="0"/>
              <w:left w:val="single" w:color="000000" w:sz="8" w:space="0"/>
              <w:bottom w:val="single" w:color="000000" w:sz="8" w:space="0"/>
              <w:right w:val="single" w:color="000000" w:sz="4" w:space="0"/>
              <w:tl2br w:val="nil"/>
              <w:tr2bl w:val="nil"/>
            </w:tcBorders>
            <w:noWrap w:val="0"/>
            <w:vAlign w:val="center"/>
          </w:tcPr>
          <w:p w14:paraId="05AB83E3">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1823" w:type="pct"/>
            <w:tcBorders>
              <w:top w:val="single" w:color="000000" w:sz="4" w:space="0"/>
              <w:left w:val="nil"/>
              <w:bottom w:val="single" w:color="000000" w:sz="8" w:space="0"/>
              <w:right w:val="single" w:color="000000" w:sz="8" w:space="0"/>
              <w:tl2br w:val="nil"/>
              <w:tr2bl w:val="nil"/>
            </w:tcBorders>
            <w:noWrap w:val="0"/>
            <w:vAlign w:val="center"/>
          </w:tcPr>
          <w:p w14:paraId="4D3BA88C">
            <w:pPr>
              <w:widowControl/>
              <w:spacing w:beforeLines="0" w:afterLines="0"/>
              <w:jc w:val="right"/>
              <w:rPr>
                <w:rFonts w:hint="eastAsia" w:ascii="Times New Roman" w:eastAsia="Times New Roman" w:cs="Arial"/>
                <w:color w:val="auto"/>
                <w:sz w:val="24"/>
                <w:szCs w:val="21"/>
                <w:highlight w:val="none"/>
              </w:rPr>
            </w:pPr>
          </w:p>
        </w:tc>
      </w:tr>
    </w:tbl>
    <w:p w14:paraId="524870AA">
      <w:pPr>
        <w:spacing w:beforeLines="0" w:afterLines="0"/>
        <w:jc w:val="center"/>
        <w:rPr>
          <w:rFonts w:hint="eastAsia" w:ascii="Times New Roman"/>
          <w:color w:val="auto"/>
          <w:sz w:val="28"/>
          <w:szCs w:val="28"/>
          <w:highlight w:val="none"/>
        </w:rPr>
      </w:pPr>
      <w:bookmarkStart w:id="1566" w:name="_Toc460660247"/>
      <w:bookmarkStart w:id="1567" w:name="_Toc460227132"/>
      <w:bookmarkStart w:id="1568" w:name="_Toc535241136"/>
    </w:p>
    <w:p w14:paraId="19957A0B">
      <w:pPr>
        <w:spacing w:before="240" w:beforeLines="100" w:after="240" w:afterLines="100"/>
        <w:jc w:val="center"/>
        <w:outlineLvl w:val="3"/>
        <w:rPr>
          <w:rFonts w:hint="eastAsia" w:ascii="Times New Roman" w:eastAsia="Times New Roman"/>
          <w:color w:val="auto"/>
          <w:sz w:val="24"/>
          <w:szCs w:val="24"/>
          <w:highlight w:val="none"/>
        </w:rPr>
      </w:pPr>
      <w:bookmarkStart w:id="1569" w:name="_Toc8607"/>
      <w:r>
        <w:rPr>
          <w:rFonts w:hint="eastAsia" w:ascii="Times New Roman"/>
          <w:color w:val="auto"/>
          <w:sz w:val="28"/>
          <w:szCs w:val="28"/>
          <w:highlight w:val="none"/>
        </w:rPr>
        <w:br w:type="page"/>
      </w:r>
      <w:bookmarkStart w:id="1570" w:name="_Toc27415"/>
      <w:bookmarkStart w:id="1571" w:name="_Toc24133"/>
      <w:bookmarkStart w:id="1572" w:name="_Toc22406"/>
      <w:bookmarkStart w:id="1573" w:name="_Toc128950311"/>
      <w:bookmarkStart w:id="1574" w:name="_Toc26873"/>
      <w:bookmarkStart w:id="1575" w:name="_Toc16111"/>
      <w:bookmarkStart w:id="1576" w:name="_Toc28106"/>
      <w:bookmarkStart w:id="1577" w:name="_Toc29920"/>
      <w:bookmarkStart w:id="1578" w:name="_Toc30148"/>
      <w:r>
        <w:rPr>
          <w:rFonts w:hint="eastAsia" w:ascii="Times New Roman" w:eastAsia="黑体"/>
          <w:color w:val="auto"/>
          <w:sz w:val="24"/>
          <w:szCs w:val="24"/>
          <w:highlight w:val="none"/>
        </w:rPr>
        <w:t>（十）</w:t>
      </w:r>
      <w:bookmarkEnd w:id="1566"/>
      <w:bookmarkEnd w:id="1567"/>
      <w:r>
        <w:rPr>
          <w:rFonts w:hint="eastAsia" w:ascii="Times New Roman" w:eastAsia="黑体"/>
          <w:color w:val="auto"/>
          <w:sz w:val="24"/>
          <w:szCs w:val="24"/>
          <w:highlight w:val="none"/>
        </w:rPr>
        <w:t>暂列金额明细表</w:t>
      </w:r>
      <w:bookmarkEnd w:id="1568"/>
      <w:bookmarkEnd w:id="1569"/>
      <w:bookmarkEnd w:id="1570"/>
      <w:bookmarkEnd w:id="1571"/>
      <w:bookmarkEnd w:id="1572"/>
      <w:bookmarkEnd w:id="1573"/>
      <w:bookmarkEnd w:id="1574"/>
      <w:bookmarkEnd w:id="1575"/>
      <w:bookmarkEnd w:id="1576"/>
      <w:bookmarkEnd w:id="1577"/>
      <w:bookmarkEnd w:id="1578"/>
    </w:p>
    <w:p w14:paraId="105265BB">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8"/>
        <w:gridCol w:w="3008"/>
        <w:gridCol w:w="1288"/>
        <w:gridCol w:w="1739"/>
        <w:gridCol w:w="1613"/>
      </w:tblGrid>
      <w:tr w14:paraId="7DA7B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10"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47C9A8BA">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766"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19326DF6">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项目名称</w:t>
            </w:r>
          </w:p>
        </w:tc>
        <w:tc>
          <w:tcPr>
            <w:tcW w:w="756"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0851D43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计量单位</w:t>
            </w:r>
          </w:p>
        </w:tc>
        <w:tc>
          <w:tcPr>
            <w:tcW w:w="1021"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31817C35">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暂定金额(元)</w:t>
            </w:r>
          </w:p>
        </w:tc>
        <w:tc>
          <w:tcPr>
            <w:tcW w:w="947"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647CB8C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备注</w:t>
            </w:r>
          </w:p>
        </w:tc>
      </w:tr>
      <w:tr w14:paraId="1AED5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10" w:type="pct"/>
            <w:tcBorders>
              <w:top w:val="nil"/>
              <w:left w:val="single" w:color="000000" w:sz="8" w:space="0"/>
              <w:bottom w:val="single" w:color="000000" w:sz="4" w:space="0"/>
              <w:right w:val="single" w:color="000000" w:sz="4" w:space="0"/>
              <w:tl2br w:val="nil"/>
              <w:tr2bl w:val="nil"/>
            </w:tcBorders>
            <w:noWrap w:val="0"/>
            <w:vAlign w:val="center"/>
          </w:tcPr>
          <w:p w14:paraId="1C6E690D">
            <w:pPr>
              <w:widowControl/>
              <w:spacing w:beforeLines="0" w:afterLines="0"/>
              <w:jc w:val="center"/>
              <w:rPr>
                <w:rFonts w:hint="eastAsia" w:ascii="Times New Roman" w:eastAsia="Times New Roman" w:cs="Arial"/>
                <w:color w:val="auto"/>
                <w:sz w:val="24"/>
                <w:szCs w:val="21"/>
                <w:highlight w:val="none"/>
              </w:rPr>
            </w:pPr>
          </w:p>
        </w:tc>
        <w:tc>
          <w:tcPr>
            <w:tcW w:w="1766" w:type="pct"/>
            <w:tcBorders>
              <w:top w:val="single" w:color="000000" w:sz="4" w:space="0"/>
              <w:left w:val="nil"/>
              <w:bottom w:val="single" w:color="000000" w:sz="4" w:space="0"/>
              <w:right w:val="single" w:color="000000" w:sz="4" w:space="0"/>
              <w:tl2br w:val="nil"/>
              <w:tr2bl w:val="nil"/>
            </w:tcBorders>
            <w:noWrap w:val="0"/>
            <w:vAlign w:val="center"/>
          </w:tcPr>
          <w:p w14:paraId="4CDBAB04">
            <w:pPr>
              <w:widowControl/>
              <w:spacing w:beforeLines="0" w:afterLines="0"/>
              <w:jc w:val="left"/>
              <w:rPr>
                <w:rFonts w:hint="eastAsia" w:ascii="Times New Roman" w:eastAsia="Times New Roman" w:cs="Arial"/>
                <w:color w:val="auto"/>
                <w:sz w:val="24"/>
                <w:szCs w:val="21"/>
                <w:highlight w:val="none"/>
              </w:rPr>
            </w:pPr>
          </w:p>
        </w:tc>
        <w:tc>
          <w:tcPr>
            <w:tcW w:w="756" w:type="pct"/>
            <w:tcBorders>
              <w:top w:val="nil"/>
              <w:left w:val="nil"/>
              <w:bottom w:val="single" w:color="000000" w:sz="4" w:space="0"/>
              <w:right w:val="single" w:color="000000" w:sz="4" w:space="0"/>
              <w:tl2br w:val="nil"/>
              <w:tr2bl w:val="nil"/>
            </w:tcBorders>
            <w:noWrap w:val="0"/>
            <w:vAlign w:val="center"/>
          </w:tcPr>
          <w:p w14:paraId="58C8E3B0">
            <w:pPr>
              <w:widowControl/>
              <w:spacing w:beforeLines="0" w:afterLines="0"/>
              <w:jc w:val="center"/>
              <w:rPr>
                <w:rFonts w:hint="eastAsia" w:ascii="Times New Roman" w:eastAsia="Times New Roman" w:cs="Arial"/>
                <w:color w:val="auto"/>
                <w:sz w:val="24"/>
                <w:szCs w:val="21"/>
                <w:highlight w:val="none"/>
              </w:rPr>
            </w:pPr>
          </w:p>
        </w:tc>
        <w:tc>
          <w:tcPr>
            <w:tcW w:w="1021" w:type="pct"/>
            <w:tcBorders>
              <w:top w:val="single" w:color="000000" w:sz="4" w:space="0"/>
              <w:left w:val="nil"/>
              <w:bottom w:val="single" w:color="000000" w:sz="4" w:space="0"/>
              <w:right w:val="single" w:color="000000" w:sz="4" w:space="0"/>
              <w:tl2br w:val="nil"/>
              <w:tr2bl w:val="nil"/>
            </w:tcBorders>
            <w:noWrap w:val="0"/>
            <w:vAlign w:val="center"/>
          </w:tcPr>
          <w:p w14:paraId="563B09BA">
            <w:pPr>
              <w:widowControl/>
              <w:spacing w:beforeLines="0" w:afterLines="0"/>
              <w:jc w:val="right"/>
              <w:rPr>
                <w:rFonts w:hint="eastAsia" w:ascii="Times New Roman" w:eastAsia="Times New Roman" w:cs="Arial"/>
                <w:color w:val="auto"/>
                <w:sz w:val="24"/>
                <w:szCs w:val="21"/>
                <w:highlight w:val="none"/>
              </w:rPr>
            </w:pPr>
          </w:p>
        </w:tc>
        <w:tc>
          <w:tcPr>
            <w:tcW w:w="947" w:type="pct"/>
            <w:tcBorders>
              <w:top w:val="nil"/>
              <w:left w:val="nil"/>
              <w:bottom w:val="single" w:color="000000" w:sz="4" w:space="0"/>
              <w:right w:val="single" w:color="000000" w:sz="8" w:space="0"/>
              <w:tl2br w:val="nil"/>
              <w:tr2bl w:val="nil"/>
            </w:tcBorders>
            <w:noWrap w:val="0"/>
            <w:vAlign w:val="center"/>
          </w:tcPr>
          <w:p w14:paraId="28A161A3">
            <w:pPr>
              <w:widowControl/>
              <w:spacing w:beforeLines="0" w:afterLines="0"/>
              <w:jc w:val="left"/>
              <w:rPr>
                <w:rFonts w:hint="eastAsia" w:ascii="Times New Roman" w:eastAsia="Times New Roman" w:cs="Arial"/>
                <w:color w:val="auto"/>
                <w:sz w:val="24"/>
                <w:szCs w:val="21"/>
                <w:highlight w:val="none"/>
              </w:rPr>
            </w:pPr>
          </w:p>
        </w:tc>
      </w:tr>
      <w:tr w14:paraId="5E85D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10" w:type="pct"/>
            <w:tcBorders>
              <w:top w:val="nil"/>
              <w:left w:val="single" w:color="000000" w:sz="8" w:space="0"/>
              <w:bottom w:val="single" w:color="000000" w:sz="4" w:space="0"/>
              <w:right w:val="single" w:color="000000" w:sz="4" w:space="0"/>
              <w:tl2br w:val="nil"/>
              <w:tr2bl w:val="nil"/>
            </w:tcBorders>
            <w:noWrap w:val="0"/>
            <w:vAlign w:val="center"/>
          </w:tcPr>
          <w:p w14:paraId="7C4297F3">
            <w:pPr>
              <w:widowControl/>
              <w:spacing w:beforeLines="0" w:afterLines="0"/>
              <w:jc w:val="center"/>
              <w:rPr>
                <w:rFonts w:hint="eastAsia" w:ascii="Times New Roman" w:eastAsia="Times New Roman" w:cs="Arial"/>
                <w:color w:val="auto"/>
                <w:sz w:val="24"/>
                <w:szCs w:val="21"/>
                <w:highlight w:val="none"/>
              </w:rPr>
            </w:pPr>
          </w:p>
        </w:tc>
        <w:tc>
          <w:tcPr>
            <w:tcW w:w="1766" w:type="pct"/>
            <w:tcBorders>
              <w:top w:val="single" w:color="000000" w:sz="4" w:space="0"/>
              <w:left w:val="nil"/>
              <w:bottom w:val="single" w:color="000000" w:sz="4" w:space="0"/>
              <w:right w:val="single" w:color="000000" w:sz="4" w:space="0"/>
              <w:tl2br w:val="nil"/>
              <w:tr2bl w:val="nil"/>
            </w:tcBorders>
            <w:noWrap w:val="0"/>
            <w:vAlign w:val="center"/>
          </w:tcPr>
          <w:p w14:paraId="5E33CBEF">
            <w:pPr>
              <w:widowControl/>
              <w:spacing w:beforeLines="0" w:afterLines="0"/>
              <w:jc w:val="left"/>
              <w:rPr>
                <w:rFonts w:hint="eastAsia" w:ascii="Times New Roman" w:eastAsia="Times New Roman" w:cs="Arial"/>
                <w:color w:val="auto"/>
                <w:sz w:val="24"/>
                <w:szCs w:val="21"/>
                <w:highlight w:val="none"/>
              </w:rPr>
            </w:pPr>
          </w:p>
        </w:tc>
        <w:tc>
          <w:tcPr>
            <w:tcW w:w="756" w:type="pct"/>
            <w:tcBorders>
              <w:top w:val="nil"/>
              <w:left w:val="nil"/>
              <w:bottom w:val="single" w:color="000000" w:sz="4" w:space="0"/>
              <w:right w:val="single" w:color="000000" w:sz="4" w:space="0"/>
              <w:tl2br w:val="nil"/>
              <w:tr2bl w:val="nil"/>
            </w:tcBorders>
            <w:noWrap w:val="0"/>
            <w:vAlign w:val="center"/>
          </w:tcPr>
          <w:p w14:paraId="299EF481">
            <w:pPr>
              <w:widowControl/>
              <w:spacing w:beforeLines="0" w:afterLines="0"/>
              <w:jc w:val="center"/>
              <w:rPr>
                <w:rFonts w:hint="eastAsia" w:ascii="Times New Roman" w:eastAsia="Times New Roman" w:cs="Arial"/>
                <w:color w:val="auto"/>
                <w:sz w:val="24"/>
                <w:szCs w:val="21"/>
                <w:highlight w:val="none"/>
              </w:rPr>
            </w:pPr>
          </w:p>
        </w:tc>
        <w:tc>
          <w:tcPr>
            <w:tcW w:w="1021" w:type="pct"/>
            <w:tcBorders>
              <w:top w:val="single" w:color="000000" w:sz="4" w:space="0"/>
              <w:left w:val="nil"/>
              <w:bottom w:val="single" w:color="000000" w:sz="4" w:space="0"/>
              <w:right w:val="single" w:color="000000" w:sz="4" w:space="0"/>
              <w:tl2br w:val="nil"/>
              <w:tr2bl w:val="nil"/>
            </w:tcBorders>
            <w:noWrap w:val="0"/>
            <w:vAlign w:val="center"/>
          </w:tcPr>
          <w:p w14:paraId="062FABBA">
            <w:pPr>
              <w:widowControl/>
              <w:spacing w:beforeLines="0" w:afterLines="0"/>
              <w:jc w:val="right"/>
              <w:rPr>
                <w:rFonts w:hint="eastAsia" w:ascii="Times New Roman" w:eastAsia="Times New Roman" w:cs="Arial"/>
                <w:color w:val="auto"/>
                <w:sz w:val="24"/>
                <w:szCs w:val="21"/>
                <w:highlight w:val="none"/>
              </w:rPr>
            </w:pPr>
          </w:p>
        </w:tc>
        <w:tc>
          <w:tcPr>
            <w:tcW w:w="947" w:type="pct"/>
            <w:tcBorders>
              <w:top w:val="nil"/>
              <w:left w:val="nil"/>
              <w:bottom w:val="single" w:color="000000" w:sz="4" w:space="0"/>
              <w:right w:val="single" w:color="000000" w:sz="8" w:space="0"/>
              <w:tl2br w:val="nil"/>
              <w:tr2bl w:val="nil"/>
            </w:tcBorders>
            <w:noWrap w:val="0"/>
            <w:vAlign w:val="center"/>
          </w:tcPr>
          <w:p w14:paraId="4B234CE4">
            <w:pPr>
              <w:widowControl/>
              <w:spacing w:beforeLines="0" w:afterLines="0"/>
              <w:jc w:val="left"/>
              <w:rPr>
                <w:rFonts w:hint="eastAsia" w:ascii="Times New Roman" w:eastAsia="Times New Roman" w:cs="Arial"/>
                <w:color w:val="auto"/>
                <w:sz w:val="24"/>
                <w:szCs w:val="21"/>
                <w:highlight w:val="none"/>
              </w:rPr>
            </w:pPr>
          </w:p>
        </w:tc>
      </w:tr>
      <w:tr w14:paraId="30234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10" w:type="pct"/>
            <w:tcBorders>
              <w:top w:val="nil"/>
              <w:left w:val="single" w:color="000000" w:sz="8" w:space="0"/>
              <w:bottom w:val="single" w:color="000000" w:sz="4" w:space="0"/>
              <w:right w:val="single" w:color="000000" w:sz="4" w:space="0"/>
              <w:tl2br w:val="nil"/>
              <w:tr2bl w:val="nil"/>
            </w:tcBorders>
            <w:noWrap w:val="0"/>
            <w:vAlign w:val="center"/>
          </w:tcPr>
          <w:p w14:paraId="7C57D188">
            <w:pPr>
              <w:widowControl/>
              <w:spacing w:beforeLines="0" w:afterLines="0"/>
              <w:jc w:val="center"/>
              <w:rPr>
                <w:rFonts w:hint="eastAsia" w:ascii="Times New Roman" w:eastAsia="Times New Roman" w:cs="Arial"/>
                <w:color w:val="auto"/>
                <w:sz w:val="24"/>
                <w:szCs w:val="21"/>
                <w:highlight w:val="none"/>
              </w:rPr>
            </w:pPr>
          </w:p>
        </w:tc>
        <w:tc>
          <w:tcPr>
            <w:tcW w:w="1766" w:type="pct"/>
            <w:tcBorders>
              <w:top w:val="single" w:color="000000" w:sz="4" w:space="0"/>
              <w:left w:val="nil"/>
              <w:bottom w:val="single" w:color="000000" w:sz="4" w:space="0"/>
              <w:right w:val="single" w:color="000000" w:sz="4" w:space="0"/>
              <w:tl2br w:val="nil"/>
              <w:tr2bl w:val="nil"/>
            </w:tcBorders>
            <w:noWrap w:val="0"/>
            <w:vAlign w:val="center"/>
          </w:tcPr>
          <w:p w14:paraId="26FB39E6">
            <w:pPr>
              <w:widowControl/>
              <w:spacing w:beforeLines="0" w:afterLines="0"/>
              <w:jc w:val="left"/>
              <w:rPr>
                <w:rFonts w:hint="eastAsia" w:ascii="Times New Roman" w:eastAsia="Times New Roman" w:cs="Arial"/>
                <w:color w:val="auto"/>
                <w:sz w:val="24"/>
                <w:szCs w:val="21"/>
                <w:highlight w:val="none"/>
              </w:rPr>
            </w:pPr>
          </w:p>
        </w:tc>
        <w:tc>
          <w:tcPr>
            <w:tcW w:w="756" w:type="pct"/>
            <w:tcBorders>
              <w:top w:val="nil"/>
              <w:left w:val="nil"/>
              <w:bottom w:val="single" w:color="000000" w:sz="4" w:space="0"/>
              <w:right w:val="single" w:color="000000" w:sz="4" w:space="0"/>
              <w:tl2br w:val="nil"/>
              <w:tr2bl w:val="nil"/>
            </w:tcBorders>
            <w:noWrap w:val="0"/>
            <w:vAlign w:val="center"/>
          </w:tcPr>
          <w:p w14:paraId="10A891CA">
            <w:pPr>
              <w:widowControl/>
              <w:spacing w:beforeLines="0" w:afterLines="0"/>
              <w:jc w:val="center"/>
              <w:rPr>
                <w:rFonts w:hint="eastAsia" w:ascii="Times New Roman" w:eastAsia="Times New Roman" w:cs="Arial"/>
                <w:color w:val="auto"/>
                <w:sz w:val="24"/>
                <w:szCs w:val="21"/>
                <w:highlight w:val="none"/>
              </w:rPr>
            </w:pPr>
          </w:p>
        </w:tc>
        <w:tc>
          <w:tcPr>
            <w:tcW w:w="1021" w:type="pct"/>
            <w:tcBorders>
              <w:top w:val="single" w:color="000000" w:sz="4" w:space="0"/>
              <w:left w:val="nil"/>
              <w:bottom w:val="single" w:color="000000" w:sz="4" w:space="0"/>
              <w:right w:val="single" w:color="000000" w:sz="4" w:space="0"/>
              <w:tl2br w:val="nil"/>
              <w:tr2bl w:val="nil"/>
            </w:tcBorders>
            <w:noWrap w:val="0"/>
            <w:vAlign w:val="center"/>
          </w:tcPr>
          <w:p w14:paraId="0D38A2E7">
            <w:pPr>
              <w:widowControl/>
              <w:spacing w:beforeLines="0" w:afterLines="0"/>
              <w:jc w:val="right"/>
              <w:rPr>
                <w:rFonts w:hint="eastAsia" w:ascii="Times New Roman" w:eastAsia="Times New Roman" w:cs="Arial"/>
                <w:color w:val="auto"/>
                <w:sz w:val="24"/>
                <w:szCs w:val="21"/>
                <w:highlight w:val="none"/>
              </w:rPr>
            </w:pPr>
          </w:p>
        </w:tc>
        <w:tc>
          <w:tcPr>
            <w:tcW w:w="947" w:type="pct"/>
            <w:tcBorders>
              <w:top w:val="nil"/>
              <w:left w:val="nil"/>
              <w:bottom w:val="single" w:color="000000" w:sz="4" w:space="0"/>
              <w:right w:val="single" w:color="000000" w:sz="8" w:space="0"/>
              <w:tl2br w:val="nil"/>
              <w:tr2bl w:val="nil"/>
            </w:tcBorders>
            <w:noWrap w:val="0"/>
            <w:vAlign w:val="center"/>
          </w:tcPr>
          <w:p w14:paraId="26DC6975">
            <w:pPr>
              <w:widowControl/>
              <w:spacing w:beforeLines="0" w:afterLines="0"/>
              <w:jc w:val="left"/>
              <w:rPr>
                <w:rFonts w:hint="eastAsia" w:ascii="Times New Roman" w:eastAsia="Times New Roman" w:cs="Arial"/>
                <w:color w:val="auto"/>
                <w:sz w:val="24"/>
                <w:szCs w:val="21"/>
                <w:highlight w:val="none"/>
              </w:rPr>
            </w:pPr>
          </w:p>
        </w:tc>
      </w:tr>
      <w:tr w14:paraId="6B70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32" w:type="pct"/>
            <w:gridSpan w:val="3"/>
            <w:tcBorders>
              <w:top w:val="nil"/>
              <w:left w:val="single" w:color="000000" w:sz="8" w:space="0"/>
              <w:bottom w:val="single" w:color="000000" w:sz="4" w:space="0"/>
              <w:right w:val="single" w:color="000000" w:sz="4" w:space="0"/>
              <w:tl2br w:val="nil"/>
              <w:tr2bl w:val="nil"/>
            </w:tcBorders>
            <w:noWrap w:val="0"/>
            <w:vAlign w:val="center"/>
          </w:tcPr>
          <w:p w14:paraId="2328F67D">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1021" w:type="pct"/>
            <w:tcBorders>
              <w:top w:val="single" w:color="000000" w:sz="4" w:space="0"/>
              <w:left w:val="nil"/>
              <w:bottom w:val="single" w:color="000000" w:sz="4" w:space="0"/>
              <w:right w:val="single" w:color="000000" w:sz="4" w:space="0"/>
              <w:tl2br w:val="nil"/>
              <w:tr2bl w:val="nil"/>
            </w:tcBorders>
            <w:noWrap w:val="0"/>
            <w:vAlign w:val="center"/>
          </w:tcPr>
          <w:p w14:paraId="36CD2A89">
            <w:pPr>
              <w:widowControl/>
              <w:spacing w:beforeLines="0" w:afterLines="0"/>
              <w:jc w:val="right"/>
              <w:rPr>
                <w:rFonts w:hint="eastAsia" w:ascii="Times New Roman" w:eastAsia="Times New Roman" w:cs="Arial"/>
                <w:color w:val="auto"/>
                <w:sz w:val="24"/>
                <w:szCs w:val="21"/>
                <w:highlight w:val="none"/>
              </w:rPr>
            </w:pPr>
          </w:p>
        </w:tc>
        <w:tc>
          <w:tcPr>
            <w:tcW w:w="947" w:type="pct"/>
            <w:tcBorders>
              <w:top w:val="nil"/>
              <w:left w:val="nil"/>
              <w:bottom w:val="single" w:color="000000" w:sz="4" w:space="0"/>
              <w:right w:val="single" w:color="000000" w:sz="8" w:space="0"/>
              <w:tl2br w:val="nil"/>
              <w:tr2bl w:val="nil"/>
            </w:tcBorders>
            <w:noWrap w:val="0"/>
            <w:vAlign w:val="center"/>
          </w:tcPr>
          <w:p w14:paraId="3E7F5C77">
            <w:pPr>
              <w:widowControl/>
              <w:spacing w:beforeLines="0" w:afterLines="0"/>
              <w:jc w:val="left"/>
              <w:rPr>
                <w:rFonts w:hint="eastAsia" w:ascii="Times New Roman" w:eastAsia="Times New Roman" w:cs="Arial"/>
                <w:color w:val="auto"/>
                <w:sz w:val="24"/>
                <w:szCs w:val="21"/>
                <w:highlight w:val="none"/>
              </w:rPr>
            </w:pPr>
          </w:p>
        </w:tc>
      </w:tr>
    </w:tbl>
    <w:p w14:paraId="5CECDE73">
      <w:pPr>
        <w:spacing w:before="240" w:beforeLines="100" w:after="240" w:afterLines="100"/>
        <w:jc w:val="center"/>
        <w:outlineLvl w:val="3"/>
        <w:rPr>
          <w:rFonts w:hint="eastAsia" w:ascii="Times New Roman" w:eastAsia="黑体"/>
          <w:color w:val="auto"/>
          <w:sz w:val="24"/>
          <w:szCs w:val="24"/>
          <w:highlight w:val="none"/>
        </w:rPr>
      </w:pPr>
      <w:bookmarkStart w:id="1579" w:name="_Toc171741995"/>
      <w:bookmarkStart w:id="1580" w:name="_Toc171581552"/>
      <w:bookmarkStart w:id="1581" w:name="_Toc44996377"/>
      <w:bookmarkStart w:id="1582" w:name="_Toc17215715"/>
      <w:bookmarkStart w:id="1583" w:name="_Toc460227133"/>
      <w:bookmarkStart w:id="1584" w:name="_Toc171581372"/>
      <w:bookmarkStart w:id="1585" w:name="_Toc460660248"/>
      <w:bookmarkStart w:id="1586" w:name="_Toc6863"/>
      <w:bookmarkStart w:id="1587" w:name="_Toc24034"/>
      <w:bookmarkStart w:id="1588" w:name="_Toc4402"/>
      <w:bookmarkStart w:id="1589" w:name="_Toc9608"/>
      <w:bookmarkStart w:id="1590" w:name="_Toc535241137"/>
      <w:bookmarkStart w:id="1591" w:name="_Toc7559"/>
      <w:bookmarkStart w:id="1592" w:name="_Toc1319"/>
      <w:bookmarkStart w:id="1593" w:name="_Toc21591"/>
      <w:bookmarkStart w:id="1594" w:name="_Toc128950312"/>
      <w:bookmarkStart w:id="1595" w:name="_Toc28492"/>
      <w:bookmarkStart w:id="1596" w:name="_Toc25163"/>
      <w:r>
        <w:rPr>
          <w:rFonts w:hint="eastAsia"/>
          <w:color w:val="auto"/>
          <w:sz w:val="24"/>
          <w:szCs w:val="24"/>
          <w:highlight w:val="none"/>
        </w:rPr>
        <w:br w:type="page"/>
      </w:r>
      <w:r>
        <w:rPr>
          <w:rFonts w:hint="eastAsia" w:ascii="Times New Roman" w:eastAsia="黑体"/>
          <w:color w:val="auto"/>
          <w:sz w:val="24"/>
          <w:szCs w:val="24"/>
          <w:highlight w:val="none"/>
        </w:rPr>
        <w:t>（十一）</w:t>
      </w:r>
      <w:bookmarkEnd w:id="1579"/>
      <w:bookmarkEnd w:id="1580"/>
      <w:bookmarkEnd w:id="1581"/>
      <w:bookmarkEnd w:id="1582"/>
      <w:bookmarkEnd w:id="1583"/>
      <w:bookmarkEnd w:id="1584"/>
      <w:bookmarkEnd w:id="1585"/>
      <w:r>
        <w:rPr>
          <w:rFonts w:hint="eastAsia" w:ascii="Times New Roman" w:eastAsia="黑体"/>
          <w:color w:val="auto"/>
          <w:sz w:val="24"/>
          <w:szCs w:val="24"/>
          <w:highlight w:val="none"/>
        </w:rPr>
        <w:t>专业工程暂估价计价表</w:t>
      </w:r>
      <w:bookmarkEnd w:id="1586"/>
      <w:bookmarkEnd w:id="1587"/>
      <w:bookmarkEnd w:id="1588"/>
      <w:bookmarkEnd w:id="1589"/>
      <w:bookmarkEnd w:id="1590"/>
      <w:bookmarkEnd w:id="1591"/>
      <w:bookmarkEnd w:id="1592"/>
      <w:bookmarkEnd w:id="1593"/>
      <w:bookmarkEnd w:id="1594"/>
      <w:bookmarkEnd w:id="1595"/>
      <w:bookmarkEnd w:id="1596"/>
    </w:p>
    <w:p w14:paraId="7E14F369">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2"/>
        <w:gridCol w:w="2551"/>
        <w:gridCol w:w="2120"/>
        <w:gridCol w:w="1707"/>
        <w:gridCol w:w="1276"/>
      </w:tblGrid>
      <w:tr w14:paraId="04458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06"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15AA8A2A">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498"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2E452B4A">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工程名称</w:t>
            </w:r>
          </w:p>
        </w:tc>
        <w:tc>
          <w:tcPr>
            <w:tcW w:w="1245"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35F4EBCD">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工程内容</w:t>
            </w:r>
          </w:p>
        </w:tc>
        <w:tc>
          <w:tcPr>
            <w:tcW w:w="1002"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45090A01">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c>
          <w:tcPr>
            <w:tcW w:w="749"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56113460">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备注</w:t>
            </w:r>
          </w:p>
        </w:tc>
      </w:tr>
      <w:tr w14:paraId="79EB1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06" w:type="pct"/>
            <w:tcBorders>
              <w:top w:val="nil"/>
              <w:left w:val="single" w:color="000000" w:sz="8" w:space="0"/>
              <w:bottom w:val="single" w:color="000000" w:sz="4" w:space="0"/>
              <w:right w:val="single" w:color="000000" w:sz="4" w:space="0"/>
              <w:tl2br w:val="nil"/>
              <w:tr2bl w:val="nil"/>
            </w:tcBorders>
            <w:noWrap w:val="0"/>
            <w:vAlign w:val="center"/>
          </w:tcPr>
          <w:p w14:paraId="714BB350">
            <w:pPr>
              <w:widowControl/>
              <w:spacing w:beforeLines="0" w:afterLines="0"/>
              <w:jc w:val="center"/>
              <w:rPr>
                <w:rFonts w:hint="eastAsia" w:ascii="Times New Roman" w:eastAsia="Times New Roman" w:cs="Arial"/>
                <w:color w:val="auto"/>
                <w:sz w:val="24"/>
                <w:szCs w:val="21"/>
                <w:highlight w:val="none"/>
              </w:rPr>
            </w:pPr>
          </w:p>
        </w:tc>
        <w:tc>
          <w:tcPr>
            <w:tcW w:w="1498" w:type="pct"/>
            <w:tcBorders>
              <w:top w:val="single" w:color="000000" w:sz="4" w:space="0"/>
              <w:left w:val="nil"/>
              <w:bottom w:val="single" w:color="000000" w:sz="4" w:space="0"/>
              <w:right w:val="single" w:color="000000" w:sz="4" w:space="0"/>
              <w:tl2br w:val="nil"/>
              <w:tr2bl w:val="nil"/>
            </w:tcBorders>
            <w:noWrap w:val="0"/>
            <w:vAlign w:val="center"/>
          </w:tcPr>
          <w:p w14:paraId="6F959223">
            <w:pPr>
              <w:widowControl/>
              <w:spacing w:beforeLines="0" w:afterLines="0"/>
              <w:jc w:val="left"/>
              <w:rPr>
                <w:rFonts w:hint="eastAsia" w:ascii="Times New Roman" w:eastAsia="Times New Roman" w:cs="Arial"/>
                <w:color w:val="auto"/>
                <w:sz w:val="24"/>
                <w:szCs w:val="21"/>
                <w:highlight w:val="none"/>
              </w:rPr>
            </w:pPr>
          </w:p>
        </w:tc>
        <w:tc>
          <w:tcPr>
            <w:tcW w:w="1245" w:type="pct"/>
            <w:tcBorders>
              <w:top w:val="single" w:color="000000" w:sz="4" w:space="0"/>
              <w:left w:val="nil"/>
              <w:bottom w:val="single" w:color="000000" w:sz="4" w:space="0"/>
              <w:right w:val="single" w:color="000000" w:sz="4" w:space="0"/>
              <w:tl2br w:val="nil"/>
              <w:tr2bl w:val="nil"/>
            </w:tcBorders>
            <w:noWrap w:val="0"/>
            <w:vAlign w:val="center"/>
          </w:tcPr>
          <w:p w14:paraId="5412A7EE">
            <w:pPr>
              <w:widowControl/>
              <w:spacing w:beforeLines="0" w:afterLines="0"/>
              <w:jc w:val="center"/>
              <w:rPr>
                <w:rFonts w:hint="eastAsia" w:ascii="Times New Roman" w:eastAsia="Times New Roman" w:cs="Arial"/>
                <w:color w:val="auto"/>
                <w:sz w:val="24"/>
                <w:szCs w:val="21"/>
                <w:highlight w:val="none"/>
              </w:rPr>
            </w:pPr>
          </w:p>
        </w:tc>
        <w:tc>
          <w:tcPr>
            <w:tcW w:w="1002" w:type="pct"/>
            <w:tcBorders>
              <w:top w:val="single" w:color="000000" w:sz="4" w:space="0"/>
              <w:left w:val="nil"/>
              <w:bottom w:val="single" w:color="000000" w:sz="4" w:space="0"/>
              <w:right w:val="single" w:color="000000" w:sz="4" w:space="0"/>
              <w:tl2br w:val="nil"/>
              <w:tr2bl w:val="nil"/>
            </w:tcBorders>
            <w:noWrap w:val="0"/>
            <w:vAlign w:val="center"/>
          </w:tcPr>
          <w:p w14:paraId="3FE3FC38">
            <w:pPr>
              <w:widowControl/>
              <w:spacing w:beforeLines="0" w:afterLines="0"/>
              <w:jc w:val="right"/>
              <w:rPr>
                <w:rFonts w:hint="eastAsia" w:ascii="Times New Roman" w:eastAsia="Times New Roman" w:cs="Arial"/>
                <w:color w:val="auto"/>
                <w:sz w:val="24"/>
                <w:szCs w:val="21"/>
                <w:highlight w:val="none"/>
              </w:rPr>
            </w:pPr>
          </w:p>
        </w:tc>
        <w:tc>
          <w:tcPr>
            <w:tcW w:w="749" w:type="pct"/>
            <w:tcBorders>
              <w:top w:val="nil"/>
              <w:left w:val="nil"/>
              <w:bottom w:val="single" w:color="000000" w:sz="4" w:space="0"/>
              <w:right w:val="single" w:color="000000" w:sz="8" w:space="0"/>
              <w:tl2br w:val="nil"/>
              <w:tr2bl w:val="nil"/>
            </w:tcBorders>
            <w:noWrap w:val="0"/>
            <w:vAlign w:val="center"/>
          </w:tcPr>
          <w:p w14:paraId="35F823AA">
            <w:pPr>
              <w:widowControl/>
              <w:spacing w:beforeLines="0" w:afterLines="0"/>
              <w:jc w:val="left"/>
              <w:rPr>
                <w:rFonts w:hint="eastAsia" w:ascii="Times New Roman" w:eastAsia="Times New Roman" w:cs="Arial"/>
                <w:color w:val="auto"/>
                <w:sz w:val="24"/>
                <w:szCs w:val="21"/>
                <w:highlight w:val="none"/>
              </w:rPr>
            </w:pPr>
          </w:p>
        </w:tc>
      </w:tr>
      <w:tr w14:paraId="181D9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06" w:type="pct"/>
            <w:tcBorders>
              <w:top w:val="nil"/>
              <w:left w:val="single" w:color="000000" w:sz="8" w:space="0"/>
              <w:bottom w:val="single" w:color="000000" w:sz="4" w:space="0"/>
              <w:right w:val="single" w:color="000000" w:sz="4" w:space="0"/>
              <w:tl2br w:val="nil"/>
              <w:tr2bl w:val="nil"/>
            </w:tcBorders>
            <w:noWrap w:val="0"/>
            <w:vAlign w:val="center"/>
          </w:tcPr>
          <w:p w14:paraId="3B61E972">
            <w:pPr>
              <w:widowControl/>
              <w:spacing w:beforeLines="0" w:afterLines="0"/>
              <w:jc w:val="center"/>
              <w:rPr>
                <w:rFonts w:hint="eastAsia" w:ascii="Times New Roman" w:eastAsia="Times New Roman" w:cs="Arial"/>
                <w:color w:val="auto"/>
                <w:sz w:val="24"/>
                <w:szCs w:val="21"/>
                <w:highlight w:val="none"/>
              </w:rPr>
            </w:pPr>
          </w:p>
        </w:tc>
        <w:tc>
          <w:tcPr>
            <w:tcW w:w="1498" w:type="pct"/>
            <w:tcBorders>
              <w:top w:val="single" w:color="000000" w:sz="4" w:space="0"/>
              <w:left w:val="nil"/>
              <w:bottom w:val="single" w:color="000000" w:sz="4" w:space="0"/>
              <w:right w:val="single" w:color="000000" w:sz="4" w:space="0"/>
              <w:tl2br w:val="nil"/>
              <w:tr2bl w:val="nil"/>
            </w:tcBorders>
            <w:noWrap w:val="0"/>
            <w:vAlign w:val="center"/>
          </w:tcPr>
          <w:p w14:paraId="63A258C3">
            <w:pPr>
              <w:widowControl/>
              <w:spacing w:beforeLines="0" w:afterLines="0"/>
              <w:jc w:val="left"/>
              <w:rPr>
                <w:rFonts w:hint="eastAsia" w:ascii="Times New Roman" w:eastAsia="Times New Roman" w:cs="Arial"/>
                <w:color w:val="auto"/>
                <w:sz w:val="24"/>
                <w:szCs w:val="21"/>
                <w:highlight w:val="none"/>
              </w:rPr>
            </w:pPr>
          </w:p>
        </w:tc>
        <w:tc>
          <w:tcPr>
            <w:tcW w:w="1245" w:type="pct"/>
            <w:tcBorders>
              <w:top w:val="single" w:color="000000" w:sz="4" w:space="0"/>
              <w:left w:val="nil"/>
              <w:bottom w:val="single" w:color="000000" w:sz="4" w:space="0"/>
              <w:right w:val="single" w:color="000000" w:sz="4" w:space="0"/>
              <w:tl2br w:val="nil"/>
              <w:tr2bl w:val="nil"/>
            </w:tcBorders>
            <w:noWrap w:val="0"/>
            <w:vAlign w:val="center"/>
          </w:tcPr>
          <w:p w14:paraId="53C7FB50">
            <w:pPr>
              <w:widowControl/>
              <w:spacing w:beforeLines="0" w:afterLines="0"/>
              <w:jc w:val="center"/>
              <w:rPr>
                <w:rFonts w:hint="eastAsia" w:ascii="Times New Roman" w:eastAsia="Times New Roman" w:cs="Arial"/>
                <w:color w:val="auto"/>
                <w:sz w:val="24"/>
                <w:szCs w:val="21"/>
                <w:highlight w:val="none"/>
              </w:rPr>
            </w:pPr>
          </w:p>
        </w:tc>
        <w:tc>
          <w:tcPr>
            <w:tcW w:w="1002" w:type="pct"/>
            <w:tcBorders>
              <w:top w:val="single" w:color="000000" w:sz="4" w:space="0"/>
              <w:left w:val="nil"/>
              <w:bottom w:val="single" w:color="000000" w:sz="4" w:space="0"/>
              <w:right w:val="single" w:color="000000" w:sz="4" w:space="0"/>
              <w:tl2br w:val="nil"/>
              <w:tr2bl w:val="nil"/>
            </w:tcBorders>
            <w:noWrap w:val="0"/>
            <w:vAlign w:val="center"/>
          </w:tcPr>
          <w:p w14:paraId="18ACCEFC">
            <w:pPr>
              <w:widowControl/>
              <w:spacing w:beforeLines="0" w:afterLines="0"/>
              <w:jc w:val="right"/>
              <w:rPr>
                <w:rFonts w:hint="eastAsia" w:ascii="Times New Roman" w:eastAsia="Times New Roman" w:cs="Arial"/>
                <w:color w:val="auto"/>
                <w:sz w:val="24"/>
                <w:szCs w:val="21"/>
                <w:highlight w:val="none"/>
              </w:rPr>
            </w:pPr>
          </w:p>
        </w:tc>
        <w:tc>
          <w:tcPr>
            <w:tcW w:w="749" w:type="pct"/>
            <w:tcBorders>
              <w:top w:val="nil"/>
              <w:left w:val="nil"/>
              <w:bottom w:val="single" w:color="000000" w:sz="4" w:space="0"/>
              <w:right w:val="single" w:color="000000" w:sz="8" w:space="0"/>
              <w:tl2br w:val="nil"/>
              <w:tr2bl w:val="nil"/>
            </w:tcBorders>
            <w:noWrap w:val="0"/>
            <w:vAlign w:val="center"/>
          </w:tcPr>
          <w:p w14:paraId="177780B2">
            <w:pPr>
              <w:widowControl/>
              <w:spacing w:beforeLines="0" w:afterLines="0"/>
              <w:jc w:val="left"/>
              <w:rPr>
                <w:rFonts w:hint="eastAsia" w:ascii="Times New Roman" w:eastAsia="Times New Roman" w:cs="Arial"/>
                <w:color w:val="auto"/>
                <w:sz w:val="24"/>
                <w:szCs w:val="21"/>
                <w:highlight w:val="none"/>
              </w:rPr>
            </w:pPr>
          </w:p>
        </w:tc>
      </w:tr>
      <w:tr w14:paraId="6EF24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06" w:type="pct"/>
            <w:tcBorders>
              <w:top w:val="nil"/>
              <w:left w:val="single" w:color="000000" w:sz="8" w:space="0"/>
              <w:bottom w:val="single" w:color="000000" w:sz="4" w:space="0"/>
              <w:right w:val="single" w:color="000000" w:sz="4" w:space="0"/>
              <w:tl2br w:val="nil"/>
              <w:tr2bl w:val="nil"/>
            </w:tcBorders>
            <w:noWrap w:val="0"/>
            <w:vAlign w:val="center"/>
          </w:tcPr>
          <w:p w14:paraId="211AC44C">
            <w:pPr>
              <w:widowControl/>
              <w:spacing w:beforeLines="0" w:afterLines="0"/>
              <w:jc w:val="center"/>
              <w:rPr>
                <w:rFonts w:hint="eastAsia" w:ascii="Times New Roman" w:eastAsia="Times New Roman" w:cs="Arial"/>
                <w:color w:val="auto"/>
                <w:sz w:val="24"/>
                <w:szCs w:val="21"/>
                <w:highlight w:val="none"/>
              </w:rPr>
            </w:pPr>
          </w:p>
        </w:tc>
        <w:tc>
          <w:tcPr>
            <w:tcW w:w="1498" w:type="pct"/>
            <w:tcBorders>
              <w:top w:val="single" w:color="000000" w:sz="4" w:space="0"/>
              <w:left w:val="nil"/>
              <w:bottom w:val="single" w:color="000000" w:sz="4" w:space="0"/>
              <w:right w:val="single" w:color="000000" w:sz="4" w:space="0"/>
              <w:tl2br w:val="nil"/>
              <w:tr2bl w:val="nil"/>
            </w:tcBorders>
            <w:noWrap w:val="0"/>
            <w:vAlign w:val="center"/>
          </w:tcPr>
          <w:p w14:paraId="583FC06C">
            <w:pPr>
              <w:widowControl/>
              <w:spacing w:beforeLines="0" w:afterLines="0"/>
              <w:jc w:val="left"/>
              <w:rPr>
                <w:rFonts w:hint="eastAsia" w:ascii="Times New Roman" w:eastAsia="Times New Roman" w:cs="Arial"/>
                <w:color w:val="auto"/>
                <w:sz w:val="24"/>
                <w:szCs w:val="21"/>
                <w:highlight w:val="none"/>
              </w:rPr>
            </w:pPr>
          </w:p>
        </w:tc>
        <w:tc>
          <w:tcPr>
            <w:tcW w:w="1245" w:type="pct"/>
            <w:tcBorders>
              <w:top w:val="single" w:color="000000" w:sz="4" w:space="0"/>
              <w:left w:val="nil"/>
              <w:bottom w:val="single" w:color="000000" w:sz="4" w:space="0"/>
              <w:right w:val="single" w:color="000000" w:sz="4" w:space="0"/>
              <w:tl2br w:val="nil"/>
              <w:tr2bl w:val="nil"/>
            </w:tcBorders>
            <w:noWrap w:val="0"/>
            <w:vAlign w:val="center"/>
          </w:tcPr>
          <w:p w14:paraId="769BA0DA">
            <w:pPr>
              <w:widowControl/>
              <w:spacing w:beforeLines="0" w:afterLines="0"/>
              <w:jc w:val="center"/>
              <w:rPr>
                <w:rFonts w:hint="eastAsia" w:ascii="Times New Roman" w:eastAsia="Times New Roman" w:cs="Arial"/>
                <w:color w:val="auto"/>
                <w:sz w:val="24"/>
                <w:szCs w:val="21"/>
                <w:highlight w:val="none"/>
              </w:rPr>
            </w:pPr>
          </w:p>
        </w:tc>
        <w:tc>
          <w:tcPr>
            <w:tcW w:w="1002" w:type="pct"/>
            <w:tcBorders>
              <w:top w:val="single" w:color="000000" w:sz="4" w:space="0"/>
              <w:left w:val="nil"/>
              <w:bottom w:val="single" w:color="000000" w:sz="4" w:space="0"/>
              <w:right w:val="single" w:color="000000" w:sz="4" w:space="0"/>
              <w:tl2br w:val="nil"/>
              <w:tr2bl w:val="nil"/>
            </w:tcBorders>
            <w:noWrap w:val="0"/>
            <w:vAlign w:val="center"/>
          </w:tcPr>
          <w:p w14:paraId="064D4D7C">
            <w:pPr>
              <w:widowControl/>
              <w:spacing w:beforeLines="0" w:afterLines="0"/>
              <w:jc w:val="right"/>
              <w:rPr>
                <w:rFonts w:hint="eastAsia" w:ascii="Times New Roman" w:eastAsia="Times New Roman" w:cs="Arial"/>
                <w:color w:val="auto"/>
                <w:sz w:val="24"/>
                <w:szCs w:val="21"/>
                <w:highlight w:val="none"/>
              </w:rPr>
            </w:pPr>
          </w:p>
        </w:tc>
        <w:tc>
          <w:tcPr>
            <w:tcW w:w="749" w:type="pct"/>
            <w:tcBorders>
              <w:top w:val="nil"/>
              <w:left w:val="nil"/>
              <w:bottom w:val="single" w:color="000000" w:sz="4" w:space="0"/>
              <w:right w:val="single" w:color="000000" w:sz="8" w:space="0"/>
              <w:tl2br w:val="nil"/>
              <w:tr2bl w:val="nil"/>
            </w:tcBorders>
            <w:noWrap w:val="0"/>
            <w:vAlign w:val="center"/>
          </w:tcPr>
          <w:p w14:paraId="7BDBACBF">
            <w:pPr>
              <w:widowControl/>
              <w:spacing w:beforeLines="0" w:afterLines="0"/>
              <w:jc w:val="left"/>
              <w:rPr>
                <w:rFonts w:hint="eastAsia" w:ascii="Times New Roman" w:eastAsia="Times New Roman" w:cs="Arial"/>
                <w:color w:val="auto"/>
                <w:sz w:val="24"/>
                <w:szCs w:val="21"/>
                <w:highlight w:val="none"/>
              </w:rPr>
            </w:pPr>
          </w:p>
        </w:tc>
      </w:tr>
      <w:tr w14:paraId="0951E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249" w:type="pct"/>
            <w:gridSpan w:val="3"/>
            <w:tcBorders>
              <w:top w:val="nil"/>
              <w:left w:val="single" w:color="000000" w:sz="8" w:space="0"/>
              <w:bottom w:val="single" w:color="000000" w:sz="4" w:space="0"/>
              <w:right w:val="single" w:color="000000" w:sz="4" w:space="0"/>
              <w:tl2br w:val="nil"/>
              <w:tr2bl w:val="nil"/>
            </w:tcBorders>
            <w:noWrap w:val="0"/>
            <w:vAlign w:val="center"/>
          </w:tcPr>
          <w:p w14:paraId="506DC0E2">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1002" w:type="pct"/>
            <w:tcBorders>
              <w:top w:val="single" w:color="000000" w:sz="4" w:space="0"/>
              <w:left w:val="nil"/>
              <w:bottom w:val="single" w:color="000000" w:sz="4" w:space="0"/>
              <w:right w:val="single" w:color="000000" w:sz="4" w:space="0"/>
              <w:tl2br w:val="nil"/>
              <w:tr2bl w:val="nil"/>
            </w:tcBorders>
            <w:noWrap w:val="0"/>
            <w:vAlign w:val="center"/>
          </w:tcPr>
          <w:p w14:paraId="5C64448C">
            <w:pPr>
              <w:widowControl/>
              <w:spacing w:beforeLines="0" w:afterLines="0"/>
              <w:jc w:val="right"/>
              <w:rPr>
                <w:rFonts w:hint="eastAsia" w:ascii="Times New Roman" w:eastAsia="Times New Roman" w:cs="Arial"/>
                <w:color w:val="auto"/>
                <w:sz w:val="24"/>
                <w:szCs w:val="21"/>
                <w:highlight w:val="none"/>
              </w:rPr>
            </w:pPr>
          </w:p>
        </w:tc>
        <w:tc>
          <w:tcPr>
            <w:tcW w:w="749" w:type="pct"/>
            <w:tcBorders>
              <w:top w:val="nil"/>
              <w:left w:val="nil"/>
              <w:bottom w:val="single" w:color="000000" w:sz="4" w:space="0"/>
              <w:right w:val="single" w:color="000000" w:sz="8" w:space="0"/>
              <w:tl2br w:val="nil"/>
              <w:tr2bl w:val="nil"/>
            </w:tcBorders>
            <w:noWrap w:val="0"/>
            <w:vAlign w:val="center"/>
          </w:tcPr>
          <w:p w14:paraId="6755EB10">
            <w:pPr>
              <w:widowControl/>
              <w:spacing w:beforeLines="0" w:afterLines="0"/>
              <w:jc w:val="left"/>
              <w:rPr>
                <w:rFonts w:hint="eastAsia" w:ascii="Times New Roman" w:eastAsia="Times New Roman" w:cs="Arial"/>
                <w:color w:val="auto"/>
                <w:sz w:val="24"/>
                <w:szCs w:val="21"/>
                <w:highlight w:val="none"/>
              </w:rPr>
            </w:pPr>
          </w:p>
        </w:tc>
      </w:tr>
    </w:tbl>
    <w:p w14:paraId="5DF00970">
      <w:pPr>
        <w:spacing w:before="240" w:beforeLines="100" w:after="240" w:afterLines="100"/>
        <w:jc w:val="center"/>
        <w:outlineLvl w:val="3"/>
        <w:rPr>
          <w:rFonts w:hint="eastAsia" w:ascii="Times New Roman" w:eastAsia="黑体"/>
          <w:color w:val="auto"/>
          <w:sz w:val="24"/>
          <w:szCs w:val="24"/>
          <w:highlight w:val="none"/>
        </w:rPr>
      </w:pPr>
      <w:bookmarkStart w:id="1597" w:name="_Toc171581373"/>
      <w:bookmarkStart w:id="1598" w:name="_Toc460227134"/>
      <w:bookmarkStart w:id="1599" w:name="_Toc171741996"/>
      <w:bookmarkStart w:id="1600" w:name="_Toc460660249"/>
      <w:bookmarkStart w:id="1601" w:name="_Toc171581553"/>
      <w:bookmarkStart w:id="1602" w:name="_Toc2576"/>
      <w:bookmarkStart w:id="1603" w:name="_Toc535241138"/>
      <w:r>
        <w:rPr>
          <w:rFonts w:hint="eastAsia" w:ascii="Times New Roman"/>
          <w:color w:val="auto"/>
          <w:sz w:val="28"/>
          <w:szCs w:val="28"/>
          <w:highlight w:val="none"/>
        </w:rPr>
        <w:br w:type="page"/>
      </w:r>
      <w:bookmarkStart w:id="1604" w:name="_Toc24084"/>
      <w:bookmarkStart w:id="1605" w:name="_Toc128950313"/>
      <w:bookmarkStart w:id="1606" w:name="_Toc21968"/>
      <w:bookmarkStart w:id="1607" w:name="_Toc18990"/>
      <w:bookmarkStart w:id="1608" w:name="_Toc9031"/>
      <w:bookmarkStart w:id="1609" w:name="_Toc14376"/>
      <w:bookmarkStart w:id="1610" w:name="_Toc18995"/>
      <w:bookmarkStart w:id="1611" w:name="_Toc16241"/>
      <w:bookmarkStart w:id="1612" w:name="_Toc24894"/>
      <w:r>
        <w:rPr>
          <w:rFonts w:hint="eastAsia" w:ascii="Times New Roman" w:eastAsia="黑体"/>
          <w:color w:val="auto"/>
          <w:sz w:val="24"/>
          <w:szCs w:val="24"/>
          <w:highlight w:val="none"/>
        </w:rPr>
        <w:t>（十二）</w:t>
      </w:r>
      <w:bookmarkEnd w:id="1597"/>
      <w:bookmarkEnd w:id="1598"/>
      <w:bookmarkEnd w:id="1599"/>
      <w:bookmarkEnd w:id="1600"/>
      <w:bookmarkEnd w:id="1601"/>
      <w:r>
        <w:rPr>
          <w:rFonts w:hint="eastAsia" w:ascii="Times New Roman" w:eastAsia="黑体"/>
          <w:color w:val="auto"/>
          <w:sz w:val="24"/>
          <w:szCs w:val="24"/>
          <w:highlight w:val="none"/>
        </w:rPr>
        <w:t>计日工表</w:t>
      </w:r>
      <w:bookmarkEnd w:id="1602"/>
      <w:bookmarkEnd w:id="1603"/>
      <w:bookmarkEnd w:id="1604"/>
      <w:bookmarkEnd w:id="1605"/>
      <w:bookmarkEnd w:id="1606"/>
      <w:bookmarkEnd w:id="1607"/>
      <w:bookmarkEnd w:id="1608"/>
      <w:bookmarkEnd w:id="1609"/>
      <w:bookmarkEnd w:id="1610"/>
      <w:bookmarkEnd w:id="1611"/>
      <w:bookmarkEnd w:id="1612"/>
    </w:p>
    <w:p w14:paraId="788915FB">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6"/>
        <w:gridCol w:w="3028"/>
        <w:gridCol w:w="1221"/>
        <w:gridCol w:w="1221"/>
        <w:gridCol w:w="1221"/>
        <w:gridCol w:w="1219"/>
      </w:tblGrid>
      <w:tr w14:paraId="5B2B8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1647D52C">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编码</w:t>
            </w:r>
          </w:p>
        </w:tc>
        <w:tc>
          <w:tcPr>
            <w:tcW w:w="1778"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7FA6A1C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项目名称</w:t>
            </w:r>
          </w:p>
        </w:tc>
        <w:tc>
          <w:tcPr>
            <w:tcW w:w="717"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6692553A">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单位</w:t>
            </w:r>
          </w:p>
        </w:tc>
        <w:tc>
          <w:tcPr>
            <w:tcW w:w="717"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72A9704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数量</w:t>
            </w:r>
          </w:p>
        </w:tc>
        <w:tc>
          <w:tcPr>
            <w:tcW w:w="717"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77BA1266">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综合单价</w:t>
            </w:r>
          </w:p>
        </w:tc>
        <w:tc>
          <w:tcPr>
            <w:tcW w:w="715"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13D4526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合价（元）</w:t>
            </w:r>
          </w:p>
        </w:tc>
      </w:tr>
      <w:tr w14:paraId="4A588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252409A0">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一</w:t>
            </w: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5EC1CC5A">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人工</w:t>
            </w:r>
          </w:p>
        </w:tc>
        <w:tc>
          <w:tcPr>
            <w:tcW w:w="717" w:type="pct"/>
            <w:tcBorders>
              <w:top w:val="nil"/>
              <w:left w:val="nil"/>
              <w:bottom w:val="single" w:color="000000" w:sz="4" w:space="0"/>
              <w:right w:val="single" w:color="000000" w:sz="4" w:space="0"/>
              <w:tl2br w:val="nil"/>
              <w:tr2bl w:val="nil"/>
            </w:tcBorders>
            <w:noWrap w:val="0"/>
            <w:vAlign w:val="center"/>
          </w:tcPr>
          <w:p w14:paraId="10F59FFA">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73424A80">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2078FEB8">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15803C22">
            <w:pPr>
              <w:widowControl/>
              <w:spacing w:beforeLines="0" w:afterLines="0"/>
              <w:jc w:val="right"/>
              <w:rPr>
                <w:rFonts w:hint="eastAsia" w:ascii="Times New Roman" w:eastAsia="Times New Roman" w:cs="Arial"/>
                <w:color w:val="auto"/>
                <w:sz w:val="24"/>
                <w:szCs w:val="21"/>
                <w:highlight w:val="none"/>
              </w:rPr>
            </w:pPr>
          </w:p>
        </w:tc>
      </w:tr>
      <w:tr w14:paraId="3C257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1D6A4706">
            <w:pPr>
              <w:widowControl/>
              <w:spacing w:beforeLines="0" w:afterLines="0"/>
              <w:jc w:val="center"/>
              <w:rPr>
                <w:rFonts w:hint="eastAsia" w:ascii="Times New Roman" w:cs="Arial"/>
                <w:color w:val="auto"/>
                <w:sz w:val="24"/>
                <w:szCs w:val="21"/>
                <w:highlight w:val="none"/>
              </w:rPr>
            </w:pP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323756FE">
            <w:pPr>
              <w:widowControl/>
              <w:spacing w:beforeLines="0" w:afterLines="0"/>
              <w:jc w:val="center"/>
              <w:rPr>
                <w:rFonts w:hint="eastAsia" w:ascii="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7DF17DD1">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585F2775">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4E47C434">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3E27BDC0">
            <w:pPr>
              <w:widowControl/>
              <w:spacing w:beforeLines="0" w:afterLines="0"/>
              <w:jc w:val="right"/>
              <w:rPr>
                <w:rFonts w:hint="eastAsia" w:ascii="Times New Roman" w:eastAsia="Times New Roman" w:cs="Arial"/>
                <w:color w:val="auto"/>
                <w:sz w:val="24"/>
                <w:szCs w:val="21"/>
                <w:highlight w:val="none"/>
              </w:rPr>
            </w:pPr>
          </w:p>
        </w:tc>
      </w:tr>
      <w:tr w14:paraId="5AC73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5831F969">
            <w:pPr>
              <w:widowControl/>
              <w:spacing w:beforeLines="0" w:afterLines="0"/>
              <w:jc w:val="center"/>
              <w:rPr>
                <w:rFonts w:hint="eastAsia" w:ascii="Times New Roman" w:cs="Arial"/>
                <w:color w:val="auto"/>
                <w:sz w:val="24"/>
                <w:szCs w:val="21"/>
                <w:highlight w:val="none"/>
              </w:rPr>
            </w:pP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57BF3626">
            <w:pPr>
              <w:widowControl/>
              <w:spacing w:beforeLines="0" w:afterLines="0"/>
              <w:jc w:val="center"/>
              <w:rPr>
                <w:rFonts w:hint="eastAsia" w:ascii="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72E34DCE">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4EFD2A11">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7BE64D8F">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7901FB0E">
            <w:pPr>
              <w:widowControl/>
              <w:spacing w:beforeLines="0" w:afterLines="0"/>
              <w:jc w:val="right"/>
              <w:rPr>
                <w:rFonts w:hint="eastAsia" w:ascii="Times New Roman" w:eastAsia="Times New Roman" w:cs="Arial"/>
                <w:color w:val="auto"/>
                <w:sz w:val="24"/>
                <w:szCs w:val="21"/>
                <w:highlight w:val="none"/>
              </w:rPr>
            </w:pPr>
          </w:p>
        </w:tc>
      </w:tr>
      <w:tr w14:paraId="10CF1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4" w:space="0"/>
              <w:right w:val="single" w:color="000000" w:sz="4" w:space="0"/>
              <w:tl2br w:val="nil"/>
              <w:tr2bl w:val="nil"/>
            </w:tcBorders>
            <w:noWrap w:val="0"/>
            <w:vAlign w:val="center"/>
          </w:tcPr>
          <w:p w14:paraId="21AC265F">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人工费小计</w:t>
            </w:r>
          </w:p>
        </w:tc>
        <w:tc>
          <w:tcPr>
            <w:tcW w:w="715" w:type="pct"/>
            <w:tcBorders>
              <w:top w:val="nil"/>
              <w:left w:val="nil"/>
              <w:bottom w:val="single" w:color="000000" w:sz="4" w:space="0"/>
              <w:right w:val="single" w:color="000000" w:sz="8" w:space="0"/>
              <w:tl2br w:val="nil"/>
              <w:tr2bl w:val="nil"/>
            </w:tcBorders>
            <w:noWrap w:val="0"/>
            <w:vAlign w:val="center"/>
          </w:tcPr>
          <w:p w14:paraId="285EBEE0">
            <w:pPr>
              <w:widowControl/>
              <w:spacing w:beforeLines="0" w:afterLines="0"/>
              <w:jc w:val="right"/>
              <w:rPr>
                <w:rFonts w:hint="eastAsia" w:ascii="Times New Roman" w:eastAsia="Times New Roman" w:cs="Arial"/>
                <w:color w:val="auto"/>
                <w:sz w:val="24"/>
                <w:szCs w:val="21"/>
                <w:highlight w:val="none"/>
              </w:rPr>
            </w:pPr>
          </w:p>
        </w:tc>
      </w:tr>
      <w:tr w14:paraId="15EAD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2B5C8D5C">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二</w:t>
            </w: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17C49F90">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材料</w:t>
            </w:r>
          </w:p>
        </w:tc>
        <w:tc>
          <w:tcPr>
            <w:tcW w:w="717" w:type="pct"/>
            <w:tcBorders>
              <w:top w:val="nil"/>
              <w:left w:val="nil"/>
              <w:bottom w:val="single" w:color="000000" w:sz="4" w:space="0"/>
              <w:right w:val="single" w:color="000000" w:sz="4" w:space="0"/>
              <w:tl2br w:val="nil"/>
              <w:tr2bl w:val="nil"/>
            </w:tcBorders>
            <w:noWrap w:val="0"/>
            <w:vAlign w:val="center"/>
          </w:tcPr>
          <w:p w14:paraId="0378C6B2">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540F76CB">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3B0E32B0">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3F235DF5">
            <w:pPr>
              <w:widowControl/>
              <w:spacing w:beforeLines="0" w:afterLines="0"/>
              <w:jc w:val="right"/>
              <w:rPr>
                <w:rFonts w:hint="eastAsia" w:ascii="Times New Roman" w:eastAsia="Times New Roman" w:cs="Arial"/>
                <w:color w:val="auto"/>
                <w:sz w:val="24"/>
                <w:szCs w:val="21"/>
                <w:highlight w:val="none"/>
              </w:rPr>
            </w:pPr>
          </w:p>
        </w:tc>
      </w:tr>
      <w:tr w14:paraId="52421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42278207">
            <w:pPr>
              <w:widowControl/>
              <w:spacing w:beforeLines="0" w:afterLines="0"/>
              <w:jc w:val="center"/>
              <w:rPr>
                <w:rFonts w:hint="eastAsia" w:ascii="Times New Roman" w:cs="Arial"/>
                <w:color w:val="auto"/>
                <w:sz w:val="24"/>
                <w:szCs w:val="21"/>
                <w:highlight w:val="none"/>
              </w:rPr>
            </w:pP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60ADEE39">
            <w:pPr>
              <w:widowControl/>
              <w:spacing w:beforeLines="0" w:afterLines="0"/>
              <w:jc w:val="center"/>
              <w:rPr>
                <w:rFonts w:hint="eastAsia" w:ascii="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347FEA5E">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000C0A8C">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0A2784BB">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73DF2A4C">
            <w:pPr>
              <w:widowControl/>
              <w:spacing w:beforeLines="0" w:afterLines="0"/>
              <w:jc w:val="right"/>
              <w:rPr>
                <w:rFonts w:hint="eastAsia" w:ascii="Times New Roman" w:eastAsia="Times New Roman" w:cs="Arial"/>
                <w:color w:val="auto"/>
                <w:sz w:val="24"/>
                <w:szCs w:val="21"/>
                <w:highlight w:val="none"/>
              </w:rPr>
            </w:pPr>
          </w:p>
        </w:tc>
      </w:tr>
      <w:tr w14:paraId="0D2D8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5E860D02">
            <w:pPr>
              <w:widowControl/>
              <w:spacing w:beforeLines="0" w:afterLines="0"/>
              <w:jc w:val="center"/>
              <w:rPr>
                <w:rFonts w:hint="eastAsia" w:ascii="Times New Roman" w:cs="Arial"/>
                <w:color w:val="auto"/>
                <w:sz w:val="24"/>
                <w:szCs w:val="21"/>
                <w:highlight w:val="none"/>
              </w:rPr>
            </w:pP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588EAD39">
            <w:pPr>
              <w:widowControl/>
              <w:spacing w:beforeLines="0" w:afterLines="0"/>
              <w:jc w:val="center"/>
              <w:rPr>
                <w:rFonts w:hint="eastAsia" w:ascii="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741468C4">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5314C903">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6210720A">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321D4047">
            <w:pPr>
              <w:widowControl/>
              <w:spacing w:beforeLines="0" w:afterLines="0"/>
              <w:jc w:val="right"/>
              <w:rPr>
                <w:rFonts w:hint="eastAsia" w:ascii="Times New Roman" w:eastAsia="Times New Roman" w:cs="Arial"/>
                <w:color w:val="auto"/>
                <w:sz w:val="24"/>
                <w:szCs w:val="21"/>
                <w:highlight w:val="none"/>
              </w:rPr>
            </w:pPr>
          </w:p>
        </w:tc>
      </w:tr>
      <w:tr w14:paraId="48A25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4" w:space="0"/>
              <w:right w:val="single" w:color="000000" w:sz="4" w:space="0"/>
              <w:tl2br w:val="nil"/>
              <w:tr2bl w:val="nil"/>
            </w:tcBorders>
            <w:noWrap w:val="0"/>
            <w:vAlign w:val="center"/>
          </w:tcPr>
          <w:p w14:paraId="4068C063">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材料费小计</w:t>
            </w:r>
          </w:p>
        </w:tc>
        <w:tc>
          <w:tcPr>
            <w:tcW w:w="715" w:type="pct"/>
            <w:tcBorders>
              <w:top w:val="nil"/>
              <w:left w:val="nil"/>
              <w:bottom w:val="single" w:color="000000" w:sz="4" w:space="0"/>
              <w:right w:val="single" w:color="000000" w:sz="8" w:space="0"/>
              <w:tl2br w:val="nil"/>
              <w:tr2bl w:val="nil"/>
            </w:tcBorders>
            <w:noWrap w:val="0"/>
            <w:vAlign w:val="center"/>
          </w:tcPr>
          <w:p w14:paraId="60680CC8">
            <w:pPr>
              <w:widowControl/>
              <w:spacing w:beforeLines="0" w:afterLines="0"/>
              <w:jc w:val="right"/>
              <w:rPr>
                <w:rFonts w:hint="eastAsia" w:ascii="Times New Roman" w:eastAsia="Times New Roman" w:cs="Arial"/>
                <w:color w:val="auto"/>
                <w:sz w:val="24"/>
                <w:szCs w:val="21"/>
                <w:highlight w:val="none"/>
              </w:rPr>
            </w:pPr>
          </w:p>
        </w:tc>
      </w:tr>
      <w:tr w14:paraId="6B94F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529E0E32">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三</w:t>
            </w: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1FCAE4D8">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施工机械</w:t>
            </w:r>
          </w:p>
        </w:tc>
        <w:tc>
          <w:tcPr>
            <w:tcW w:w="717" w:type="pct"/>
            <w:tcBorders>
              <w:top w:val="nil"/>
              <w:left w:val="nil"/>
              <w:bottom w:val="single" w:color="000000" w:sz="4" w:space="0"/>
              <w:right w:val="single" w:color="000000" w:sz="4" w:space="0"/>
              <w:tl2br w:val="nil"/>
              <w:tr2bl w:val="nil"/>
            </w:tcBorders>
            <w:noWrap w:val="0"/>
            <w:vAlign w:val="center"/>
          </w:tcPr>
          <w:p w14:paraId="2DB27EC2">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7D2177D9">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1928EB1D">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2FFF1047">
            <w:pPr>
              <w:widowControl/>
              <w:spacing w:beforeLines="0" w:afterLines="0"/>
              <w:jc w:val="right"/>
              <w:rPr>
                <w:rFonts w:hint="eastAsia" w:ascii="Times New Roman" w:eastAsia="Times New Roman" w:cs="Arial"/>
                <w:color w:val="auto"/>
                <w:sz w:val="24"/>
                <w:szCs w:val="21"/>
                <w:highlight w:val="none"/>
              </w:rPr>
            </w:pPr>
          </w:p>
        </w:tc>
      </w:tr>
      <w:tr w14:paraId="5354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033C60FF">
            <w:pPr>
              <w:widowControl/>
              <w:spacing w:beforeLines="0" w:afterLines="0"/>
              <w:jc w:val="center"/>
              <w:rPr>
                <w:rFonts w:hint="eastAsia" w:ascii="Times New Roman" w:cs="Arial"/>
                <w:color w:val="auto"/>
                <w:sz w:val="24"/>
                <w:szCs w:val="21"/>
                <w:highlight w:val="none"/>
              </w:rPr>
            </w:pP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095A9D78">
            <w:pPr>
              <w:widowControl/>
              <w:spacing w:beforeLines="0" w:afterLines="0"/>
              <w:jc w:val="center"/>
              <w:rPr>
                <w:rFonts w:hint="eastAsia" w:ascii="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46293B50">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6B443BA1">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11C26ED5">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60226D6B">
            <w:pPr>
              <w:widowControl/>
              <w:spacing w:beforeLines="0" w:afterLines="0"/>
              <w:jc w:val="right"/>
              <w:rPr>
                <w:rFonts w:hint="eastAsia" w:ascii="Times New Roman" w:eastAsia="Times New Roman" w:cs="Arial"/>
                <w:color w:val="auto"/>
                <w:sz w:val="24"/>
                <w:szCs w:val="21"/>
                <w:highlight w:val="none"/>
              </w:rPr>
            </w:pPr>
          </w:p>
        </w:tc>
      </w:tr>
      <w:tr w14:paraId="7AFAE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6" w:type="pct"/>
            <w:tcBorders>
              <w:top w:val="nil"/>
              <w:left w:val="single" w:color="000000" w:sz="8" w:space="0"/>
              <w:bottom w:val="single" w:color="000000" w:sz="4" w:space="0"/>
              <w:right w:val="single" w:color="000000" w:sz="4" w:space="0"/>
              <w:tl2br w:val="nil"/>
              <w:tr2bl w:val="nil"/>
            </w:tcBorders>
            <w:noWrap w:val="0"/>
            <w:vAlign w:val="center"/>
          </w:tcPr>
          <w:p w14:paraId="27B05797">
            <w:pPr>
              <w:widowControl/>
              <w:spacing w:beforeLines="0" w:afterLines="0"/>
              <w:jc w:val="center"/>
              <w:rPr>
                <w:rFonts w:hint="eastAsia" w:ascii="Times New Roman" w:cs="Arial"/>
                <w:color w:val="auto"/>
                <w:sz w:val="24"/>
                <w:szCs w:val="21"/>
                <w:highlight w:val="none"/>
              </w:rPr>
            </w:pPr>
          </w:p>
        </w:tc>
        <w:tc>
          <w:tcPr>
            <w:tcW w:w="1778" w:type="pct"/>
            <w:tcBorders>
              <w:top w:val="single" w:color="000000" w:sz="4" w:space="0"/>
              <w:left w:val="nil"/>
              <w:bottom w:val="single" w:color="000000" w:sz="4" w:space="0"/>
              <w:right w:val="single" w:color="000000" w:sz="4" w:space="0"/>
              <w:tl2br w:val="nil"/>
              <w:tr2bl w:val="nil"/>
            </w:tcBorders>
            <w:noWrap w:val="0"/>
            <w:vAlign w:val="center"/>
          </w:tcPr>
          <w:p w14:paraId="741F99C1">
            <w:pPr>
              <w:widowControl/>
              <w:spacing w:beforeLines="0" w:afterLines="0"/>
              <w:jc w:val="center"/>
              <w:rPr>
                <w:rFonts w:hint="eastAsia" w:ascii="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7F5A8000">
            <w:pPr>
              <w:widowControl/>
              <w:spacing w:beforeLines="0" w:afterLines="0"/>
              <w:jc w:val="center"/>
              <w:rPr>
                <w:rFonts w:hint="eastAsia" w:ascii="Times New Roman" w:eastAsia="Times New Roman" w:cs="Arial"/>
                <w:color w:val="auto"/>
                <w:sz w:val="24"/>
                <w:szCs w:val="21"/>
                <w:highlight w:val="none"/>
              </w:rPr>
            </w:pPr>
          </w:p>
        </w:tc>
        <w:tc>
          <w:tcPr>
            <w:tcW w:w="717" w:type="pct"/>
            <w:tcBorders>
              <w:top w:val="single" w:color="000000" w:sz="4" w:space="0"/>
              <w:left w:val="nil"/>
              <w:bottom w:val="single" w:color="000000" w:sz="4" w:space="0"/>
              <w:right w:val="single" w:color="000000" w:sz="4" w:space="0"/>
              <w:tl2br w:val="nil"/>
              <w:tr2bl w:val="nil"/>
            </w:tcBorders>
            <w:noWrap w:val="0"/>
            <w:vAlign w:val="center"/>
          </w:tcPr>
          <w:p w14:paraId="215EEA42">
            <w:pPr>
              <w:widowControl/>
              <w:spacing w:beforeLines="0" w:afterLines="0"/>
              <w:jc w:val="right"/>
              <w:rPr>
                <w:rFonts w:hint="eastAsia" w:ascii="Times New Roman" w:eastAsia="Times New Roman" w:cs="Arial"/>
                <w:color w:val="auto"/>
                <w:sz w:val="24"/>
                <w:szCs w:val="21"/>
                <w:highlight w:val="none"/>
              </w:rPr>
            </w:pPr>
          </w:p>
        </w:tc>
        <w:tc>
          <w:tcPr>
            <w:tcW w:w="717" w:type="pct"/>
            <w:tcBorders>
              <w:top w:val="nil"/>
              <w:left w:val="nil"/>
              <w:bottom w:val="single" w:color="000000" w:sz="4" w:space="0"/>
              <w:right w:val="single" w:color="000000" w:sz="4" w:space="0"/>
              <w:tl2br w:val="nil"/>
              <w:tr2bl w:val="nil"/>
            </w:tcBorders>
            <w:noWrap w:val="0"/>
            <w:vAlign w:val="center"/>
          </w:tcPr>
          <w:p w14:paraId="6B57E858">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nil"/>
              <w:left w:val="nil"/>
              <w:bottom w:val="single" w:color="000000" w:sz="4" w:space="0"/>
              <w:right w:val="single" w:color="000000" w:sz="8" w:space="0"/>
              <w:tl2br w:val="nil"/>
              <w:tr2bl w:val="nil"/>
            </w:tcBorders>
            <w:noWrap w:val="0"/>
            <w:vAlign w:val="center"/>
          </w:tcPr>
          <w:p w14:paraId="36D4BD9E">
            <w:pPr>
              <w:widowControl/>
              <w:spacing w:beforeLines="0" w:afterLines="0"/>
              <w:jc w:val="right"/>
              <w:rPr>
                <w:rFonts w:hint="eastAsia" w:ascii="Times New Roman" w:eastAsia="Times New Roman" w:cs="Arial"/>
                <w:color w:val="auto"/>
                <w:sz w:val="24"/>
                <w:szCs w:val="21"/>
                <w:highlight w:val="none"/>
              </w:rPr>
            </w:pPr>
          </w:p>
        </w:tc>
      </w:tr>
      <w:tr w14:paraId="7589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4" w:space="0"/>
              <w:right w:val="single" w:color="000000" w:sz="4" w:space="0"/>
              <w:tl2br w:val="nil"/>
              <w:tr2bl w:val="nil"/>
            </w:tcBorders>
            <w:noWrap w:val="0"/>
            <w:vAlign w:val="center"/>
          </w:tcPr>
          <w:p w14:paraId="0F3090B4">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施工机械费小计</w:t>
            </w:r>
          </w:p>
        </w:tc>
        <w:tc>
          <w:tcPr>
            <w:tcW w:w="715" w:type="pct"/>
            <w:tcBorders>
              <w:top w:val="nil"/>
              <w:left w:val="nil"/>
              <w:bottom w:val="single" w:color="000000" w:sz="4" w:space="0"/>
              <w:right w:val="single" w:color="000000" w:sz="8" w:space="0"/>
              <w:tl2br w:val="nil"/>
              <w:tr2bl w:val="nil"/>
            </w:tcBorders>
            <w:noWrap w:val="0"/>
            <w:vAlign w:val="center"/>
          </w:tcPr>
          <w:p w14:paraId="723F9264">
            <w:pPr>
              <w:widowControl/>
              <w:spacing w:beforeLines="0" w:afterLines="0"/>
              <w:jc w:val="right"/>
              <w:rPr>
                <w:rFonts w:hint="eastAsia" w:ascii="Times New Roman" w:eastAsia="Times New Roman" w:cs="Arial"/>
                <w:color w:val="auto"/>
                <w:sz w:val="24"/>
                <w:szCs w:val="21"/>
                <w:highlight w:val="none"/>
              </w:rPr>
            </w:pPr>
          </w:p>
        </w:tc>
      </w:tr>
      <w:tr w14:paraId="7CDAB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85" w:type="pct"/>
            <w:gridSpan w:val="5"/>
            <w:tcBorders>
              <w:top w:val="single" w:color="000000" w:sz="4" w:space="0"/>
              <w:left w:val="single" w:color="000000" w:sz="8" w:space="0"/>
              <w:bottom w:val="single" w:color="000000" w:sz="8" w:space="0"/>
              <w:right w:val="single" w:color="000000" w:sz="4" w:space="0"/>
              <w:tl2br w:val="nil"/>
              <w:tr2bl w:val="nil"/>
            </w:tcBorders>
            <w:noWrap w:val="0"/>
            <w:vAlign w:val="center"/>
          </w:tcPr>
          <w:p w14:paraId="770ABD11">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715" w:type="pct"/>
            <w:tcBorders>
              <w:top w:val="nil"/>
              <w:left w:val="nil"/>
              <w:bottom w:val="single" w:color="000000" w:sz="8" w:space="0"/>
              <w:right w:val="single" w:color="000000" w:sz="8" w:space="0"/>
              <w:tl2br w:val="nil"/>
              <w:tr2bl w:val="nil"/>
            </w:tcBorders>
            <w:noWrap w:val="0"/>
            <w:vAlign w:val="center"/>
          </w:tcPr>
          <w:p w14:paraId="1F7E22F8">
            <w:pPr>
              <w:widowControl/>
              <w:spacing w:beforeLines="0" w:afterLines="0"/>
              <w:jc w:val="right"/>
              <w:rPr>
                <w:rFonts w:hint="eastAsia" w:ascii="Times New Roman" w:eastAsia="Times New Roman" w:cs="Arial"/>
                <w:color w:val="auto"/>
                <w:sz w:val="24"/>
                <w:szCs w:val="21"/>
                <w:highlight w:val="none"/>
              </w:rPr>
            </w:pPr>
          </w:p>
        </w:tc>
      </w:tr>
    </w:tbl>
    <w:p w14:paraId="34BBD5D2">
      <w:pPr>
        <w:spacing w:before="240" w:beforeLines="100" w:after="240" w:afterLines="100"/>
        <w:jc w:val="center"/>
        <w:outlineLvl w:val="3"/>
        <w:rPr>
          <w:rFonts w:hint="eastAsia" w:ascii="Times New Roman" w:eastAsia="黑体"/>
          <w:color w:val="auto"/>
          <w:sz w:val="24"/>
          <w:szCs w:val="24"/>
          <w:highlight w:val="none"/>
        </w:rPr>
      </w:pPr>
      <w:bookmarkStart w:id="1613" w:name="_Toc460660250"/>
      <w:bookmarkStart w:id="1614" w:name="_Toc171581554"/>
      <w:bookmarkStart w:id="1615" w:name="_Toc171741997"/>
      <w:bookmarkStart w:id="1616" w:name="_Toc460227135"/>
      <w:bookmarkStart w:id="1617" w:name="_Toc171581374"/>
      <w:bookmarkStart w:id="1618" w:name="_Toc535241139"/>
      <w:r>
        <w:rPr>
          <w:rFonts w:hint="eastAsia" w:ascii="Times New Roman" w:eastAsia="Times New Roman"/>
          <w:color w:val="auto"/>
          <w:sz w:val="28"/>
          <w:szCs w:val="28"/>
          <w:highlight w:val="none"/>
        </w:rPr>
        <w:br w:type="page"/>
      </w:r>
      <w:bookmarkStart w:id="1619" w:name="_Toc30683"/>
      <w:bookmarkStart w:id="1620" w:name="_Toc21713"/>
      <w:bookmarkStart w:id="1621" w:name="_Toc4931"/>
      <w:bookmarkStart w:id="1622" w:name="_Toc31661"/>
      <w:bookmarkStart w:id="1623" w:name="_Toc19102"/>
      <w:bookmarkStart w:id="1624" w:name="_Toc18519"/>
      <w:bookmarkStart w:id="1625" w:name="_Toc9942"/>
      <w:bookmarkStart w:id="1626" w:name="_Toc128950314"/>
      <w:bookmarkStart w:id="1627" w:name="_Toc22280"/>
      <w:bookmarkStart w:id="1628" w:name="_Toc25222"/>
      <w:r>
        <w:rPr>
          <w:rFonts w:hint="eastAsia" w:ascii="Times New Roman" w:eastAsia="黑体"/>
          <w:color w:val="auto"/>
          <w:sz w:val="24"/>
          <w:szCs w:val="24"/>
          <w:highlight w:val="none"/>
        </w:rPr>
        <w:t>（十三）</w:t>
      </w:r>
      <w:bookmarkEnd w:id="1613"/>
      <w:bookmarkEnd w:id="1614"/>
      <w:bookmarkEnd w:id="1615"/>
      <w:bookmarkEnd w:id="1616"/>
      <w:bookmarkEnd w:id="1617"/>
      <w:r>
        <w:rPr>
          <w:rFonts w:hint="eastAsia" w:ascii="Times New Roman" w:eastAsia="黑体"/>
          <w:color w:val="auto"/>
          <w:sz w:val="24"/>
          <w:szCs w:val="24"/>
          <w:highlight w:val="none"/>
        </w:rPr>
        <w:t>总承包服务费计价表</w:t>
      </w:r>
      <w:bookmarkEnd w:id="1618"/>
      <w:bookmarkEnd w:id="1619"/>
      <w:bookmarkEnd w:id="1620"/>
      <w:bookmarkEnd w:id="1621"/>
      <w:bookmarkEnd w:id="1622"/>
      <w:bookmarkEnd w:id="1623"/>
      <w:bookmarkEnd w:id="1624"/>
      <w:bookmarkEnd w:id="1625"/>
      <w:bookmarkEnd w:id="1626"/>
      <w:bookmarkEnd w:id="1627"/>
      <w:bookmarkEnd w:id="1628"/>
    </w:p>
    <w:p w14:paraId="1BA37481">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7"/>
        <w:gridCol w:w="1931"/>
        <w:gridCol w:w="1552"/>
        <w:gridCol w:w="1552"/>
        <w:gridCol w:w="1172"/>
        <w:gridCol w:w="1552"/>
      </w:tblGrid>
      <w:tr w14:paraId="6D1CB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45"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6AE35F95">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134"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060CDC6C">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工程名称</w:t>
            </w:r>
          </w:p>
        </w:tc>
        <w:tc>
          <w:tcPr>
            <w:tcW w:w="911"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2EE4C2E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项目价值(元)</w:t>
            </w:r>
          </w:p>
        </w:tc>
        <w:tc>
          <w:tcPr>
            <w:tcW w:w="911"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3E1B5C42">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服务内容</w:t>
            </w:r>
          </w:p>
        </w:tc>
        <w:tc>
          <w:tcPr>
            <w:tcW w:w="688"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5F2CFAC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费率(％)</w:t>
            </w:r>
          </w:p>
        </w:tc>
        <w:tc>
          <w:tcPr>
            <w:tcW w:w="911"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14DB071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r>
      <w:tr w14:paraId="15C82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45" w:type="pct"/>
            <w:tcBorders>
              <w:top w:val="nil"/>
              <w:left w:val="single" w:color="000000" w:sz="8" w:space="0"/>
              <w:bottom w:val="single" w:color="000000" w:sz="4" w:space="0"/>
              <w:right w:val="single" w:color="000000" w:sz="4" w:space="0"/>
              <w:tl2br w:val="nil"/>
              <w:tr2bl w:val="nil"/>
            </w:tcBorders>
            <w:noWrap w:val="0"/>
            <w:vAlign w:val="center"/>
          </w:tcPr>
          <w:p w14:paraId="5468AF3C">
            <w:pPr>
              <w:widowControl/>
              <w:spacing w:beforeLines="0" w:afterLines="0"/>
              <w:jc w:val="center"/>
              <w:rPr>
                <w:rFonts w:hint="eastAsia" w:ascii="Times New Roman" w:eastAsia="Times New Roman" w:cs="Arial"/>
                <w:color w:val="auto"/>
                <w:sz w:val="24"/>
                <w:szCs w:val="21"/>
                <w:highlight w:val="none"/>
              </w:rPr>
            </w:pPr>
          </w:p>
        </w:tc>
        <w:tc>
          <w:tcPr>
            <w:tcW w:w="1134" w:type="pct"/>
            <w:tcBorders>
              <w:top w:val="nil"/>
              <w:left w:val="nil"/>
              <w:bottom w:val="single" w:color="000000" w:sz="4" w:space="0"/>
              <w:right w:val="single" w:color="000000" w:sz="4" w:space="0"/>
              <w:tl2br w:val="nil"/>
              <w:tr2bl w:val="nil"/>
            </w:tcBorders>
            <w:noWrap w:val="0"/>
            <w:vAlign w:val="center"/>
          </w:tcPr>
          <w:p w14:paraId="0F7A0F15">
            <w:pPr>
              <w:widowControl/>
              <w:spacing w:beforeLines="0" w:afterLines="0"/>
              <w:jc w:val="left"/>
              <w:rPr>
                <w:rFonts w:hint="eastAsia" w:ascii="Times New Roman" w:eastAsia="Times New Roman" w:cs="Arial"/>
                <w:color w:val="auto"/>
                <w:sz w:val="24"/>
                <w:szCs w:val="21"/>
                <w:highlight w:val="none"/>
              </w:rPr>
            </w:pPr>
          </w:p>
        </w:tc>
        <w:tc>
          <w:tcPr>
            <w:tcW w:w="911" w:type="pct"/>
            <w:tcBorders>
              <w:top w:val="single" w:color="000000" w:sz="4" w:space="0"/>
              <w:left w:val="nil"/>
              <w:bottom w:val="single" w:color="000000" w:sz="4" w:space="0"/>
              <w:right w:val="single" w:color="000000" w:sz="4" w:space="0"/>
              <w:tl2br w:val="nil"/>
              <w:tr2bl w:val="nil"/>
            </w:tcBorders>
            <w:noWrap w:val="0"/>
            <w:vAlign w:val="center"/>
          </w:tcPr>
          <w:p w14:paraId="6280DD12">
            <w:pPr>
              <w:widowControl/>
              <w:spacing w:beforeLines="0" w:afterLines="0"/>
              <w:jc w:val="right"/>
              <w:rPr>
                <w:rFonts w:hint="eastAsia" w:ascii="Times New Roman" w:eastAsia="Times New Roman" w:cs="Arial"/>
                <w:color w:val="auto"/>
                <w:sz w:val="24"/>
                <w:szCs w:val="21"/>
                <w:highlight w:val="none"/>
              </w:rPr>
            </w:pPr>
          </w:p>
        </w:tc>
        <w:tc>
          <w:tcPr>
            <w:tcW w:w="911" w:type="pct"/>
            <w:tcBorders>
              <w:top w:val="single" w:color="000000" w:sz="4" w:space="0"/>
              <w:left w:val="nil"/>
              <w:bottom w:val="single" w:color="000000" w:sz="4" w:space="0"/>
              <w:right w:val="single" w:color="000000" w:sz="4" w:space="0"/>
              <w:tl2br w:val="nil"/>
              <w:tr2bl w:val="nil"/>
            </w:tcBorders>
            <w:noWrap w:val="0"/>
            <w:vAlign w:val="center"/>
          </w:tcPr>
          <w:p w14:paraId="704A2C04">
            <w:pPr>
              <w:widowControl/>
              <w:spacing w:beforeLines="0" w:afterLines="0"/>
              <w:jc w:val="left"/>
              <w:rPr>
                <w:rFonts w:hint="eastAsia" w:ascii="Times New Roman" w:eastAsia="Times New Roman" w:cs="Arial"/>
                <w:color w:val="auto"/>
                <w:sz w:val="24"/>
                <w:szCs w:val="21"/>
                <w:highlight w:val="none"/>
              </w:rPr>
            </w:pPr>
          </w:p>
        </w:tc>
        <w:tc>
          <w:tcPr>
            <w:tcW w:w="688" w:type="pct"/>
            <w:tcBorders>
              <w:top w:val="single" w:color="000000" w:sz="4" w:space="0"/>
              <w:left w:val="nil"/>
              <w:bottom w:val="single" w:color="000000" w:sz="4" w:space="0"/>
              <w:right w:val="single" w:color="000000" w:sz="4" w:space="0"/>
              <w:tl2br w:val="nil"/>
              <w:tr2bl w:val="nil"/>
            </w:tcBorders>
            <w:noWrap w:val="0"/>
            <w:vAlign w:val="center"/>
          </w:tcPr>
          <w:p w14:paraId="43F90D81">
            <w:pPr>
              <w:widowControl/>
              <w:spacing w:beforeLines="0" w:afterLines="0"/>
              <w:jc w:val="right"/>
              <w:rPr>
                <w:rFonts w:hint="eastAsia" w:ascii="Times New Roman" w:eastAsia="Times New Roman" w:cs="Arial"/>
                <w:color w:val="auto"/>
                <w:sz w:val="24"/>
                <w:szCs w:val="21"/>
                <w:highlight w:val="none"/>
              </w:rPr>
            </w:pPr>
          </w:p>
        </w:tc>
        <w:tc>
          <w:tcPr>
            <w:tcW w:w="911" w:type="pct"/>
            <w:tcBorders>
              <w:top w:val="nil"/>
              <w:left w:val="nil"/>
              <w:bottom w:val="single" w:color="000000" w:sz="4" w:space="0"/>
              <w:right w:val="single" w:color="000000" w:sz="8" w:space="0"/>
              <w:tl2br w:val="nil"/>
              <w:tr2bl w:val="nil"/>
            </w:tcBorders>
            <w:noWrap w:val="0"/>
            <w:vAlign w:val="center"/>
          </w:tcPr>
          <w:p w14:paraId="1BAD3E66">
            <w:pPr>
              <w:widowControl/>
              <w:spacing w:beforeLines="0" w:afterLines="0"/>
              <w:jc w:val="right"/>
              <w:rPr>
                <w:rFonts w:hint="eastAsia" w:ascii="Times New Roman" w:eastAsia="Times New Roman" w:cs="Arial"/>
                <w:color w:val="auto"/>
                <w:sz w:val="24"/>
                <w:szCs w:val="21"/>
                <w:highlight w:val="none"/>
              </w:rPr>
            </w:pPr>
          </w:p>
        </w:tc>
      </w:tr>
      <w:tr w14:paraId="446AF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45" w:type="pct"/>
            <w:tcBorders>
              <w:top w:val="nil"/>
              <w:left w:val="single" w:color="000000" w:sz="8" w:space="0"/>
              <w:bottom w:val="single" w:color="000000" w:sz="4" w:space="0"/>
              <w:right w:val="single" w:color="000000" w:sz="4" w:space="0"/>
              <w:tl2br w:val="nil"/>
              <w:tr2bl w:val="nil"/>
            </w:tcBorders>
            <w:noWrap w:val="0"/>
            <w:vAlign w:val="center"/>
          </w:tcPr>
          <w:p w14:paraId="1EA394F6">
            <w:pPr>
              <w:widowControl/>
              <w:spacing w:beforeLines="0" w:afterLines="0"/>
              <w:jc w:val="center"/>
              <w:rPr>
                <w:rFonts w:hint="eastAsia" w:ascii="Times New Roman" w:eastAsia="Times New Roman" w:cs="Arial"/>
                <w:color w:val="auto"/>
                <w:sz w:val="24"/>
                <w:szCs w:val="21"/>
                <w:highlight w:val="none"/>
              </w:rPr>
            </w:pPr>
          </w:p>
        </w:tc>
        <w:tc>
          <w:tcPr>
            <w:tcW w:w="1134" w:type="pct"/>
            <w:tcBorders>
              <w:top w:val="nil"/>
              <w:left w:val="nil"/>
              <w:bottom w:val="single" w:color="000000" w:sz="4" w:space="0"/>
              <w:right w:val="single" w:color="000000" w:sz="4" w:space="0"/>
              <w:tl2br w:val="nil"/>
              <w:tr2bl w:val="nil"/>
            </w:tcBorders>
            <w:noWrap w:val="0"/>
            <w:vAlign w:val="center"/>
          </w:tcPr>
          <w:p w14:paraId="38EDB8C9">
            <w:pPr>
              <w:widowControl/>
              <w:spacing w:beforeLines="0" w:afterLines="0"/>
              <w:jc w:val="left"/>
              <w:rPr>
                <w:rFonts w:hint="eastAsia" w:ascii="Times New Roman" w:eastAsia="Times New Roman" w:cs="Arial"/>
                <w:color w:val="auto"/>
                <w:sz w:val="24"/>
                <w:szCs w:val="21"/>
                <w:highlight w:val="none"/>
              </w:rPr>
            </w:pPr>
          </w:p>
        </w:tc>
        <w:tc>
          <w:tcPr>
            <w:tcW w:w="911" w:type="pct"/>
            <w:tcBorders>
              <w:top w:val="single" w:color="000000" w:sz="4" w:space="0"/>
              <w:left w:val="nil"/>
              <w:bottom w:val="single" w:color="000000" w:sz="4" w:space="0"/>
              <w:right w:val="single" w:color="000000" w:sz="4" w:space="0"/>
              <w:tl2br w:val="nil"/>
              <w:tr2bl w:val="nil"/>
            </w:tcBorders>
            <w:noWrap w:val="0"/>
            <w:vAlign w:val="center"/>
          </w:tcPr>
          <w:p w14:paraId="635B48E3">
            <w:pPr>
              <w:widowControl/>
              <w:spacing w:beforeLines="0" w:afterLines="0"/>
              <w:jc w:val="right"/>
              <w:rPr>
                <w:rFonts w:hint="eastAsia" w:ascii="Times New Roman" w:eastAsia="Times New Roman" w:cs="Arial"/>
                <w:color w:val="auto"/>
                <w:sz w:val="24"/>
                <w:szCs w:val="21"/>
                <w:highlight w:val="none"/>
              </w:rPr>
            </w:pPr>
          </w:p>
        </w:tc>
        <w:tc>
          <w:tcPr>
            <w:tcW w:w="911" w:type="pct"/>
            <w:tcBorders>
              <w:top w:val="single" w:color="000000" w:sz="4" w:space="0"/>
              <w:left w:val="nil"/>
              <w:bottom w:val="single" w:color="000000" w:sz="4" w:space="0"/>
              <w:right w:val="single" w:color="000000" w:sz="4" w:space="0"/>
              <w:tl2br w:val="nil"/>
              <w:tr2bl w:val="nil"/>
            </w:tcBorders>
            <w:noWrap w:val="0"/>
            <w:vAlign w:val="center"/>
          </w:tcPr>
          <w:p w14:paraId="5DD3C3D2">
            <w:pPr>
              <w:widowControl/>
              <w:spacing w:beforeLines="0" w:afterLines="0"/>
              <w:jc w:val="left"/>
              <w:rPr>
                <w:rFonts w:hint="eastAsia" w:ascii="Times New Roman" w:eastAsia="Times New Roman" w:cs="Arial"/>
                <w:color w:val="auto"/>
                <w:sz w:val="24"/>
                <w:szCs w:val="21"/>
                <w:highlight w:val="none"/>
              </w:rPr>
            </w:pPr>
          </w:p>
        </w:tc>
        <w:tc>
          <w:tcPr>
            <w:tcW w:w="688" w:type="pct"/>
            <w:tcBorders>
              <w:top w:val="single" w:color="000000" w:sz="4" w:space="0"/>
              <w:left w:val="nil"/>
              <w:bottom w:val="single" w:color="000000" w:sz="4" w:space="0"/>
              <w:right w:val="single" w:color="000000" w:sz="4" w:space="0"/>
              <w:tl2br w:val="nil"/>
              <w:tr2bl w:val="nil"/>
            </w:tcBorders>
            <w:noWrap w:val="0"/>
            <w:vAlign w:val="center"/>
          </w:tcPr>
          <w:p w14:paraId="3813E062">
            <w:pPr>
              <w:widowControl/>
              <w:spacing w:beforeLines="0" w:afterLines="0"/>
              <w:jc w:val="right"/>
              <w:rPr>
                <w:rFonts w:hint="eastAsia" w:ascii="Times New Roman" w:eastAsia="Times New Roman" w:cs="Arial"/>
                <w:color w:val="auto"/>
                <w:sz w:val="24"/>
                <w:szCs w:val="21"/>
                <w:highlight w:val="none"/>
              </w:rPr>
            </w:pPr>
          </w:p>
        </w:tc>
        <w:tc>
          <w:tcPr>
            <w:tcW w:w="911" w:type="pct"/>
            <w:tcBorders>
              <w:top w:val="nil"/>
              <w:left w:val="nil"/>
              <w:bottom w:val="single" w:color="000000" w:sz="4" w:space="0"/>
              <w:right w:val="single" w:color="000000" w:sz="8" w:space="0"/>
              <w:tl2br w:val="nil"/>
              <w:tr2bl w:val="nil"/>
            </w:tcBorders>
            <w:noWrap w:val="0"/>
            <w:vAlign w:val="center"/>
          </w:tcPr>
          <w:p w14:paraId="5BD31CDF">
            <w:pPr>
              <w:widowControl/>
              <w:spacing w:beforeLines="0" w:afterLines="0"/>
              <w:jc w:val="right"/>
              <w:rPr>
                <w:rFonts w:hint="eastAsia" w:ascii="Times New Roman" w:eastAsia="Times New Roman" w:cs="Arial"/>
                <w:color w:val="auto"/>
                <w:sz w:val="24"/>
                <w:szCs w:val="21"/>
                <w:highlight w:val="none"/>
              </w:rPr>
            </w:pPr>
          </w:p>
        </w:tc>
      </w:tr>
      <w:tr w14:paraId="32E1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45" w:type="pct"/>
            <w:tcBorders>
              <w:top w:val="nil"/>
              <w:left w:val="single" w:color="000000" w:sz="8" w:space="0"/>
              <w:bottom w:val="single" w:color="000000" w:sz="4" w:space="0"/>
              <w:right w:val="single" w:color="000000" w:sz="4" w:space="0"/>
              <w:tl2br w:val="nil"/>
              <w:tr2bl w:val="nil"/>
            </w:tcBorders>
            <w:noWrap w:val="0"/>
            <w:vAlign w:val="center"/>
          </w:tcPr>
          <w:p w14:paraId="02E3CBB1">
            <w:pPr>
              <w:widowControl/>
              <w:spacing w:beforeLines="0" w:afterLines="0"/>
              <w:jc w:val="center"/>
              <w:rPr>
                <w:rFonts w:hint="eastAsia" w:ascii="Times New Roman" w:cs="Arial"/>
                <w:color w:val="auto"/>
                <w:sz w:val="24"/>
                <w:szCs w:val="21"/>
                <w:highlight w:val="none"/>
              </w:rPr>
            </w:pPr>
          </w:p>
        </w:tc>
        <w:tc>
          <w:tcPr>
            <w:tcW w:w="1134" w:type="pct"/>
            <w:tcBorders>
              <w:top w:val="nil"/>
              <w:left w:val="nil"/>
              <w:bottom w:val="single" w:color="000000" w:sz="4" w:space="0"/>
              <w:right w:val="single" w:color="000000" w:sz="4" w:space="0"/>
              <w:tl2br w:val="nil"/>
              <w:tr2bl w:val="nil"/>
            </w:tcBorders>
            <w:noWrap w:val="0"/>
            <w:vAlign w:val="center"/>
          </w:tcPr>
          <w:p w14:paraId="0CDA022F">
            <w:pPr>
              <w:widowControl/>
              <w:spacing w:beforeLines="0" w:afterLines="0"/>
              <w:jc w:val="left"/>
              <w:rPr>
                <w:rFonts w:hint="eastAsia" w:ascii="Times New Roman" w:cs="Arial"/>
                <w:color w:val="auto"/>
                <w:sz w:val="24"/>
                <w:szCs w:val="21"/>
                <w:highlight w:val="none"/>
              </w:rPr>
            </w:pPr>
          </w:p>
        </w:tc>
        <w:tc>
          <w:tcPr>
            <w:tcW w:w="911" w:type="pct"/>
            <w:tcBorders>
              <w:top w:val="single" w:color="000000" w:sz="4" w:space="0"/>
              <w:left w:val="nil"/>
              <w:bottom w:val="single" w:color="000000" w:sz="4" w:space="0"/>
              <w:right w:val="single" w:color="000000" w:sz="4" w:space="0"/>
              <w:tl2br w:val="nil"/>
              <w:tr2bl w:val="nil"/>
            </w:tcBorders>
            <w:noWrap w:val="0"/>
            <w:vAlign w:val="center"/>
          </w:tcPr>
          <w:p w14:paraId="78589F1B">
            <w:pPr>
              <w:widowControl/>
              <w:spacing w:beforeLines="0" w:afterLines="0"/>
              <w:jc w:val="right"/>
              <w:rPr>
                <w:rFonts w:hint="eastAsia" w:ascii="Times New Roman" w:cs="Arial"/>
                <w:color w:val="auto"/>
                <w:sz w:val="24"/>
                <w:szCs w:val="21"/>
                <w:highlight w:val="none"/>
              </w:rPr>
            </w:pPr>
          </w:p>
        </w:tc>
        <w:tc>
          <w:tcPr>
            <w:tcW w:w="911" w:type="pct"/>
            <w:tcBorders>
              <w:top w:val="single" w:color="000000" w:sz="4" w:space="0"/>
              <w:left w:val="nil"/>
              <w:bottom w:val="single" w:color="000000" w:sz="4" w:space="0"/>
              <w:right w:val="single" w:color="000000" w:sz="4" w:space="0"/>
              <w:tl2br w:val="nil"/>
              <w:tr2bl w:val="nil"/>
            </w:tcBorders>
            <w:noWrap w:val="0"/>
            <w:vAlign w:val="center"/>
          </w:tcPr>
          <w:p w14:paraId="4AA50F04">
            <w:pPr>
              <w:widowControl/>
              <w:spacing w:beforeLines="0" w:afterLines="0"/>
              <w:jc w:val="left"/>
              <w:rPr>
                <w:rFonts w:hint="eastAsia" w:ascii="Times New Roman" w:cs="Arial"/>
                <w:color w:val="auto"/>
                <w:sz w:val="24"/>
                <w:szCs w:val="21"/>
                <w:highlight w:val="none"/>
              </w:rPr>
            </w:pPr>
          </w:p>
        </w:tc>
        <w:tc>
          <w:tcPr>
            <w:tcW w:w="688" w:type="pct"/>
            <w:tcBorders>
              <w:top w:val="single" w:color="000000" w:sz="4" w:space="0"/>
              <w:left w:val="nil"/>
              <w:bottom w:val="single" w:color="000000" w:sz="4" w:space="0"/>
              <w:right w:val="single" w:color="000000" w:sz="4" w:space="0"/>
              <w:tl2br w:val="nil"/>
              <w:tr2bl w:val="nil"/>
            </w:tcBorders>
            <w:noWrap w:val="0"/>
            <w:vAlign w:val="center"/>
          </w:tcPr>
          <w:p w14:paraId="773E4FB3">
            <w:pPr>
              <w:widowControl/>
              <w:spacing w:beforeLines="0" w:afterLines="0"/>
              <w:jc w:val="right"/>
              <w:rPr>
                <w:rFonts w:hint="eastAsia" w:ascii="Times New Roman" w:cs="Arial"/>
                <w:color w:val="auto"/>
                <w:sz w:val="24"/>
                <w:szCs w:val="21"/>
                <w:highlight w:val="none"/>
              </w:rPr>
            </w:pPr>
          </w:p>
        </w:tc>
        <w:tc>
          <w:tcPr>
            <w:tcW w:w="911" w:type="pct"/>
            <w:tcBorders>
              <w:top w:val="nil"/>
              <w:left w:val="nil"/>
              <w:bottom w:val="single" w:color="000000" w:sz="4" w:space="0"/>
              <w:right w:val="single" w:color="000000" w:sz="8" w:space="0"/>
              <w:tl2br w:val="nil"/>
              <w:tr2bl w:val="nil"/>
            </w:tcBorders>
            <w:noWrap w:val="0"/>
            <w:vAlign w:val="center"/>
          </w:tcPr>
          <w:p w14:paraId="4E45FF22">
            <w:pPr>
              <w:widowControl/>
              <w:spacing w:beforeLines="0" w:afterLines="0"/>
              <w:jc w:val="right"/>
              <w:rPr>
                <w:rFonts w:hint="eastAsia" w:ascii="Times New Roman" w:cs="Arial"/>
                <w:color w:val="auto"/>
                <w:sz w:val="24"/>
                <w:szCs w:val="21"/>
                <w:highlight w:val="none"/>
              </w:rPr>
            </w:pPr>
          </w:p>
        </w:tc>
      </w:tr>
      <w:tr w14:paraId="74B20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089" w:type="pct"/>
            <w:gridSpan w:val="5"/>
            <w:tcBorders>
              <w:top w:val="single" w:color="000000" w:sz="4" w:space="0"/>
              <w:left w:val="single" w:color="000000" w:sz="8" w:space="0"/>
              <w:bottom w:val="single" w:color="000000" w:sz="8" w:space="0"/>
              <w:right w:val="single" w:color="000000" w:sz="4" w:space="0"/>
              <w:tl2br w:val="nil"/>
              <w:tr2bl w:val="nil"/>
            </w:tcBorders>
            <w:noWrap w:val="0"/>
            <w:vAlign w:val="center"/>
          </w:tcPr>
          <w:p w14:paraId="3DF2260E">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911" w:type="pct"/>
            <w:tcBorders>
              <w:top w:val="nil"/>
              <w:left w:val="nil"/>
              <w:bottom w:val="single" w:color="000000" w:sz="8" w:space="0"/>
              <w:right w:val="single" w:color="000000" w:sz="8" w:space="0"/>
              <w:tl2br w:val="nil"/>
              <w:tr2bl w:val="nil"/>
            </w:tcBorders>
            <w:noWrap w:val="0"/>
            <w:vAlign w:val="center"/>
          </w:tcPr>
          <w:p w14:paraId="53B0709E">
            <w:pPr>
              <w:widowControl/>
              <w:spacing w:beforeLines="0" w:afterLines="0"/>
              <w:jc w:val="right"/>
              <w:rPr>
                <w:rFonts w:hint="eastAsia" w:ascii="Times New Roman" w:eastAsia="Times New Roman" w:cs="Arial"/>
                <w:color w:val="auto"/>
                <w:sz w:val="24"/>
                <w:szCs w:val="21"/>
                <w:highlight w:val="none"/>
              </w:rPr>
            </w:pPr>
          </w:p>
        </w:tc>
      </w:tr>
    </w:tbl>
    <w:p w14:paraId="6D6F3940">
      <w:pPr>
        <w:spacing w:before="240" w:beforeLines="100" w:after="240" w:afterLines="100"/>
        <w:jc w:val="center"/>
        <w:outlineLvl w:val="3"/>
        <w:rPr>
          <w:rFonts w:hint="eastAsia" w:ascii="Times New Roman" w:eastAsia="黑体"/>
          <w:color w:val="auto"/>
          <w:sz w:val="24"/>
          <w:szCs w:val="24"/>
          <w:highlight w:val="none"/>
        </w:rPr>
      </w:pPr>
      <w:bookmarkStart w:id="1629" w:name="_Toc171581555"/>
      <w:bookmarkStart w:id="1630" w:name="_Toc171581375"/>
      <w:bookmarkStart w:id="1631" w:name="_Toc460227136"/>
      <w:bookmarkStart w:id="1632" w:name="_Toc460660251"/>
      <w:bookmarkStart w:id="1633" w:name="_Toc171741998"/>
      <w:bookmarkStart w:id="1634" w:name="_Toc535241140"/>
      <w:bookmarkStart w:id="1635" w:name="_Toc16815"/>
      <w:r>
        <w:rPr>
          <w:rFonts w:hint="eastAsia" w:ascii="Times New Roman"/>
          <w:color w:val="auto"/>
          <w:sz w:val="28"/>
          <w:szCs w:val="28"/>
          <w:highlight w:val="none"/>
        </w:rPr>
        <w:br w:type="page"/>
      </w:r>
      <w:bookmarkStart w:id="1636" w:name="_Toc29553"/>
      <w:bookmarkStart w:id="1637" w:name="_Toc20773"/>
      <w:bookmarkStart w:id="1638" w:name="_Toc22998"/>
      <w:bookmarkStart w:id="1639" w:name="_Toc229"/>
      <w:bookmarkStart w:id="1640" w:name="_Toc128950315"/>
      <w:bookmarkStart w:id="1641" w:name="_Toc13265"/>
      <w:bookmarkStart w:id="1642" w:name="_Toc28393"/>
      <w:bookmarkStart w:id="1643" w:name="_Toc5382"/>
      <w:bookmarkStart w:id="1644" w:name="_Toc30681"/>
      <w:r>
        <w:rPr>
          <w:rFonts w:hint="eastAsia" w:ascii="Times New Roman" w:eastAsia="黑体"/>
          <w:color w:val="auto"/>
          <w:sz w:val="24"/>
          <w:szCs w:val="24"/>
          <w:highlight w:val="none"/>
        </w:rPr>
        <w:t>（十四）</w:t>
      </w:r>
      <w:bookmarkEnd w:id="1629"/>
      <w:bookmarkEnd w:id="1630"/>
      <w:bookmarkEnd w:id="1631"/>
      <w:bookmarkEnd w:id="1632"/>
      <w:bookmarkEnd w:id="1633"/>
      <w:r>
        <w:rPr>
          <w:rFonts w:hint="eastAsia" w:ascii="Times New Roman" w:eastAsia="黑体"/>
          <w:color w:val="auto"/>
          <w:sz w:val="24"/>
          <w:szCs w:val="24"/>
          <w:highlight w:val="none"/>
        </w:rPr>
        <w:t>税金计价表</w:t>
      </w:r>
      <w:bookmarkEnd w:id="1634"/>
      <w:bookmarkEnd w:id="1635"/>
      <w:bookmarkEnd w:id="1636"/>
      <w:bookmarkEnd w:id="1637"/>
      <w:bookmarkEnd w:id="1638"/>
      <w:bookmarkEnd w:id="1639"/>
      <w:bookmarkEnd w:id="1640"/>
      <w:bookmarkEnd w:id="1641"/>
      <w:bookmarkEnd w:id="1642"/>
      <w:bookmarkEnd w:id="1643"/>
      <w:bookmarkEnd w:id="1644"/>
    </w:p>
    <w:p w14:paraId="3ECE6A7B">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6"/>
        <w:gridCol w:w="1904"/>
        <w:gridCol w:w="2718"/>
        <w:gridCol w:w="1368"/>
        <w:gridCol w:w="882"/>
        <w:gridCol w:w="968"/>
      </w:tblGrid>
      <w:tr w14:paraId="6D3F9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97"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19C4AF79">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118"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783E71E9">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项目名称</w:t>
            </w:r>
          </w:p>
        </w:tc>
        <w:tc>
          <w:tcPr>
            <w:tcW w:w="1596"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3D58C849">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计算基础</w:t>
            </w:r>
          </w:p>
        </w:tc>
        <w:tc>
          <w:tcPr>
            <w:tcW w:w="803"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666CB795">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计算基数</w:t>
            </w:r>
          </w:p>
        </w:tc>
        <w:tc>
          <w:tcPr>
            <w:tcW w:w="518"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25EDFE6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费率(％)</w:t>
            </w:r>
          </w:p>
        </w:tc>
        <w:tc>
          <w:tcPr>
            <w:tcW w:w="569"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5AD949BC">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金额(元)</w:t>
            </w:r>
          </w:p>
        </w:tc>
      </w:tr>
      <w:tr w14:paraId="7E23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97" w:type="pct"/>
            <w:tcBorders>
              <w:top w:val="nil"/>
              <w:left w:val="single" w:color="000000" w:sz="8" w:space="0"/>
              <w:bottom w:val="single" w:color="000000" w:sz="4" w:space="0"/>
              <w:right w:val="single" w:color="000000" w:sz="4" w:space="0"/>
              <w:tl2br w:val="nil"/>
              <w:tr2bl w:val="nil"/>
            </w:tcBorders>
            <w:noWrap w:val="0"/>
            <w:vAlign w:val="center"/>
          </w:tcPr>
          <w:p w14:paraId="25B261D4">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1</w:t>
            </w:r>
          </w:p>
        </w:tc>
        <w:tc>
          <w:tcPr>
            <w:tcW w:w="1118" w:type="pct"/>
            <w:tcBorders>
              <w:top w:val="nil"/>
              <w:left w:val="nil"/>
              <w:bottom w:val="single" w:color="000000" w:sz="4" w:space="0"/>
              <w:right w:val="single" w:color="000000" w:sz="4" w:space="0"/>
              <w:tl2br w:val="nil"/>
              <w:tr2bl w:val="nil"/>
            </w:tcBorders>
            <w:noWrap w:val="0"/>
            <w:vAlign w:val="center"/>
          </w:tcPr>
          <w:p w14:paraId="0433A9C1">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增值税</w:t>
            </w:r>
          </w:p>
        </w:tc>
        <w:tc>
          <w:tcPr>
            <w:tcW w:w="1596" w:type="pct"/>
            <w:tcBorders>
              <w:top w:val="single" w:color="000000" w:sz="4" w:space="0"/>
              <w:left w:val="nil"/>
              <w:bottom w:val="single" w:color="000000" w:sz="4" w:space="0"/>
              <w:right w:val="single" w:color="000000" w:sz="4" w:space="0"/>
              <w:tl2br w:val="nil"/>
              <w:tr2bl w:val="nil"/>
            </w:tcBorders>
            <w:noWrap w:val="0"/>
            <w:vAlign w:val="center"/>
          </w:tcPr>
          <w:p w14:paraId="13CF0705">
            <w:pPr>
              <w:widowControl/>
              <w:spacing w:beforeLines="0" w:afterLines="0"/>
              <w:jc w:val="left"/>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分部分项工程费+措施项目费+不可竞争费+其他项目费</w:t>
            </w:r>
          </w:p>
        </w:tc>
        <w:tc>
          <w:tcPr>
            <w:tcW w:w="803" w:type="pct"/>
            <w:tcBorders>
              <w:top w:val="single" w:color="000000" w:sz="4" w:space="0"/>
              <w:left w:val="nil"/>
              <w:bottom w:val="single" w:color="000000" w:sz="4" w:space="0"/>
              <w:right w:val="single" w:color="000000" w:sz="4" w:space="0"/>
              <w:tl2br w:val="nil"/>
              <w:tr2bl w:val="nil"/>
            </w:tcBorders>
            <w:noWrap w:val="0"/>
            <w:vAlign w:val="center"/>
          </w:tcPr>
          <w:p w14:paraId="735DC136">
            <w:pPr>
              <w:widowControl/>
              <w:spacing w:beforeLines="0" w:afterLines="0"/>
              <w:jc w:val="right"/>
              <w:rPr>
                <w:rFonts w:hint="eastAsia" w:ascii="Times New Roman" w:eastAsia="Times New Roman" w:cs="Arial"/>
                <w:color w:val="auto"/>
                <w:sz w:val="24"/>
                <w:szCs w:val="21"/>
                <w:highlight w:val="none"/>
              </w:rPr>
            </w:pPr>
          </w:p>
        </w:tc>
        <w:tc>
          <w:tcPr>
            <w:tcW w:w="518" w:type="pct"/>
            <w:tcBorders>
              <w:top w:val="nil"/>
              <w:left w:val="nil"/>
              <w:bottom w:val="single" w:color="000000" w:sz="4" w:space="0"/>
              <w:right w:val="single" w:color="000000" w:sz="4" w:space="0"/>
              <w:tl2br w:val="nil"/>
              <w:tr2bl w:val="nil"/>
            </w:tcBorders>
            <w:noWrap w:val="0"/>
            <w:vAlign w:val="center"/>
          </w:tcPr>
          <w:p w14:paraId="1F75E596">
            <w:pPr>
              <w:widowControl/>
              <w:spacing w:beforeLines="0" w:afterLines="0"/>
              <w:jc w:val="right"/>
              <w:rPr>
                <w:rFonts w:hint="eastAsia" w:ascii="Times New Roman" w:eastAsia="Times New Roman" w:cs="Arial"/>
                <w:color w:val="auto"/>
                <w:sz w:val="24"/>
                <w:szCs w:val="21"/>
                <w:highlight w:val="none"/>
              </w:rPr>
            </w:pPr>
          </w:p>
        </w:tc>
        <w:tc>
          <w:tcPr>
            <w:tcW w:w="569" w:type="pct"/>
            <w:tcBorders>
              <w:top w:val="nil"/>
              <w:left w:val="nil"/>
              <w:bottom w:val="single" w:color="000000" w:sz="4" w:space="0"/>
              <w:right w:val="single" w:color="000000" w:sz="8" w:space="0"/>
              <w:tl2br w:val="nil"/>
              <w:tr2bl w:val="nil"/>
            </w:tcBorders>
            <w:noWrap w:val="0"/>
            <w:vAlign w:val="center"/>
          </w:tcPr>
          <w:p w14:paraId="5E6C305F">
            <w:pPr>
              <w:widowControl/>
              <w:spacing w:beforeLines="0" w:afterLines="0"/>
              <w:jc w:val="right"/>
              <w:rPr>
                <w:rFonts w:hint="eastAsia" w:ascii="Times New Roman" w:eastAsia="Times New Roman" w:cs="Arial"/>
                <w:color w:val="auto"/>
                <w:sz w:val="24"/>
                <w:szCs w:val="21"/>
                <w:highlight w:val="none"/>
              </w:rPr>
            </w:pPr>
          </w:p>
        </w:tc>
      </w:tr>
      <w:tr w14:paraId="51902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97" w:type="pct"/>
            <w:tcBorders>
              <w:top w:val="nil"/>
              <w:left w:val="single" w:color="000000" w:sz="8" w:space="0"/>
              <w:bottom w:val="single" w:color="000000" w:sz="4" w:space="0"/>
              <w:right w:val="single" w:color="000000" w:sz="4" w:space="0"/>
              <w:tl2br w:val="nil"/>
              <w:tr2bl w:val="nil"/>
            </w:tcBorders>
            <w:noWrap w:val="0"/>
            <w:vAlign w:val="center"/>
          </w:tcPr>
          <w:p w14:paraId="516092F9">
            <w:pPr>
              <w:widowControl/>
              <w:spacing w:beforeLines="0" w:afterLines="0"/>
              <w:jc w:val="center"/>
              <w:rPr>
                <w:rFonts w:hint="eastAsia" w:ascii="Times New Roman" w:eastAsia="Times New Roman" w:cs="Arial"/>
                <w:color w:val="auto"/>
                <w:sz w:val="24"/>
                <w:szCs w:val="21"/>
                <w:highlight w:val="none"/>
              </w:rPr>
            </w:pPr>
          </w:p>
        </w:tc>
        <w:tc>
          <w:tcPr>
            <w:tcW w:w="1118" w:type="pct"/>
            <w:tcBorders>
              <w:top w:val="nil"/>
              <w:left w:val="nil"/>
              <w:bottom w:val="single" w:color="000000" w:sz="4" w:space="0"/>
              <w:right w:val="single" w:color="000000" w:sz="4" w:space="0"/>
              <w:tl2br w:val="nil"/>
              <w:tr2bl w:val="nil"/>
            </w:tcBorders>
            <w:noWrap w:val="0"/>
            <w:vAlign w:val="center"/>
          </w:tcPr>
          <w:p w14:paraId="6480A4C0">
            <w:pPr>
              <w:widowControl/>
              <w:spacing w:beforeLines="0" w:afterLines="0"/>
              <w:jc w:val="left"/>
              <w:rPr>
                <w:rFonts w:hint="eastAsia" w:ascii="Times New Roman" w:eastAsia="Times New Roman" w:cs="Arial"/>
                <w:color w:val="auto"/>
                <w:sz w:val="24"/>
                <w:szCs w:val="21"/>
                <w:highlight w:val="none"/>
              </w:rPr>
            </w:pPr>
          </w:p>
        </w:tc>
        <w:tc>
          <w:tcPr>
            <w:tcW w:w="1596" w:type="pct"/>
            <w:tcBorders>
              <w:top w:val="single" w:color="000000" w:sz="4" w:space="0"/>
              <w:left w:val="nil"/>
              <w:bottom w:val="single" w:color="000000" w:sz="4" w:space="0"/>
              <w:right w:val="single" w:color="000000" w:sz="4" w:space="0"/>
              <w:tl2br w:val="nil"/>
              <w:tr2bl w:val="nil"/>
            </w:tcBorders>
            <w:noWrap w:val="0"/>
            <w:vAlign w:val="center"/>
          </w:tcPr>
          <w:p w14:paraId="19B01A71">
            <w:pPr>
              <w:widowControl/>
              <w:spacing w:beforeLines="0" w:afterLines="0"/>
              <w:jc w:val="left"/>
              <w:rPr>
                <w:rFonts w:hint="eastAsia" w:ascii="Times New Roman" w:eastAsia="Times New Roman" w:cs="Arial"/>
                <w:color w:val="auto"/>
                <w:sz w:val="24"/>
                <w:szCs w:val="21"/>
                <w:highlight w:val="none"/>
              </w:rPr>
            </w:pPr>
          </w:p>
        </w:tc>
        <w:tc>
          <w:tcPr>
            <w:tcW w:w="803" w:type="pct"/>
            <w:tcBorders>
              <w:top w:val="single" w:color="000000" w:sz="4" w:space="0"/>
              <w:left w:val="nil"/>
              <w:bottom w:val="single" w:color="000000" w:sz="4" w:space="0"/>
              <w:right w:val="single" w:color="000000" w:sz="4" w:space="0"/>
              <w:tl2br w:val="nil"/>
              <w:tr2bl w:val="nil"/>
            </w:tcBorders>
            <w:noWrap w:val="0"/>
            <w:vAlign w:val="center"/>
          </w:tcPr>
          <w:p w14:paraId="3F829583">
            <w:pPr>
              <w:widowControl/>
              <w:spacing w:beforeLines="0" w:afterLines="0"/>
              <w:jc w:val="right"/>
              <w:rPr>
                <w:rFonts w:hint="eastAsia" w:ascii="Times New Roman" w:eastAsia="Times New Roman" w:cs="Arial"/>
                <w:color w:val="auto"/>
                <w:sz w:val="24"/>
                <w:szCs w:val="21"/>
                <w:highlight w:val="none"/>
              </w:rPr>
            </w:pPr>
          </w:p>
        </w:tc>
        <w:tc>
          <w:tcPr>
            <w:tcW w:w="518" w:type="pct"/>
            <w:tcBorders>
              <w:top w:val="nil"/>
              <w:left w:val="nil"/>
              <w:bottom w:val="single" w:color="000000" w:sz="4" w:space="0"/>
              <w:right w:val="single" w:color="000000" w:sz="4" w:space="0"/>
              <w:tl2br w:val="nil"/>
              <w:tr2bl w:val="nil"/>
            </w:tcBorders>
            <w:noWrap w:val="0"/>
            <w:vAlign w:val="center"/>
          </w:tcPr>
          <w:p w14:paraId="20F178B6">
            <w:pPr>
              <w:widowControl/>
              <w:spacing w:beforeLines="0" w:afterLines="0"/>
              <w:jc w:val="right"/>
              <w:rPr>
                <w:rFonts w:hint="eastAsia" w:ascii="Times New Roman" w:eastAsia="Times New Roman" w:cs="Arial"/>
                <w:color w:val="auto"/>
                <w:sz w:val="24"/>
                <w:szCs w:val="21"/>
                <w:highlight w:val="none"/>
              </w:rPr>
            </w:pPr>
          </w:p>
        </w:tc>
        <w:tc>
          <w:tcPr>
            <w:tcW w:w="569" w:type="pct"/>
            <w:tcBorders>
              <w:top w:val="nil"/>
              <w:left w:val="nil"/>
              <w:bottom w:val="single" w:color="000000" w:sz="4" w:space="0"/>
              <w:right w:val="single" w:color="000000" w:sz="8" w:space="0"/>
              <w:tl2br w:val="nil"/>
              <w:tr2bl w:val="nil"/>
            </w:tcBorders>
            <w:noWrap w:val="0"/>
            <w:vAlign w:val="center"/>
          </w:tcPr>
          <w:p w14:paraId="3D38E7B7">
            <w:pPr>
              <w:widowControl/>
              <w:spacing w:beforeLines="0" w:afterLines="0"/>
              <w:jc w:val="right"/>
              <w:rPr>
                <w:rFonts w:hint="eastAsia" w:ascii="Times New Roman" w:eastAsia="Times New Roman" w:cs="Arial"/>
                <w:color w:val="auto"/>
                <w:sz w:val="24"/>
                <w:szCs w:val="21"/>
                <w:highlight w:val="none"/>
              </w:rPr>
            </w:pPr>
          </w:p>
        </w:tc>
      </w:tr>
      <w:tr w14:paraId="020F5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97" w:type="pct"/>
            <w:tcBorders>
              <w:top w:val="nil"/>
              <w:left w:val="single" w:color="000000" w:sz="8" w:space="0"/>
              <w:bottom w:val="single" w:color="000000" w:sz="4" w:space="0"/>
              <w:right w:val="single" w:color="000000" w:sz="4" w:space="0"/>
              <w:tl2br w:val="nil"/>
              <w:tr2bl w:val="nil"/>
            </w:tcBorders>
            <w:noWrap w:val="0"/>
            <w:vAlign w:val="center"/>
          </w:tcPr>
          <w:p w14:paraId="3CD6A268">
            <w:pPr>
              <w:widowControl/>
              <w:spacing w:beforeLines="0" w:afterLines="0"/>
              <w:jc w:val="center"/>
              <w:rPr>
                <w:rFonts w:hint="eastAsia" w:ascii="Times New Roman" w:eastAsia="Times New Roman" w:cs="Arial"/>
                <w:color w:val="auto"/>
                <w:sz w:val="24"/>
                <w:szCs w:val="21"/>
                <w:highlight w:val="none"/>
              </w:rPr>
            </w:pPr>
          </w:p>
        </w:tc>
        <w:tc>
          <w:tcPr>
            <w:tcW w:w="1118" w:type="pct"/>
            <w:tcBorders>
              <w:top w:val="nil"/>
              <w:left w:val="nil"/>
              <w:bottom w:val="single" w:color="000000" w:sz="4" w:space="0"/>
              <w:right w:val="single" w:color="000000" w:sz="4" w:space="0"/>
              <w:tl2br w:val="nil"/>
              <w:tr2bl w:val="nil"/>
            </w:tcBorders>
            <w:noWrap w:val="0"/>
            <w:vAlign w:val="center"/>
          </w:tcPr>
          <w:p w14:paraId="1BA9113D">
            <w:pPr>
              <w:widowControl/>
              <w:spacing w:beforeLines="0" w:afterLines="0"/>
              <w:jc w:val="left"/>
              <w:rPr>
                <w:rFonts w:hint="eastAsia" w:ascii="Times New Roman" w:eastAsia="Times New Roman" w:cs="Arial"/>
                <w:color w:val="auto"/>
                <w:sz w:val="24"/>
                <w:szCs w:val="21"/>
                <w:highlight w:val="none"/>
              </w:rPr>
            </w:pPr>
          </w:p>
        </w:tc>
        <w:tc>
          <w:tcPr>
            <w:tcW w:w="1596" w:type="pct"/>
            <w:tcBorders>
              <w:top w:val="single" w:color="000000" w:sz="4" w:space="0"/>
              <w:left w:val="nil"/>
              <w:bottom w:val="single" w:color="000000" w:sz="4" w:space="0"/>
              <w:right w:val="single" w:color="000000" w:sz="4" w:space="0"/>
              <w:tl2br w:val="nil"/>
              <w:tr2bl w:val="nil"/>
            </w:tcBorders>
            <w:noWrap w:val="0"/>
            <w:vAlign w:val="center"/>
          </w:tcPr>
          <w:p w14:paraId="2D4F324A">
            <w:pPr>
              <w:widowControl/>
              <w:spacing w:beforeLines="0" w:afterLines="0"/>
              <w:jc w:val="left"/>
              <w:rPr>
                <w:rFonts w:hint="eastAsia" w:ascii="Times New Roman" w:eastAsia="Times New Roman" w:cs="Arial"/>
                <w:color w:val="auto"/>
                <w:sz w:val="24"/>
                <w:szCs w:val="21"/>
                <w:highlight w:val="none"/>
              </w:rPr>
            </w:pPr>
          </w:p>
        </w:tc>
        <w:tc>
          <w:tcPr>
            <w:tcW w:w="803" w:type="pct"/>
            <w:tcBorders>
              <w:top w:val="single" w:color="000000" w:sz="4" w:space="0"/>
              <w:left w:val="nil"/>
              <w:bottom w:val="single" w:color="000000" w:sz="4" w:space="0"/>
              <w:right w:val="single" w:color="000000" w:sz="4" w:space="0"/>
              <w:tl2br w:val="nil"/>
              <w:tr2bl w:val="nil"/>
            </w:tcBorders>
            <w:noWrap w:val="0"/>
            <w:vAlign w:val="center"/>
          </w:tcPr>
          <w:p w14:paraId="6AFECBF4">
            <w:pPr>
              <w:widowControl/>
              <w:spacing w:beforeLines="0" w:afterLines="0"/>
              <w:jc w:val="right"/>
              <w:rPr>
                <w:rFonts w:hint="eastAsia" w:ascii="Times New Roman" w:eastAsia="Times New Roman" w:cs="Arial"/>
                <w:color w:val="auto"/>
                <w:sz w:val="24"/>
                <w:szCs w:val="21"/>
                <w:highlight w:val="none"/>
              </w:rPr>
            </w:pPr>
          </w:p>
        </w:tc>
        <w:tc>
          <w:tcPr>
            <w:tcW w:w="518" w:type="pct"/>
            <w:tcBorders>
              <w:top w:val="nil"/>
              <w:left w:val="nil"/>
              <w:bottom w:val="single" w:color="000000" w:sz="4" w:space="0"/>
              <w:right w:val="single" w:color="000000" w:sz="4" w:space="0"/>
              <w:tl2br w:val="nil"/>
              <w:tr2bl w:val="nil"/>
            </w:tcBorders>
            <w:noWrap w:val="0"/>
            <w:vAlign w:val="center"/>
          </w:tcPr>
          <w:p w14:paraId="1A6D90DB">
            <w:pPr>
              <w:widowControl/>
              <w:spacing w:beforeLines="0" w:afterLines="0"/>
              <w:jc w:val="right"/>
              <w:rPr>
                <w:rFonts w:hint="eastAsia" w:ascii="Times New Roman" w:eastAsia="Times New Roman" w:cs="Arial"/>
                <w:color w:val="auto"/>
                <w:sz w:val="24"/>
                <w:szCs w:val="21"/>
                <w:highlight w:val="none"/>
              </w:rPr>
            </w:pPr>
          </w:p>
        </w:tc>
        <w:tc>
          <w:tcPr>
            <w:tcW w:w="569" w:type="pct"/>
            <w:tcBorders>
              <w:top w:val="nil"/>
              <w:left w:val="nil"/>
              <w:bottom w:val="single" w:color="000000" w:sz="4" w:space="0"/>
              <w:right w:val="single" w:color="000000" w:sz="8" w:space="0"/>
              <w:tl2br w:val="nil"/>
              <w:tr2bl w:val="nil"/>
            </w:tcBorders>
            <w:noWrap w:val="0"/>
            <w:vAlign w:val="center"/>
          </w:tcPr>
          <w:p w14:paraId="6A6E7F37">
            <w:pPr>
              <w:widowControl/>
              <w:spacing w:beforeLines="0" w:afterLines="0"/>
              <w:jc w:val="right"/>
              <w:rPr>
                <w:rFonts w:hint="eastAsia" w:ascii="Times New Roman" w:eastAsia="Times New Roman" w:cs="Arial"/>
                <w:color w:val="auto"/>
                <w:sz w:val="24"/>
                <w:szCs w:val="21"/>
                <w:highlight w:val="none"/>
              </w:rPr>
            </w:pPr>
          </w:p>
        </w:tc>
      </w:tr>
      <w:tr w14:paraId="42535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431" w:type="pct"/>
            <w:gridSpan w:val="5"/>
            <w:tcBorders>
              <w:top w:val="single" w:color="000000" w:sz="4" w:space="0"/>
              <w:left w:val="single" w:color="000000" w:sz="8" w:space="0"/>
              <w:bottom w:val="single" w:color="000000" w:sz="8" w:space="0"/>
              <w:right w:val="single" w:color="000000" w:sz="4" w:space="0"/>
              <w:tl2br w:val="nil"/>
              <w:tr2bl w:val="nil"/>
            </w:tcBorders>
            <w:noWrap w:val="0"/>
            <w:vAlign w:val="center"/>
          </w:tcPr>
          <w:p w14:paraId="2DE626DF">
            <w:pPr>
              <w:widowControl/>
              <w:spacing w:beforeLines="0" w:afterLines="0"/>
              <w:jc w:val="center"/>
              <w:rPr>
                <w:rFonts w:hint="eastAsia" w:ascii="Times New Roman" w:eastAsia="Times New Roman" w:cs="Arial"/>
                <w:color w:val="auto"/>
                <w:sz w:val="24"/>
                <w:szCs w:val="21"/>
                <w:highlight w:val="none"/>
              </w:rPr>
            </w:pPr>
            <w:r>
              <w:rPr>
                <w:rFonts w:hint="eastAsia" w:ascii="Times New Roman" w:cs="Arial"/>
                <w:color w:val="auto"/>
                <w:sz w:val="24"/>
                <w:szCs w:val="21"/>
                <w:highlight w:val="none"/>
              </w:rPr>
              <w:t>合  计</w:t>
            </w:r>
          </w:p>
        </w:tc>
        <w:tc>
          <w:tcPr>
            <w:tcW w:w="569" w:type="pct"/>
            <w:tcBorders>
              <w:top w:val="nil"/>
              <w:left w:val="nil"/>
              <w:bottom w:val="single" w:color="000000" w:sz="8" w:space="0"/>
              <w:right w:val="single" w:color="000000" w:sz="8" w:space="0"/>
              <w:tl2br w:val="nil"/>
              <w:tr2bl w:val="nil"/>
            </w:tcBorders>
            <w:noWrap w:val="0"/>
            <w:vAlign w:val="center"/>
          </w:tcPr>
          <w:p w14:paraId="4A249DFD">
            <w:pPr>
              <w:widowControl/>
              <w:spacing w:beforeLines="0" w:afterLines="0"/>
              <w:jc w:val="right"/>
              <w:rPr>
                <w:rFonts w:hint="eastAsia" w:ascii="Times New Roman" w:eastAsia="Times New Roman" w:cs="Arial"/>
                <w:color w:val="auto"/>
                <w:sz w:val="24"/>
                <w:szCs w:val="21"/>
                <w:highlight w:val="none"/>
              </w:rPr>
            </w:pPr>
          </w:p>
        </w:tc>
      </w:tr>
    </w:tbl>
    <w:p w14:paraId="440E96AA">
      <w:pPr>
        <w:spacing w:before="240" w:beforeLines="100" w:after="240" w:afterLines="100"/>
        <w:jc w:val="center"/>
        <w:outlineLvl w:val="3"/>
        <w:rPr>
          <w:rFonts w:hint="eastAsia" w:ascii="Times New Roman" w:eastAsia="黑体"/>
          <w:color w:val="auto"/>
          <w:sz w:val="24"/>
          <w:szCs w:val="24"/>
          <w:highlight w:val="none"/>
        </w:rPr>
      </w:pPr>
      <w:bookmarkStart w:id="1645" w:name="_Toc13709"/>
      <w:bookmarkStart w:id="1646" w:name="_Toc8926"/>
      <w:bookmarkStart w:id="1647" w:name="_Toc8269"/>
      <w:bookmarkStart w:id="1648" w:name="_Toc535241141"/>
      <w:bookmarkStart w:id="1649" w:name="_Toc128950316"/>
      <w:bookmarkStart w:id="1650" w:name="_Toc32420"/>
      <w:bookmarkStart w:id="1651" w:name="_Toc8492"/>
      <w:bookmarkStart w:id="1652" w:name="_Toc17229"/>
      <w:bookmarkStart w:id="1653" w:name="_Toc22059"/>
      <w:bookmarkStart w:id="1654" w:name="_Toc26811"/>
      <w:bookmarkStart w:id="1655" w:name="_Toc23845"/>
      <w:r>
        <w:rPr>
          <w:rFonts w:hint="eastAsia"/>
          <w:color w:val="auto"/>
          <w:sz w:val="24"/>
          <w:szCs w:val="24"/>
          <w:highlight w:val="none"/>
        </w:rPr>
        <w:br w:type="page"/>
      </w:r>
      <w:r>
        <w:rPr>
          <w:rFonts w:hint="eastAsia" w:ascii="Times New Roman" w:eastAsia="黑体"/>
          <w:color w:val="auto"/>
          <w:sz w:val="24"/>
          <w:szCs w:val="24"/>
          <w:highlight w:val="none"/>
        </w:rPr>
        <w:t>（十五）材料（工程设备）暂估单价一览表</w:t>
      </w:r>
      <w:bookmarkEnd w:id="1645"/>
      <w:bookmarkEnd w:id="1646"/>
      <w:bookmarkEnd w:id="1647"/>
      <w:bookmarkEnd w:id="1648"/>
      <w:bookmarkEnd w:id="1649"/>
      <w:bookmarkEnd w:id="1650"/>
      <w:bookmarkEnd w:id="1651"/>
      <w:bookmarkEnd w:id="1652"/>
      <w:bookmarkEnd w:id="1653"/>
      <w:bookmarkEnd w:id="1654"/>
      <w:bookmarkEnd w:id="1655"/>
    </w:p>
    <w:p w14:paraId="590D3809">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54"/>
        <w:gridCol w:w="3469"/>
        <w:gridCol w:w="1311"/>
        <w:gridCol w:w="1266"/>
        <w:gridCol w:w="1416"/>
      </w:tblGrid>
      <w:tr w14:paraId="7316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619"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6F380491">
            <w:pPr>
              <w:widowControl/>
              <w:spacing w:beforeLines="0" w:afterLines="0"/>
              <w:jc w:val="center"/>
              <w:rPr>
                <w:rFonts w:hint="eastAsia" w:ascii="Times New Roman" w:eastAsia="Times New Roman" w:cs="Arial"/>
                <w:color w:val="auto"/>
                <w:sz w:val="24"/>
                <w:szCs w:val="21"/>
                <w:highlight w:val="none"/>
              </w:rPr>
            </w:pPr>
            <w:bookmarkStart w:id="1656" w:name="_Toc44996373"/>
            <w:bookmarkStart w:id="1657" w:name="_Toc17215711"/>
            <w:r>
              <w:rPr>
                <w:rFonts w:hint="eastAsia" w:ascii="Times New Roman" w:eastAsia="黑体" w:cs="Arial"/>
                <w:color w:val="auto"/>
                <w:sz w:val="24"/>
                <w:szCs w:val="21"/>
                <w:highlight w:val="none"/>
              </w:rPr>
              <w:t>序号</w:t>
            </w:r>
          </w:p>
        </w:tc>
        <w:tc>
          <w:tcPr>
            <w:tcW w:w="2037"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5605EBE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材料(工程设备)名称、规格、型号</w:t>
            </w:r>
          </w:p>
        </w:tc>
        <w:tc>
          <w:tcPr>
            <w:tcW w:w="770"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5545EA00">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计量单位</w:t>
            </w:r>
          </w:p>
        </w:tc>
        <w:tc>
          <w:tcPr>
            <w:tcW w:w="743"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600DA854">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数量</w:t>
            </w:r>
          </w:p>
        </w:tc>
        <w:tc>
          <w:tcPr>
            <w:tcW w:w="831"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480206C2">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单价(元)</w:t>
            </w:r>
          </w:p>
        </w:tc>
      </w:tr>
      <w:tr w14:paraId="0854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l2br w:val="nil"/>
              <w:tr2bl w:val="nil"/>
            </w:tcBorders>
            <w:noWrap w:val="0"/>
            <w:vAlign w:val="center"/>
          </w:tcPr>
          <w:p w14:paraId="73EB03F1">
            <w:pPr>
              <w:widowControl/>
              <w:spacing w:beforeLines="0" w:afterLines="0"/>
              <w:jc w:val="center"/>
              <w:rPr>
                <w:rFonts w:hint="eastAsia" w:ascii="Times New Roman" w:eastAsia="Times New Roman" w:cs="Arial"/>
                <w:color w:val="auto"/>
                <w:sz w:val="24"/>
                <w:szCs w:val="21"/>
                <w:highlight w:val="none"/>
              </w:rPr>
            </w:pPr>
          </w:p>
        </w:tc>
        <w:tc>
          <w:tcPr>
            <w:tcW w:w="2037" w:type="pct"/>
            <w:tcBorders>
              <w:top w:val="single" w:color="000000" w:sz="4" w:space="0"/>
              <w:left w:val="nil"/>
              <w:bottom w:val="single" w:color="000000" w:sz="4" w:space="0"/>
              <w:right w:val="single" w:color="000000" w:sz="4" w:space="0"/>
              <w:tl2br w:val="nil"/>
              <w:tr2bl w:val="nil"/>
            </w:tcBorders>
            <w:noWrap w:val="0"/>
            <w:vAlign w:val="center"/>
          </w:tcPr>
          <w:p w14:paraId="5CFC8CA9">
            <w:pPr>
              <w:widowControl/>
              <w:spacing w:beforeLines="0" w:afterLines="0"/>
              <w:jc w:val="left"/>
              <w:rPr>
                <w:rFonts w:hint="eastAsia" w:ascii="Times New Roman" w:eastAsia="Times New Roman" w:cs="Arial"/>
                <w:color w:val="auto"/>
                <w:sz w:val="24"/>
                <w:szCs w:val="21"/>
                <w:highlight w:val="none"/>
              </w:rPr>
            </w:pPr>
          </w:p>
        </w:tc>
        <w:tc>
          <w:tcPr>
            <w:tcW w:w="770" w:type="pct"/>
            <w:tcBorders>
              <w:top w:val="single" w:color="000000" w:sz="4" w:space="0"/>
              <w:left w:val="nil"/>
              <w:bottom w:val="single" w:color="000000" w:sz="4" w:space="0"/>
              <w:right w:val="single" w:color="000000" w:sz="4" w:space="0"/>
              <w:tl2br w:val="nil"/>
              <w:tr2bl w:val="nil"/>
            </w:tcBorders>
            <w:noWrap w:val="0"/>
            <w:vAlign w:val="center"/>
          </w:tcPr>
          <w:p w14:paraId="746A98FE">
            <w:pPr>
              <w:widowControl/>
              <w:spacing w:beforeLines="0" w:afterLines="0"/>
              <w:jc w:val="center"/>
              <w:rPr>
                <w:rFonts w:hint="eastAsia" w:ascii="Times New Roman" w:eastAsia="Times New Roman" w:cs="Arial"/>
                <w:color w:val="auto"/>
                <w:sz w:val="24"/>
                <w:szCs w:val="21"/>
                <w:highlight w:val="none"/>
              </w:rPr>
            </w:pPr>
          </w:p>
        </w:tc>
        <w:tc>
          <w:tcPr>
            <w:tcW w:w="743" w:type="pct"/>
            <w:tcBorders>
              <w:top w:val="single" w:color="000000" w:sz="4" w:space="0"/>
              <w:left w:val="nil"/>
              <w:bottom w:val="single" w:color="000000" w:sz="4" w:space="0"/>
              <w:right w:val="single" w:color="000000" w:sz="4" w:space="0"/>
              <w:tl2br w:val="nil"/>
              <w:tr2bl w:val="nil"/>
            </w:tcBorders>
            <w:noWrap w:val="0"/>
            <w:vAlign w:val="center"/>
          </w:tcPr>
          <w:p w14:paraId="00CA6663">
            <w:pPr>
              <w:widowControl/>
              <w:spacing w:beforeLines="0" w:afterLines="0"/>
              <w:jc w:val="right"/>
              <w:rPr>
                <w:rFonts w:hint="eastAsia" w:ascii="Times New Roman" w:eastAsia="Times New Roman" w:cs="Arial"/>
                <w:color w:val="auto"/>
                <w:sz w:val="24"/>
                <w:szCs w:val="21"/>
                <w:highlight w:val="none"/>
              </w:rPr>
            </w:pPr>
          </w:p>
        </w:tc>
        <w:tc>
          <w:tcPr>
            <w:tcW w:w="831" w:type="pct"/>
            <w:tcBorders>
              <w:top w:val="nil"/>
              <w:left w:val="nil"/>
              <w:bottom w:val="single" w:color="000000" w:sz="4" w:space="0"/>
              <w:right w:val="single" w:color="000000" w:sz="8" w:space="0"/>
              <w:tl2br w:val="nil"/>
              <w:tr2bl w:val="nil"/>
            </w:tcBorders>
            <w:noWrap w:val="0"/>
            <w:vAlign w:val="center"/>
          </w:tcPr>
          <w:p w14:paraId="3CF13E4E">
            <w:pPr>
              <w:widowControl/>
              <w:spacing w:beforeLines="0" w:afterLines="0"/>
              <w:jc w:val="right"/>
              <w:rPr>
                <w:rFonts w:hint="eastAsia" w:ascii="Times New Roman" w:eastAsia="Times New Roman" w:cs="Arial"/>
                <w:color w:val="auto"/>
                <w:sz w:val="24"/>
                <w:szCs w:val="21"/>
                <w:highlight w:val="none"/>
              </w:rPr>
            </w:pPr>
          </w:p>
        </w:tc>
      </w:tr>
      <w:tr w14:paraId="2270A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l2br w:val="nil"/>
              <w:tr2bl w:val="nil"/>
            </w:tcBorders>
            <w:noWrap w:val="0"/>
            <w:vAlign w:val="center"/>
          </w:tcPr>
          <w:p w14:paraId="6E5CEBBB">
            <w:pPr>
              <w:widowControl/>
              <w:spacing w:beforeLines="0" w:afterLines="0"/>
              <w:jc w:val="center"/>
              <w:rPr>
                <w:rFonts w:hint="eastAsia" w:ascii="Times New Roman" w:eastAsia="Times New Roman" w:cs="Arial"/>
                <w:color w:val="auto"/>
                <w:sz w:val="24"/>
                <w:szCs w:val="21"/>
                <w:highlight w:val="none"/>
              </w:rPr>
            </w:pPr>
          </w:p>
        </w:tc>
        <w:tc>
          <w:tcPr>
            <w:tcW w:w="2037" w:type="pct"/>
            <w:tcBorders>
              <w:top w:val="single" w:color="000000" w:sz="4" w:space="0"/>
              <w:left w:val="nil"/>
              <w:bottom w:val="single" w:color="000000" w:sz="4" w:space="0"/>
              <w:right w:val="single" w:color="000000" w:sz="4" w:space="0"/>
              <w:tl2br w:val="nil"/>
              <w:tr2bl w:val="nil"/>
            </w:tcBorders>
            <w:noWrap w:val="0"/>
            <w:vAlign w:val="center"/>
          </w:tcPr>
          <w:p w14:paraId="0DFEA9FA">
            <w:pPr>
              <w:widowControl/>
              <w:spacing w:beforeLines="0" w:afterLines="0"/>
              <w:jc w:val="left"/>
              <w:rPr>
                <w:rFonts w:hint="eastAsia" w:ascii="Times New Roman" w:eastAsia="Times New Roman" w:cs="Arial"/>
                <w:color w:val="auto"/>
                <w:sz w:val="24"/>
                <w:szCs w:val="21"/>
                <w:highlight w:val="none"/>
              </w:rPr>
            </w:pPr>
          </w:p>
        </w:tc>
        <w:tc>
          <w:tcPr>
            <w:tcW w:w="770" w:type="pct"/>
            <w:tcBorders>
              <w:top w:val="single" w:color="000000" w:sz="4" w:space="0"/>
              <w:left w:val="nil"/>
              <w:bottom w:val="single" w:color="000000" w:sz="4" w:space="0"/>
              <w:right w:val="single" w:color="000000" w:sz="4" w:space="0"/>
              <w:tl2br w:val="nil"/>
              <w:tr2bl w:val="nil"/>
            </w:tcBorders>
            <w:noWrap w:val="0"/>
            <w:vAlign w:val="center"/>
          </w:tcPr>
          <w:p w14:paraId="3ECC321B">
            <w:pPr>
              <w:widowControl/>
              <w:spacing w:beforeLines="0" w:afterLines="0"/>
              <w:jc w:val="center"/>
              <w:rPr>
                <w:rFonts w:hint="eastAsia" w:ascii="Times New Roman" w:eastAsia="Times New Roman" w:cs="Arial"/>
                <w:color w:val="auto"/>
                <w:sz w:val="24"/>
                <w:szCs w:val="21"/>
                <w:highlight w:val="none"/>
              </w:rPr>
            </w:pPr>
          </w:p>
        </w:tc>
        <w:tc>
          <w:tcPr>
            <w:tcW w:w="743" w:type="pct"/>
            <w:tcBorders>
              <w:top w:val="single" w:color="000000" w:sz="4" w:space="0"/>
              <w:left w:val="nil"/>
              <w:bottom w:val="single" w:color="000000" w:sz="4" w:space="0"/>
              <w:right w:val="single" w:color="000000" w:sz="4" w:space="0"/>
              <w:tl2br w:val="nil"/>
              <w:tr2bl w:val="nil"/>
            </w:tcBorders>
            <w:noWrap w:val="0"/>
            <w:vAlign w:val="center"/>
          </w:tcPr>
          <w:p w14:paraId="59961085">
            <w:pPr>
              <w:widowControl/>
              <w:spacing w:beforeLines="0" w:afterLines="0"/>
              <w:jc w:val="right"/>
              <w:rPr>
                <w:rFonts w:hint="eastAsia" w:ascii="Times New Roman" w:eastAsia="Times New Roman" w:cs="Arial"/>
                <w:color w:val="auto"/>
                <w:sz w:val="24"/>
                <w:szCs w:val="21"/>
                <w:highlight w:val="none"/>
              </w:rPr>
            </w:pPr>
          </w:p>
        </w:tc>
        <w:tc>
          <w:tcPr>
            <w:tcW w:w="831" w:type="pct"/>
            <w:tcBorders>
              <w:top w:val="nil"/>
              <w:left w:val="nil"/>
              <w:bottom w:val="single" w:color="000000" w:sz="4" w:space="0"/>
              <w:right w:val="single" w:color="000000" w:sz="8" w:space="0"/>
              <w:tl2br w:val="nil"/>
              <w:tr2bl w:val="nil"/>
            </w:tcBorders>
            <w:noWrap w:val="0"/>
            <w:vAlign w:val="center"/>
          </w:tcPr>
          <w:p w14:paraId="3C9841F2">
            <w:pPr>
              <w:widowControl/>
              <w:spacing w:beforeLines="0" w:afterLines="0"/>
              <w:jc w:val="right"/>
              <w:rPr>
                <w:rFonts w:hint="eastAsia" w:ascii="Times New Roman" w:eastAsia="Times New Roman" w:cs="Arial"/>
                <w:color w:val="auto"/>
                <w:sz w:val="24"/>
                <w:szCs w:val="21"/>
                <w:highlight w:val="none"/>
              </w:rPr>
            </w:pPr>
          </w:p>
        </w:tc>
      </w:tr>
      <w:tr w14:paraId="10973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l2br w:val="nil"/>
              <w:tr2bl w:val="nil"/>
            </w:tcBorders>
            <w:noWrap w:val="0"/>
            <w:vAlign w:val="center"/>
          </w:tcPr>
          <w:p w14:paraId="5824FA57">
            <w:pPr>
              <w:widowControl/>
              <w:spacing w:beforeLines="0" w:afterLines="0"/>
              <w:jc w:val="center"/>
              <w:rPr>
                <w:rFonts w:hint="eastAsia" w:ascii="Times New Roman" w:eastAsia="Times New Roman" w:cs="Arial"/>
                <w:color w:val="auto"/>
                <w:sz w:val="24"/>
                <w:szCs w:val="21"/>
                <w:highlight w:val="none"/>
              </w:rPr>
            </w:pPr>
          </w:p>
        </w:tc>
        <w:tc>
          <w:tcPr>
            <w:tcW w:w="2037" w:type="pct"/>
            <w:tcBorders>
              <w:top w:val="single" w:color="000000" w:sz="4" w:space="0"/>
              <w:left w:val="nil"/>
              <w:bottom w:val="single" w:color="000000" w:sz="4" w:space="0"/>
              <w:right w:val="single" w:color="000000" w:sz="4" w:space="0"/>
              <w:tl2br w:val="nil"/>
              <w:tr2bl w:val="nil"/>
            </w:tcBorders>
            <w:noWrap w:val="0"/>
            <w:vAlign w:val="center"/>
          </w:tcPr>
          <w:p w14:paraId="3FB1CF59">
            <w:pPr>
              <w:widowControl/>
              <w:spacing w:beforeLines="0" w:afterLines="0"/>
              <w:jc w:val="left"/>
              <w:rPr>
                <w:rFonts w:hint="eastAsia" w:ascii="Times New Roman" w:eastAsia="Times New Roman" w:cs="Arial"/>
                <w:color w:val="auto"/>
                <w:sz w:val="24"/>
                <w:szCs w:val="21"/>
                <w:highlight w:val="none"/>
              </w:rPr>
            </w:pPr>
          </w:p>
        </w:tc>
        <w:tc>
          <w:tcPr>
            <w:tcW w:w="770" w:type="pct"/>
            <w:tcBorders>
              <w:top w:val="single" w:color="000000" w:sz="4" w:space="0"/>
              <w:left w:val="nil"/>
              <w:bottom w:val="single" w:color="000000" w:sz="4" w:space="0"/>
              <w:right w:val="single" w:color="000000" w:sz="4" w:space="0"/>
              <w:tl2br w:val="nil"/>
              <w:tr2bl w:val="nil"/>
            </w:tcBorders>
            <w:noWrap w:val="0"/>
            <w:vAlign w:val="center"/>
          </w:tcPr>
          <w:p w14:paraId="698A7991">
            <w:pPr>
              <w:widowControl/>
              <w:spacing w:beforeLines="0" w:afterLines="0"/>
              <w:jc w:val="center"/>
              <w:rPr>
                <w:rFonts w:hint="eastAsia" w:ascii="Times New Roman" w:eastAsia="Times New Roman" w:cs="Arial"/>
                <w:color w:val="auto"/>
                <w:sz w:val="24"/>
                <w:szCs w:val="21"/>
                <w:highlight w:val="none"/>
              </w:rPr>
            </w:pPr>
          </w:p>
        </w:tc>
        <w:tc>
          <w:tcPr>
            <w:tcW w:w="743" w:type="pct"/>
            <w:tcBorders>
              <w:top w:val="single" w:color="000000" w:sz="4" w:space="0"/>
              <w:left w:val="nil"/>
              <w:bottom w:val="single" w:color="000000" w:sz="4" w:space="0"/>
              <w:right w:val="single" w:color="000000" w:sz="4" w:space="0"/>
              <w:tl2br w:val="nil"/>
              <w:tr2bl w:val="nil"/>
            </w:tcBorders>
            <w:noWrap w:val="0"/>
            <w:vAlign w:val="center"/>
          </w:tcPr>
          <w:p w14:paraId="36A0BF15">
            <w:pPr>
              <w:widowControl/>
              <w:spacing w:beforeLines="0" w:afterLines="0"/>
              <w:jc w:val="right"/>
              <w:rPr>
                <w:rFonts w:hint="eastAsia" w:ascii="Times New Roman" w:eastAsia="Times New Roman" w:cs="Arial"/>
                <w:color w:val="auto"/>
                <w:sz w:val="24"/>
                <w:szCs w:val="21"/>
                <w:highlight w:val="none"/>
              </w:rPr>
            </w:pPr>
          </w:p>
        </w:tc>
        <w:tc>
          <w:tcPr>
            <w:tcW w:w="831" w:type="pct"/>
            <w:tcBorders>
              <w:top w:val="nil"/>
              <w:left w:val="nil"/>
              <w:bottom w:val="single" w:color="000000" w:sz="4" w:space="0"/>
              <w:right w:val="single" w:color="000000" w:sz="8" w:space="0"/>
              <w:tl2br w:val="nil"/>
              <w:tr2bl w:val="nil"/>
            </w:tcBorders>
            <w:noWrap w:val="0"/>
            <w:vAlign w:val="center"/>
          </w:tcPr>
          <w:p w14:paraId="042795E9">
            <w:pPr>
              <w:widowControl/>
              <w:spacing w:beforeLines="0" w:afterLines="0"/>
              <w:jc w:val="right"/>
              <w:rPr>
                <w:rFonts w:hint="eastAsia" w:ascii="Times New Roman" w:eastAsia="Times New Roman" w:cs="Arial"/>
                <w:color w:val="auto"/>
                <w:sz w:val="24"/>
                <w:szCs w:val="21"/>
                <w:highlight w:val="none"/>
              </w:rPr>
            </w:pPr>
          </w:p>
        </w:tc>
      </w:tr>
      <w:tr w14:paraId="58568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19" w:type="pct"/>
            <w:tcBorders>
              <w:top w:val="nil"/>
              <w:left w:val="single" w:color="000000" w:sz="8" w:space="0"/>
              <w:bottom w:val="single" w:color="000000" w:sz="4" w:space="0"/>
              <w:right w:val="single" w:color="000000" w:sz="4" w:space="0"/>
              <w:tl2br w:val="nil"/>
              <w:tr2bl w:val="nil"/>
            </w:tcBorders>
            <w:noWrap w:val="0"/>
            <w:vAlign w:val="center"/>
          </w:tcPr>
          <w:p w14:paraId="1BEFA29B">
            <w:pPr>
              <w:widowControl/>
              <w:spacing w:beforeLines="0" w:afterLines="0"/>
              <w:jc w:val="center"/>
              <w:rPr>
                <w:rFonts w:hint="eastAsia" w:ascii="Times New Roman" w:cs="Arial"/>
                <w:color w:val="auto"/>
                <w:sz w:val="24"/>
                <w:szCs w:val="21"/>
                <w:highlight w:val="none"/>
              </w:rPr>
            </w:pPr>
          </w:p>
        </w:tc>
        <w:tc>
          <w:tcPr>
            <w:tcW w:w="2037" w:type="pct"/>
            <w:tcBorders>
              <w:top w:val="single" w:color="000000" w:sz="4" w:space="0"/>
              <w:left w:val="nil"/>
              <w:bottom w:val="single" w:color="000000" w:sz="4" w:space="0"/>
              <w:right w:val="single" w:color="000000" w:sz="4" w:space="0"/>
              <w:tl2br w:val="nil"/>
              <w:tr2bl w:val="nil"/>
            </w:tcBorders>
            <w:noWrap w:val="0"/>
            <w:vAlign w:val="center"/>
          </w:tcPr>
          <w:p w14:paraId="770658D4">
            <w:pPr>
              <w:widowControl/>
              <w:spacing w:beforeLines="0" w:afterLines="0"/>
              <w:jc w:val="left"/>
              <w:rPr>
                <w:rFonts w:hint="eastAsia" w:ascii="Times New Roman" w:cs="Arial"/>
                <w:color w:val="auto"/>
                <w:sz w:val="24"/>
                <w:szCs w:val="21"/>
                <w:highlight w:val="none"/>
              </w:rPr>
            </w:pPr>
          </w:p>
        </w:tc>
        <w:tc>
          <w:tcPr>
            <w:tcW w:w="770" w:type="pct"/>
            <w:tcBorders>
              <w:top w:val="single" w:color="000000" w:sz="4" w:space="0"/>
              <w:left w:val="nil"/>
              <w:bottom w:val="single" w:color="000000" w:sz="4" w:space="0"/>
              <w:right w:val="single" w:color="000000" w:sz="4" w:space="0"/>
              <w:tl2br w:val="nil"/>
              <w:tr2bl w:val="nil"/>
            </w:tcBorders>
            <w:noWrap w:val="0"/>
            <w:vAlign w:val="center"/>
          </w:tcPr>
          <w:p w14:paraId="049E43EA">
            <w:pPr>
              <w:widowControl/>
              <w:spacing w:beforeLines="0" w:afterLines="0"/>
              <w:jc w:val="center"/>
              <w:rPr>
                <w:rFonts w:hint="eastAsia" w:ascii="Times New Roman" w:cs="Arial"/>
                <w:color w:val="auto"/>
                <w:sz w:val="24"/>
                <w:szCs w:val="21"/>
                <w:highlight w:val="none"/>
              </w:rPr>
            </w:pPr>
          </w:p>
        </w:tc>
        <w:tc>
          <w:tcPr>
            <w:tcW w:w="743" w:type="pct"/>
            <w:tcBorders>
              <w:top w:val="single" w:color="000000" w:sz="4" w:space="0"/>
              <w:left w:val="nil"/>
              <w:bottom w:val="single" w:color="000000" w:sz="4" w:space="0"/>
              <w:right w:val="single" w:color="000000" w:sz="4" w:space="0"/>
              <w:tl2br w:val="nil"/>
              <w:tr2bl w:val="nil"/>
            </w:tcBorders>
            <w:noWrap w:val="0"/>
            <w:vAlign w:val="center"/>
          </w:tcPr>
          <w:p w14:paraId="799CF67C">
            <w:pPr>
              <w:widowControl/>
              <w:spacing w:beforeLines="0" w:afterLines="0"/>
              <w:jc w:val="right"/>
              <w:rPr>
                <w:rFonts w:hint="eastAsia" w:ascii="Times New Roman" w:cs="Arial"/>
                <w:color w:val="auto"/>
                <w:sz w:val="24"/>
                <w:szCs w:val="21"/>
                <w:highlight w:val="none"/>
              </w:rPr>
            </w:pPr>
          </w:p>
        </w:tc>
        <w:tc>
          <w:tcPr>
            <w:tcW w:w="831" w:type="pct"/>
            <w:tcBorders>
              <w:top w:val="nil"/>
              <w:left w:val="nil"/>
              <w:bottom w:val="single" w:color="000000" w:sz="4" w:space="0"/>
              <w:right w:val="single" w:color="000000" w:sz="8" w:space="0"/>
              <w:tl2br w:val="nil"/>
              <w:tr2bl w:val="nil"/>
            </w:tcBorders>
            <w:noWrap w:val="0"/>
            <w:vAlign w:val="center"/>
          </w:tcPr>
          <w:p w14:paraId="270C9E66">
            <w:pPr>
              <w:widowControl/>
              <w:spacing w:beforeLines="0" w:afterLines="0"/>
              <w:jc w:val="right"/>
              <w:rPr>
                <w:rFonts w:hint="eastAsia" w:ascii="Times New Roman" w:cs="Arial"/>
                <w:color w:val="auto"/>
                <w:sz w:val="24"/>
                <w:szCs w:val="21"/>
                <w:highlight w:val="none"/>
              </w:rPr>
            </w:pPr>
          </w:p>
        </w:tc>
      </w:tr>
      <w:bookmarkEnd w:id="1656"/>
      <w:bookmarkEnd w:id="1657"/>
    </w:tbl>
    <w:p w14:paraId="01736E6C">
      <w:pPr>
        <w:spacing w:before="240" w:beforeLines="100" w:after="240" w:afterLines="100"/>
        <w:jc w:val="center"/>
        <w:outlineLvl w:val="3"/>
        <w:rPr>
          <w:rFonts w:hint="eastAsia" w:ascii="Times New Roman" w:eastAsia="黑体"/>
          <w:color w:val="auto"/>
          <w:sz w:val="24"/>
          <w:szCs w:val="24"/>
          <w:highlight w:val="none"/>
        </w:rPr>
      </w:pPr>
      <w:bookmarkStart w:id="1658" w:name="_Toc535241142"/>
      <w:bookmarkStart w:id="1659" w:name="_Toc27530"/>
      <w:bookmarkStart w:id="1660" w:name="_Toc171581377"/>
      <w:bookmarkStart w:id="1661" w:name="_Toc17215716"/>
      <w:bookmarkStart w:id="1662" w:name="_Toc44996378"/>
      <w:bookmarkStart w:id="1663" w:name="_Toc171742000"/>
      <w:bookmarkStart w:id="1664" w:name="_Toc171581557"/>
      <w:r>
        <w:rPr>
          <w:rFonts w:hint="eastAsia" w:ascii="Times New Roman"/>
          <w:color w:val="auto"/>
          <w:sz w:val="28"/>
          <w:szCs w:val="28"/>
          <w:highlight w:val="none"/>
        </w:rPr>
        <w:br w:type="page"/>
      </w:r>
      <w:bookmarkStart w:id="1665" w:name="_Toc608"/>
      <w:bookmarkStart w:id="1666" w:name="_Toc128950317"/>
      <w:bookmarkStart w:id="1667" w:name="_Toc17418"/>
      <w:bookmarkStart w:id="1668" w:name="_Toc32100"/>
      <w:bookmarkStart w:id="1669" w:name="_Toc7685"/>
      <w:bookmarkStart w:id="1670" w:name="_Toc15187"/>
      <w:bookmarkStart w:id="1671" w:name="_Toc27405"/>
      <w:bookmarkStart w:id="1672" w:name="_Toc26741"/>
      <w:bookmarkStart w:id="1673" w:name="_Toc26716"/>
      <w:r>
        <w:rPr>
          <w:rFonts w:hint="eastAsia" w:ascii="Times New Roman" w:eastAsia="黑体"/>
          <w:color w:val="auto"/>
          <w:sz w:val="24"/>
          <w:szCs w:val="24"/>
          <w:highlight w:val="none"/>
        </w:rPr>
        <w:t>（十六）发包人提供材料（工程设备）一览表</w:t>
      </w:r>
      <w:bookmarkEnd w:id="1658"/>
      <w:bookmarkEnd w:id="1659"/>
      <w:bookmarkEnd w:id="1665"/>
      <w:bookmarkEnd w:id="1666"/>
      <w:bookmarkEnd w:id="1667"/>
      <w:bookmarkEnd w:id="1668"/>
      <w:bookmarkEnd w:id="1669"/>
      <w:bookmarkEnd w:id="1670"/>
      <w:bookmarkEnd w:id="1671"/>
      <w:bookmarkEnd w:id="1672"/>
      <w:bookmarkEnd w:id="1673"/>
    </w:p>
    <w:p w14:paraId="6B036CE5">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1"/>
        <w:gridCol w:w="2582"/>
        <w:gridCol w:w="981"/>
        <w:gridCol w:w="1109"/>
        <w:gridCol w:w="1218"/>
        <w:gridCol w:w="944"/>
        <w:gridCol w:w="901"/>
      </w:tblGrid>
      <w:tr w14:paraId="2AE5F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59" w:type="pct"/>
            <w:tcBorders>
              <w:top w:val="single" w:color="000000" w:sz="8" w:space="0"/>
              <w:left w:val="single" w:color="000000" w:sz="8" w:space="0"/>
              <w:bottom w:val="single" w:color="000000" w:sz="4" w:space="0"/>
              <w:right w:val="single" w:color="000000" w:sz="4" w:space="0"/>
              <w:tl2br w:val="nil"/>
              <w:tr2bl w:val="nil"/>
            </w:tcBorders>
            <w:shd w:val="clear" w:color="FFFFFF" w:fill="FFFFFF"/>
            <w:noWrap w:val="0"/>
            <w:vAlign w:val="center"/>
          </w:tcPr>
          <w:p w14:paraId="2FF7F15E">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516"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5BC1BA50">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材料(工程设备)名称、规格、型号</w:t>
            </w:r>
          </w:p>
        </w:tc>
        <w:tc>
          <w:tcPr>
            <w:tcW w:w="576"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626EF91D">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计量单位</w:t>
            </w:r>
          </w:p>
        </w:tc>
        <w:tc>
          <w:tcPr>
            <w:tcW w:w="651"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6D2855A5">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数量</w:t>
            </w:r>
          </w:p>
        </w:tc>
        <w:tc>
          <w:tcPr>
            <w:tcW w:w="715"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348E082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单价(元)</w:t>
            </w:r>
          </w:p>
        </w:tc>
        <w:tc>
          <w:tcPr>
            <w:tcW w:w="554" w:type="pct"/>
            <w:tcBorders>
              <w:top w:val="single" w:color="000000" w:sz="8" w:space="0"/>
              <w:left w:val="nil"/>
              <w:bottom w:val="single" w:color="000000" w:sz="4" w:space="0"/>
              <w:right w:val="single" w:color="000000" w:sz="4" w:space="0"/>
              <w:tl2br w:val="nil"/>
              <w:tr2bl w:val="nil"/>
            </w:tcBorders>
            <w:shd w:val="clear" w:color="FFFFFF" w:fill="FFFFFF"/>
            <w:noWrap w:val="0"/>
            <w:vAlign w:val="center"/>
          </w:tcPr>
          <w:p w14:paraId="7E2139FE">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合价(元)</w:t>
            </w:r>
          </w:p>
        </w:tc>
        <w:tc>
          <w:tcPr>
            <w:tcW w:w="529" w:type="pct"/>
            <w:tcBorders>
              <w:top w:val="single" w:color="000000" w:sz="8" w:space="0"/>
              <w:left w:val="nil"/>
              <w:bottom w:val="single" w:color="000000" w:sz="4" w:space="0"/>
              <w:right w:val="single" w:color="000000" w:sz="8" w:space="0"/>
              <w:tl2br w:val="nil"/>
              <w:tr2bl w:val="nil"/>
            </w:tcBorders>
            <w:shd w:val="clear" w:color="FFFFFF" w:fill="FFFFFF"/>
            <w:noWrap w:val="0"/>
            <w:vAlign w:val="center"/>
          </w:tcPr>
          <w:p w14:paraId="3CACA234">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备注</w:t>
            </w:r>
          </w:p>
        </w:tc>
      </w:tr>
      <w:tr w14:paraId="0301D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9" w:type="pct"/>
            <w:tcBorders>
              <w:top w:val="nil"/>
              <w:left w:val="single" w:color="000000" w:sz="8" w:space="0"/>
              <w:bottom w:val="single" w:color="000000" w:sz="4" w:space="0"/>
              <w:right w:val="single" w:color="000000" w:sz="4" w:space="0"/>
              <w:tl2br w:val="nil"/>
              <w:tr2bl w:val="nil"/>
            </w:tcBorders>
            <w:noWrap w:val="0"/>
            <w:vAlign w:val="center"/>
          </w:tcPr>
          <w:p w14:paraId="5C2A4DA6">
            <w:pPr>
              <w:widowControl/>
              <w:spacing w:beforeLines="0" w:afterLines="0"/>
              <w:jc w:val="center"/>
              <w:rPr>
                <w:rFonts w:hint="eastAsia" w:ascii="Times New Roman" w:eastAsia="Times New Roman" w:cs="Arial"/>
                <w:color w:val="auto"/>
                <w:sz w:val="24"/>
                <w:szCs w:val="21"/>
                <w:highlight w:val="none"/>
              </w:rPr>
            </w:pPr>
          </w:p>
        </w:tc>
        <w:tc>
          <w:tcPr>
            <w:tcW w:w="1516" w:type="pct"/>
            <w:tcBorders>
              <w:top w:val="single" w:color="000000" w:sz="4" w:space="0"/>
              <w:left w:val="nil"/>
              <w:bottom w:val="single" w:color="000000" w:sz="4" w:space="0"/>
              <w:right w:val="single" w:color="000000" w:sz="4" w:space="0"/>
              <w:tl2br w:val="nil"/>
              <w:tr2bl w:val="nil"/>
            </w:tcBorders>
            <w:noWrap w:val="0"/>
            <w:vAlign w:val="center"/>
          </w:tcPr>
          <w:p w14:paraId="521F94F8">
            <w:pPr>
              <w:widowControl/>
              <w:spacing w:beforeLines="0" w:afterLines="0"/>
              <w:jc w:val="left"/>
              <w:rPr>
                <w:rFonts w:hint="eastAsia" w:ascii="Times New Roman" w:eastAsia="Times New Roman" w:cs="Arial"/>
                <w:color w:val="auto"/>
                <w:sz w:val="24"/>
                <w:szCs w:val="21"/>
                <w:highlight w:val="none"/>
              </w:rPr>
            </w:pPr>
          </w:p>
        </w:tc>
        <w:tc>
          <w:tcPr>
            <w:tcW w:w="576" w:type="pct"/>
            <w:tcBorders>
              <w:top w:val="nil"/>
              <w:left w:val="nil"/>
              <w:bottom w:val="single" w:color="000000" w:sz="4" w:space="0"/>
              <w:right w:val="single" w:color="000000" w:sz="4" w:space="0"/>
              <w:tl2br w:val="nil"/>
              <w:tr2bl w:val="nil"/>
            </w:tcBorders>
            <w:noWrap w:val="0"/>
            <w:vAlign w:val="center"/>
          </w:tcPr>
          <w:p w14:paraId="5D51E1E7">
            <w:pPr>
              <w:widowControl/>
              <w:spacing w:beforeLines="0" w:afterLines="0"/>
              <w:jc w:val="center"/>
              <w:rPr>
                <w:rFonts w:hint="eastAsia" w:ascii="Times New Roman" w:eastAsia="Times New Roman" w:cs="Arial"/>
                <w:color w:val="auto"/>
                <w:sz w:val="24"/>
                <w:szCs w:val="21"/>
                <w:highlight w:val="none"/>
              </w:rPr>
            </w:pPr>
          </w:p>
        </w:tc>
        <w:tc>
          <w:tcPr>
            <w:tcW w:w="651" w:type="pct"/>
            <w:tcBorders>
              <w:top w:val="single" w:color="000000" w:sz="4" w:space="0"/>
              <w:left w:val="nil"/>
              <w:bottom w:val="single" w:color="000000" w:sz="4" w:space="0"/>
              <w:right w:val="single" w:color="000000" w:sz="4" w:space="0"/>
              <w:tl2br w:val="nil"/>
              <w:tr2bl w:val="nil"/>
            </w:tcBorders>
            <w:noWrap w:val="0"/>
            <w:vAlign w:val="center"/>
          </w:tcPr>
          <w:p w14:paraId="6C7B2D48">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single" w:color="000000" w:sz="4" w:space="0"/>
              <w:left w:val="nil"/>
              <w:bottom w:val="single" w:color="000000" w:sz="4" w:space="0"/>
              <w:right w:val="single" w:color="000000" w:sz="4" w:space="0"/>
              <w:tl2br w:val="nil"/>
              <w:tr2bl w:val="nil"/>
            </w:tcBorders>
            <w:noWrap w:val="0"/>
            <w:vAlign w:val="center"/>
          </w:tcPr>
          <w:p w14:paraId="1221D39A">
            <w:pPr>
              <w:widowControl/>
              <w:spacing w:beforeLines="0" w:afterLines="0"/>
              <w:jc w:val="right"/>
              <w:rPr>
                <w:rFonts w:hint="eastAsia" w:ascii="Times New Roman" w:eastAsia="Times New Roman" w:cs="Arial"/>
                <w:color w:val="auto"/>
                <w:sz w:val="24"/>
                <w:szCs w:val="21"/>
                <w:highlight w:val="none"/>
              </w:rPr>
            </w:pPr>
          </w:p>
        </w:tc>
        <w:tc>
          <w:tcPr>
            <w:tcW w:w="554" w:type="pct"/>
            <w:tcBorders>
              <w:top w:val="nil"/>
              <w:left w:val="nil"/>
              <w:bottom w:val="single" w:color="000000" w:sz="4" w:space="0"/>
              <w:right w:val="single" w:color="000000" w:sz="4" w:space="0"/>
              <w:tl2br w:val="nil"/>
              <w:tr2bl w:val="nil"/>
            </w:tcBorders>
            <w:noWrap w:val="0"/>
            <w:vAlign w:val="center"/>
          </w:tcPr>
          <w:p w14:paraId="333E8026">
            <w:pPr>
              <w:widowControl/>
              <w:spacing w:beforeLines="0" w:afterLines="0"/>
              <w:jc w:val="right"/>
              <w:rPr>
                <w:rFonts w:hint="eastAsia" w:ascii="Times New Roman" w:eastAsia="Times New Roman" w:cs="Arial"/>
                <w:color w:val="auto"/>
                <w:sz w:val="24"/>
                <w:szCs w:val="21"/>
                <w:highlight w:val="none"/>
              </w:rPr>
            </w:pPr>
          </w:p>
        </w:tc>
        <w:tc>
          <w:tcPr>
            <w:tcW w:w="529" w:type="pct"/>
            <w:tcBorders>
              <w:top w:val="nil"/>
              <w:left w:val="nil"/>
              <w:bottom w:val="single" w:color="000000" w:sz="4" w:space="0"/>
              <w:right w:val="single" w:color="000000" w:sz="8" w:space="0"/>
              <w:tl2br w:val="nil"/>
              <w:tr2bl w:val="nil"/>
            </w:tcBorders>
            <w:noWrap w:val="0"/>
            <w:vAlign w:val="center"/>
          </w:tcPr>
          <w:p w14:paraId="1CA18B19">
            <w:pPr>
              <w:widowControl/>
              <w:spacing w:beforeLines="0" w:afterLines="0"/>
              <w:jc w:val="left"/>
              <w:rPr>
                <w:rFonts w:hint="eastAsia" w:ascii="Times New Roman" w:eastAsia="Times New Roman" w:cs="Arial"/>
                <w:color w:val="auto"/>
                <w:sz w:val="24"/>
                <w:szCs w:val="21"/>
                <w:highlight w:val="none"/>
              </w:rPr>
            </w:pPr>
          </w:p>
        </w:tc>
      </w:tr>
      <w:tr w14:paraId="2FFB6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9" w:type="pct"/>
            <w:tcBorders>
              <w:top w:val="nil"/>
              <w:left w:val="single" w:color="000000" w:sz="8" w:space="0"/>
              <w:bottom w:val="single" w:color="000000" w:sz="4" w:space="0"/>
              <w:right w:val="single" w:color="000000" w:sz="4" w:space="0"/>
              <w:tl2br w:val="nil"/>
              <w:tr2bl w:val="nil"/>
            </w:tcBorders>
            <w:noWrap w:val="0"/>
            <w:vAlign w:val="center"/>
          </w:tcPr>
          <w:p w14:paraId="38DAFC3A">
            <w:pPr>
              <w:widowControl/>
              <w:spacing w:beforeLines="0" w:afterLines="0"/>
              <w:jc w:val="center"/>
              <w:rPr>
                <w:rFonts w:hint="eastAsia" w:ascii="Times New Roman" w:eastAsia="Times New Roman" w:cs="Arial"/>
                <w:color w:val="auto"/>
                <w:sz w:val="24"/>
                <w:szCs w:val="21"/>
                <w:highlight w:val="none"/>
              </w:rPr>
            </w:pPr>
          </w:p>
        </w:tc>
        <w:tc>
          <w:tcPr>
            <w:tcW w:w="1516" w:type="pct"/>
            <w:tcBorders>
              <w:top w:val="single" w:color="000000" w:sz="4" w:space="0"/>
              <w:left w:val="nil"/>
              <w:bottom w:val="single" w:color="000000" w:sz="4" w:space="0"/>
              <w:right w:val="single" w:color="000000" w:sz="4" w:space="0"/>
              <w:tl2br w:val="nil"/>
              <w:tr2bl w:val="nil"/>
            </w:tcBorders>
            <w:noWrap w:val="0"/>
            <w:vAlign w:val="center"/>
          </w:tcPr>
          <w:p w14:paraId="4631AEB6">
            <w:pPr>
              <w:widowControl/>
              <w:spacing w:beforeLines="0" w:afterLines="0"/>
              <w:jc w:val="left"/>
              <w:rPr>
                <w:rFonts w:hint="eastAsia" w:ascii="Times New Roman" w:eastAsia="Times New Roman" w:cs="Arial"/>
                <w:color w:val="auto"/>
                <w:sz w:val="24"/>
                <w:szCs w:val="21"/>
                <w:highlight w:val="none"/>
              </w:rPr>
            </w:pPr>
          </w:p>
        </w:tc>
        <w:tc>
          <w:tcPr>
            <w:tcW w:w="576" w:type="pct"/>
            <w:tcBorders>
              <w:top w:val="nil"/>
              <w:left w:val="nil"/>
              <w:bottom w:val="single" w:color="000000" w:sz="4" w:space="0"/>
              <w:right w:val="single" w:color="000000" w:sz="4" w:space="0"/>
              <w:tl2br w:val="nil"/>
              <w:tr2bl w:val="nil"/>
            </w:tcBorders>
            <w:noWrap w:val="0"/>
            <w:vAlign w:val="center"/>
          </w:tcPr>
          <w:p w14:paraId="34AF6357">
            <w:pPr>
              <w:widowControl/>
              <w:spacing w:beforeLines="0" w:afterLines="0"/>
              <w:jc w:val="center"/>
              <w:rPr>
                <w:rFonts w:hint="eastAsia" w:ascii="Times New Roman" w:eastAsia="Times New Roman" w:cs="Arial"/>
                <w:color w:val="auto"/>
                <w:sz w:val="24"/>
                <w:szCs w:val="21"/>
                <w:highlight w:val="none"/>
              </w:rPr>
            </w:pPr>
          </w:p>
        </w:tc>
        <w:tc>
          <w:tcPr>
            <w:tcW w:w="651" w:type="pct"/>
            <w:tcBorders>
              <w:top w:val="single" w:color="000000" w:sz="4" w:space="0"/>
              <w:left w:val="nil"/>
              <w:bottom w:val="single" w:color="000000" w:sz="4" w:space="0"/>
              <w:right w:val="single" w:color="000000" w:sz="4" w:space="0"/>
              <w:tl2br w:val="nil"/>
              <w:tr2bl w:val="nil"/>
            </w:tcBorders>
            <w:noWrap w:val="0"/>
            <w:vAlign w:val="center"/>
          </w:tcPr>
          <w:p w14:paraId="3AE12168">
            <w:pPr>
              <w:widowControl/>
              <w:spacing w:beforeLines="0" w:afterLines="0"/>
              <w:jc w:val="right"/>
              <w:rPr>
                <w:rFonts w:hint="eastAsia" w:ascii="Times New Roman" w:eastAsia="Times New Roman" w:cs="Arial"/>
                <w:color w:val="auto"/>
                <w:sz w:val="24"/>
                <w:szCs w:val="21"/>
                <w:highlight w:val="none"/>
              </w:rPr>
            </w:pPr>
          </w:p>
        </w:tc>
        <w:tc>
          <w:tcPr>
            <w:tcW w:w="715" w:type="pct"/>
            <w:tcBorders>
              <w:top w:val="single" w:color="000000" w:sz="4" w:space="0"/>
              <w:left w:val="nil"/>
              <w:bottom w:val="single" w:color="000000" w:sz="4" w:space="0"/>
              <w:right w:val="single" w:color="000000" w:sz="4" w:space="0"/>
              <w:tl2br w:val="nil"/>
              <w:tr2bl w:val="nil"/>
            </w:tcBorders>
            <w:noWrap w:val="0"/>
            <w:vAlign w:val="center"/>
          </w:tcPr>
          <w:p w14:paraId="4FEB8A59">
            <w:pPr>
              <w:widowControl/>
              <w:spacing w:beforeLines="0" w:afterLines="0"/>
              <w:jc w:val="right"/>
              <w:rPr>
                <w:rFonts w:hint="eastAsia" w:ascii="Times New Roman" w:eastAsia="Times New Roman" w:cs="Arial"/>
                <w:color w:val="auto"/>
                <w:sz w:val="24"/>
                <w:szCs w:val="21"/>
                <w:highlight w:val="none"/>
              </w:rPr>
            </w:pPr>
          </w:p>
        </w:tc>
        <w:tc>
          <w:tcPr>
            <w:tcW w:w="554" w:type="pct"/>
            <w:tcBorders>
              <w:top w:val="nil"/>
              <w:left w:val="nil"/>
              <w:bottom w:val="single" w:color="000000" w:sz="4" w:space="0"/>
              <w:right w:val="single" w:color="000000" w:sz="4" w:space="0"/>
              <w:tl2br w:val="nil"/>
              <w:tr2bl w:val="nil"/>
            </w:tcBorders>
            <w:noWrap w:val="0"/>
            <w:vAlign w:val="center"/>
          </w:tcPr>
          <w:p w14:paraId="1953524B">
            <w:pPr>
              <w:widowControl/>
              <w:spacing w:beforeLines="0" w:afterLines="0"/>
              <w:jc w:val="right"/>
              <w:rPr>
                <w:rFonts w:hint="eastAsia" w:ascii="Times New Roman" w:eastAsia="Times New Roman" w:cs="Arial"/>
                <w:color w:val="auto"/>
                <w:sz w:val="24"/>
                <w:szCs w:val="21"/>
                <w:highlight w:val="none"/>
              </w:rPr>
            </w:pPr>
          </w:p>
        </w:tc>
        <w:tc>
          <w:tcPr>
            <w:tcW w:w="529" w:type="pct"/>
            <w:tcBorders>
              <w:top w:val="nil"/>
              <w:left w:val="nil"/>
              <w:bottom w:val="single" w:color="000000" w:sz="4" w:space="0"/>
              <w:right w:val="single" w:color="000000" w:sz="8" w:space="0"/>
              <w:tl2br w:val="nil"/>
              <w:tr2bl w:val="nil"/>
            </w:tcBorders>
            <w:noWrap w:val="0"/>
            <w:vAlign w:val="center"/>
          </w:tcPr>
          <w:p w14:paraId="67099D1D">
            <w:pPr>
              <w:widowControl/>
              <w:spacing w:beforeLines="0" w:afterLines="0"/>
              <w:jc w:val="left"/>
              <w:rPr>
                <w:rFonts w:hint="eastAsia" w:ascii="Times New Roman" w:eastAsia="Times New Roman" w:cs="Arial"/>
                <w:color w:val="auto"/>
                <w:sz w:val="24"/>
                <w:szCs w:val="21"/>
                <w:highlight w:val="none"/>
              </w:rPr>
            </w:pPr>
          </w:p>
        </w:tc>
      </w:tr>
      <w:tr w14:paraId="3B58F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9" w:type="pct"/>
            <w:tcBorders>
              <w:top w:val="nil"/>
              <w:left w:val="single" w:color="000000" w:sz="8" w:space="0"/>
              <w:bottom w:val="single" w:color="000000" w:sz="4" w:space="0"/>
              <w:right w:val="single" w:color="000000" w:sz="4" w:space="0"/>
              <w:tl2br w:val="nil"/>
              <w:tr2bl w:val="nil"/>
            </w:tcBorders>
            <w:noWrap w:val="0"/>
            <w:vAlign w:val="center"/>
          </w:tcPr>
          <w:p w14:paraId="1AC6570E">
            <w:pPr>
              <w:widowControl/>
              <w:spacing w:beforeLines="0" w:afterLines="0"/>
              <w:jc w:val="center"/>
              <w:rPr>
                <w:rFonts w:hint="eastAsia" w:ascii="Times New Roman" w:cs="Arial"/>
                <w:color w:val="auto"/>
                <w:sz w:val="24"/>
                <w:szCs w:val="21"/>
                <w:highlight w:val="none"/>
              </w:rPr>
            </w:pPr>
          </w:p>
        </w:tc>
        <w:tc>
          <w:tcPr>
            <w:tcW w:w="1516" w:type="pct"/>
            <w:tcBorders>
              <w:top w:val="single" w:color="000000" w:sz="4" w:space="0"/>
              <w:left w:val="nil"/>
              <w:bottom w:val="single" w:color="000000" w:sz="4" w:space="0"/>
              <w:right w:val="single" w:color="000000" w:sz="4" w:space="0"/>
              <w:tl2br w:val="nil"/>
              <w:tr2bl w:val="nil"/>
            </w:tcBorders>
            <w:noWrap w:val="0"/>
            <w:vAlign w:val="center"/>
          </w:tcPr>
          <w:p w14:paraId="57E30683">
            <w:pPr>
              <w:widowControl/>
              <w:spacing w:beforeLines="0" w:afterLines="0"/>
              <w:jc w:val="left"/>
              <w:rPr>
                <w:rFonts w:hint="eastAsia" w:ascii="Times New Roman" w:cs="Arial"/>
                <w:color w:val="auto"/>
                <w:sz w:val="24"/>
                <w:szCs w:val="21"/>
                <w:highlight w:val="none"/>
              </w:rPr>
            </w:pPr>
          </w:p>
        </w:tc>
        <w:tc>
          <w:tcPr>
            <w:tcW w:w="576" w:type="pct"/>
            <w:tcBorders>
              <w:top w:val="nil"/>
              <w:left w:val="nil"/>
              <w:bottom w:val="single" w:color="000000" w:sz="4" w:space="0"/>
              <w:right w:val="single" w:color="000000" w:sz="4" w:space="0"/>
              <w:tl2br w:val="nil"/>
              <w:tr2bl w:val="nil"/>
            </w:tcBorders>
            <w:noWrap w:val="0"/>
            <w:vAlign w:val="center"/>
          </w:tcPr>
          <w:p w14:paraId="526DE684">
            <w:pPr>
              <w:widowControl/>
              <w:spacing w:beforeLines="0" w:afterLines="0"/>
              <w:jc w:val="center"/>
              <w:rPr>
                <w:rFonts w:hint="eastAsia" w:ascii="Times New Roman" w:cs="Arial"/>
                <w:color w:val="auto"/>
                <w:sz w:val="24"/>
                <w:szCs w:val="21"/>
                <w:highlight w:val="none"/>
              </w:rPr>
            </w:pPr>
          </w:p>
        </w:tc>
        <w:tc>
          <w:tcPr>
            <w:tcW w:w="651" w:type="pct"/>
            <w:tcBorders>
              <w:top w:val="single" w:color="000000" w:sz="4" w:space="0"/>
              <w:left w:val="nil"/>
              <w:bottom w:val="single" w:color="000000" w:sz="4" w:space="0"/>
              <w:right w:val="single" w:color="000000" w:sz="4" w:space="0"/>
              <w:tl2br w:val="nil"/>
              <w:tr2bl w:val="nil"/>
            </w:tcBorders>
            <w:noWrap w:val="0"/>
            <w:vAlign w:val="center"/>
          </w:tcPr>
          <w:p w14:paraId="42B09A3D">
            <w:pPr>
              <w:widowControl/>
              <w:spacing w:beforeLines="0" w:afterLines="0"/>
              <w:jc w:val="right"/>
              <w:rPr>
                <w:rFonts w:hint="eastAsia" w:ascii="Times New Roman" w:cs="Arial"/>
                <w:color w:val="auto"/>
                <w:sz w:val="24"/>
                <w:szCs w:val="21"/>
                <w:highlight w:val="none"/>
              </w:rPr>
            </w:pPr>
          </w:p>
        </w:tc>
        <w:tc>
          <w:tcPr>
            <w:tcW w:w="715" w:type="pct"/>
            <w:tcBorders>
              <w:top w:val="single" w:color="000000" w:sz="4" w:space="0"/>
              <w:left w:val="nil"/>
              <w:bottom w:val="single" w:color="000000" w:sz="4" w:space="0"/>
              <w:right w:val="single" w:color="000000" w:sz="4" w:space="0"/>
              <w:tl2br w:val="nil"/>
              <w:tr2bl w:val="nil"/>
            </w:tcBorders>
            <w:noWrap w:val="0"/>
            <w:vAlign w:val="center"/>
          </w:tcPr>
          <w:p w14:paraId="250E9404">
            <w:pPr>
              <w:widowControl/>
              <w:spacing w:beforeLines="0" w:afterLines="0"/>
              <w:jc w:val="right"/>
              <w:rPr>
                <w:rFonts w:hint="eastAsia" w:ascii="Times New Roman" w:cs="Arial"/>
                <w:color w:val="auto"/>
                <w:sz w:val="24"/>
                <w:szCs w:val="21"/>
                <w:highlight w:val="none"/>
              </w:rPr>
            </w:pPr>
          </w:p>
        </w:tc>
        <w:tc>
          <w:tcPr>
            <w:tcW w:w="554" w:type="pct"/>
            <w:tcBorders>
              <w:top w:val="nil"/>
              <w:left w:val="nil"/>
              <w:bottom w:val="single" w:color="000000" w:sz="4" w:space="0"/>
              <w:right w:val="single" w:color="000000" w:sz="4" w:space="0"/>
              <w:tl2br w:val="nil"/>
              <w:tr2bl w:val="nil"/>
            </w:tcBorders>
            <w:noWrap w:val="0"/>
            <w:vAlign w:val="center"/>
          </w:tcPr>
          <w:p w14:paraId="2415BC65">
            <w:pPr>
              <w:widowControl/>
              <w:spacing w:beforeLines="0" w:afterLines="0"/>
              <w:jc w:val="right"/>
              <w:rPr>
                <w:rFonts w:hint="eastAsia" w:ascii="Times New Roman" w:cs="Arial"/>
                <w:color w:val="auto"/>
                <w:sz w:val="24"/>
                <w:szCs w:val="21"/>
                <w:highlight w:val="none"/>
              </w:rPr>
            </w:pPr>
          </w:p>
        </w:tc>
        <w:tc>
          <w:tcPr>
            <w:tcW w:w="529" w:type="pct"/>
            <w:tcBorders>
              <w:top w:val="nil"/>
              <w:left w:val="nil"/>
              <w:bottom w:val="single" w:color="000000" w:sz="4" w:space="0"/>
              <w:right w:val="single" w:color="000000" w:sz="8" w:space="0"/>
              <w:tl2br w:val="nil"/>
              <w:tr2bl w:val="nil"/>
            </w:tcBorders>
            <w:noWrap w:val="0"/>
            <w:vAlign w:val="center"/>
          </w:tcPr>
          <w:p w14:paraId="42B8C24E">
            <w:pPr>
              <w:widowControl/>
              <w:spacing w:beforeLines="0" w:afterLines="0"/>
              <w:jc w:val="left"/>
              <w:rPr>
                <w:rFonts w:hint="eastAsia" w:ascii="Times New Roman" w:cs="Arial"/>
                <w:color w:val="auto"/>
                <w:sz w:val="24"/>
                <w:szCs w:val="21"/>
                <w:highlight w:val="none"/>
              </w:rPr>
            </w:pPr>
          </w:p>
        </w:tc>
      </w:tr>
    </w:tbl>
    <w:p w14:paraId="121152BD">
      <w:pPr>
        <w:spacing w:before="240" w:beforeLines="100" w:after="240" w:afterLines="100"/>
        <w:jc w:val="center"/>
        <w:outlineLvl w:val="3"/>
        <w:rPr>
          <w:rFonts w:hint="eastAsia" w:ascii="Times New Roman" w:eastAsia="黑体"/>
          <w:color w:val="auto"/>
          <w:sz w:val="24"/>
          <w:szCs w:val="24"/>
          <w:highlight w:val="none"/>
        </w:rPr>
      </w:pPr>
      <w:r>
        <w:rPr>
          <w:rFonts w:hint="eastAsia" w:ascii="Times New Roman" w:eastAsia="Times New Roman"/>
          <w:color w:val="auto"/>
          <w:sz w:val="28"/>
          <w:szCs w:val="28"/>
          <w:highlight w:val="none"/>
        </w:rPr>
        <w:br w:type="page"/>
      </w:r>
      <w:bookmarkStart w:id="1674" w:name="_Toc19159"/>
      <w:bookmarkStart w:id="1675" w:name="_Toc6935"/>
      <w:bookmarkStart w:id="1676" w:name="_Toc27778"/>
      <w:bookmarkStart w:id="1677" w:name="_Toc15994"/>
      <w:bookmarkStart w:id="1678" w:name="_Toc128950318"/>
      <w:bookmarkStart w:id="1679" w:name="_Toc23380"/>
      <w:bookmarkStart w:id="1680" w:name="_Toc26292"/>
      <w:bookmarkStart w:id="1681" w:name="_Toc18891"/>
      <w:bookmarkStart w:id="1682" w:name="_Toc25911"/>
      <w:bookmarkStart w:id="1683" w:name="_Toc535241143"/>
      <w:bookmarkStart w:id="1684" w:name="_Toc7897"/>
      <w:bookmarkStart w:id="1685" w:name="_Toc460660253"/>
      <w:bookmarkStart w:id="1686" w:name="_Toc460227138"/>
      <w:r>
        <w:rPr>
          <w:rFonts w:hint="eastAsia" w:ascii="Times New Roman" w:eastAsia="黑体"/>
          <w:color w:val="auto"/>
          <w:sz w:val="24"/>
          <w:szCs w:val="24"/>
          <w:highlight w:val="none"/>
        </w:rPr>
        <w:t>（十七）承包人提供材料（工程设备）一览表</w:t>
      </w:r>
      <w:bookmarkEnd w:id="1674"/>
      <w:bookmarkEnd w:id="1675"/>
      <w:bookmarkEnd w:id="1676"/>
      <w:bookmarkEnd w:id="1677"/>
      <w:bookmarkEnd w:id="1678"/>
      <w:bookmarkEnd w:id="1679"/>
      <w:bookmarkEnd w:id="1680"/>
      <w:bookmarkEnd w:id="1681"/>
      <w:bookmarkEnd w:id="1682"/>
      <w:bookmarkEnd w:id="1683"/>
      <w:bookmarkEnd w:id="1684"/>
    </w:p>
    <w:p w14:paraId="2E041791">
      <w:pPr>
        <w:adjustRightInd w:val="0"/>
        <w:snapToGrid w:val="0"/>
        <w:spacing w:before="48" w:beforeLines="20" w:after="48" w:afterLines="20" w:line="540" w:lineRule="exact"/>
        <w:rPr>
          <w:rFonts w:hint="eastAsia" w:ascii="Times New Roman"/>
          <w:color w:val="auto"/>
          <w:sz w:val="24"/>
          <w:szCs w:val="21"/>
          <w:highlight w:val="none"/>
        </w:rPr>
      </w:pPr>
      <w:r>
        <w:rPr>
          <w:rFonts w:hint="eastAsia" w:ascii="Times New Roman"/>
          <w:color w:val="auto"/>
          <w:sz w:val="24"/>
          <w:szCs w:val="21"/>
          <w:highlight w:val="none"/>
        </w:rPr>
        <w:t>工程名称：                          标段：           第   页共   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955"/>
        <w:gridCol w:w="693"/>
        <w:gridCol w:w="986"/>
        <w:gridCol w:w="986"/>
        <w:gridCol w:w="1264"/>
        <w:gridCol w:w="1264"/>
        <w:gridCol w:w="779"/>
      </w:tblGrid>
      <w:tr w14:paraId="1918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46"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39084A05">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148"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3663C460">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材料（工程设备）名称、规格、型号</w:t>
            </w:r>
          </w:p>
        </w:tc>
        <w:tc>
          <w:tcPr>
            <w:tcW w:w="407"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0D2FF59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计量单位</w:t>
            </w:r>
          </w:p>
        </w:tc>
        <w:tc>
          <w:tcPr>
            <w:tcW w:w="579"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1C57D958">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数量</w:t>
            </w:r>
          </w:p>
        </w:tc>
        <w:tc>
          <w:tcPr>
            <w:tcW w:w="579"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6E0149A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风险系数(%)</w:t>
            </w:r>
          </w:p>
        </w:tc>
        <w:tc>
          <w:tcPr>
            <w:tcW w:w="742"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5C823A0B">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基准单价</w:t>
            </w:r>
          </w:p>
        </w:tc>
        <w:tc>
          <w:tcPr>
            <w:tcW w:w="742"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5AD390C1">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投标单价</w:t>
            </w:r>
          </w:p>
        </w:tc>
        <w:tc>
          <w:tcPr>
            <w:tcW w:w="457" w:type="pct"/>
            <w:tcBorders>
              <w:top w:val="single" w:color="auto" w:sz="4" w:space="0"/>
              <w:left w:val="single" w:color="auto" w:sz="4" w:space="0"/>
              <w:bottom w:val="single" w:color="auto" w:sz="4" w:space="0"/>
              <w:right w:val="single" w:color="auto" w:sz="4" w:space="0"/>
              <w:tl2br w:val="nil"/>
              <w:tr2bl w:val="nil"/>
            </w:tcBorders>
            <w:shd w:val="clear" w:color="FFFFFF" w:fill="FFFFFF"/>
            <w:noWrap w:val="0"/>
            <w:vAlign w:val="center"/>
          </w:tcPr>
          <w:p w14:paraId="0B1CC48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备注</w:t>
            </w:r>
          </w:p>
        </w:tc>
      </w:tr>
      <w:tr w14:paraId="1CA4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6A193E">
            <w:pPr>
              <w:widowControl/>
              <w:spacing w:beforeLines="0" w:afterLines="0"/>
              <w:jc w:val="center"/>
              <w:rPr>
                <w:rFonts w:hint="eastAsia" w:ascii="Times New Roman" w:eastAsia="Times New Roman" w:cs="Arial"/>
                <w:color w:val="auto"/>
                <w:sz w:val="24"/>
                <w:szCs w:val="21"/>
                <w:highlight w:val="none"/>
              </w:rPr>
            </w:pPr>
          </w:p>
        </w:tc>
        <w:tc>
          <w:tcPr>
            <w:tcW w:w="11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99E9BD">
            <w:pPr>
              <w:widowControl/>
              <w:spacing w:beforeLines="0" w:afterLines="0"/>
              <w:jc w:val="left"/>
              <w:rPr>
                <w:rFonts w:hint="eastAsia" w:ascii="Times New Roman" w:eastAsia="Times New Roman" w:cs="Arial"/>
                <w:color w:val="auto"/>
                <w:sz w:val="24"/>
                <w:szCs w:val="21"/>
                <w:highlight w:val="none"/>
              </w:rPr>
            </w:pPr>
          </w:p>
        </w:tc>
        <w:tc>
          <w:tcPr>
            <w:tcW w:w="4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078754">
            <w:pPr>
              <w:widowControl/>
              <w:spacing w:beforeLines="0" w:afterLines="0"/>
              <w:jc w:val="center"/>
              <w:rPr>
                <w:rFonts w:hint="eastAsia" w:ascii="Times New Roman" w:eastAsia="Times New Roman" w:cs="Arial"/>
                <w:color w:val="auto"/>
                <w:sz w:val="24"/>
                <w:szCs w:val="21"/>
                <w:highlight w:val="none"/>
              </w:rPr>
            </w:pPr>
          </w:p>
        </w:tc>
        <w:tc>
          <w:tcPr>
            <w:tcW w:w="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E33431">
            <w:pPr>
              <w:widowControl/>
              <w:spacing w:beforeLines="0" w:afterLines="0"/>
              <w:jc w:val="right"/>
              <w:rPr>
                <w:rFonts w:hint="eastAsia" w:ascii="Times New Roman" w:eastAsia="Times New Roman" w:cs="Arial"/>
                <w:color w:val="auto"/>
                <w:sz w:val="24"/>
                <w:szCs w:val="21"/>
                <w:highlight w:val="none"/>
              </w:rPr>
            </w:pPr>
          </w:p>
        </w:tc>
        <w:tc>
          <w:tcPr>
            <w:tcW w:w="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207D07">
            <w:pPr>
              <w:widowControl/>
              <w:spacing w:beforeLines="0" w:afterLines="0"/>
              <w:jc w:val="right"/>
              <w:rPr>
                <w:rFonts w:hint="eastAsia" w:ascii="Times New Roman" w:eastAsia="Times New Roman" w:cs="Arial"/>
                <w:color w:val="auto"/>
                <w:sz w:val="24"/>
                <w:szCs w:val="21"/>
                <w:highlight w:val="none"/>
              </w:rPr>
            </w:pP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880DC6">
            <w:pPr>
              <w:widowControl/>
              <w:spacing w:beforeLines="0" w:afterLines="0"/>
              <w:jc w:val="right"/>
              <w:rPr>
                <w:rFonts w:hint="eastAsia" w:ascii="Times New Roman" w:eastAsia="Times New Roman" w:cs="Arial"/>
                <w:color w:val="auto"/>
                <w:sz w:val="24"/>
                <w:szCs w:val="21"/>
                <w:highlight w:val="none"/>
              </w:rPr>
            </w:pP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31BC3F">
            <w:pPr>
              <w:widowControl/>
              <w:spacing w:beforeLines="0" w:afterLines="0"/>
              <w:jc w:val="right"/>
              <w:rPr>
                <w:rFonts w:hint="eastAsia" w:ascii="Times New Roman" w:eastAsia="Times New Roman" w:cs="Arial"/>
                <w:color w:val="auto"/>
                <w:sz w:val="24"/>
                <w:szCs w:val="21"/>
                <w:highlight w:val="none"/>
              </w:rPr>
            </w:pP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0BA7A1">
            <w:pPr>
              <w:widowControl/>
              <w:spacing w:beforeLines="0" w:afterLines="0"/>
              <w:jc w:val="left"/>
              <w:rPr>
                <w:rFonts w:hint="eastAsia" w:ascii="Times New Roman" w:eastAsia="Times New Roman" w:cs="Arial"/>
                <w:color w:val="auto"/>
                <w:sz w:val="24"/>
                <w:szCs w:val="21"/>
                <w:highlight w:val="none"/>
              </w:rPr>
            </w:pPr>
          </w:p>
        </w:tc>
      </w:tr>
      <w:tr w14:paraId="11C3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1E081B">
            <w:pPr>
              <w:widowControl/>
              <w:spacing w:beforeLines="0" w:afterLines="0"/>
              <w:jc w:val="center"/>
              <w:rPr>
                <w:rFonts w:hint="eastAsia" w:ascii="Times New Roman" w:eastAsia="Times New Roman" w:cs="Arial"/>
                <w:color w:val="auto"/>
                <w:sz w:val="24"/>
                <w:szCs w:val="21"/>
                <w:highlight w:val="none"/>
              </w:rPr>
            </w:pPr>
          </w:p>
        </w:tc>
        <w:tc>
          <w:tcPr>
            <w:tcW w:w="11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92AA33">
            <w:pPr>
              <w:widowControl/>
              <w:spacing w:beforeLines="0" w:afterLines="0"/>
              <w:jc w:val="left"/>
              <w:rPr>
                <w:rFonts w:hint="eastAsia" w:ascii="Times New Roman" w:eastAsia="Times New Roman" w:cs="Arial"/>
                <w:color w:val="auto"/>
                <w:sz w:val="24"/>
                <w:szCs w:val="21"/>
                <w:highlight w:val="none"/>
              </w:rPr>
            </w:pPr>
          </w:p>
        </w:tc>
        <w:tc>
          <w:tcPr>
            <w:tcW w:w="4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5DC7DC">
            <w:pPr>
              <w:widowControl/>
              <w:spacing w:beforeLines="0" w:afterLines="0"/>
              <w:jc w:val="center"/>
              <w:rPr>
                <w:rFonts w:hint="eastAsia" w:ascii="Times New Roman" w:eastAsia="Times New Roman" w:cs="Arial"/>
                <w:color w:val="auto"/>
                <w:sz w:val="24"/>
                <w:szCs w:val="21"/>
                <w:highlight w:val="none"/>
              </w:rPr>
            </w:pPr>
          </w:p>
        </w:tc>
        <w:tc>
          <w:tcPr>
            <w:tcW w:w="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22443C">
            <w:pPr>
              <w:widowControl/>
              <w:spacing w:beforeLines="0" w:afterLines="0"/>
              <w:jc w:val="right"/>
              <w:rPr>
                <w:rFonts w:hint="eastAsia" w:ascii="Times New Roman" w:eastAsia="Times New Roman" w:cs="Arial"/>
                <w:color w:val="auto"/>
                <w:sz w:val="24"/>
                <w:szCs w:val="21"/>
                <w:highlight w:val="none"/>
              </w:rPr>
            </w:pPr>
          </w:p>
        </w:tc>
        <w:tc>
          <w:tcPr>
            <w:tcW w:w="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388231">
            <w:pPr>
              <w:widowControl/>
              <w:spacing w:beforeLines="0" w:afterLines="0"/>
              <w:jc w:val="right"/>
              <w:rPr>
                <w:rFonts w:hint="eastAsia" w:ascii="Times New Roman" w:eastAsia="Times New Roman" w:cs="Arial"/>
                <w:color w:val="auto"/>
                <w:sz w:val="24"/>
                <w:szCs w:val="21"/>
                <w:highlight w:val="none"/>
              </w:rPr>
            </w:pP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D870E3">
            <w:pPr>
              <w:widowControl/>
              <w:spacing w:beforeLines="0" w:afterLines="0"/>
              <w:jc w:val="right"/>
              <w:rPr>
                <w:rFonts w:hint="eastAsia" w:ascii="Times New Roman" w:eastAsia="Times New Roman" w:cs="Arial"/>
                <w:color w:val="auto"/>
                <w:sz w:val="24"/>
                <w:szCs w:val="21"/>
                <w:highlight w:val="none"/>
              </w:rPr>
            </w:pP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560C62">
            <w:pPr>
              <w:widowControl/>
              <w:spacing w:beforeLines="0" w:afterLines="0"/>
              <w:jc w:val="right"/>
              <w:rPr>
                <w:rFonts w:hint="eastAsia" w:ascii="Times New Roman" w:eastAsia="Times New Roman" w:cs="Arial"/>
                <w:color w:val="auto"/>
                <w:sz w:val="24"/>
                <w:szCs w:val="21"/>
                <w:highlight w:val="none"/>
              </w:rPr>
            </w:pP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FD3036">
            <w:pPr>
              <w:widowControl/>
              <w:spacing w:beforeLines="0" w:afterLines="0"/>
              <w:jc w:val="left"/>
              <w:rPr>
                <w:rFonts w:hint="eastAsia" w:ascii="Times New Roman" w:eastAsia="Times New Roman" w:cs="Arial"/>
                <w:color w:val="auto"/>
                <w:sz w:val="24"/>
                <w:szCs w:val="21"/>
                <w:highlight w:val="none"/>
              </w:rPr>
            </w:pPr>
          </w:p>
        </w:tc>
      </w:tr>
      <w:tr w14:paraId="552D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E72157">
            <w:pPr>
              <w:widowControl/>
              <w:spacing w:beforeLines="0" w:afterLines="0"/>
              <w:jc w:val="center"/>
              <w:rPr>
                <w:rFonts w:hint="eastAsia" w:ascii="Times New Roman" w:cs="Arial"/>
                <w:color w:val="auto"/>
                <w:sz w:val="24"/>
                <w:szCs w:val="21"/>
                <w:highlight w:val="none"/>
              </w:rPr>
            </w:pPr>
          </w:p>
        </w:tc>
        <w:tc>
          <w:tcPr>
            <w:tcW w:w="11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B3B6CB">
            <w:pPr>
              <w:widowControl/>
              <w:spacing w:beforeLines="0" w:afterLines="0"/>
              <w:jc w:val="left"/>
              <w:rPr>
                <w:rFonts w:hint="eastAsia" w:ascii="Times New Roman" w:cs="Arial"/>
                <w:color w:val="auto"/>
                <w:sz w:val="24"/>
                <w:szCs w:val="21"/>
                <w:highlight w:val="none"/>
              </w:rPr>
            </w:pPr>
          </w:p>
        </w:tc>
        <w:tc>
          <w:tcPr>
            <w:tcW w:w="4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42855E">
            <w:pPr>
              <w:widowControl/>
              <w:spacing w:beforeLines="0" w:afterLines="0"/>
              <w:jc w:val="center"/>
              <w:rPr>
                <w:rFonts w:hint="eastAsia" w:ascii="Times New Roman" w:cs="Arial"/>
                <w:color w:val="auto"/>
                <w:sz w:val="24"/>
                <w:szCs w:val="21"/>
                <w:highlight w:val="none"/>
              </w:rPr>
            </w:pPr>
          </w:p>
        </w:tc>
        <w:tc>
          <w:tcPr>
            <w:tcW w:w="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642D72">
            <w:pPr>
              <w:widowControl/>
              <w:spacing w:beforeLines="0" w:afterLines="0"/>
              <w:jc w:val="right"/>
              <w:rPr>
                <w:rFonts w:hint="eastAsia" w:ascii="Times New Roman" w:cs="Arial"/>
                <w:color w:val="auto"/>
                <w:sz w:val="24"/>
                <w:szCs w:val="21"/>
                <w:highlight w:val="none"/>
              </w:rPr>
            </w:pPr>
          </w:p>
        </w:tc>
        <w:tc>
          <w:tcPr>
            <w:tcW w:w="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5345A">
            <w:pPr>
              <w:widowControl/>
              <w:spacing w:beforeLines="0" w:afterLines="0"/>
              <w:jc w:val="right"/>
              <w:rPr>
                <w:rFonts w:hint="eastAsia" w:ascii="Times New Roman" w:cs="Arial"/>
                <w:color w:val="auto"/>
                <w:sz w:val="24"/>
                <w:szCs w:val="21"/>
                <w:highlight w:val="none"/>
              </w:rPr>
            </w:pP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98F6D0">
            <w:pPr>
              <w:widowControl/>
              <w:spacing w:beforeLines="0" w:afterLines="0"/>
              <w:jc w:val="right"/>
              <w:rPr>
                <w:rFonts w:hint="eastAsia" w:ascii="Times New Roman" w:cs="Arial"/>
                <w:color w:val="auto"/>
                <w:sz w:val="24"/>
                <w:szCs w:val="21"/>
                <w:highlight w:val="none"/>
              </w:rPr>
            </w:pPr>
          </w:p>
        </w:tc>
        <w:tc>
          <w:tcPr>
            <w:tcW w:w="7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ABED6C">
            <w:pPr>
              <w:widowControl/>
              <w:spacing w:beforeLines="0" w:afterLines="0"/>
              <w:jc w:val="right"/>
              <w:rPr>
                <w:rFonts w:hint="eastAsia" w:ascii="Times New Roman" w:cs="Arial"/>
                <w:color w:val="auto"/>
                <w:sz w:val="24"/>
                <w:szCs w:val="21"/>
                <w:highlight w:val="none"/>
              </w:rPr>
            </w:pP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29AA74">
            <w:pPr>
              <w:widowControl/>
              <w:spacing w:beforeLines="0" w:afterLines="0"/>
              <w:jc w:val="left"/>
              <w:rPr>
                <w:rFonts w:hint="eastAsia" w:ascii="Times New Roman" w:cs="Arial"/>
                <w:color w:val="auto"/>
                <w:sz w:val="24"/>
                <w:szCs w:val="21"/>
                <w:highlight w:val="none"/>
              </w:rPr>
            </w:pPr>
          </w:p>
        </w:tc>
      </w:tr>
    </w:tbl>
    <w:p w14:paraId="01321035">
      <w:pPr>
        <w:spacing w:before="240" w:beforeLines="100" w:after="240" w:afterLines="100"/>
        <w:jc w:val="center"/>
        <w:outlineLvl w:val="3"/>
        <w:rPr>
          <w:rFonts w:hint="eastAsia" w:ascii="Times New Roman" w:eastAsia="Times New Roman"/>
          <w:color w:val="auto"/>
          <w:sz w:val="24"/>
          <w:szCs w:val="24"/>
          <w:highlight w:val="none"/>
        </w:rPr>
      </w:pPr>
      <w:bookmarkStart w:id="1687" w:name="_Toc535241144"/>
      <w:r>
        <w:rPr>
          <w:rFonts w:hint="eastAsia" w:ascii="Times New Roman" w:eastAsia="Times New Roman"/>
          <w:color w:val="auto"/>
          <w:sz w:val="28"/>
          <w:szCs w:val="28"/>
          <w:highlight w:val="none"/>
        </w:rPr>
        <w:br w:type="page"/>
      </w:r>
      <w:bookmarkStart w:id="1688" w:name="_Toc11978"/>
      <w:bookmarkStart w:id="1689" w:name="_Toc532910386"/>
      <w:bookmarkStart w:id="1690" w:name="_Toc532910666"/>
      <w:bookmarkStart w:id="1691" w:name="_Toc9842"/>
      <w:bookmarkStart w:id="1692" w:name="_Toc28695"/>
      <w:bookmarkStart w:id="1693" w:name="_Toc1552"/>
      <w:bookmarkStart w:id="1694" w:name="_Toc518575601"/>
      <w:bookmarkStart w:id="1695" w:name="_Toc12405"/>
      <w:bookmarkStart w:id="1696" w:name="_Toc526759717"/>
      <w:bookmarkStart w:id="1697" w:name="_Toc518922054"/>
      <w:bookmarkStart w:id="1698" w:name="_Toc28298"/>
      <w:bookmarkStart w:id="1699" w:name="_Toc29712"/>
      <w:bookmarkStart w:id="1700" w:name="_Toc20"/>
      <w:bookmarkStart w:id="1701" w:name="_Toc13147"/>
      <w:bookmarkStart w:id="1702" w:name="_Toc128950319"/>
      <w:r>
        <w:rPr>
          <w:rFonts w:hint="eastAsia" w:ascii="Times New Roman" w:eastAsia="黑体"/>
          <w:color w:val="auto"/>
          <w:sz w:val="24"/>
          <w:szCs w:val="24"/>
          <w:highlight w:val="none"/>
        </w:rPr>
        <w:t>（十八）</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r>
        <w:rPr>
          <w:rFonts w:hint="eastAsia" w:ascii="Times New Roman" w:eastAsia="黑体"/>
          <w:color w:val="auto"/>
          <w:sz w:val="24"/>
          <w:szCs w:val="24"/>
          <w:highlight w:val="none"/>
        </w:rPr>
        <w:t>招标人参考的材料品牌响应表</w:t>
      </w:r>
      <w:bookmarkEnd w:id="1701"/>
      <w:bookmarkEnd w:id="1702"/>
    </w:p>
    <w:p w14:paraId="1C234119">
      <w:pPr>
        <w:spacing w:before="20" w:beforeLines="0" w:after="20" w:afterLines="0" w:line="540" w:lineRule="exact"/>
        <w:rPr>
          <w:rFonts w:hint="eastAsia" w:ascii="Times New Roman"/>
          <w:color w:val="auto"/>
          <w:sz w:val="24"/>
          <w:szCs w:val="21"/>
          <w:highlight w:val="none"/>
        </w:rPr>
      </w:pPr>
      <w:r>
        <w:rPr>
          <w:rFonts w:hint="eastAsia" w:ascii="Times New Roman"/>
          <w:color w:val="auto"/>
          <w:sz w:val="24"/>
          <w:szCs w:val="21"/>
          <w:highlight w:val="none"/>
        </w:rPr>
        <w:t>招标项目标段名称：                                 第   页共   页</w:t>
      </w:r>
    </w:p>
    <w:p w14:paraId="4B050655">
      <w:pPr>
        <w:spacing w:before="20" w:beforeLines="0" w:after="20" w:afterLines="0" w:line="540" w:lineRule="exact"/>
        <w:jc w:val="center"/>
        <w:rPr>
          <w:rFonts w:hint="eastAsia" w:ascii="Times New Roman"/>
          <w:color w:val="auto"/>
          <w:sz w:val="24"/>
          <w:szCs w:val="22"/>
          <w:highlight w:val="none"/>
        </w:rPr>
      </w:pPr>
      <w:bookmarkStart w:id="1703" w:name="_Toc128950320"/>
      <w:r>
        <w:rPr>
          <w:rFonts w:hint="eastAsia" w:ascii="Times New Roman" w:cs="宋体"/>
          <w:b/>
          <w:color w:val="auto"/>
          <w:sz w:val="24"/>
          <w:szCs w:val="21"/>
          <w:highlight w:val="none"/>
        </w:rPr>
        <w:t>品牌参考表（如要求）</w:t>
      </w:r>
      <w:bookmarkEnd w:id="1703"/>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6"/>
        <w:gridCol w:w="1856"/>
        <w:gridCol w:w="856"/>
        <w:gridCol w:w="856"/>
        <w:gridCol w:w="856"/>
        <w:gridCol w:w="857"/>
        <w:gridCol w:w="682"/>
        <w:gridCol w:w="1857"/>
      </w:tblGrid>
      <w:tr w14:paraId="507BF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4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E83E6B">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序号</w:t>
            </w:r>
          </w:p>
        </w:tc>
        <w:tc>
          <w:tcPr>
            <w:tcW w:w="1091" w:type="pct"/>
            <w:tcBorders>
              <w:top w:val="single" w:color="auto" w:sz="4" w:space="0"/>
              <w:left w:val="nil"/>
              <w:bottom w:val="single" w:color="auto" w:sz="4" w:space="0"/>
              <w:right w:val="single" w:color="auto" w:sz="4" w:space="0"/>
              <w:tl2br w:val="nil"/>
              <w:tr2bl w:val="nil"/>
            </w:tcBorders>
            <w:noWrap w:val="0"/>
            <w:vAlign w:val="center"/>
          </w:tcPr>
          <w:p w14:paraId="078F8556">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材料、设备名称</w:t>
            </w: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059484E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品牌1</w:t>
            </w: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17C20C70">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品牌2</w:t>
            </w: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0279D722">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品牌3</w:t>
            </w: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4F18008F">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品牌4</w:t>
            </w:r>
          </w:p>
        </w:tc>
        <w:tc>
          <w:tcPr>
            <w:tcW w:w="401" w:type="pct"/>
            <w:tcBorders>
              <w:top w:val="single" w:color="auto" w:sz="4" w:space="0"/>
              <w:left w:val="nil"/>
              <w:bottom w:val="single" w:color="auto" w:sz="4" w:space="0"/>
              <w:right w:val="single" w:color="auto" w:sz="4" w:space="0"/>
              <w:tl2br w:val="nil"/>
              <w:tr2bl w:val="nil"/>
            </w:tcBorders>
            <w:noWrap w:val="0"/>
            <w:vAlign w:val="center"/>
          </w:tcPr>
          <w:p w14:paraId="10E7A807">
            <w:pPr>
              <w:widowControl/>
              <w:spacing w:beforeLines="0" w:afterLines="0"/>
              <w:jc w:val="center"/>
              <w:rPr>
                <w:rFonts w:hint="eastAsia" w:ascii="Times New Roman" w:eastAsia="Times New Roman" w:cs="Arial"/>
                <w:color w:val="auto"/>
                <w:sz w:val="24"/>
                <w:szCs w:val="21"/>
                <w:highlight w:val="none"/>
              </w:rPr>
            </w:pPr>
            <w:r>
              <w:rPr>
                <w:rFonts w:hint="eastAsia" w:ascii="Times New Roman" w:eastAsia="黑体" w:cs="Arial"/>
                <w:color w:val="auto"/>
                <w:sz w:val="24"/>
                <w:szCs w:val="21"/>
                <w:highlight w:val="none"/>
              </w:rPr>
              <w:t>备注</w:t>
            </w:r>
          </w:p>
        </w:tc>
        <w:tc>
          <w:tcPr>
            <w:tcW w:w="1091" w:type="pct"/>
            <w:tcBorders>
              <w:top w:val="single" w:color="auto" w:sz="4" w:space="0"/>
              <w:left w:val="nil"/>
              <w:bottom w:val="single" w:color="auto" w:sz="4" w:space="0"/>
              <w:right w:val="single" w:color="auto" w:sz="4" w:space="0"/>
              <w:tl2br w:val="nil"/>
              <w:tr2bl w:val="nil"/>
            </w:tcBorders>
            <w:noWrap w:val="0"/>
            <w:vAlign w:val="top"/>
          </w:tcPr>
          <w:p w14:paraId="79AA3D75">
            <w:pPr>
              <w:widowControl/>
              <w:spacing w:beforeLines="0" w:afterLines="0"/>
              <w:jc w:val="center"/>
              <w:rPr>
                <w:rFonts w:hint="eastAsia" w:ascii="Times New Roman" w:eastAsia="黑体" w:cs="Arial"/>
                <w:color w:val="auto"/>
                <w:sz w:val="24"/>
                <w:szCs w:val="21"/>
                <w:highlight w:val="none"/>
              </w:rPr>
            </w:pPr>
            <w:r>
              <w:rPr>
                <w:rFonts w:hint="eastAsia" w:ascii="Times New Roman" w:eastAsia="黑体" w:cs="Arial"/>
                <w:color w:val="auto"/>
                <w:sz w:val="24"/>
                <w:szCs w:val="21"/>
                <w:highlight w:val="none"/>
              </w:rPr>
              <w:t>投标人选定品牌</w:t>
            </w:r>
          </w:p>
        </w:tc>
      </w:tr>
      <w:tr w14:paraId="61CDA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401" w:type="pct"/>
            <w:tcBorders>
              <w:top w:val="nil"/>
              <w:left w:val="single" w:color="auto" w:sz="4" w:space="0"/>
              <w:bottom w:val="single" w:color="auto" w:sz="4" w:space="0"/>
              <w:right w:val="single" w:color="auto" w:sz="4" w:space="0"/>
              <w:tl2br w:val="nil"/>
              <w:tr2bl w:val="nil"/>
            </w:tcBorders>
            <w:noWrap w:val="0"/>
            <w:vAlign w:val="center"/>
          </w:tcPr>
          <w:p w14:paraId="0F7BE3A6">
            <w:pPr>
              <w:widowControl/>
              <w:spacing w:beforeLines="0" w:afterLines="0"/>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1</w:t>
            </w:r>
          </w:p>
        </w:tc>
        <w:tc>
          <w:tcPr>
            <w:tcW w:w="1091" w:type="pct"/>
            <w:tcBorders>
              <w:top w:val="nil"/>
              <w:left w:val="nil"/>
              <w:bottom w:val="single" w:color="auto" w:sz="4" w:space="0"/>
              <w:right w:val="single" w:color="auto" w:sz="4" w:space="0"/>
              <w:tl2br w:val="nil"/>
              <w:tr2bl w:val="nil"/>
            </w:tcBorders>
            <w:noWrap w:val="0"/>
            <w:vAlign w:val="center"/>
          </w:tcPr>
          <w:p w14:paraId="70B719D2">
            <w:pPr>
              <w:widowControl/>
              <w:spacing w:beforeLines="0" w:afterLines="0"/>
              <w:rPr>
                <w:rFonts w:hint="eastAsia" w:ascii="Times New Roman" w:eastAsia="Times New Roman" w:cs="宋体"/>
                <w:color w:val="auto"/>
                <w:sz w:val="24"/>
                <w:szCs w:val="21"/>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3EF39C24">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62426D54">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2CF57416">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74D443E4">
            <w:pPr>
              <w:spacing w:beforeLines="0" w:afterLines="0"/>
              <w:rPr>
                <w:rFonts w:hint="eastAsia" w:ascii="Times New Roman" w:eastAsia="Times New Roman" w:cs="宋体"/>
                <w:color w:val="auto"/>
                <w:sz w:val="22"/>
                <w:szCs w:val="24"/>
                <w:highlight w:val="none"/>
              </w:rPr>
            </w:pPr>
          </w:p>
        </w:tc>
        <w:tc>
          <w:tcPr>
            <w:tcW w:w="401" w:type="pct"/>
            <w:tcBorders>
              <w:top w:val="nil"/>
              <w:left w:val="nil"/>
              <w:bottom w:val="single" w:color="auto" w:sz="4" w:space="0"/>
              <w:right w:val="single" w:color="auto" w:sz="4" w:space="0"/>
              <w:tl2br w:val="nil"/>
              <w:tr2bl w:val="nil"/>
            </w:tcBorders>
            <w:noWrap w:val="0"/>
            <w:vAlign w:val="center"/>
          </w:tcPr>
          <w:p w14:paraId="31D2E735">
            <w:pPr>
              <w:widowControl/>
              <w:spacing w:beforeLines="0" w:afterLines="0"/>
              <w:rPr>
                <w:rFonts w:hint="eastAsia" w:ascii="Times New Roman" w:eastAsia="Times New Roman" w:cs="宋体"/>
                <w:color w:val="auto"/>
                <w:sz w:val="24"/>
                <w:szCs w:val="21"/>
                <w:highlight w:val="none"/>
              </w:rPr>
            </w:pPr>
          </w:p>
        </w:tc>
        <w:tc>
          <w:tcPr>
            <w:tcW w:w="1091" w:type="pct"/>
            <w:tcBorders>
              <w:top w:val="nil"/>
              <w:left w:val="nil"/>
              <w:bottom w:val="single" w:color="auto" w:sz="4" w:space="0"/>
              <w:right w:val="single" w:color="auto" w:sz="4" w:space="0"/>
              <w:tl2br w:val="nil"/>
              <w:tr2bl w:val="nil"/>
            </w:tcBorders>
            <w:noWrap w:val="0"/>
            <w:vAlign w:val="top"/>
          </w:tcPr>
          <w:p w14:paraId="7C2F143F">
            <w:pPr>
              <w:widowControl/>
              <w:spacing w:beforeLines="0" w:afterLines="0"/>
              <w:rPr>
                <w:rFonts w:hint="eastAsia" w:ascii="Times New Roman" w:cs="宋体"/>
                <w:color w:val="auto"/>
                <w:sz w:val="24"/>
                <w:szCs w:val="21"/>
                <w:highlight w:val="none"/>
              </w:rPr>
            </w:pPr>
          </w:p>
        </w:tc>
      </w:tr>
      <w:tr w14:paraId="3E468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401" w:type="pct"/>
            <w:tcBorders>
              <w:top w:val="nil"/>
              <w:left w:val="single" w:color="auto" w:sz="4" w:space="0"/>
              <w:bottom w:val="single" w:color="auto" w:sz="4" w:space="0"/>
              <w:right w:val="single" w:color="auto" w:sz="4" w:space="0"/>
              <w:tl2br w:val="nil"/>
              <w:tr2bl w:val="nil"/>
            </w:tcBorders>
            <w:noWrap w:val="0"/>
            <w:vAlign w:val="center"/>
          </w:tcPr>
          <w:p w14:paraId="5D44B991">
            <w:pPr>
              <w:widowControl/>
              <w:spacing w:beforeLines="0" w:afterLines="0"/>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2</w:t>
            </w:r>
          </w:p>
        </w:tc>
        <w:tc>
          <w:tcPr>
            <w:tcW w:w="1091" w:type="pct"/>
            <w:tcBorders>
              <w:top w:val="nil"/>
              <w:left w:val="nil"/>
              <w:bottom w:val="single" w:color="auto" w:sz="4" w:space="0"/>
              <w:right w:val="single" w:color="auto" w:sz="4" w:space="0"/>
              <w:tl2br w:val="nil"/>
              <w:tr2bl w:val="nil"/>
            </w:tcBorders>
            <w:noWrap w:val="0"/>
            <w:vAlign w:val="center"/>
          </w:tcPr>
          <w:p w14:paraId="302EA35A">
            <w:pPr>
              <w:widowControl/>
              <w:spacing w:beforeLines="0" w:afterLines="0"/>
              <w:rPr>
                <w:rFonts w:hint="eastAsia" w:ascii="Times New Roman" w:eastAsia="Times New Roman" w:cs="宋体"/>
                <w:color w:val="auto"/>
                <w:sz w:val="24"/>
                <w:szCs w:val="21"/>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603CA3A5">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164C59D8">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0A96D7C5">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4A5B0702">
            <w:pPr>
              <w:spacing w:beforeLines="0" w:afterLines="0"/>
              <w:rPr>
                <w:rFonts w:hint="eastAsia" w:ascii="Times New Roman" w:eastAsia="Times New Roman" w:cs="宋体"/>
                <w:color w:val="auto"/>
                <w:sz w:val="22"/>
                <w:szCs w:val="24"/>
                <w:highlight w:val="none"/>
              </w:rPr>
            </w:pPr>
          </w:p>
        </w:tc>
        <w:tc>
          <w:tcPr>
            <w:tcW w:w="401" w:type="pct"/>
            <w:tcBorders>
              <w:top w:val="nil"/>
              <w:left w:val="nil"/>
              <w:bottom w:val="single" w:color="auto" w:sz="4" w:space="0"/>
              <w:right w:val="single" w:color="auto" w:sz="4" w:space="0"/>
              <w:tl2br w:val="nil"/>
              <w:tr2bl w:val="nil"/>
            </w:tcBorders>
            <w:noWrap w:val="0"/>
            <w:vAlign w:val="center"/>
          </w:tcPr>
          <w:p w14:paraId="77056C14">
            <w:pPr>
              <w:widowControl/>
              <w:spacing w:beforeLines="0" w:afterLines="0"/>
              <w:rPr>
                <w:rFonts w:hint="eastAsia" w:ascii="Times New Roman" w:eastAsia="Times New Roman" w:cs="宋体"/>
                <w:color w:val="auto"/>
                <w:sz w:val="24"/>
                <w:szCs w:val="21"/>
                <w:highlight w:val="none"/>
              </w:rPr>
            </w:pPr>
          </w:p>
        </w:tc>
        <w:tc>
          <w:tcPr>
            <w:tcW w:w="1091" w:type="pct"/>
            <w:tcBorders>
              <w:top w:val="nil"/>
              <w:left w:val="nil"/>
              <w:bottom w:val="single" w:color="auto" w:sz="4" w:space="0"/>
              <w:right w:val="single" w:color="auto" w:sz="4" w:space="0"/>
              <w:tl2br w:val="nil"/>
              <w:tr2bl w:val="nil"/>
            </w:tcBorders>
            <w:noWrap w:val="0"/>
            <w:vAlign w:val="top"/>
          </w:tcPr>
          <w:p w14:paraId="55F79591">
            <w:pPr>
              <w:widowControl/>
              <w:spacing w:beforeLines="0" w:afterLines="0"/>
              <w:rPr>
                <w:rFonts w:hint="eastAsia" w:ascii="Times New Roman" w:cs="宋体"/>
                <w:color w:val="auto"/>
                <w:sz w:val="24"/>
                <w:szCs w:val="21"/>
                <w:highlight w:val="none"/>
              </w:rPr>
            </w:pPr>
          </w:p>
        </w:tc>
      </w:tr>
      <w:tr w14:paraId="63763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401" w:type="pct"/>
            <w:tcBorders>
              <w:top w:val="nil"/>
              <w:left w:val="single" w:color="auto" w:sz="4" w:space="0"/>
              <w:bottom w:val="single" w:color="auto" w:sz="4" w:space="0"/>
              <w:right w:val="single" w:color="auto" w:sz="4" w:space="0"/>
              <w:tl2br w:val="nil"/>
              <w:tr2bl w:val="nil"/>
            </w:tcBorders>
            <w:noWrap w:val="0"/>
            <w:vAlign w:val="center"/>
          </w:tcPr>
          <w:p w14:paraId="11F0A6E6">
            <w:pPr>
              <w:widowControl/>
              <w:spacing w:beforeLines="0" w:afterLines="0"/>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3</w:t>
            </w:r>
          </w:p>
        </w:tc>
        <w:tc>
          <w:tcPr>
            <w:tcW w:w="1091" w:type="pct"/>
            <w:tcBorders>
              <w:top w:val="nil"/>
              <w:left w:val="nil"/>
              <w:bottom w:val="single" w:color="auto" w:sz="4" w:space="0"/>
              <w:right w:val="single" w:color="auto" w:sz="4" w:space="0"/>
              <w:tl2br w:val="nil"/>
              <w:tr2bl w:val="nil"/>
            </w:tcBorders>
            <w:noWrap w:val="0"/>
            <w:vAlign w:val="center"/>
          </w:tcPr>
          <w:p w14:paraId="66A3A429">
            <w:pPr>
              <w:widowControl/>
              <w:spacing w:beforeLines="0" w:afterLines="0"/>
              <w:rPr>
                <w:rFonts w:hint="eastAsia" w:ascii="Times New Roman" w:eastAsia="Times New Roman" w:cs="宋体"/>
                <w:color w:val="auto"/>
                <w:sz w:val="24"/>
                <w:szCs w:val="21"/>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43C4182F">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5C42F550">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74D1DBC6">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383E1AC3">
            <w:pPr>
              <w:spacing w:beforeLines="0" w:afterLines="0"/>
              <w:rPr>
                <w:rFonts w:hint="eastAsia" w:ascii="Times New Roman" w:eastAsia="Times New Roman" w:cs="宋体"/>
                <w:color w:val="auto"/>
                <w:sz w:val="22"/>
                <w:szCs w:val="24"/>
                <w:highlight w:val="none"/>
              </w:rPr>
            </w:pPr>
          </w:p>
        </w:tc>
        <w:tc>
          <w:tcPr>
            <w:tcW w:w="401" w:type="pct"/>
            <w:tcBorders>
              <w:top w:val="nil"/>
              <w:left w:val="nil"/>
              <w:bottom w:val="single" w:color="auto" w:sz="4" w:space="0"/>
              <w:right w:val="single" w:color="auto" w:sz="4" w:space="0"/>
              <w:tl2br w:val="nil"/>
              <w:tr2bl w:val="nil"/>
            </w:tcBorders>
            <w:noWrap w:val="0"/>
            <w:vAlign w:val="center"/>
          </w:tcPr>
          <w:p w14:paraId="04DA3383">
            <w:pPr>
              <w:widowControl/>
              <w:spacing w:beforeLines="0" w:afterLines="0"/>
              <w:rPr>
                <w:rFonts w:hint="eastAsia" w:ascii="Times New Roman" w:eastAsia="Times New Roman" w:cs="宋体"/>
                <w:color w:val="auto"/>
                <w:sz w:val="24"/>
                <w:szCs w:val="21"/>
                <w:highlight w:val="none"/>
              </w:rPr>
            </w:pPr>
          </w:p>
        </w:tc>
        <w:tc>
          <w:tcPr>
            <w:tcW w:w="1091" w:type="pct"/>
            <w:tcBorders>
              <w:top w:val="nil"/>
              <w:left w:val="nil"/>
              <w:bottom w:val="single" w:color="auto" w:sz="4" w:space="0"/>
              <w:right w:val="single" w:color="auto" w:sz="4" w:space="0"/>
              <w:tl2br w:val="nil"/>
              <w:tr2bl w:val="nil"/>
            </w:tcBorders>
            <w:noWrap w:val="0"/>
            <w:vAlign w:val="top"/>
          </w:tcPr>
          <w:p w14:paraId="24A3AEC9">
            <w:pPr>
              <w:widowControl/>
              <w:spacing w:beforeLines="0" w:afterLines="0"/>
              <w:rPr>
                <w:rFonts w:hint="eastAsia" w:ascii="Times New Roman" w:cs="宋体"/>
                <w:color w:val="auto"/>
                <w:sz w:val="24"/>
                <w:szCs w:val="21"/>
                <w:highlight w:val="none"/>
              </w:rPr>
            </w:pPr>
          </w:p>
        </w:tc>
      </w:tr>
      <w:tr w14:paraId="649AF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401" w:type="pct"/>
            <w:tcBorders>
              <w:top w:val="nil"/>
              <w:left w:val="single" w:color="auto" w:sz="4" w:space="0"/>
              <w:bottom w:val="single" w:color="auto" w:sz="4" w:space="0"/>
              <w:right w:val="single" w:color="auto" w:sz="4" w:space="0"/>
              <w:tl2br w:val="nil"/>
              <w:tr2bl w:val="nil"/>
            </w:tcBorders>
            <w:noWrap w:val="0"/>
            <w:vAlign w:val="center"/>
          </w:tcPr>
          <w:p w14:paraId="2A04F910">
            <w:pPr>
              <w:widowControl/>
              <w:spacing w:beforeLines="0" w:afterLines="0"/>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4</w:t>
            </w:r>
          </w:p>
        </w:tc>
        <w:tc>
          <w:tcPr>
            <w:tcW w:w="1091" w:type="pct"/>
            <w:tcBorders>
              <w:top w:val="nil"/>
              <w:left w:val="nil"/>
              <w:bottom w:val="single" w:color="auto" w:sz="4" w:space="0"/>
              <w:right w:val="single" w:color="auto" w:sz="4" w:space="0"/>
              <w:tl2br w:val="nil"/>
              <w:tr2bl w:val="nil"/>
            </w:tcBorders>
            <w:noWrap w:val="0"/>
            <w:vAlign w:val="center"/>
          </w:tcPr>
          <w:p w14:paraId="0C926524">
            <w:pPr>
              <w:widowControl/>
              <w:spacing w:beforeLines="0" w:afterLines="0"/>
              <w:rPr>
                <w:rFonts w:hint="eastAsia" w:ascii="Times New Roman" w:eastAsia="Times New Roman" w:cs="宋体"/>
                <w:color w:val="auto"/>
                <w:sz w:val="24"/>
                <w:szCs w:val="21"/>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4193D8E9">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7344D35D">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6DFEE6BE">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1AFADE16">
            <w:pPr>
              <w:spacing w:beforeLines="0" w:afterLines="0"/>
              <w:rPr>
                <w:rFonts w:hint="eastAsia" w:ascii="Times New Roman" w:eastAsia="Times New Roman" w:cs="宋体"/>
                <w:color w:val="auto"/>
                <w:sz w:val="22"/>
                <w:szCs w:val="24"/>
                <w:highlight w:val="none"/>
              </w:rPr>
            </w:pPr>
          </w:p>
        </w:tc>
        <w:tc>
          <w:tcPr>
            <w:tcW w:w="401" w:type="pct"/>
            <w:tcBorders>
              <w:top w:val="nil"/>
              <w:left w:val="nil"/>
              <w:bottom w:val="single" w:color="auto" w:sz="4" w:space="0"/>
              <w:right w:val="single" w:color="auto" w:sz="4" w:space="0"/>
              <w:tl2br w:val="nil"/>
              <w:tr2bl w:val="nil"/>
            </w:tcBorders>
            <w:noWrap w:val="0"/>
            <w:vAlign w:val="center"/>
          </w:tcPr>
          <w:p w14:paraId="7391A46F">
            <w:pPr>
              <w:widowControl/>
              <w:spacing w:beforeLines="0" w:afterLines="0"/>
              <w:rPr>
                <w:rFonts w:hint="eastAsia" w:ascii="Times New Roman" w:eastAsia="Times New Roman" w:cs="宋体"/>
                <w:color w:val="auto"/>
                <w:sz w:val="24"/>
                <w:szCs w:val="21"/>
                <w:highlight w:val="none"/>
              </w:rPr>
            </w:pPr>
          </w:p>
        </w:tc>
        <w:tc>
          <w:tcPr>
            <w:tcW w:w="1091" w:type="pct"/>
            <w:tcBorders>
              <w:top w:val="nil"/>
              <w:left w:val="nil"/>
              <w:bottom w:val="single" w:color="auto" w:sz="4" w:space="0"/>
              <w:right w:val="single" w:color="auto" w:sz="4" w:space="0"/>
              <w:tl2br w:val="nil"/>
              <w:tr2bl w:val="nil"/>
            </w:tcBorders>
            <w:noWrap w:val="0"/>
            <w:vAlign w:val="top"/>
          </w:tcPr>
          <w:p w14:paraId="4AA276F2">
            <w:pPr>
              <w:widowControl/>
              <w:spacing w:beforeLines="0" w:afterLines="0"/>
              <w:rPr>
                <w:rFonts w:hint="eastAsia" w:ascii="Times New Roman" w:cs="宋体"/>
                <w:color w:val="auto"/>
                <w:sz w:val="24"/>
                <w:szCs w:val="21"/>
                <w:highlight w:val="none"/>
              </w:rPr>
            </w:pPr>
          </w:p>
        </w:tc>
      </w:tr>
      <w:tr w14:paraId="07291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401" w:type="pct"/>
            <w:tcBorders>
              <w:top w:val="nil"/>
              <w:left w:val="single" w:color="auto" w:sz="4" w:space="0"/>
              <w:bottom w:val="single" w:color="auto" w:sz="4" w:space="0"/>
              <w:right w:val="single" w:color="auto" w:sz="4" w:space="0"/>
              <w:tl2br w:val="nil"/>
              <w:tr2bl w:val="nil"/>
            </w:tcBorders>
            <w:noWrap w:val="0"/>
            <w:vAlign w:val="center"/>
          </w:tcPr>
          <w:p w14:paraId="5F05218D">
            <w:pPr>
              <w:widowControl/>
              <w:spacing w:beforeLines="0" w:afterLines="0"/>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5</w:t>
            </w:r>
          </w:p>
        </w:tc>
        <w:tc>
          <w:tcPr>
            <w:tcW w:w="1091" w:type="pct"/>
            <w:tcBorders>
              <w:top w:val="nil"/>
              <w:left w:val="nil"/>
              <w:bottom w:val="single" w:color="auto" w:sz="4" w:space="0"/>
              <w:right w:val="single" w:color="auto" w:sz="4" w:space="0"/>
              <w:tl2br w:val="nil"/>
              <w:tr2bl w:val="nil"/>
            </w:tcBorders>
            <w:noWrap w:val="0"/>
            <w:vAlign w:val="center"/>
          </w:tcPr>
          <w:p w14:paraId="2B43AB09">
            <w:pPr>
              <w:widowControl/>
              <w:spacing w:beforeLines="0" w:afterLines="0"/>
              <w:rPr>
                <w:rFonts w:hint="eastAsia" w:ascii="Times New Roman" w:eastAsia="Times New Roman" w:cs="宋体"/>
                <w:color w:val="auto"/>
                <w:sz w:val="24"/>
                <w:szCs w:val="21"/>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27FC3D38">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3DE61C1E">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6D117922">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41708D46">
            <w:pPr>
              <w:spacing w:beforeLines="0" w:afterLines="0"/>
              <w:rPr>
                <w:rFonts w:hint="eastAsia" w:ascii="Times New Roman" w:eastAsia="Times New Roman" w:cs="宋体"/>
                <w:color w:val="auto"/>
                <w:sz w:val="22"/>
                <w:szCs w:val="24"/>
                <w:highlight w:val="none"/>
              </w:rPr>
            </w:pPr>
          </w:p>
        </w:tc>
        <w:tc>
          <w:tcPr>
            <w:tcW w:w="401" w:type="pct"/>
            <w:tcBorders>
              <w:top w:val="nil"/>
              <w:left w:val="nil"/>
              <w:bottom w:val="single" w:color="auto" w:sz="4" w:space="0"/>
              <w:right w:val="single" w:color="auto" w:sz="4" w:space="0"/>
              <w:tl2br w:val="nil"/>
              <w:tr2bl w:val="nil"/>
            </w:tcBorders>
            <w:noWrap w:val="0"/>
            <w:vAlign w:val="center"/>
          </w:tcPr>
          <w:p w14:paraId="66B0BC0E">
            <w:pPr>
              <w:widowControl/>
              <w:spacing w:beforeLines="0" w:afterLines="0"/>
              <w:rPr>
                <w:rFonts w:hint="eastAsia" w:ascii="Times New Roman" w:eastAsia="Times New Roman" w:cs="宋体"/>
                <w:color w:val="auto"/>
                <w:sz w:val="24"/>
                <w:szCs w:val="21"/>
                <w:highlight w:val="none"/>
              </w:rPr>
            </w:pPr>
          </w:p>
        </w:tc>
        <w:tc>
          <w:tcPr>
            <w:tcW w:w="1091" w:type="pct"/>
            <w:tcBorders>
              <w:top w:val="nil"/>
              <w:left w:val="nil"/>
              <w:bottom w:val="single" w:color="auto" w:sz="4" w:space="0"/>
              <w:right w:val="single" w:color="auto" w:sz="4" w:space="0"/>
              <w:tl2br w:val="nil"/>
              <w:tr2bl w:val="nil"/>
            </w:tcBorders>
            <w:noWrap w:val="0"/>
            <w:vAlign w:val="top"/>
          </w:tcPr>
          <w:p w14:paraId="700B6D23">
            <w:pPr>
              <w:widowControl/>
              <w:spacing w:beforeLines="0" w:afterLines="0"/>
              <w:rPr>
                <w:rFonts w:hint="eastAsia" w:ascii="Times New Roman" w:cs="宋体"/>
                <w:color w:val="auto"/>
                <w:sz w:val="24"/>
                <w:szCs w:val="21"/>
                <w:highlight w:val="none"/>
              </w:rPr>
            </w:pPr>
          </w:p>
        </w:tc>
      </w:tr>
      <w:tr w14:paraId="598DF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401" w:type="pct"/>
            <w:tcBorders>
              <w:top w:val="nil"/>
              <w:left w:val="single" w:color="auto" w:sz="4" w:space="0"/>
              <w:bottom w:val="single" w:color="auto" w:sz="4" w:space="0"/>
              <w:right w:val="single" w:color="auto" w:sz="4" w:space="0"/>
              <w:tl2br w:val="nil"/>
              <w:tr2bl w:val="nil"/>
            </w:tcBorders>
            <w:noWrap w:val="0"/>
            <w:vAlign w:val="center"/>
          </w:tcPr>
          <w:p w14:paraId="7EA4DE51">
            <w:pPr>
              <w:widowControl/>
              <w:spacing w:beforeLines="0" w:afterLines="0"/>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6</w:t>
            </w:r>
          </w:p>
        </w:tc>
        <w:tc>
          <w:tcPr>
            <w:tcW w:w="1091" w:type="pct"/>
            <w:tcBorders>
              <w:top w:val="nil"/>
              <w:left w:val="nil"/>
              <w:bottom w:val="single" w:color="auto" w:sz="4" w:space="0"/>
              <w:right w:val="single" w:color="auto" w:sz="4" w:space="0"/>
              <w:tl2br w:val="nil"/>
              <w:tr2bl w:val="nil"/>
            </w:tcBorders>
            <w:noWrap w:val="0"/>
            <w:vAlign w:val="center"/>
          </w:tcPr>
          <w:p w14:paraId="0675692E">
            <w:pPr>
              <w:widowControl/>
              <w:spacing w:beforeLines="0" w:afterLines="0"/>
              <w:rPr>
                <w:rFonts w:hint="eastAsia" w:ascii="Times New Roman" w:eastAsia="Times New Roman" w:cs="宋体"/>
                <w:color w:val="auto"/>
                <w:sz w:val="24"/>
                <w:szCs w:val="21"/>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687E7DBB">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4CED090D">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34282434">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6732A789">
            <w:pPr>
              <w:spacing w:beforeLines="0" w:afterLines="0"/>
              <w:rPr>
                <w:rFonts w:hint="eastAsia" w:ascii="Times New Roman" w:eastAsia="Times New Roman" w:cs="宋体"/>
                <w:color w:val="auto"/>
                <w:sz w:val="22"/>
                <w:szCs w:val="24"/>
                <w:highlight w:val="none"/>
              </w:rPr>
            </w:pPr>
          </w:p>
        </w:tc>
        <w:tc>
          <w:tcPr>
            <w:tcW w:w="401" w:type="pct"/>
            <w:tcBorders>
              <w:top w:val="nil"/>
              <w:left w:val="nil"/>
              <w:bottom w:val="single" w:color="auto" w:sz="4" w:space="0"/>
              <w:right w:val="single" w:color="auto" w:sz="4" w:space="0"/>
              <w:tl2br w:val="nil"/>
              <w:tr2bl w:val="nil"/>
            </w:tcBorders>
            <w:noWrap w:val="0"/>
            <w:vAlign w:val="center"/>
          </w:tcPr>
          <w:p w14:paraId="15EEBB62">
            <w:pPr>
              <w:widowControl/>
              <w:spacing w:beforeLines="0" w:afterLines="0"/>
              <w:rPr>
                <w:rFonts w:hint="eastAsia" w:ascii="Times New Roman" w:eastAsia="Times New Roman" w:cs="宋体"/>
                <w:color w:val="auto"/>
                <w:sz w:val="24"/>
                <w:szCs w:val="21"/>
                <w:highlight w:val="none"/>
              </w:rPr>
            </w:pPr>
          </w:p>
        </w:tc>
        <w:tc>
          <w:tcPr>
            <w:tcW w:w="1091" w:type="pct"/>
            <w:tcBorders>
              <w:top w:val="nil"/>
              <w:left w:val="nil"/>
              <w:bottom w:val="single" w:color="auto" w:sz="4" w:space="0"/>
              <w:right w:val="single" w:color="auto" w:sz="4" w:space="0"/>
              <w:tl2br w:val="nil"/>
              <w:tr2bl w:val="nil"/>
            </w:tcBorders>
            <w:noWrap w:val="0"/>
            <w:vAlign w:val="top"/>
          </w:tcPr>
          <w:p w14:paraId="352A2715">
            <w:pPr>
              <w:widowControl/>
              <w:spacing w:beforeLines="0" w:afterLines="0"/>
              <w:rPr>
                <w:rFonts w:hint="eastAsia" w:ascii="Times New Roman" w:cs="宋体"/>
                <w:color w:val="auto"/>
                <w:sz w:val="24"/>
                <w:szCs w:val="21"/>
                <w:highlight w:val="none"/>
              </w:rPr>
            </w:pPr>
          </w:p>
        </w:tc>
      </w:tr>
      <w:tr w14:paraId="6A13A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401" w:type="pct"/>
            <w:tcBorders>
              <w:top w:val="nil"/>
              <w:left w:val="single" w:color="auto" w:sz="4" w:space="0"/>
              <w:bottom w:val="single" w:color="auto" w:sz="4" w:space="0"/>
              <w:right w:val="single" w:color="auto" w:sz="4" w:space="0"/>
              <w:tl2br w:val="nil"/>
              <w:tr2bl w:val="nil"/>
            </w:tcBorders>
            <w:noWrap w:val="0"/>
            <w:vAlign w:val="center"/>
          </w:tcPr>
          <w:p w14:paraId="77F9B173">
            <w:pPr>
              <w:widowControl/>
              <w:spacing w:beforeLines="0" w:afterLines="0"/>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w:t>
            </w:r>
          </w:p>
        </w:tc>
        <w:tc>
          <w:tcPr>
            <w:tcW w:w="1091" w:type="pct"/>
            <w:tcBorders>
              <w:top w:val="nil"/>
              <w:left w:val="nil"/>
              <w:bottom w:val="single" w:color="auto" w:sz="4" w:space="0"/>
              <w:right w:val="single" w:color="auto" w:sz="4" w:space="0"/>
              <w:tl2br w:val="nil"/>
              <w:tr2bl w:val="nil"/>
            </w:tcBorders>
            <w:noWrap w:val="0"/>
            <w:vAlign w:val="center"/>
          </w:tcPr>
          <w:p w14:paraId="1C4E85F1">
            <w:pPr>
              <w:widowControl/>
              <w:spacing w:beforeLines="0" w:afterLines="0"/>
              <w:rPr>
                <w:rFonts w:hint="eastAsia" w:ascii="Times New Roman" w:eastAsia="Times New Roman" w:cs="宋体"/>
                <w:color w:val="auto"/>
                <w:sz w:val="24"/>
                <w:szCs w:val="21"/>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0A42ADA7">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4C2E68C5">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30475FB4">
            <w:pPr>
              <w:spacing w:beforeLines="0" w:afterLines="0"/>
              <w:rPr>
                <w:rFonts w:hint="eastAsia" w:ascii="Times New Roman" w:eastAsia="Times New Roman" w:cs="宋体"/>
                <w:color w:val="auto"/>
                <w:sz w:val="22"/>
                <w:szCs w:val="24"/>
                <w:highlight w:val="none"/>
              </w:rPr>
            </w:pPr>
          </w:p>
        </w:tc>
        <w:tc>
          <w:tcPr>
            <w:tcW w:w="504" w:type="pct"/>
            <w:tcBorders>
              <w:top w:val="single" w:color="auto" w:sz="4" w:space="0"/>
              <w:left w:val="nil"/>
              <w:bottom w:val="single" w:color="auto" w:sz="4" w:space="0"/>
              <w:right w:val="single" w:color="auto" w:sz="4" w:space="0"/>
              <w:tl2br w:val="nil"/>
              <w:tr2bl w:val="nil"/>
            </w:tcBorders>
            <w:noWrap w:val="0"/>
            <w:vAlign w:val="center"/>
          </w:tcPr>
          <w:p w14:paraId="67981CFE">
            <w:pPr>
              <w:spacing w:beforeLines="0" w:afterLines="0"/>
              <w:rPr>
                <w:rFonts w:hint="eastAsia" w:ascii="Times New Roman" w:eastAsia="Times New Roman" w:cs="宋体"/>
                <w:color w:val="auto"/>
                <w:sz w:val="22"/>
                <w:szCs w:val="24"/>
                <w:highlight w:val="none"/>
              </w:rPr>
            </w:pPr>
          </w:p>
        </w:tc>
        <w:tc>
          <w:tcPr>
            <w:tcW w:w="401" w:type="pct"/>
            <w:tcBorders>
              <w:top w:val="nil"/>
              <w:left w:val="nil"/>
              <w:bottom w:val="single" w:color="auto" w:sz="4" w:space="0"/>
              <w:right w:val="single" w:color="auto" w:sz="4" w:space="0"/>
              <w:tl2br w:val="nil"/>
              <w:tr2bl w:val="nil"/>
            </w:tcBorders>
            <w:noWrap w:val="0"/>
            <w:vAlign w:val="center"/>
          </w:tcPr>
          <w:p w14:paraId="64FEF0FA">
            <w:pPr>
              <w:widowControl/>
              <w:spacing w:beforeLines="0" w:afterLines="0"/>
              <w:rPr>
                <w:rFonts w:hint="eastAsia" w:ascii="Times New Roman" w:eastAsia="Times New Roman" w:cs="宋体"/>
                <w:color w:val="auto"/>
                <w:sz w:val="24"/>
                <w:szCs w:val="21"/>
                <w:highlight w:val="none"/>
              </w:rPr>
            </w:pPr>
          </w:p>
        </w:tc>
        <w:tc>
          <w:tcPr>
            <w:tcW w:w="1091" w:type="pct"/>
            <w:tcBorders>
              <w:top w:val="nil"/>
              <w:left w:val="nil"/>
              <w:bottom w:val="single" w:color="auto" w:sz="4" w:space="0"/>
              <w:right w:val="single" w:color="auto" w:sz="4" w:space="0"/>
              <w:tl2br w:val="nil"/>
              <w:tr2bl w:val="nil"/>
            </w:tcBorders>
            <w:noWrap w:val="0"/>
            <w:vAlign w:val="top"/>
          </w:tcPr>
          <w:p w14:paraId="1CC32DB3">
            <w:pPr>
              <w:widowControl/>
              <w:spacing w:beforeLines="0" w:afterLines="0"/>
              <w:rPr>
                <w:rFonts w:hint="eastAsia" w:ascii="Times New Roman" w:cs="宋体"/>
                <w:color w:val="auto"/>
                <w:sz w:val="24"/>
                <w:szCs w:val="21"/>
                <w:highlight w:val="none"/>
              </w:rPr>
            </w:pPr>
          </w:p>
        </w:tc>
      </w:tr>
    </w:tbl>
    <w:p w14:paraId="7D23958F">
      <w:pPr>
        <w:adjustRightInd w:val="0"/>
        <w:snapToGrid w:val="0"/>
        <w:spacing w:beforeLines="0" w:afterLines="0" w:line="360" w:lineRule="auto"/>
        <w:jc w:val="left"/>
        <w:rPr>
          <w:rFonts w:hint="eastAsia" w:ascii="Times New Roman"/>
          <w:color w:val="auto"/>
          <w:sz w:val="24"/>
          <w:szCs w:val="18"/>
          <w:highlight w:val="none"/>
        </w:rPr>
      </w:pPr>
      <w:r>
        <w:rPr>
          <w:rFonts w:hint="eastAsia" w:ascii="Times New Roman"/>
          <w:color w:val="auto"/>
          <w:sz w:val="24"/>
          <w:szCs w:val="18"/>
          <w:highlight w:val="none"/>
        </w:rPr>
        <w:t>注：</w:t>
      </w:r>
    </w:p>
    <w:p w14:paraId="05987272">
      <w:pPr>
        <w:spacing w:beforeLines="0" w:afterLines="0" w:line="360" w:lineRule="auto"/>
        <w:ind w:firstLine="480" w:firstLineChars="200"/>
        <w:jc w:val="left"/>
        <w:rPr>
          <w:rFonts w:hint="eastAsia" w:ascii="Times New Roman" w:cs="仿宋"/>
          <w:color w:val="auto"/>
          <w:sz w:val="24"/>
          <w:szCs w:val="18"/>
          <w:highlight w:val="none"/>
        </w:rPr>
      </w:pPr>
      <w:r>
        <w:rPr>
          <w:rFonts w:hint="eastAsia" w:ascii="Times New Roman" w:cs="仿宋"/>
          <w:color w:val="auto"/>
          <w:sz w:val="24"/>
          <w:szCs w:val="18"/>
          <w:highlight w:val="none"/>
        </w:rPr>
        <w:t>1.本表仅针对不采用招标人参考品牌，采用其他品牌的投标人填写，并注明并提供相关技术参数、业绩等供评标委员会评审，未在上表中注明且未提供相关技术参数、业绩，或经评标委员会评审未通过的，中标后只能从招标人参考品牌中进行选择，价格不予调整。</w:t>
      </w:r>
    </w:p>
    <w:p w14:paraId="7C979497">
      <w:pPr>
        <w:spacing w:beforeLines="0" w:afterLines="0" w:line="360" w:lineRule="auto"/>
        <w:ind w:firstLine="480" w:firstLineChars="200"/>
        <w:jc w:val="left"/>
        <w:rPr>
          <w:rFonts w:hint="eastAsia" w:ascii="Times New Roman" w:eastAsia="Times New Roman" w:cs="宋体"/>
          <w:b/>
          <w:color w:val="auto"/>
          <w:sz w:val="24"/>
          <w:szCs w:val="18"/>
          <w:highlight w:val="none"/>
          <w:lang w:val="zh-CN"/>
        </w:rPr>
      </w:pPr>
      <w:r>
        <w:rPr>
          <w:rFonts w:hint="eastAsia" w:ascii="Times New Roman" w:cs="仿宋"/>
          <w:color w:val="auto"/>
          <w:sz w:val="24"/>
          <w:szCs w:val="18"/>
          <w:highlight w:val="none"/>
        </w:rPr>
        <w:t>2.对于招标人参考品牌的材料、设备等，投标人如认为招标人参考的品牌有限定性、唯一性、明显不在同一档次等级的或者其他疑问的，应在本招标项目澄清提出的截止时间前通过电子交易系统提交。</w:t>
      </w:r>
    </w:p>
    <w:p w14:paraId="4EE32345">
      <w:pPr>
        <w:spacing w:before="240" w:beforeLines="100" w:after="240" w:afterLines="100"/>
        <w:jc w:val="center"/>
        <w:outlineLvl w:val="3"/>
        <w:rPr>
          <w:rFonts w:hint="eastAsia" w:ascii="Times New Roman" w:eastAsia="黑体"/>
          <w:color w:val="auto"/>
          <w:sz w:val="24"/>
          <w:szCs w:val="24"/>
          <w:highlight w:val="none"/>
        </w:rPr>
      </w:pPr>
      <w:r>
        <w:rPr>
          <w:rFonts w:hint="eastAsia" w:ascii="Times New Roman" w:eastAsia="Times New Roman" w:cs="宋体"/>
          <w:b/>
          <w:color w:val="auto"/>
          <w:sz w:val="18"/>
          <w:szCs w:val="18"/>
          <w:highlight w:val="none"/>
          <w:lang w:val="zh-CN"/>
        </w:rPr>
        <w:br w:type="page"/>
      </w:r>
      <w:bookmarkEnd w:id="1660"/>
      <w:bookmarkEnd w:id="1661"/>
      <w:bookmarkEnd w:id="1662"/>
      <w:bookmarkEnd w:id="1663"/>
      <w:bookmarkEnd w:id="1664"/>
      <w:bookmarkEnd w:id="1685"/>
      <w:bookmarkEnd w:id="1686"/>
      <w:bookmarkEnd w:id="1687"/>
      <w:bookmarkStart w:id="1704" w:name="_Toc128950321"/>
      <w:r>
        <w:rPr>
          <w:rFonts w:hint="eastAsia" w:ascii="Times New Roman" w:eastAsia="黑体"/>
          <w:color w:val="auto"/>
          <w:sz w:val="24"/>
          <w:szCs w:val="24"/>
          <w:highlight w:val="none"/>
        </w:rPr>
        <w:t>（十九）异常低价评审表</w:t>
      </w:r>
      <w:bookmarkEnd w:id="1704"/>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2"/>
        <w:gridCol w:w="5144"/>
      </w:tblGrid>
      <w:tr w14:paraId="0956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CD500C">
            <w:pPr>
              <w:autoSpaceDE w:val="0"/>
              <w:autoSpaceDN w:val="0"/>
              <w:adjustRightInd w:val="0"/>
              <w:spacing w:beforeLines="0" w:afterLines="0" w:line="300" w:lineRule="exact"/>
              <w:jc w:val="center"/>
              <w:rPr>
                <w:rFonts w:hint="eastAsia" w:ascii="Times New Roman"/>
                <w:color w:val="auto"/>
                <w:sz w:val="24"/>
                <w:szCs w:val="22"/>
                <w:highlight w:val="none"/>
              </w:rPr>
            </w:pPr>
            <w:r>
              <w:rPr>
                <w:rFonts w:hint="eastAsia" w:ascii="Times New Roman"/>
                <w:color w:val="auto"/>
                <w:sz w:val="24"/>
                <w:szCs w:val="22"/>
                <w:highlight w:val="none"/>
              </w:rPr>
              <w:t>单位工程名称</w:t>
            </w:r>
          </w:p>
        </w:tc>
        <w:tc>
          <w:tcPr>
            <w:tcW w:w="30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F7E007">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29EB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8BA235">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单位工程投标报价（元）</w:t>
            </w:r>
          </w:p>
        </w:tc>
        <w:tc>
          <w:tcPr>
            <w:tcW w:w="30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937F20">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0025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CC40D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最高投标限价对应单位工程价格（元）</w:t>
            </w:r>
          </w:p>
        </w:tc>
        <w:tc>
          <w:tcPr>
            <w:tcW w:w="30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25086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630E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480E0B">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降低工程造价的说明</w:t>
            </w:r>
          </w:p>
        </w:tc>
        <w:tc>
          <w:tcPr>
            <w:tcW w:w="30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F42D53">
            <w:pPr>
              <w:autoSpaceDE w:val="0"/>
              <w:autoSpaceDN w:val="0"/>
              <w:adjustRightInd w:val="0"/>
              <w:spacing w:beforeLines="0" w:afterLines="0" w:line="300" w:lineRule="exact"/>
              <w:jc w:val="center"/>
              <w:rPr>
                <w:rFonts w:hint="eastAsia" w:ascii="Times New Roman" w:eastAsia="Times New Roman" w:cs="宋体"/>
                <w:color w:val="auto"/>
                <w:sz w:val="24"/>
                <w:szCs w:val="21"/>
                <w:highlight w:val="none"/>
              </w:rPr>
            </w:pPr>
          </w:p>
        </w:tc>
      </w:tr>
      <w:tr w14:paraId="1DAC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EE95F0">
            <w:pPr>
              <w:autoSpaceDE w:val="0"/>
              <w:autoSpaceDN w:val="0"/>
              <w:adjustRightInd w:val="0"/>
              <w:spacing w:beforeLines="0" w:afterLines="0" w:line="300" w:lineRule="exact"/>
              <w:jc w:val="center"/>
              <w:rPr>
                <w:rFonts w:hint="eastAsia" w:ascii="Times New Roman" w:cs="宋体"/>
                <w:color w:val="auto"/>
                <w:sz w:val="22"/>
                <w:szCs w:val="22"/>
                <w:highlight w:val="none"/>
              </w:rPr>
            </w:pPr>
            <w:r>
              <w:rPr>
                <w:rFonts w:hint="eastAsia" w:ascii="Times New Roman" w:cs="宋体"/>
                <w:color w:val="auto"/>
                <w:sz w:val="24"/>
                <w:szCs w:val="21"/>
                <w:highlight w:val="none"/>
              </w:rPr>
              <w:t>承诺</w:t>
            </w:r>
          </w:p>
        </w:tc>
        <w:tc>
          <w:tcPr>
            <w:tcW w:w="30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A6DF9A">
            <w:pPr>
              <w:autoSpaceDE w:val="0"/>
              <w:autoSpaceDN w:val="0"/>
              <w:adjustRightInd w:val="0"/>
              <w:spacing w:beforeLines="0" w:afterLines="0" w:line="360" w:lineRule="auto"/>
              <w:rPr>
                <w:rFonts w:hint="eastAsia" w:ascii="Times New Roman" w:cs="宋体"/>
                <w:color w:val="auto"/>
                <w:sz w:val="24"/>
                <w:szCs w:val="21"/>
                <w:highlight w:val="none"/>
              </w:rPr>
            </w:pPr>
            <w:r>
              <w:rPr>
                <w:rFonts w:hint="eastAsia" w:ascii="Times New Roman" w:cs="宋体"/>
                <w:color w:val="auto"/>
                <w:sz w:val="24"/>
                <w:szCs w:val="21"/>
                <w:highlight w:val="none"/>
              </w:rPr>
              <w:t>1.我公司对该表提供的内容及相关资料均属实；</w:t>
            </w:r>
          </w:p>
          <w:p w14:paraId="2147BBC5">
            <w:pPr>
              <w:spacing w:beforeLines="0" w:afterLines="0" w:line="360" w:lineRule="auto"/>
              <w:rPr>
                <w:rFonts w:hint="eastAsia" w:ascii="Times New Roman" w:cs="宋体"/>
                <w:color w:val="auto"/>
                <w:sz w:val="24"/>
                <w:szCs w:val="21"/>
                <w:highlight w:val="none"/>
              </w:rPr>
            </w:pPr>
            <w:r>
              <w:rPr>
                <w:rFonts w:hint="eastAsia" w:ascii="Times New Roman" w:cs="宋体"/>
                <w:color w:val="auto"/>
                <w:sz w:val="24"/>
                <w:szCs w:val="21"/>
                <w:highlight w:val="none"/>
              </w:rPr>
              <w:t>2.我公司承诺没有招标文件约定的降低投标报价的禁止情形。</w:t>
            </w:r>
          </w:p>
          <w:p w14:paraId="50DE55F4">
            <w:pPr>
              <w:autoSpaceDE w:val="0"/>
              <w:autoSpaceDN w:val="0"/>
              <w:adjustRightInd w:val="0"/>
              <w:spacing w:beforeLines="0" w:afterLines="0" w:line="360" w:lineRule="auto"/>
              <w:jc w:val="left"/>
              <w:rPr>
                <w:rFonts w:hint="eastAsia" w:ascii="Times New Roman" w:eastAsia="Times New Roman" w:cs="宋体"/>
                <w:color w:val="auto"/>
                <w:sz w:val="24"/>
                <w:szCs w:val="21"/>
                <w:highlight w:val="none"/>
              </w:rPr>
            </w:pPr>
            <w:r>
              <w:rPr>
                <w:rFonts w:hint="eastAsia" w:ascii="Times New Roman" w:cs="宋体"/>
                <w:color w:val="auto"/>
                <w:sz w:val="24"/>
                <w:szCs w:val="21"/>
                <w:highlight w:val="none"/>
              </w:rPr>
              <w:t>3.我公司承诺具备合同履行能力及工程质量安全控制能力。</w:t>
            </w:r>
          </w:p>
        </w:tc>
      </w:tr>
    </w:tbl>
    <w:p w14:paraId="6711D942">
      <w:pPr>
        <w:adjustRightInd w:val="0"/>
        <w:snapToGrid w:val="0"/>
        <w:spacing w:before="48" w:beforeLines="20" w:after="48" w:afterLines="20" w:line="400" w:lineRule="exact"/>
        <w:rPr>
          <w:rFonts w:hint="eastAsia" w:ascii="Times New Roman"/>
          <w:b/>
          <w:color w:val="auto"/>
          <w:sz w:val="28"/>
          <w:szCs w:val="32"/>
          <w:highlight w:val="none"/>
        </w:rPr>
      </w:pPr>
    </w:p>
    <w:p w14:paraId="2CAAF479">
      <w:pPr>
        <w:adjustRightInd w:val="0"/>
        <w:snapToGrid w:val="0"/>
        <w:spacing w:beforeLines="0" w:afterLines="0" w:line="360" w:lineRule="auto"/>
        <w:jc w:val="right"/>
        <w:rPr>
          <w:rFonts w:hint="eastAsia" w:ascii="Times New Roman"/>
          <w:color w:val="auto"/>
          <w:sz w:val="24"/>
          <w:szCs w:val="21"/>
          <w:highlight w:val="none"/>
          <w:u w:val="single"/>
        </w:rPr>
      </w:pPr>
      <w:r>
        <w:rPr>
          <w:rFonts w:hint="eastAsia" w:ascii="Times New Roman"/>
          <w:color w:val="auto"/>
          <w:spacing w:val="120"/>
          <w:sz w:val="24"/>
          <w:szCs w:val="21"/>
          <w:highlight w:val="none"/>
        </w:rPr>
        <w:t>投标</w:t>
      </w:r>
      <w:r>
        <w:rPr>
          <w:rFonts w:hint="eastAsia" w:ascii="Times New Roman"/>
          <w:color w:val="auto"/>
          <w:sz w:val="24"/>
          <w:szCs w:val="21"/>
          <w:highlight w:val="none"/>
        </w:rPr>
        <w:t>人：</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（盖单位章）</w:t>
      </w:r>
    </w:p>
    <w:p w14:paraId="7AE6F0B7">
      <w:pPr>
        <w:adjustRightInd w:val="0"/>
        <w:snapToGrid w:val="0"/>
        <w:spacing w:beforeLines="0" w:afterLines="0" w:line="360" w:lineRule="auto"/>
        <w:jc w:val="right"/>
        <w:rPr>
          <w:rFonts w:hint="eastAsia" w:ascii="Times New Roman" w:eastAsia="黑体"/>
          <w:color w:val="auto"/>
          <w:sz w:val="28"/>
          <w:szCs w:val="28"/>
          <w:highlight w:val="none"/>
        </w:rPr>
      </w:pPr>
      <w:r>
        <w:rPr>
          <w:rFonts w:hint="eastAsia" w:ascii="Times New Roman"/>
          <w:color w:val="auto"/>
          <w:spacing w:val="360"/>
          <w:sz w:val="24"/>
          <w:szCs w:val="21"/>
          <w:highlight w:val="none"/>
        </w:rPr>
        <w:t>日</w:t>
      </w:r>
      <w:r>
        <w:rPr>
          <w:rFonts w:hint="eastAsia" w:ascii="Times New Roman"/>
          <w:color w:val="auto"/>
          <w:sz w:val="24"/>
          <w:szCs w:val="21"/>
          <w:highlight w:val="none"/>
        </w:rPr>
        <w:t>期：</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年</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月</w:t>
      </w:r>
      <w:r>
        <w:rPr>
          <w:rFonts w:hint="eastAsia" w:ascii="Times New Roman"/>
          <w:color w:val="auto"/>
          <w:sz w:val="24"/>
          <w:szCs w:val="21"/>
          <w:highlight w:val="none"/>
          <w:u w:val="single"/>
        </w:rPr>
        <w:t xml:space="preserve">      </w:t>
      </w:r>
      <w:r>
        <w:rPr>
          <w:rFonts w:hint="eastAsia" w:ascii="Times New Roman"/>
          <w:color w:val="auto"/>
          <w:sz w:val="24"/>
          <w:szCs w:val="21"/>
          <w:highlight w:val="none"/>
        </w:rPr>
        <w:t>日</w:t>
      </w:r>
    </w:p>
    <w:p w14:paraId="6BB6BD9B">
      <w:pPr>
        <w:autoSpaceDE w:val="0"/>
        <w:autoSpaceDN w:val="0"/>
        <w:adjustRightInd w:val="0"/>
        <w:snapToGrid w:val="0"/>
        <w:spacing w:beforeLines="0" w:afterLines="0" w:line="360" w:lineRule="auto"/>
        <w:ind w:firstLine="480" w:firstLineChars="200"/>
        <w:jc w:val="left"/>
        <w:rPr>
          <w:rFonts w:hint="eastAsia" w:ascii="Times New Roman" w:cs="宋体"/>
          <w:color w:val="auto"/>
          <w:sz w:val="22"/>
          <w:szCs w:val="22"/>
          <w:highlight w:val="none"/>
        </w:rPr>
      </w:pPr>
      <w:r>
        <w:rPr>
          <w:rFonts w:hint="eastAsia" w:ascii="Times New Roman" w:cs="宋体"/>
          <w:color w:val="auto"/>
          <w:sz w:val="24"/>
          <w:szCs w:val="21"/>
          <w:highlight w:val="none"/>
        </w:rPr>
        <w:t>注：</w:t>
      </w:r>
    </w:p>
    <w:p w14:paraId="6650A350">
      <w:pPr>
        <w:adjustRightInd w:val="0"/>
        <w:snapToGrid w:val="0"/>
        <w:spacing w:beforeLines="0" w:afterLines="0" w:line="360" w:lineRule="auto"/>
        <w:ind w:firstLine="480" w:firstLineChars="200"/>
        <w:jc w:val="left"/>
        <w:rPr>
          <w:rFonts w:hint="eastAsia" w:ascii="Times New Roman" w:eastAsia="Times New Roman" w:cs="仿宋"/>
          <w:color w:val="auto"/>
          <w:sz w:val="24"/>
          <w:szCs w:val="18"/>
          <w:highlight w:val="none"/>
        </w:rPr>
      </w:pPr>
      <w:r>
        <w:rPr>
          <w:rFonts w:hint="eastAsia" w:ascii="Times New Roman" w:cs="仿宋"/>
          <w:color w:val="auto"/>
          <w:sz w:val="24"/>
          <w:szCs w:val="18"/>
          <w:highlight w:val="none"/>
        </w:rPr>
        <w:t>1.投标人根据其单位工程报价情况，确定是否提供；</w:t>
      </w:r>
    </w:p>
    <w:p w14:paraId="0A926A11">
      <w:pPr>
        <w:adjustRightInd w:val="0"/>
        <w:snapToGrid w:val="0"/>
        <w:spacing w:beforeLines="0" w:afterLines="0" w:line="360" w:lineRule="auto"/>
        <w:ind w:firstLine="480" w:firstLineChars="200"/>
        <w:rPr>
          <w:rFonts w:hint="eastAsia" w:ascii="Times New Roman" w:cs="仿宋"/>
          <w:color w:val="auto"/>
          <w:sz w:val="24"/>
          <w:szCs w:val="18"/>
          <w:highlight w:val="none"/>
        </w:rPr>
      </w:pPr>
      <w:r>
        <w:rPr>
          <w:rFonts w:hint="eastAsia" w:ascii="Times New Roman" w:cs="仿宋"/>
          <w:color w:val="auto"/>
          <w:sz w:val="24"/>
          <w:szCs w:val="18"/>
          <w:highlight w:val="none"/>
        </w:rPr>
        <w:t>2.此表格后附异常低价评审的相关证明材料；</w:t>
      </w:r>
    </w:p>
    <w:p w14:paraId="208CFCDE">
      <w:pPr>
        <w:adjustRightInd w:val="0"/>
        <w:snapToGrid w:val="0"/>
        <w:spacing w:beforeLines="0" w:afterLines="0" w:line="360" w:lineRule="auto"/>
        <w:ind w:firstLine="480" w:firstLineChars="200"/>
        <w:rPr>
          <w:rFonts w:hint="eastAsia" w:ascii="Times New Roman" w:cs="仿宋"/>
          <w:color w:val="auto"/>
          <w:sz w:val="24"/>
          <w:szCs w:val="18"/>
          <w:highlight w:val="none"/>
        </w:rPr>
      </w:pPr>
      <w:r>
        <w:rPr>
          <w:rFonts w:hint="eastAsia" w:ascii="Times New Roman" w:cs="仿宋"/>
          <w:color w:val="auto"/>
          <w:sz w:val="24"/>
          <w:szCs w:val="18"/>
          <w:highlight w:val="none"/>
        </w:rPr>
        <w:t>3.每个单位工程独立制表；</w:t>
      </w:r>
    </w:p>
    <w:p w14:paraId="4644E923">
      <w:pPr>
        <w:adjustRightInd w:val="0"/>
        <w:snapToGrid w:val="0"/>
        <w:spacing w:beforeLines="0" w:afterLines="0" w:line="360" w:lineRule="auto"/>
        <w:ind w:firstLine="480" w:firstLineChars="200"/>
        <w:rPr>
          <w:rFonts w:hint="eastAsia" w:ascii="Times New Roman" w:cs="仿宋"/>
          <w:color w:val="auto"/>
          <w:sz w:val="24"/>
          <w:szCs w:val="18"/>
          <w:highlight w:val="none"/>
        </w:rPr>
      </w:pPr>
      <w:r>
        <w:rPr>
          <w:rFonts w:hint="eastAsia" w:ascii="Times New Roman" w:cs="仿宋"/>
          <w:color w:val="auto"/>
          <w:sz w:val="24"/>
          <w:szCs w:val="18"/>
          <w:highlight w:val="none"/>
        </w:rPr>
        <w:t>4.若投标人提供的相关资料与承诺不符，招标人有权取消其中标（或中标候选）资格，并报公共资源交易监督管理部门。</w:t>
      </w:r>
    </w:p>
    <w:p w14:paraId="237F2E16">
      <w:pPr>
        <w:spacing w:before="240" w:beforeLines="100" w:after="240" w:afterLines="100"/>
        <w:jc w:val="center"/>
        <w:outlineLvl w:val="3"/>
        <w:rPr>
          <w:rFonts w:hint="eastAsia" w:ascii="Times New Roman" w:eastAsia="Times New Roman"/>
          <w:color w:val="auto"/>
          <w:sz w:val="24"/>
          <w:szCs w:val="24"/>
          <w:highlight w:val="none"/>
        </w:rPr>
      </w:pPr>
      <w:bookmarkStart w:id="1705" w:name="_Toc4658"/>
      <w:bookmarkStart w:id="1706" w:name="_Toc12231"/>
      <w:bookmarkStart w:id="1707" w:name="_Toc10011"/>
      <w:bookmarkStart w:id="1708" w:name="_Toc961"/>
      <w:bookmarkStart w:id="1709" w:name="_Toc13593"/>
      <w:bookmarkStart w:id="1710" w:name="_Toc25791"/>
      <w:bookmarkStart w:id="1711" w:name="_Toc18521"/>
      <w:bookmarkStart w:id="1712" w:name="_Toc32639"/>
      <w:bookmarkStart w:id="1713" w:name="_Toc22381"/>
      <w:r>
        <w:rPr>
          <w:rFonts w:hint="eastAsia" w:ascii="Times New Roman"/>
          <w:color w:val="auto"/>
          <w:sz w:val="28"/>
          <w:szCs w:val="28"/>
          <w:highlight w:val="none"/>
        </w:rPr>
        <w:br w:type="page"/>
      </w:r>
      <w:bookmarkStart w:id="1714" w:name="_Toc128950322"/>
      <w:r>
        <w:rPr>
          <w:rFonts w:hint="eastAsia" w:ascii="Times New Roman" w:eastAsia="黑体"/>
          <w:color w:val="auto"/>
          <w:sz w:val="24"/>
          <w:szCs w:val="24"/>
          <w:highlight w:val="none"/>
        </w:rPr>
        <w:t>（二十）需评审人工和主要材料一览表（如有）</w:t>
      </w:r>
      <w:bookmarkEnd w:id="1705"/>
      <w:bookmarkEnd w:id="1706"/>
      <w:bookmarkEnd w:id="1707"/>
      <w:bookmarkEnd w:id="1708"/>
      <w:bookmarkEnd w:id="1709"/>
      <w:bookmarkEnd w:id="1710"/>
      <w:bookmarkEnd w:id="1711"/>
      <w:bookmarkEnd w:id="1712"/>
      <w:bookmarkEnd w:id="1713"/>
      <w:bookmarkEnd w:id="1714"/>
    </w:p>
    <w:p w14:paraId="5D60DDF3">
      <w:pPr>
        <w:spacing w:beforeLines="0" w:afterLines="0" w:line="400" w:lineRule="exact"/>
        <w:jc w:val="left"/>
        <w:rPr>
          <w:rFonts w:hint="eastAsia" w:ascii="Times New Roman" w:eastAsia="Times New Roman"/>
          <w:color w:val="auto"/>
          <w:sz w:val="24"/>
          <w:szCs w:val="24"/>
          <w:highlight w:val="none"/>
        </w:rPr>
      </w:pPr>
      <w:r>
        <w:rPr>
          <w:rFonts w:hint="eastAsia" w:ascii="Times New Roman"/>
          <w:color w:val="auto"/>
          <w:sz w:val="24"/>
          <w:szCs w:val="24"/>
          <w:highlight w:val="none"/>
        </w:rPr>
        <w:t>招标项目标段名称：                                  第   页共  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916"/>
        <w:gridCol w:w="1163"/>
        <w:gridCol w:w="1235"/>
        <w:gridCol w:w="1512"/>
        <w:gridCol w:w="876"/>
      </w:tblGrid>
      <w:tr w14:paraId="3411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69AF91">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序号</w:t>
            </w:r>
          </w:p>
        </w:tc>
        <w:tc>
          <w:tcPr>
            <w:tcW w:w="1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3D1E20">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名称、规格 、型号</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E25ED3">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计量单位</w:t>
            </w:r>
          </w:p>
        </w:tc>
        <w:tc>
          <w:tcPr>
            <w:tcW w:w="7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72B839">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数量</w:t>
            </w:r>
          </w:p>
        </w:tc>
        <w:tc>
          <w:tcPr>
            <w:tcW w:w="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A7FEAC">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投标单价（元）</w:t>
            </w: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ED13CC">
            <w:pPr>
              <w:spacing w:beforeLines="0" w:afterLines="0"/>
              <w:jc w:val="center"/>
              <w:rPr>
                <w:rFonts w:hint="eastAsia" w:ascii="Times New Roman" w:eastAsia="Times New Roman"/>
                <w:b/>
                <w:color w:val="auto"/>
                <w:sz w:val="24"/>
                <w:szCs w:val="24"/>
                <w:highlight w:val="none"/>
              </w:rPr>
            </w:pPr>
            <w:r>
              <w:rPr>
                <w:rFonts w:hint="eastAsia" w:ascii="Times New Roman"/>
                <w:b/>
                <w:color w:val="auto"/>
                <w:sz w:val="24"/>
                <w:szCs w:val="24"/>
                <w:highlight w:val="none"/>
              </w:rPr>
              <w:t>备注</w:t>
            </w:r>
          </w:p>
        </w:tc>
      </w:tr>
      <w:tr w14:paraId="44BB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F31388">
            <w:pPr>
              <w:spacing w:beforeLines="0" w:afterLines="0"/>
              <w:jc w:val="center"/>
              <w:rPr>
                <w:rFonts w:hint="eastAsia" w:ascii="Times New Roman" w:eastAsia="Times New Roman"/>
                <w:color w:val="auto"/>
                <w:sz w:val="24"/>
                <w:szCs w:val="24"/>
                <w:highlight w:val="none"/>
              </w:rPr>
            </w:pPr>
          </w:p>
        </w:tc>
        <w:tc>
          <w:tcPr>
            <w:tcW w:w="1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D830CB">
            <w:pPr>
              <w:spacing w:beforeLines="0" w:afterLines="0"/>
              <w:rPr>
                <w:rFonts w:hint="eastAsia" w:ascii="Times New Roman" w:eastAsia="Times New Roman"/>
                <w:color w:val="auto"/>
                <w:sz w:val="24"/>
                <w:szCs w:val="24"/>
                <w:highlight w:val="none"/>
              </w:rPr>
            </w:pP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86DF71">
            <w:pPr>
              <w:spacing w:beforeLines="0" w:afterLines="0"/>
              <w:jc w:val="center"/>
              <w:rPr>
                <w:rFonts w:hint="eastAsia" w:ascii="Times New Roman" w:eastAsia="Times New Roman"/>
                <w:color w:val="auto"/>
                <w:sz w:val="24"/>
                <w:szCs w:val="24"/>
                <w:highlight w:val="none"/>
              </w:rPr>
            </w:pPr>
          </w:p>
        </w:tc>
        <w:tc>
          <w:tcPr>
            <w:tcW w:w="7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344666">
            <w:pPr>
              <w:spacing w:beforeLines="0" w:afterLines="0"/>
              <w:jc w:val="center"/>
              <w:rPr>
                <w:rFonts w:hint="eastAsia" w:ascii="Times New Roman" w:eastAsia="Times New Roman"/>
                <w:color w:val="auto"/>
                <w:sz w:val="24"/>
                <w:szCs w:val="24"/>
                <w:highlight w:val="none"/>
              </w:rPr>
            </w:pPr>
          </w:p>
        </w:tc>
        <w:tc>
          <w:tcPr>
            <w:tcW w:w="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074538">
            <w:pPr>
              <w:spacing w:beforeLines="0" w:afterLines="0"/>
              <w:jc w:val="center"/>
              <w:rPr>
                <w:rFonts w:hint="eastAsia" w:ascii="Times New Roman" w:eastAsia="Times New Roman"/>
                <w:color w:val="auto"/>
                <w:sz w:val="24"/>
                <w:szCs w:val="24"/>
                <w:highlight w:val="none"/>
              </w:rPr>
            </w:pP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1B179B">
            <w:pPr>
              <w:spacing w:beforeLines="0" w:afterLines="0"/>
              <w:jc w:val="center"/>
              <w:rPr>
                <w:rFonts w:hint="eastAsia" w:ascii="Times New Roman" w:eastAsia="Times New Roman"/>
                <w:color w:val="auto"/>
                <w:sz w:val="24"/>
                <w:szCs w:val="24"/>
                <w:highlight w:val="none"/>
              </w:rPr>
            </w:pPr>
          </w:p>
        </w:tc>
      </w:tr>
      <w:tr w14:paraId="365E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F127A0">
            <w:pPr>
              <w:spacing w:beforeLines="0" w:afterLines="0"/>
              <w:jc w:val="center"/>
              <w:rPr>
                <w:rFonts w:hint="eastAsia" w:ascii="Times New Roman" w:eastAsia="Times New Roman"/>
                <w:color w:val="auto"/>
                <w:sz w:val="24"/>
                <w:szCs w:val="24"/>
                <w:highlight w:val="none"/>
              </w:rPr>
            </w:pPr>
          </w:p>
        </w:tc>
        <w:tc>
          <w:tcPr>
            <w:tcW w:w="1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C823C1">
            <w:pPr>
              <w:spacing w:beforeLines="0" w:afterLines="0"/>
              <w:rPr>
                <w:rFonts w:hint="eastAsia" w:ascii="Times New Roman" w:eastAsia="Times New Roman"/>
                <w:color w:val="auto"/>
                <w:sz w:val="24"/>
                <w:szCs w:val="24"/>
                <w:highlight w:val="none"/>
              </w:rPr>
            </w:pP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AE2586">
            <w:pPr>
              <w:spacing w:beforeLines="0" w:afterLines="0"/>
              <w:jc w:val="center"/>
              <w:rPr>
                <w:rFonts w:hint="eastAsia" w:ascii="Times New Roman" w:eastAsia="Times New Roman"/>
                <w:color w:val="auto"/>
                <w:sz w:val="24"/>
                <w:szCs w:val="24"/>
                <w:highlight w:val="none"/>
              </w:rPr>
            </w:pPr>
          </w:p>
        </w:tc>
        <w:tc>
          <w:tcPr>
            <w:tcW w:w="7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D63841">
            <w:pPr>
              <w:spacing w:beforeLines="0" w:afterLines="0"/>
              <w:jc w:val="center"/>
              <w:rPr>
                <w:rFonts w:hint="eastAsia" w:ascii="Times New Roman" w:eastAsia="Times New Roman"/>
                <w:color w:val="auto"/>
                <w:sz w:val="24"/>
                <w:szCs w:val="24"/>
                <w:highlight w:val="none"/>
              </w:rPr>
            </w:pPr>
          </w:p>
        </w:tc>
        <w:tc>
          <w:tcPr>
            <w:tcW w:w="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C09EB0">
            <w:pPr>
              <w:spacing w:beforeLines="0" w:afterLines="0"/>
              <w:jc w:val="center"/>
              <w:rPr>
                <w:rFonts w:hint="eastAsia" w:ascii="Times New Roman" w:eastAsia="Times New Roman"/>
                <w:color w:val="auto"/>
                <w:sz w:val="24"/>
                <w:szCs w:val="24"/>
                <w:highlight w:val="none"/>
              </w:rPr>
            </w:pP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BF3F12">
            <w:pPr>
              <w:spacing w:beforeLines="0" w:afterLines="0"/>
              <w:jc w:val="center"/>
              <w:rPr>
                <w:rFonts w:hint="eastAsia" w:ascii="Times New Roman" w:eastAsia="Times New Roman"/>
                <w:color w:val="auto"/>
                <w:sz w:val="24"/>
                <w:szCs w:val="24"/>
                <w:highlight w:val="none"/>
              </w:rPr>
            </w:pPr>
          </w:p>
        </w:tc>
      </w:tr>
      <w:tr w14:paraId="6CCC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D93653">
            <w:pPr>
              <w:spacing w:beforeLines="0" w:afterLines="0"/>
              <w:jc w:val="center"/>
              <w:rPr>
                <w:rFonts w:hint="eastAsia" w:ascii="Times New Roman" w:eastAsia="Times New Roman"/>
                <w:color w:val="auto"/>
                <w:sz w:val="24"/>
                <w:szCs w:val="24"/>
                <w:highlight w:val="none"/>
              </w:rPr>
            </w:pPr>
          </w:p>
        </w:tc>
        <w:tc>
          <w:tcPr>
            <w:tcW w:w="1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CB5BEF">
            <w:pPr>
              <w:spacing w:beforeLines="0" w:afterLines="0"/>
              <w:rPr>
                <w:rFonts w:hint="eastAsia" w:ascii="Times New Roman" w:eastAsia="Times New Roman"/>
                <w:color w:val="auto"/>
                <w:sz w:val="24"/>
                <w:szCs w:val="24"/>
                <w:highlight w:val="none"/>
              </w:rPr>
            </w:pP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E25A4B">
            <w:pPr>
              <w:spacing w:beforeLines="0" w:afterLines="0"/>
              <w:jc w:val="center"/>
              <w:rPr>
                <w:rFonts w:hint="eastAsia" w:ascii="Times New Roman" w:eastAsia="Times New Roman"/>
                <w:color w:val="auto"/>
                <w:sz w:val="24"/>
                <w:szCs w:val="24"/>
                <w:highlight w:val="none"/>
              </w:rPr>
            </w:pPr>
          </w:p>
        </w:tc>
        <w:tc>
          <w:tcPr>
            <w:tcW w:w="7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2DDD29">
            <w:pPr>
              <w:spacing w:beforeLines="0" w:afterLines="0"/>
              <w:jc w:val="center"/>
              <w:rPr>
                <w:rFonts w:hint="eastAsia" w:ascii="Times New Roman" w:eastAsia="Times New Roman"/>
                <w:color w:val="auto"/>
                <w:sz w:val="24"/>
                <w:szCs w:val="24"/>
                <w:highlight w:val="none"/>
              </w:rPr>
            </w:pPr>
          </w:p>
        </w:tc>
        <w:tc>
          <w:tcPr>
            <w:tcW w:w="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30D18A">
            <w:pPr>
              <w:spacing w:beforeLines="0" w:afterLines="0"/>
              <w:jc w:val="center"/>
              <w:rPr>
                <w:rFonts w:hint="eastAsia" w:ascii="Times New Roman" w:eastAsia="Times New Roman"/>
                <w:color w:val="auto"/>
                <w:sz w:val="24"/>
                <w:szCs w:val="24"/>
                <w:highlight w:val="none"/>
              </w:rPr>
            </w:pP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8E922A">
            <w:pPr>
              <w:spacing w:beforeLines="0" w:afterLines="0"/>
              <w:jc w:val="center"/>
              <w:rPr>
                <w:rFonts w:hint="eastAsia" w:ascii="Times New Roman" w:eastAsia="Times New Roman"/>
                <w:color w:val="auto"/>
                <w:sz w:val="24"/>
                <w:szCs w:val="24"/>
                <w:highlight w:val="none"/>
              </w:rPr>
            </w:pPr>
          </w:p>
        </w:tc>
      </w:tr>
      <w:tr w14:paraId="5B29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6FAA0B">
            <w:pPr>
              <w:spacing w:beforeLines="0" w:afterLines="0"/>
              <w:jc w:val="center"/>
              <w:rPr>
                <w:rFonts w:hint="eastAsia" w:ascii="Times New Roman" w:eastAsia="Times New Roman"/>
                <w:color w:val="auto"/>
                <w:sz w:val="24"/>
                <w:szCs w:val="24"/>
                <w:highlight w:val="none"/>
              </w:rPr>
            </w:pPr>
          </w:p>
        </w:tc>
        <w:tc>
          <w:tcPr>
            <w:tcW w:w="1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2FAD5D">
            <w:pPr>
              <w:spacing w:beforeLines="0" w:afterLines="0"/>
              <w:rPr>
                <w:rFonts w:hint="eastAsia" w:ascii="Times New Roman" w:eastAsia="Times New Roman"/>
                <w:color w:val="auto"/>
                <w:sz w:val="24"/>
                <w:szCs w:val="24"/>
                <w:highlight w:val="none"/>
              </w:rPr>
            </w:pP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7A2C2A">
            <w:pPr>
              <w:spacing w:beforeLines="0" w:afterLines="0"/>
              <w:jc w:val="center"/>
              <w:rPr>
                <w:rFonts w:hint="eastAsia" w:ascii="Times New Roman"/>
                <w:color w:val="auto"/>
                <w:sz w:val="24"/>
                <w:szCs w:val="24"/>
                <w:highlight w:val="none"/>
              </w:rPr>
            </w:pPr>
            <w:r>
              <w:rPr>
                <w:rFonts w:hint="eastAsia" w:ascii="Times New Roman"/>
                <w:color w:val="auto"/>
                <w:sz w:val="24"/>
                <w:szCs w:val="24"/>
                <w:highlight w:val="none"/>
              </w:rPr>
              <w:t xml:space="preserve"> </w:t>
            </w:r>
          </w:p>
        </w:tc>
        <w:tc>
          <w:tcPr>
            <w:tcW w:w="7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15BFC3">
            <w:pPr>
              <w:spacing w:beforeLines="0" w:afterLines="0"/>
              <w:jc w:val="center"/>
              <w:rPr>
                <w:rFonts w:hint="eastAsia" w:ascii="Times New Roman" w:eastAsia="Times New Roman"/>
                <w:color w:val="auto"/>
                <w:sz w:val="24"/>
                <w:szCs w:val="24"/>
                <w:highlight w:val="none"/>
              </w:rPr>
            </w:pPr>
          </w:p>
        </w:tc>
        <w:tc>
          <w:tcPr>
            <w:tcW w:w="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E8522D">
            <w:pPr>
              <w:spacing w:beforeLines="0" w:afterLines="0"/>
              <w:jc w:val="center"/>
              <w:rPr>
                <w:rFonts w:hint="eastAsia" w:ascii="Times New Roman" w:eastAsia="Times New Roman"/>
                <w:color w:val="auto"/>
                <w:sz w:val="24"/>
                <w:szCs w:val="24"/>
                <w:highlight w:val="none"/>
              </w:rPr>
            </w:pP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476F19">
            <w:pPr>
              <w:spacing w:beforeLines="0" w:afterLines="0"/>
              <w:jc w:val="center"/>
              <w:rPr>
                <w:rFonts w:hint="eastAsia" w:ascii="Times New Roman" w:eastAsia="Times New Roman"/>
                <w:color w:val="auto"/>
                <w:sz w:val="24"/>
                <w:szCs w:val="24"/>
                <w:highlight w:val="none"/>
              </w:rPr>
            </w:pPr>
          </w:p>
        </w:tc>
      </w:tr>
      <w:tr w14:paraId="15AB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43040C">
            <w:pPr>
              <w:spacing w:beforeLines="0" w:afterLines="0"/>
              <w:jc w:val="center"/>
              <w:rPr>
                <w:rFonts w:hint="eastAsia" w:ascii="Times New Roman" w:eastAsia="Times New Roman"/>
                <w:color w:val="auto"/>
                <w:sz w:val="24"/>
                <w:szCs w:val="24"/>
                <w:highlight w:val="none"/>
              </w:rPr>
            </w:pPr>
          </w:p>
        </w:tc>
        <w:tc>
          <w:tcPr>
            <w:tcW w:w="1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732B4F">
            <w:pPr>
              <w:spacing w:beforeLines="0" w:afterLines="0"/>
              <w:rPr>
                <w:rFonts w:hint="eastAsia" w:ascii="Times New Roman" w:eastAsia="Times New Roman"/>
                <w:color w:val="auto"/>
                <w:sz w:val="24"/>
                <w:szCs w:val="24"/>
                <w:highlight w:val="none"/>
              </w:rPr>
            </w:pP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FDAB14">
            <w:pPr>
              <w:spacing w:beforeLines="0" w:afterLines="0"/>
              <w:jc w:val="center"/>
              <w:rPr>
                <w:rFonts w:hint="eastAsia" w:ascii="Times New Roman" w:eastAsia="Times New Roman"/>
                <w:color w:val="auto"/>
                <w:sz w:val="24"/>
                <w:szCs w:val="24"/>
                <w:highlight w:val="none"/>
              </w:rPr>
            </w:pPr>
          </w:p>
        </w:tc>
        <w:tc>
          <w:tcPr>
            <w:tcW w:w="7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792019">
            <w:pPr>
              <w:spacing w:beforeLines="0" w:afterLines="0"/>
              <w:jc w:val="center"/>
              <w:rPr>
                <w:rFonts w:hint="eastAsia" w:ascii="Times New Roman" w:eastAsia="Times New Roman"/>
                <w:color w:val="auto"/>
                <w:sz w:val="24"/>
                <w:szCs w:val="24"/>
                <w:highlight w:val="none"/>
              </w:rPr>
            </w:pPr>
          </w:p>
        </w:tc>
        <w:tc>
          <w:tcPr>
            <w:tcW w:w="8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E44FC9">
            <w:pPr>
              <w:spacing w:beforeLines="0" w:afterLines="0"/>
              <w:jc w:val="center"/>
              <w:rPr>
                <w:rFonts w:hint="eastAsia" w:ascii="Times New Roman" w:eastAsia="Times New Roman"/>
                <w:color w:val="auto"/>
                <w:sz w:val="24"/>
                <w:szCs w:val="24"/>
                <w:highlight w:val="none"/>
              </w:rPr>
            </w:pPr>
          </w:p>
        </w:tc>
        <w:tc>
          <w:tcPr>
            <w:tcW w:w="5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F51295">
            <w:pPr>
              <w:spacing w:beforeLines="0" w:afterLines="0"/>
              <w:jc w:val="center"/>
              <w:rPr>
                <w:rFonts w:hint="eastAsia" w:ascii="Times New Roman" w:eastAsia="Times New Roman"/>
                <w:color w:val="auto"/>
                <w:sz w:val="24"/>
                <w:szCs w:val="24"/>
                <w:highlight w:val="none"/>
              </w:rPr>
            </w:pPr>
          </w:p>
        </w:tc>
      </w:tr>
    </w:tbl>
    <w:p w14:paraId="265E2E58">
      <w:pPr>
        <w:spacing w:beforeLines="0" w:afterLines="0" w:line="360" w:lineRule="auto"/>
        <w:ind w:firstLine="480" w:firstLineChars="200"/>
        <w:jc w:val="left"/>
        <w:rPr>
          <w:rFonts w:hint="eastAsia" w:ascii="Times New Roman" w:cs="仿宋"/>
          <w:color w:val="auto"/>
          <w:sz w:val="24"/>
          <w:szCs w:val="18"/>
          <w:highlight w:val="none"/>
        </w:rPr>
      </w:pPr>
      <w:r>
        <w:rPr>
          <w:rFonts w:hint="eastAsia" w:ascii="Times New Roman" w:cs="仿宋"/>
          <w:color w:val="auto"/>
          <w:sz w:val="24"/>
          <w:szCs w:val="18"/>
          <w:highlight w:val="none"/>
        </w:rPr>
        <w:t>说明：</w:t>
      </w:r>
    </w:p>
    <w:p w14:paraId="3DD805F0">
      <w:pPr>
        <w:spacing w:beforeLines="0" w:afterLines="0" w:line="360" w:lineRule="auto"/>
        <w:ind w:firstLine="480" w:firstLineChars="200"/>
        <w:jc w:val="left"/>
        <w:rPr>
          <w:rFonts w:hint="eastAsia" w:ascii="Times New Roman" w:cs="仿宋"/>
          <w:color w:val="auto"/>
          <w:sz w:val="24"/>
          <w:szCs w:val="18"/>
          <w:highlight w:val="none"/>
        </w:rPr>
      </w:pPr>
      <w:r>
        <w:rPr>
          <w:rFonts w:hint="eastAsia" w:ascii="Times New Roman" w:cs="仿宋"/>
          <w:color w:val="auto"/>
          <w:sz w:val="24"/>
          <w:szCs w:val="18"/>
          <w:highlight w:val="none"/>
        </w:rPr>
        <w:t>1.本表由投标人编制，是投标文件的组成部分，应作为评标委员会需评审的内容。</w:t>
      </w:r>
    </w:p>
    <w:p w14:paraId="65DC0A37">
      <w:pPr>
        <w:spacing w:beforeLines="0" w:afterLines="0" w:line="360" w:lineRule="auto"/>
        <w:ind w:firstLine="480" w:firstLineChars="200"/>
        <w:jc w:val="left"/>
        <w:rPr>
          <w:rFonts w:hint="eastAsia" w:ascii="Times New Roman" w:cs="仿宋"/>
          <w:color w:val="auto"/>
          <w:sz w:val="24"/>
          <w:szCs w:val="18"/>
          <w:highlight w:val="none"/>
        </w:rPr>
      </w:pPr>
      <w:r>
        <w:rPr>
          <w:rFonts w:hint="eastAsia" w:ascii="Times New Roman" w:cs="仿宋"/>
          <w:color w:val="auto"/>
          <w:sz w:val="24"/>
          <w:szCs w:val="18"/>
          <w:highlight w:val="none"/>
        </w:rPr>
        <w:t>2.投标人应响应《可调整价差人工和主要材料一览表》的内容，其中列表中第1列（序号）、第2列（名称、规格 、型号）、第3列（计量单位）、第4列（数量）内容不得修改，且不得增删或改变顺序。</w:t>
      </w:r>
    </w:p>
    <w:p w14:paraId="424DEC11">
      <w:pPr>
        <w:spacing w:beforeLines="0" w:afterLines="0" w:line="360" w:lineRule="auto"/>
        <w:ind w:firstLine="480" w:firstLineChars="200"/>
        <w:jc w:val="left"/>
        <w:rPr>
          <w:rFonts w:hint="eastAsia" w:ascii="Times New Roman" w:cs="仿宋"/>
          <w:color w:val="auto"/>
          <w:sz w:val="24"/>
          <w:szCs w:val="18"/>
          <w:highlight w:val="none"/>
        </w:rPr>
      </w:pPr>
      <w:r>
        <w:rPr>
          <w:rFonts w:hint="eastAsia" w:ascii="Times New Roman" w:cs="仿宋"/>
          <w:color w:val="auto"/>
          <w:sz w:val="24"/>
          <w:szCs w:val="18"/>
          <w:highlight w:val="none"/>
        </w:rPr>
        <w:t>3.投标人在投标报价时，其人工费工日单价不得低于工程所在地政府发布的最低工资标准折算的工日单价。</w:t>
      </w:r>
    </w:p>
    <w:p w14:paraId="5538579E">
      <w:pPr>
        <w:spacing w:before="240" w:beforeLines="100" w:after="240" w:afterLines="100"/>
        <w:jc w:val="center"/>
        <w:outlineLvl w:val="3"/>
        <w:rPr>
          <w:rFonts w:hint="eastAsia" w:ascii="Times New Roman" w:eastAsia="黑体"/>
          <w:color w:val="auto"/>
          <w:sz w:val="24"/>
          <w:szCs w:val="24"/>
          <w:highlight w:val="none"/>
        </w:rPr>
      </w:pPr>
      <w:bookmarkStart w:id="1715" w:name="_Toc24252"/>
      <w:r>
        <w:rPr>
          <w:rFonts w:hint="eastAsia" w:ascii="Times New Roman"/>
          <w:color w:val="auto"/>
          <w:sz w:val="28"/>
          <w:szCs w:val="28"/>
          <w:highlight w:val="none"/>
        </w:rPr>
        <w:br w:type="page"/>
      </w:r>
      <w:bookmarkStart w:id="1716" w:name="_Toc12916"/>
      <w:bookmarkStart w:id="1717" w:name="_Toc4489"/>
      <w:bookmarkStart w:id="1718" w:name="_Toc10783"/>
      <w:bookmarkStart w:id="1719" w:name="_Toc854"/>
      <w:bookmarkStart w:id="1720" w:name="_Toc128950323"/>
      <w:bookmarkStart w:id="1721" w:name="_Toc13197"/>
      <w:bookmarkStart w:id="1722" w:name="_Toc23455"/>
      <w:bookmarkStart w:id="1723" w:name="_Toc16501"/>
      <w:bookmarkStart w:id="1724" w:name="_Toc25359"/>
      <w:r>
        <w:rPr>
          <w:rFonts w:hint="eastAsia" w:ascii="Times New Roman" w:eastAsia="黑体"/>
          <w:color w:val="auto"/>
          <w:sz w:val="24"/>
          <w:szCs w:val="24"/>
          <w:highlight w:val="none"/>
        </w:rPr>
        <w:t>（二十一）投标报价需要说明的其他资料</w:t>
      </w:r>
      <w:bookmarkEnd w:id="1715"/>
      <w:bookmarkEnd w:id="1716"/>
      <w:bookmarkEnd w:id="1717"/>
      <w:bookmarkEnd w:id="1718"/>
      <w:bookmarkEnd w:id="1719"/>
      <w:bookmarkEnd w:id="1720"/>
      <w:bookmarkEnd w:id="1721"/>
      <w:bookmarkEnd w:id="1722"/>
      <w:bookmarkEnd w:id="1723"/>
      <w:bookmarkEnd w:id="1724"/>
    </w:p>
    <w:p w14:paraId="007BB8BD">
      <w:pPr>
        <w:spacing w:beforeLines="0" w:afterLines="0" w:line="360" w:lineRule="auto"/>
        <w:ind w:firstLine="480" w:firstLineChars="200"/>
        <w:jc w:val="left"/>
        <w:rPr>
          <w:rFonts w:hint="eastAsia" w:ascii="Times New Roman" w:cs="仿宋"/>
          <w:color w:val="auto"/>
          <w:sz w:val="24"/>
          <w:szCs w:val="18"/>
          <w:highlight w:val="none"/>
        </w:rPr>
      </w:pPr>
      <w:r>
        <w:rPr>
          <w:rFonts w:hint="eastAsia" w:ascii="Times New Roman"/>
          <w:color w:val="auto"/>
          <w:sz w:val="24"/>
          <w:szCs w:val="21"/>
          <w:highlight w:val="none"/>
        </w:rPr>
        <w:t>投标人认为</w:t>
      </w:r>
      <w:r>
        <w:rPr>
          <w:rFonts w:hint="eastAsia" w:ascii="Times New Roman" w:cs="仿宋"/>
          <w:color w:val="auto"/>
          <w:sz w:val="24"/>
          <w:szCs w:val="18"/>
          <w:highlight w:val="none"/>
        </w:rPr>
        <w:t>需对其投标报价进行其他补充说明及证明材料。</w:t>
      </w:r>
    </w:p>
    <w:p w14:paraId="23EB510E">
      <w:pPr>
        <w:spacing w:beforeLines="0" w:afterLines="0" w:line="360" w:lineRule="auto"/>
        <w:ind w:firstLine="480" w:firstLineChars="200"/>
        <w:jc w:val="left"/>
        <w:rPr>
          <w:rFonts w:hint="eastAsia" w:ascii="Times New Roman"/>
          <w:color w:val="auto"/>
          <w:sz w:val="24"/>
          <w:szCs w:val="24"/>
          <w:highlight w:val="none"/>
        </w:rPr>
      </w:pPr>
      <w:r>
        <w:rPr>
          <w:rFonts w:hint="eastAsia" w:ascii="Times New Roman" w:cs="仿宋"/>
          <w:color w:val="auto"/>
          <w:sz w:val="24"/>
          <w:szCs w:val="18"/>
          <w:highlight w:val="none"/>
        </w:rPr>
        <w:t>投标人在制作</w:t>
      </w:r>
      <w:r>
        <w:rPr>
          <w:rFonts w:hint="eastAsia" w:ascii="Times New Roman"/>
          <w:color w:val="auto"/>
          <w:sz w:val="24"/>
          <w:szCs w:val="21"/>
          <w:highlight w:val="none"/>
        </w:rPr>
        <w:t>投标文件时该页可放置在报价文件：投标所需证明材料中。</w:t>
      </w:r>
    </w:p>
    <w:p w14:paraId="24440F89">
      <w:pPr>
        <w:rPr>
          <w:color w:val="auto"/>
          <w:highlight w:val="none"/>
        </w:rPr>
      </w:pPr>
    </w:p>
    <w:sectPr>
      <w:headerReference r:id="rId4" w:type="default"/>
      <w:footerReference r:id="rId5" w:type="default"/>
      <w:footnotePr>
        <w:numFmt w:val="decimalEnclosedCircleChinese"/>
        <w:numRestart w:val="eachPage"/>
      </w:footnotePr>
      <w:pgSz w:w="11906" w:h="16838"/>
      <w:pgMar w:top="1440" w:right="1803" w:bottom="1440" w:left="1803" w:header="851" w:footer="851" w:gutter="0"/>
      <w:lnNumType w:countBy="0" w:distance="36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MS Mincho">
    <w:altName w:val="Yu Gothic"/>
    <w:panose1 w:val="00000000000000000000"/>
    <w:charset w:val="80"/>
    <w:family w:val="modern"/>
    <w:pitch w:val="default"/>
    <w:sig w:usb0="00000000" w:usb1="00000000" w:usb2="00000000" w:usb3="00000000" w:csb0="0002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swiss"/>
    <w:pitch w:val="default"/>
    <w:sig w:usb0="900002AF" w:usb1="01D77CFB" w:usb2="00000012" w:usb3="00000000" w:csb0="203E01BD" w:csb1="D7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CD97">
    <w:pPr>
      <w:pStyle w:val="10"/>
      <w:spacing w:beforeLines="0" w:afterLines="0"/>
      <w:rPr>
        <w:rFonts w:hint="eastAsia"/>
        <w:sz w:val="18"/>
        <w:szCs w:val="18"/>
      </w:rPr>
    </w:pPr>
    <w:r>
      <w:rPr>
        <w:rFonts w:hint="default"/>
        <w:sz w:val="18"/>
        <w:szCs w:val="18"/>
      </w:rPr>
      <mc:AlternateContent>
        <mc:Choice Requires="wps">
          <w:drawing>
            <wp:anchor distT="0" distB="0" distL="114300" distR="114300" simplePos="0" relativeHeight="251660288" behindDoc="0" locked="0" layoutInCell="1" allowOverlap="1">
              <wp:simplePos x="0" y="0"/>
              <wp:positionH relativeFrom="margin">
                <wp:posOffset>2415540</wp:posOffset>
              </wp:positionH>
              <wp:positionV relativeFrom="paragraph">
                <wp:posOffset>-130175</wp:posOffset>
              </wp:positionV>
              <wp:extent cx="401320" cy="305435"/>
              <wp:effectExtent l="0" t="0" r="0" b="0"/>
              <wp:wrapNone/>
              <wp:docPr id="13" name="文本框 5"/>
              <wp:cNvGraphicFramePr/>
              <a:graphic xmlns:a="http://schemas.openxmlformats.org/drawingml/2006/main">
                <a:graphicData uri="http://schemas.microsoft.com/office/word/2010/wordprocessingShape">
                  <wps:wsp>
                    <wps:cNvSpPr txBox="1"/>
                    <wps:spPr>
                      <a:xfrm>
                        <a:off x="0" y="0"/>
                        <a:ext cx="401320" cy="305435"/>
                      </a:xfrm>
                      <a:prstGeom prst="rect">
                        <a:avLst/>
                      </a:prstGeom>
                      <a:noFill/>
                      <a:ln>
                        <a:noFill/>
                      </a:ln>
                    </wps:spPr>
                    <wps:txbx>
                      <w:txbxContent>
                        <w:p w14:paraId="3AC16047">
                          <w:pPr>
                            <w:pStyle w:val="10"/>
                            <w:spacing w:beforeLines="0" w:afterLines="0"/>
                            <w:jc w:val="center"/>
                            <w:rPr>
                              <w:rFonts w:hint="eastAsia" w:ascii="Times New Roman" w:eastAsia="Times New Roman"/>
                              <w:sz w:val="24"/>
                              <w:szCs w:val="24"/>
                            </w:rPr>
                          </w:pPr>
                          <w:r>
                            <w:rPr>
                              <w:rFonts w:hint="eastAsia" w:ascii="Times New Roman" w:eastAsia="Times New Roman"/>
                              <w:sz w:val="24"/>
                              <w:szCs w:val="24"/>
                            </w:rPr>
                            <w:fldChar w:fldCharType="begin"/>
                          </w:r>
                          <w:r>
                            <w:rPr>
                              <w:rFonts w:hint="eastAsia" w:ascii="Times New Roman" w:eastAsia="Times New Roman"/>
                              <w:sz w:val="24"/>
                              <w:szCs w:val="24"/>
                            </w:rPr>
                            <w:instrText xml:space="preserve"> PAGE  \* MERGEFORMAT </w:instrText>
                          </w:r>
                          <w:r>
                            <w:rPr>
                              <w:rFonts w:hint="eastAsia" w:ascii="Times New Roman" w:eastAsia="Times New Roman"/>
                              <w:sz w:val="24"/>
                              <w:szCs w:val="24"/>
                            </w:rPr>
                            <w:fldChar w:fldCharType="separate"/>
                          </w:r>
                          <w:r>
                            <w:rPr>
                              <w:rFonts w:hint="eastAsia" w:ascii="Times New Roman" w:eastAsia="Times New Roman"/>
                              <w:sz w:val="24"/>
                              <w:szCs w:val="24"/>
                            </w:rPr>
                            <w:t>18</w:t>
                          </w:r>
                          <w:r>
                            <w:rPr>
                              <w:rFonts w:hint="eastAsia" w:ascii="Times New Roman" w:eastAsia="Times New Roman"/>
                              <w:sz w:val="24"/>
                              <w:szCs w:val="24"/>
                            </w:rPr>
                            <w:fldChar w:fldCharType="end"/>
                          </w:r>
                        </w:p>
                      </w:txbxContent>
                    </wps:txbx>
                    <wps:bodyPr vert="horz" wrap="square" lIns="0" tIns="0" rIns="0" bIns="0" anchor="t" anchorCtr="0" upright="1"/>
                  </wps:wsp>
                </a:graphicData>
              </a:graphic>
            </wp:anchor>
          </w:drawing>
        </mc:Choice>
        <mc:Fallback>
          <w:pict>
            <v:shape id="文本框 5" o:spid="_x0000_s1026" o:spt="202" type="#_x0000_t202" style="position:absolute;left:0pt;margin-left:190.2pt;margin-top:-10.25pt;height:24.05pt;width:31.6pt;mso-position-horizontal-relative:margin;z-index:251660288;mso-width-relative:page;mso-height-relative:page;" filled="f" stroked="f" coordsize="21600,21600" o:gfxdata="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Z9fNNoAAAAKAQAADwAAAAAA&#10;AAABACAAAAAiAAAAZHJzL2Rvd25yZXYueG1sUEsBAhQAFAAAAAgAh07iQB+YOafYAQAApQMAAA4A&#10;AAAAAAAAAQAgAAAAKQEAAGRycy9lMm9Eb2MueG1sUEsFBgAAAAAGAAYAWQEAAHMFAAAAAA==&#10;">
              <v:fill on="f" focussize="0,0"/>
              <v:stroke on="f"/>
              <v:imagedata o:title=""/>
              <o:lock v:ext="edit" aspectratio="f"/>
              <v:textbox inset="0mm,0mm,0mm,0mm">
                <w:txbxContent>
                  <w:p w14:paraId="3AC16047">
                    <w:pPr>
                      <w:pStyle w:val="10"/>
                      <w:spacing w:beforeLines="0" w:afterLines="0"/>
                      <w:jc w:val="center"/>
                      <w:rPr>
                        <w:rFonts w:hint="eastAsia" w:ascii="Times New Roman" w:eastAsia="Times New Roman"/>
                        <w:sz w:val="24"/>
                        <w:szCs w:val="24"/>
                      </w:rPr>
                    </w:pPr>
                    <w:r>
                      <w:rPr>
                        <w:rFonts w:hint="eastAsia" w:ascii="Times New Roman" w:eastAsia="Times New Roman"/>
                        <w:sz w:val="24"/>
                        <w:szCs w:val="24"/>
                      </w:rPr>
                      <w:fldChar w:fldCharType="begin"/>
                    </w:r>
                    <w:r>
                      <w:rPr>
                        <w:rFonts w:hint="eastAsia" w:ascii="Times New Roman" w:eastAsia="Times New Roman"/>
                        <w:sz w:val="24"/>
                        <w:szCs w:val="24"/>
                      </w:rPr>
                      <w:instrText xml:space="preserve"> PAGE  \* MERGEFORMAT </w:instrText>
                    </w:r>
                    <w:r>
                      <w:rPr>
                        <w:rFonts w:hint="eastAsia" w:ascii="Times New Roman" w:eastAsia="Times New Roman"/>
                        <w:sz w:val="24"/>
                        <w:szCs w:val="24"/>
                      </w:rPr>
                      <w:fldChar w:fldCharType="separate"/>
                    </w:r>
                    <w:r>
                      <w:rPr>
                        <w:rFonts w:hint="eastAsia" w:ascii="Times New Roman" w:eastAsia="Times New Roman"/>
                        <w:sz w:val="24"/>
                        <w:szCs w:val="24"/>
                      </w:rPr>
                      <w:t>18</w:t>
                    </w:r>
                    <w:r>
                      <w:rPr>
                        <w:rFonts w:hint="eastAsia" w:ascii="Times New Roman" w:eastAsia="Times New Roman"/>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pPr>
        <w:spacing w:before="0" w:after="0"/>
      </w:pPr>
      <w:r>
        <w:separator/>
      </w:r>
    </w:p>
  </w:footnote>
  <w:footnote w:type="continuationSeparator" w:id="15">
    <w:p>
      <w:pPr>
        <w:spacing w:before="0" w:after="0"/>
      </w:pPr>
      <w:r>
        <w:continuationSeparator/>
      </w:r>
    </w:p>
  </w:footnote>
  <w:footnote w:id="0">
    <w:p w14:paraId="42BB4D99">
      <w:pPr>
        <w:spacing w:beforeLines="0" w:afterLines="0" w:line="320" w:lineRule="atLeast"/>
        <w:ind w:left="180" w:hanging="180" w:hangingChars="100"/>
        <w:rPr>
          <w:rFonts w:hint="default"/>
          <w:sz w:val="24"/>
          <w:szCs w:val="24"/>
        </w:rPr>
      </w:pPr>
      <w:r>
        <w:rPr>
          <w:rFonts w:hint="default" w:hAnsi="宋体"/>
          <w:color w:val="000000"/>
          <w:sz w:val="18"/>
          <w:szCs w:val="24"/>
          <w:lang w:val="zh-CN"/>
        </w:rPr>
        <w:footnoteRef/>
      </w:r>
      <w:r>
        <w:rPr>
          <w:rFonts w:hint="eastAsia" w:hAnsi="宋体"/>
          <w:color w:val="000000"/>
          <w:sz w:val="24"/>
          <w:szCs w:val="24"/>
          <w:lang w:val="zh-CN"/>
        </w:rPr>
        <w:t xml:space="preserve"> </w:t>
      </w:r>
      <w:r>
        <w:rPr>
          <w:rFonts w:hint="eastAsia" w:hAnsi="宋体"/>
          <w:color w:val="000000"/>
          <w:sz w:val="18"/>
          <w:szCs w:val="18"/>
        </w:rPr>
        <w:t>评审因素、标准按照最新发布的《合肥市建设工程施工项目评标办法实施导则》要求，并结合招标项目具体特点和实际需要设定；如有调整，从其规定。</w:t>
      </w:r>
    </w:p>
  </w:footnote>
  <w:footnote w:id="1">
    <w:p w14:paraId="0A3596F1">
      <w:pPr>
        <w:spacing w:beforeLines="0" w:afterLines="0" w:line="320" w:lineRule="atLeast"/>
        <w:ind w:left="180" w:hanging="180" w:hangingChars="100"/>
        <w:rPr>
          <w:rFonts w:hint="default"/>
          <w:sz w:val="24"/>
          <w:szCs w:val="24"/>
        </w:rPr>
      </w:pPr>
      <w:r>
        <w:rPr>
          <w:rFonts w:hint="default" w:hAnsi="宋体"/>
          <w:color w:val="000000"/>
          <w:sz w:val="18"/>
          <w:szCs w:val="20"/>
          <w:lang w:val="zh-CN" w:bidi="ar"/>
        </w:rPr>
        <w:footnoteRef/>
      </w:r>
      <w:r>
        <w:rPr>
          <w:rFonts w:hint="eastAsia" w:hAnsi="宋体"/>
          <w:color w:val="000000"/>
          <w:sz w:val="24"/>
          <w:szCs w:val="20"/>
          <w:lang w:val="zh-CN" w:bidi="ar"/>
        </w:rPr>
        <w:t xml:space="preserve"> </w:t>
      </w:r>
      <w:r>
        <w:rPr>
          <w:rFonts w:hint="eastAsia" w:hAnsi="宋体"/>
          <w:color w:val="000000"/>
          <w:sz w:val="18"/>
          <w:szCs w:val="18"/>
          <w:lang w:bidi="ar"/>
        </w:rPr>
        <w:t>按照最新发布的《合肥市建设工程施工项目评标办法实施导则》规定执行。</w:t>
      </w:r>
    </w:p>
  </w:footnote>
  <w:footnote w:id="2">
    <w:p w14:paraId="6A636CF8">
      <w:pPr>
        <w:spacing w:beforeLines="0" w:afterLines="0" w:line="320" w:lineRule="atLeast"/>
        <w:ind w:left="180" w:hanging="180" w:hangingChars="100"/>
        <w:rPr>
          <w:rFonts w:hint="default"/>
          <w:sz w:val="24"/>
          <w:szCs w:val="24"/>
        </w:rPr>
      </w:pPr>
      <w:r>
        <w:rPr>
          <w:rFonts w:hint="default" w:hAnsi="宋体"/>
          <w:color w:val="000000"/>
          <w:sz w:val="18"/>
          <w:szCs w:val="20"/>
          <w:lang w:val="zh-CN" w:bidi="ar"/>
        </w:rPr>
        <w:footnoteRef/>
      </w:r>
      <w:r>
        <w:rPr>
          <w:rFonts w:hint="eastAsia" w:hAnsi="宋体"/>
          <w:color w:val="000000"/>
          <w:sz w:val="24"/>
          <w:szCs w:val="20"/>
          <w:lang w:val="zh-CN" w:bidi="ar"/>
        </w:rPr>
        <w:t xml:space="preserve"> </w:t>
      </w:r>
      <w:r>
        <w:rPr>
          <w:rFonts w:hint="eastAsia" w:hAnsi="宋体"/>
          <w:color w:val="000000"/>
          <w:sz w:val="18"/>
          <w:szCs w:val="18"/>
          <w:lang w:bidi="ar"/>
        </w:rPr>
        <w:t>按照最新发布的《合肥市建设工程施工项目评标办法实施导则》规定执行。</w:t>
      </w:r>
    </w:p>
  </w:footnote>
  <w:footnote w:id="3">
    <w:p w14:paraId="2CBF64E3">
      <w:pPr>
        <w:spacing w:beforeLines="0" w:afterLines="0" w:line="320" w:lineRule="atLeast"/>
        <w:ind w:left="180" w:hanging="180" w:hangingChars="100"/>
        <w:rPr>
          <w:rFonts w:hint="default"/>
          <w:sz w:val="24"/>
          <w:szCs w:val="24"/>
        </w:rPr>
      </w:pPr>
      <w:r>
        <w:rPr>
          <w:rFonts w:hint="default" w:hAnsi="宋体"/>
          <w:color w:val="000000"/>
          <w:sz w:val="18"/>
          <w:szCs w:val="24"/>
          <w:lang w:val="zh-CN"/>
        </w:rPr>
        <w:footnoteRef/>
      </w:r>
      <w:r>
        <w:rPr>
          <w:rFonts w:hint="eastAsia" w:hAnsi="宋体"/>
          <w:color w:val="000000"/>
          <w:sz w:val="24"/>
          <w:szCs w:val="24"/>
          <w:lang w:val="zh-CN"/>
        </w:rPr>
        <w:t xml:space="preserve"> </w:t>
      </w:r>
      <w:r>
        <w:rPr>
          <w:rFonts w:hint="eastAsia" w:hAnsi="宋体"/>
          <w:color w:val="000000"/>
          <w:sz w:val="18"/>
          <w:szCs w:val="18"/>
        </w:rPr>
        <w:t>根据公共资源交易平台相关规定编制具体的视频陈述操作手册。</w:t>
      </w:r>
    </w:p>
  </w:footnote>
  <w:footnote w:id="4">
    <w:p w14:paraId="66042AD0">
      <w:pPr>
        <w:pStyle w:val="14"/>
        <w:spacing w:beforeLines="0" w:afterLines="0"/>
        <w:rPr>
          <w:rFonts w:hint="default"/>
          <w:sz w:val="18"/>
          <w:szCs w:val="18"/>
        </w:rPr>
      </w:pPr>
      <w:r>
        <w:rPr>
          <w:rStyle w:val="23"/>
          <w:rFonts w:hint="default" w:cs="楷体"/>
          <w:snapToGrid w:val="0"/>
          <w:color w:val="000000"/>
          <w:sz w:val="21"/>
          <w:szCs w:val="21"/>
        </w:rPr>
        <w:footnoteRef/>
      </w:r>
      <w:r>
        <w:rPr>
          <w:rFonts w:hint="eastAsia" w:cs="楷体"/>
          <w:snapToGrid w:val="0"/>
          <w:color w:val="000000"/>
          <w:sz w:val="18"/>
          <w:szCs w:val="18"/>
        </w:rPr>
        <w:t>按照《关于建立长效机制切实保障建筑行业农民工工资支付工作的通知》（建市函〔2022〕490号）的规定，推行施工过程结算，发承包双方应按照合同约定的时间、程序和方法，根据工程计量结果，办理期中价款结算，支付进度款，且支付的进度款不低于期中结算价款的80%。</w:t>
      </w:r>
    </w:p>
  </w:footnote>
  <w:footnote w:id="5">
    <w:p w14:paraId="4819DAD1">
      <w:pPr>
        <w:pStyle w:val="14"/>
        <w:spacing w:beforeLines="0" w:afterLines="0"/>
        <w:rPr>
          <w:rFonts w:hint="default"/>
          <w:sz w:val="18"/>
          <w:szCs w:val="18"/>
        </w:rPr>
      </w:pPr>
      <w:r>
        <w:rPr>
          <w:rStyle w:val="23"/>
          <w:rFonts w:hint="default" w:cs="楷体"/>
          <w:snapToGrid w:val="0"/>
          <w:color w:val="000000"/>
          <w:sz w:val="21"/>
          <w:szCs w:val="21"/>
        </w:rPr>
        <w:footnoteRef/>
      </w:r>
      <w:r>
        <w:rPr>
          <w:rFonts w:hint="eastAsia" w:cs="楷体"/>
          <w:snapToGrid w:val="0"/>
          <w:color w:val="000000"/>
          <w:sz w:val="18"/>
          <w:szCs w:val="18"/>
        </w:rPr>
        <w:t>按照《关于印发合肥市建设领域农民工工资专用账户管理意见的通知》（合政办〔2013〕55号）、《贯彻落实&lt;工程建设领域农民工资专用账户管理暂行办法&gt;的通知》（皖人社发〔2022〕5号）和《关于发布合肥市建设工程人工费计算最低标准的通知》（合造价〔2022〕8号）文件执行。</w:t>
      </w:r>
    </w:p>
  </w:footnote>
  <w:footnote w:id="6">
    <w:p w14:paraId="7CF6857F">
      <w:pPr>
        <w:pStyle w:val="14"/>
        <w:spacing w:beforeLines="0" w:afterLines="0"/>
        <w:rPr>
          <w:rFonts w:hint="default"/>
          <w:sz w:val="18"/>
          <w:szCs w:val="18"/>
        </w:rPr>
      </w:pPr>
      <w:r>
        <w:rPr>
          <w:rStyle w:val="23"/>
          <w:rFonts w:hint="default" w:cs="楷体"/>
          <w:snapToGrid w:val="0"/>
          <w:color w:val="000000"/>
          <w:sz w:val="21"/>
          <w:szCs w:val="21"/>
        </w:rPr>
        <w:footnoteRef/>
      </w:r>
      <w:r>
        <w:rPr>
          <w:rFonts w:hint="eastAsia" w:cs="楷体"/>
          <w:snapToGrid w:val="0"/>
          <w:color w:val="000000"/>
          <w:sz w:val="18"/>
          <w:szCs w:val="18"/>
        </w:rPr>
        <w:t>合肥市市级投资建设项目变更程序按照《合肥市人民政府办公厅关于印发合肥市市级投资建设项目变更管理规定的通知》（合政办〔2018〕64号）执行。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9E149">
    <w:pPr>
      <w:pStyle w:val="12"/>
      <w:spacing w:beforeLines="0" w:afterLines="0"/>
      <w:jc w:val="both"/>
      <w:rPr>
        <w:rFonts w:hint="eastAsia"/>
        <w:sz w:val="18"/>
        <w:szCs w:val="18"/>
      </w:rPr>
    </w:pPr>
    <w:r>
      <w:rPr>
        <w:rFonts w:hint="eastAsia"/>
        <w:sz w:val="18"/>
        <w:szCs w:val="18"/>
      </w:rPr>
      <w:t>房建市政施工招标示范文本（2023年版）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3A454D"/>
    <w:multiLevelType w:val="multilevel"/>
    <w:tmpl w:val="8E3A454D"/>
    <w:lvl w:ilvl="0" w:tentative="0">
      <w:start w:val="3"/>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9951E59E"/>
    <w:multiLevelType w:val="singleLevel"/>
    <w:tmpl w:val="9951E59E"/>
    <w:lvl w:ilvl="0" w:tentative="0">
      <w:start w:val="1"/>
      <w:numFmt w:val="decimal"/>
      <w:lvlText w:val="%1."/>
      <w:lvlJc w:val="left"/>
      <w:pPr>
        <w:ind w:left="425" w:hanging="425"/>
      </w:pPr>
      <w:rPr>
        <w:rFonts w:hint="default"/>
      </w:rPr>
    </w:lvl>
  </w:abstractNum>
  <w:abstractNum w:abstractNumId="2">
    <w:nsid w:val="A92C455B"/>
    <w:multiLevelType w:val="singleLevel"/>
    <w:tmpl w:val="A92C455B"/>
    <w:lvl w:ilvl="0" w:tentative="0">
      <w:start w:val="1"/>
      <w:numFmt w:val="decimal"/>
      <w:suff w:val="nothing"/>
      <w:lvlText w:val="%1．"/>
      <w:lvlJc w:val="left"/>
      <w:pPr>
        <w:ind w:left="0" w:firstLine="400"/>
      </w:pPr>
      <w:rPr>
        <w:rFonts w:hint="default"/>
      </w:rPr>
    </w:lvl>
  </w:abstractNum>
  <w:abstractNum w:abstractNumId="3">
    <w:nsid w:val="B0C4C475"/>
    <w:multiLevelType w:val="multilevel"/>
    <w:tmpl w:val="B0C4C475"/>
    <w:lvl w:ilvl="0" w:tentative="0">
      <w:start w:val="1"/>
      <w:numFmt w:val="decimal"/>
      <w:suff w:val="space"/>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D59201F4"/>
    <w:multiLevelType w:val="multilevel"/>
    <w:tmpl w:val="D59201F4"/>
    <w:lvl w:ilvl="0" w:tentative="0">
      <w:start w:val="1"/>
      <w:numFmt w:val="decimal"/>
      <w:lvlText w:val="%1"/>
      <w:lvlJc w:val="left"/>
      <w:pPr>
        <w:tabs>
          <w:tab w:val="left" w:pos="420"/>
        </w:tabs>
        <w:ind w:left="425" w:hanging="425"/>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F9BCC7DF"/>
    <w:multiLevelType w:val="singleLevel"/>
    <w:tmpl w:val="F9BCC7DF"/>
    <w:lvl w:ilvl="0" w:tentative="0">
      <w:start w:val="1"/>
      <w:numFmt w:val="decimal"/>
      <w:suff w:val="nothing"/>
      <w:lvlText w:val="%1．"/>
      <w:lvlJc w:val="left"/>
      <w:pPr>
        <w:ind w:left="0" w:firstLine="400"/>
      </w:pPr>
      <w:rPr>
        <w:rFonts w:hint="default"/>
      </w:rPr>
    </w:lvl>
  </w:abstractNum>
  <w:abstractNum w:abstractNumId="6">
    <w:nsid w:val="3B5285DE"/>
    <w:multiLevelType w:val="multilevel"/>
    <w:tmpl w:val="3B5285DE"/>
    <w:lvl w:ilvl="0" w:tentative="0">
      <w:start w:val="1"/>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6998BC89"/>
    <w:multiLevelType w:val="multilevel"/>
    <w:tmpl w:val="6998BC89"/>
    <w:lvl w:ilvl="0" w:tentative="0">
      <w:start w:val="1"/>
      <w:numFmt w:val="decimal"/>
      <w:suff w:val="space"/>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6FC11CC0"/>
    <w:multiLevelType w:val="multilevel"/>
    <w:tmpl w:val="6FC11CC0"/>
    <w:lvl w:ilvl="0" w:tentative="0">
      <w:start w:val="3"/>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8"/>
  </w:num>
  <w:num w:numId="2">
    <w:abstractNumId w:val="7"/>
  </w:num>
  <w:num w:numId="3">
    <w:abstractNumId w:val="6"/>
  </w:num>
  <w:num w:numId="4">
    <w:abstractNumId w:val="5"/>
  </w:num>
  <w:num w:numId="5">
    <w:abstractNumId w:val="2"/>
  </w:num>
  <w:num w:numId="6">
    <w:abstractNumId w:val="4"/>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numFmt w:val="decimalEnclosedCircleChinese"/>
    <w:numRestart w:val="eachPage"/>
    <w:footnote w:id="14"/>
    <w:footnote w:id="1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iMDM1MzMzMDI2YTFhZjJjMWE3MjZhYWVlYjFlNTMifQ=="/>
  </w:docVars>
  <w:rsids>
    <w:rsidRoot w:val="00172A27"/>
    <w:rsid w:val="0050638A"/>
    <w:rsid w:val="018C1636"/>
    <w:rsid w:val="01B02834"/>
    <w:rsid w:val="01B6046E"/>
    <w:rsid w:val="02025461"/>
    <w:rsid w:val="03261624"/>
    <w:rsid w:val="048E47B6"/>
    <w:rsid w:val="065962E3"/>
    <w:rsid w:val="06F80402"/>
    <w:rsid w:val="071874D5"/>
    <w:rsid w:val="074A2961"/>
    <w:rsid w:val="076F5347"/>
    <w:rsid w:val="0B5F2541"/>
    <w:rsid w:val="0BBD73CC"/>
    <w:rsid w:val="0BFB648F"/>
    <w:rsid w:val="0C3E1E67"/>
    <w:rsid w:val="0C5114BF"/>
    <w:rsid w:val="0C8312A6"/>
    <w:rsid w:val="0D8633EB"/>
    <w:rsid w:val="0DC576D1"/>
    <w:rsid w:val="0F540780"/>
    <w:rsid w:val="1024682E"/>
    <w:rsid w:val="113E7D20"/>
    <w:rsid w:val="141164F6"/>
    <w:rsid w:val="14C440AC"/>
    <w:rsid w:val="17C31746"/>
    <w:rsid w:val="18032D48"/>
    <w:rsid w:val="180F222F"/>
    <w:rsid w:val="18F63219"/>
    <w:rsid w:val="190F7072"/>
    <w:rsid w:val="19A4680D"/>
    <w:rsid w:val="1A0314E0"/>
    <w:rsid w:val="1A9058A9"/>
    <w:rsid w:val="1B426868"/>
    <w:rsid w:val="1B8D4B8F"/>
    <w:rsid w:val="1B9238A2"/>
    <w:rsid w:val="1C1F619A"/>
    <w:rsid w:val="1ECA459E"/>
    <w:rsid w:val="1EDD4E34"/>
    <w:rsid w:val="1EFC4C0E"/>
    <w:rsid w:val="1FEE1B49"/>
    <w:rsid w:val="202B35EA"/>
    <w:rsid w:val="233425BD"/>
    <w:rsid w:val="2466758A"/>
    <w:rsid w:val="24A756CB"/>
    <w:rsid w:val="24F0099A"/>
    <w:rsid w:val="26915AE8"/>
    <w:rsid w:val="269C3827"/>
    <w:rsid w:val="280478D6"/>
    <w:rsid w:val="28405DFB"/>
    <w:rsid w:val="286B525F"/>
    <w:rsid w:val="29B060A3"/>
    <w:rsid w:val="2B45623B"/>
    <w:rsid w:val="2CAB47C4"/>
    <w:rsid w:val="2DB87198"/>
    <w:rsid w:val="2FA460AC"/>
    <w:rsid w:val="30A74AA5"/>
    <w:rsid w:val="32022CFB"/>
    <w:rsid w:val="32827D75"/>
    <w:rsid w:val="33157AA3"/>
    <w:rsid w:val="34AD39FE"/>
    <w:rsid w:val="34B432CE"/>
    <w:rsid w:val="34EC7728"/>
    <w:rsid w:val="351D3D85"/>
    <w:rsid w:val="356C3BFA"/>
    <w:rsid w:val="375A7BFF"/>
    <w:rsid w:val="37AF2673"/>
    <w:rsid w:val="38314DB1"/>
    <w:rsid w:val="389660F5"/>
    <w:rsid w:val="38B90269"/>
    <w:rsid w:val="39B95458"/>
    <w:rsid w:val="3A196BBE"/>
    <w:rsid w:val="3B8531F2"/>
    <w:rsid w:val="3CFE3F8D"/>
    <w:rsid w:val="3DED69EA"/>
    <w:rsid w:val="3E142301"/>
    <w:rsid w:val="3F1165F8"/>
    <w:rsid w:val="3FC15F34"/>
    <w:rsid w:val="3FFD0A3B"/>
    <w:rsid w:val="400C28EA"/>
    <w:rsid w:val="404B1089"/>
    <w:rsid w:val="40F005A0"/>
    <w:rsid w:val="41E55C2A"/>
    <w:rsid w:val="422C694D"/>
    <w:rsid w:val="4238428E"/>
    <w:rsid w:val="42BC2E2F"/>
    <w:rsid w:val="42EB7271"/>
    <w:rsid w:val="43162B45"/>
    <w:rsid w:val="43A32B7C"/>
    <w:rsid w:val="4519282F"/>
    <w:rsid w:val="456D0411"/>
    <w:rsid w:val="464645FB"/>
    <w:rsid w:val="468469F5"/>
    <w:rsid w:val="48161EAE"/>
    <w:rsid w:val="485B3D50"/>
    <w:rsid w:val="497853C0"/>
    <w:rsid w:val="4ABE18D7"/>
    <w:rsid w:val="4AE40F0E"/>
    <w:rsid w:val="4AF67FA2"/>
    <w:rsid w:val="4B0F37AF"/>
    <w:rsid w:val="4BD729F4"/>
    <w:rsid w:val="4BDB2578"/>
    <w:rsid w:val="4C1C66ED"/>
    <w:rsid w:val="4CB42DC9"/>
    <w:rsid w:val="4D2F7ACE"/>
    <w:rsid w:val="4E075E26"/>
    <w:rsid w:val="4E885416"/>
    <w:rsid w:val="4EA2737D"/>
    <w:rsid w:val="4EBB5514"/>
    <w:rsid w:val="4F1964B0"/>
    <w:rsid w:val="4F484D17"/>
    <w:rsid w:val="4FA113E3"/>
    <w:rsid w:val="510E1EA2"/>
    <w:rsid w:val="53BA2F89"/>
    <w:rsid w:val="54354CE5"/>
    <w:rsid w:val="54907C78"/>
    <w:rsid w:val="552373D7"/>
    <w:rsid w:val="57981E6B"/>
    <w:rsid w:val="57A06424"/>
    <w:rsid w:val="589B1E7D"/>
    <w:rsid w:val="594A0CAC"/>
    <w:rsid w:val="598F1651"/>
    <w:rsid w:val="59E3656C"/>
    <w:rsid w:val="5AF41016"/>
    <w:rsid w:val="5D335644"/>
    <w:rsid w:val="5E3B4355"/>
    <w:rsid w:val="5EDD7F5D"/>
    <w:rsid w:val="600E7FB1"/>
    <w:rsid w:val="604278DE"/>
    <w:rsid w:val="619C7A0C"/>
    <w:rsid w:val="62E178BB"/>
    <w:rsid w:val="64393E88"/>
    <w:rsid w:val="65864778"/>
    <w:rsid w:val="667C4500"/>
    <w:rsid w:val="66ED2D08"/>
    <w:rsid w:val="6846773F"/>
    <w:rsid w:val="68556DB7"/>
    <w:rsid w:val="68966AB7"/>
    <w:rsid w:val="68A66D11"/>
    <w:rsid w:val="6A2C6BE5"/>
    <w:rsid w:val="6AC57335"/>
    <w:rsid w:val="6AD4247F"/>
    <w:rsid w:val="6C1256EA"/>
    <w:rsid w:val="6C1A0568"/>
    <w:rsid w:val="6CEA3706"/>
    <w:rsid w:val="6E48057C"/>
    <w:rsid w:val="6E753D0F"/>
    <w:rsid w:val="6E8D5EA6"/>
    <w:rsid w:val="6EBC0F1A"/>
    <w:rsid w:val="71320355"/>
    <w:rsid w:val="718F158B"/>
    <w:rsid w:val="71996D87"/>
    <w:rsid w:val="744A6ED7"/>
    <w:rsid w:val="75BE1BE0"/>
    <w:rsid w:val="76FB1360"/>
    <w:rsid w:val="78AF42C1"/>
    <w:rsid w:val="78D12489"/>
    <w:rsid w:val="7A747570"/>
    <w:rsid w:val="7AC075D4"/>
    <w:rsid w:val="7B3F192C"/>
    <w:rsid w:val="7B51165F"/>
    <w:rsid w:val="7C1136AD"/>
    <w:rsid w:val="7C4E5CCF"/>
    <w:rsid w:val="7F2B5241"/>
    <w:rsid w:val="7F563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iPriority="0" w:semiHidden="0" w:name="footnote reference"/>
    <w:lsdException w:qFormat="1"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spacing w:beforeLines="0" w:afterLines="0"/>
      <w:jc w:val="both"/>
    </w:pPr>
    <w:rPr>
      <w:rFonts w:hint="eastAsia" w:ascii="宋体" w:hAnsi="Times New Roman" w:eastAsia="宋体" w:cs="Times New Roman"/>
      <w:sz w:val="24"/>
      <w:szCs w:val="24"/>
      <w:lang w:val="en-US" w:eastAsia="zh-CN" w:bidi="ar-SA"/>
    </w:rPr>
  </w:style>
  <w:style w:type="paragraph" w:styleId="2">
    <w:name w:val="heading 1"/>
    <w:basedOn w:val="1"/>
    <w:next w:val="1"/>
    <w:unhideWhenUsed/>
    <w:qFormat/>
    <w:uiPriority w:val="0"/>
    <w:pPr>
      <w:keepNext/>
      <w:keepLines/>
      <w:spacing w:beforeLines="0" w:afterLines="0" w:line="360" w:lineRule="auto"/>
      <w:outlineLvl w:val="0"/>
    </w:pPr>
    <w:rPr>
      <w:rFonts w:hint="eastAsia"/>
      <w:b/>
      <w:kern w:val="44"/>
      <w:sz w:val="32"/>
      <w:szCs w:val="44"/>
    </w:rPr>
  </w:style>
  <w:style w:type="paragraph" w:styleId="3">
    <w:name w:val="heading 2"/>
    <w:basedOn w:val="1"/>
    <w:next w:val="1"/>
    <w:unhideWhenUsed/>
    <w:qFormat/>
    <w:uiPriority w:val="0"/>
    <w:pPr>
      <w:keepNext/>
      <w:keepLines/>
      <w:spacing w:before="260" w:beforeLines="0" w:after="260" w:afterLines="0" w:line="416" w:lineRule="auto"/>
      <w:outlineLvl w:val="1"/>
    </w:pPr>
    <w:rPr>
      <w:rFonts w:hint="default" w:ascii="Cambria" w:hAnsi="Cambria"/>
      <w:b/>
      <w:sz w:val="32"/>
      <w:szCs w:val="32"/>
    </w:rPr>
  </w:style>
  <w:style w:type="paragraph" w:styleId="4">
    <w:name w:val="heading 3"/>
    <w:basedOn w:val="1"/>
    <w:next w:val="1"/>
    <w:unhideWhenUsed/>
    <w:qFormat/>
    <w:uiPriority w:val="0"/>
    <w:pPr>
      <w:keepNext/>
      <w:keepLines/>
      <w:spacing w:before="120" w:beforeLines="0" w:after="120" w:afterLines="0" w:line="360" w:lineRule="auto"/>
      <w:jc w:val="left"/>
      <w:outlineLvl w:val="2"/>
    </w:pPr>
    <w:rPr>
      <w:rFonts w:hint="eastAsia" w:ascii="黑体" w:hAnsi="黑体" w:eastAsia="黑体"/>
      <w:sz w:val="24"/>
      <w:szCs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0"/>
    <w:pPr>
      <w:spacing w:beforeLines="0" w:afterLines="0"/>
      <w:ind w:firstLine="420" w:firstLineChars="200"/>
    </w:pPr>
    <w:rPr>
      <w:rFonts w:hint="eastAsia"/>
      <w:sz w:val="24"/>
      <w:szCs w:val="24"/>
    </w:rPr>
  </w:style>
  <w:style w:type="paragraph" w:styleId="6">
    <w:name w:val="annotation text"/>
    <w:basedOn w:val="1"/>
    <w:qFormat/>
    <w:uiPriority w:val="0"/>
    <w:pPr>
      <w:adjustRightInd w:val="0"/>
      <w:spacing w:line="360" w:lineRule="atLeast"/>
      <w:jc w:val="left"/>
      <w:textAlignment w:val="baseline"/>
    </w:pPr>
    <w:rPr>
      <w:kern w:val="0"/>
      <w:sz w:val="24"/>
      <w:szCs w:val="20"/>
    </w:rPr>
  </w:style>
  <w:style w:type="paragraph" w:styleId="7">
    <w:name w:val="Body Text"/>
    <w:basedOn w:val="1"/>
    <w:next w:val="8"/>
    <w:unhideWhenUsed/>
    <w:qFormat/>
    <w:uiPriority w:val="0"/>
    <w:pPr>
      <w:spacing w:beforeLines="0" w:after="120" w:afterLines="0"/>
    </w:pPr>
    <w:rPr>
      <w:rFonts w:hint="eastAsia"/>
      <w:sz w:val="24"/>
      <w:szCs w:val="24"/>
    </w:rPr>
  </w:style>
  <w:style w:type="paragraph" w:styleId="8">
    <w:name w:val="Date"/>
    <w:basedOn w:val="1"/>
    <w:next w:val="1"/>
    <w:unhideWhenUsed/>
    <w:qFormat/>
    <w:uiPriority w:val="0"/>
    <w:pPr>
      <w:spacing w:beforeLines="0" w:afterLines="0"/>
      <w:ind w:left="100" w:leftChars="2500"/>
    </w:pPr>
    <w:rPr>
      <w:rFonts w:hint="eastAsia"/>
      <w:sz w:val="24"/>
      <w:szCs w:val="24"/>
    </w:rPr>
  </w:style>
  <w:style w:type="paragraph" w:styleId="9">
    <w:name w:val="Body Text Indent"/>
    <w:basedOn w:val="1"/>
    <w:unhideWhenUsed/>
    <w:qFormat/>
    <w:uiPriority w:val="0"/>
    <w:pPr>
      <w:spacing w:beforeLines="0" w:afterLines="0"/>
      <w:ind w:firstLine="560" w:firstLineChars="200"/>
    </w:pPr>
    <w:rPr>
      <w:rFonts w:hint="eastAsia" w:hAnsi="宋体"/>
      <w:sz w:val="28"/>
      <w:szCs w:val="32"/>
    </w:rPr>
  </w:style>
  <w:style w:type="paragraph" w:styleId="10">
    <w:name w:val="footer"/>
    <w:basedOn w:val="1"/>
    <w:unhideWhenUsed/>
    <w:qFormat/>
    <w:uiPriority w:val="99"/>
    <w:pPr>
      <w:tabs>
        <w:tab w:val="center" w:pos="4153"/>
        <w:tab w:val="right" w:pos="8306"/>
      </w:tabs>
      <w:snapToGrid w:val="0"/>
      <w:spacing w:beforeLines="0" w:afterLines="0"/>
      <w:jc w:val="left"/>
    </w:pPr>
    <w:rPr>
      <w:rFonts w:hint="eastAsia"/>
      <w:sz w:val="18"/>
      <w:szCs w:val="18"/>
    </w:rPr>
  </w:style>
  <w:style w:type="paragraph" w:styleId="11">
    <w:name w:val="envelope return"/>
    <w:basedOn w:val="1"/>
    <w:unhideWhenUsed/>
    <w:qFormat/>
    <w:uiPriority w:val="99"/>
    <w:pPr>
      <w:snapToGrid w:val="0"/>
      <w:spacing w:beforeLines="0" w:afterLines="0"/>
    </w:pPr>
    <w:rPr>
      <w:rFonts w:hint="default" w:ascii="Arial" w:hAnsi="Arial"/>
      <w:sz w:val="24"/>
      <w:szCs w:val="24"/>
    </w:rPr>
  </w:style>
  <w:style w:type="paragraph" w:styleId="12">
    <w:name w:val="header"/>
    <w:basedOn w:val="1"/>
    <w:unhideWhenUsed/>
    <w:qFormat/>
    <w:uiPriority w:val="0"/>
    <w:pPr>
      <w:pBdr>
        <w:bottom w:val="single" w:color="auto" w:sz="6" w:space="1"/>
      </w:pBdr>
      <w:tabs>
        <w:tab w:val="center" w:pos="4153"/>
        <w:tab w:val="right" w:pos="8306"/>
      </w:tabs>
      <w:snapToGrid w:val="0"/>
      <w:spacing w:beforeLines="0" w:afterLines="0"/>
      <w:jc w:val="center"/>
    </w:pPr>
    <w:rPr>
      <w:rFonts w:hint="eastAsia"/>
      <w:sz w:val="18"/>
      <w:szCs w:val="18"/>
    </w:rPr>
  </w:style>
  <w:style w:type="paragraph" w:styleId="13">
    <w:name w:val="toc 1"/>
    <w:basedOn w:val="1"/>
    <w:next w:val="1"/>
    <w:unhideWhenUsed/>
    <w:qFormat/>
    <w:uiPriority w:val="39"/>
    <w:pPr>
      <w:spacing w:before="120" w:beforeLines="0" w:after="120" w:afterLines="0"/>
      <w:jc w:val="left"/>
    </w:pPr>
    <w:rPr>
      <w:rFonts w:hint="default" w:ascii="Calibri" w:hAnsi="Calibri" w:cs="Calibri"/>
      <w:b/>
      <w:caps/>
      <w:sz w:val="20"/>
      <w:szCs w:val="20"/>
    </w:rPr>
  </w:style>
  <w:style w:type="paragraph" w:styleId="14">
    <w:name w:val="footnote text"/>
    <w:basedOn w:val="1"/>
    <w:unhideWhenUsed/>
    <w:qFormat/>
    <w:uiPriority w:val="0"/>
    <w:pPr>
      <w:snapToGrid w:val="0"/>
      <w:spacing w:beforeLines="0" w:afterLines="0"/>
      <w:jc w:val="left"/>
    </w:pPr>
    <w:rPr>
      <w:rFonts w:hint="eastAsia"/>
      <w:sz w:val="18"/>
      <w:szCs w:val="18"/>
    </w:rPr>
  </w:style>
  <w:style w:type="paragraph" w:styleId="15">
    <w:name w:val="Normal (Web)"/>
    <w:basedOn w:val="1"/>
    <w:unhideWhenUsed/>
    <w:qFormat/>
    <w:uiPriority w:val="0"/>
    <w:pPr>
      <w:widowControl/>
      <w:spacing w:before="100" w:beforeLines="0" w:beforeAutospacing="1" w:after="100" w:afterLines="0" w:afterAutospacing="1"/>
      <w:jc w:val="left"/>
    </w:pPr>
    <w:rPr>
      <w:rFonts w:hint="eastAsia" w:hAnsi="宋体" w:cs="宋体"/>
      <w:color w:val="0066CC"/>
      <w:sz w:val="24"/>
      <w:szCs w:val="24"/>
    </w:rPr>
  </w:style>
  <w:style w:type="paragraph" w:styleId="16">
    <w:name w:val="Body Text First Indent 2"/>
    <w:basedOn w:val="9"/>
    <w:unhideWhenUsed/>
    <w:qFormat/>
    <w:uiPriority w:val="0"/>
    <w:pPr>
      <w:spacing w:beforeLines="0" w:afterLines="0"/>
      <w:ind w:left="420" w:firstLine="420"/>
    </w:pPr>
    <w:rPr>
      <w:rFonts w:hint="default" w:ascii="Calibri" w:hAnsi="Calibri"/>
      <w:sz w:val="21"/>
      <w:szCs w:val="2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unhideWhenUsed/>
    <w:qFormat/>
    <w:uiPriority w:val="0"/>
    <w:rPr>
      <w:rFonts w:hint="default"/>
      <w:sz w:val="24"/>
      <w:szCs w:val="24"/>
    </w:rPr>
  </w:style>
  <w:style w:type="character" w:styleId="21">
    <w:name w:val="Hyperlink"/>
    <w:unhideWhenUsed/>
    <w:qFormat/>
    <w:uiPriority w:val="99"/>
    <w:rPr>
      <w:rFonts w:hint="default"/>
      <w:color w:val="0000FF"/>
      <w:sz w:val="24"/>
      <w:szCs w:val="24"/>
    </w:rPr>
  </w:style>
  <w:style w:type="character" w:styleId="22">
    <w:name w:val="annotation reference"/>
    <w:unhideWhenUsed/>
    <w:qFormat/>
    <w:uiPriority w:val="0"/>
    <w:rPr>
      <w:rFonts w:hint="default"/>
      <w:sz w:val="21"/>
      <w:szCs w:val="24"/>
    </w:rPr>
  </w:style>
  <w:style w:type="character" w:styleId="23">
    <w:name w:val="footnote reference"/>
    <w:unhideWhenUsed/>
    <w:qFormat/>
    <w:uiPriority w:val="0"/>
    <w:rPr>
      <w:rFonts w:hint="default"/>
      <w:sz w:val="24"/>
      <w:szCs w:val="24"/>
      <w:vertAlign w:val="superscript"/>
    </w:rPr>
  </w:style>
  <w:style w:type="paragraph" w:customStyle="1" w:styleId="24">
    <w:name w:val="正文格式"/>
    <w:basedOn w:val="1"/>
    <w:unhideWhenUsed/>
    <w:qFormat/>
    <w:uiPriority w:val="0"/>
    <w:pPr>
      <w:spacing w:beforeLines="0" w:afterLines="0"/>
    </w:pPr>
    <w:rPr>
      <w:rFonts w:hint="eastAsia"/>
      <w:sz w:val="28"/>
      <w:szCs w:val="24"/>
    </w:rPr>
  </w:style>
  <w:style w:type="paragraph" w:customStyle="1" w:styleId="25">
    <w:name w:val="列表段落111"/>
    <w:basedOn w:val="1"/>
    <w:unhideWhenUsed/>
    <w:qFormat/>
    <w:uiPriority w:val="34"/>
    <w:pPr>
      <w:spacing w:beforeLines="0" w:afterLines="0"/>
      <w:ind w:firstLine="420" w:firstLineChars="200"/>
    </w:pPr>
    <w:rPr>
      <w:rFonts w:hint="eastAsia"/>
      <w:sz w:val="24"/>
      <w:szCs w:val="24"/>
    </w:rPr>
  </w:style>
  <w:style w:type="paragraph" w:customStyle="1" w:styleId="26">
    <w:name w:val="正文_3"/>
    <w:unhideWhenUsed/>
    <w:qFormat/>
    <w:uiPriority w:val="0"/>
    <w:pPr>
      <w:widowControl w:val="0"/>
      <w:spacing w:beforeLines="0" w:afterLines="0"/>
      <w:jc w:val="both"/>
    </w:pPr>
    <w:rPr>
      <w:rFonts w:hint="default" w:ascii="Calibri" w:hAnsi="Calibri" w:eastAsia="宋体" w:cs="Times New Roman"/>
      <w:kern w:val="2"/>
      <w:sz w:val="21"/>
      <w:szCs w:val="22"/>
      <w:lang w:val="en-US" w:eastAsia="zh-CN" w:bidi="ar-SA"/>
    </w:rPr>
  </w:style>
  <w:style w:type="paragraph" w:styleId="27">
    <w:name w:val="List Paragraph"/>
    <w:basedOn w:val="1"/>
    <w:unhideWhenUsed/>
    <w:qFormat/>
    <w:uiPriority w:val="34"/>
    <w:pPr>
      <w:spacing w:beforeLines="0" w:afterLines="0"/>
      <w:ind w:firstLine="420" w:firstLineChars="200"/>
    </w:pPr>
    <w:rPr>
      <w:rFonts w:hint="default" w:ascii="Calibri" w:hAnsi="Calibri"/>
      <w:sz w:val="24"/>
      <w:szCs w:val="22"/>
    </w:rPr>
  </w:style>
  <w:style w:type="paragraph" w:customStyle="1" w:styleId="28">
    <w:name w:val="正文_0"/>
    <w:unhideWhenUsed/>
    <w:qFormat/>
    <w:uiPriority w:val="0"/>
    <w:pPr>
      <w:widowControl w:val="0"/>
      <w:spacing w:beforeLines="0" w:afterLines="0"/>
      <w:jc w:val="both"/>
    </w:pPr>
    <w:rPr>
      <w:rFonts w:hint="eastAsia" w:ascii="Times New Roman" w:hAnsi="Times New Roman" w:eastAsia="Times New Roman" w:cs="Times New Roman"/>
      <w:kern w:val="2"/>
      <w:sz w:val="21"/>
      <w:szCs w:val="24"/>
      <w:lang w:val="en-US" w:eastAsia="zh-CN" w:bidi="ar-SA"/>
    </w:rPr>
  </w:style>
  <w:style w:type="character" w:customStyle="1" w:styleId="29">
    <w:name w:val="font11"/>
    <w:basedOn w:val="19"/>
    <w:unhideWhenUsed/>
    <w:qFormat/>
    <w:uiPriority w:val="0"/>
    <w:rPr>
      <w:rFonts w:hint="eastAsia" w:ascii="宋体" w:hAnsi="宋体" w:eastAsia="宋体" w:cs="宋体"/>
      <w:color w:val="000000"/>
      <w:sz w:val="24"/>
      <w:szCs w:val="24"/>
    </w:rPr>
  </w:style>
  <w:style w:type="character" w:customStyle="1" w:styleId="30">
    <w:name w:val="font31"/>
    <w:basedOn w:val="19"/>
    <w:unhideWhenUsed/>
    <w:qFormat/>
    <w:uiPriority w:val="0"/>
    <w:rPr>
      <w:rFonts w:hint="eastAsia" w:ascii="Times New Roman" w:hAnsi="Times New Roman" w:eastAsia="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230</Pages>
  <Words>84372</Words>
  <Characters>88541</Characters>
  <Lines>0</Lines>
  <Paragraphs>0</Paragraphs>
  <TotalTime>0</TotalTime>
  <ScaleCrop>false</ScaleCrop>
  <LinksUpToDate>false</LinksUpToDate>
  <CharactersWithSpaces>99732</CharactersWithSpaces>
  <Application>WPS Office_12.1.0.17726_F1E327BC-269C-435d-A152-05C5408002CA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2024-08-07T03:21:00Z</dcterms:created>
  <dc:creator>Administrator</dc:creator>
  <cp:lastModifiedBy>朱文斌</cp:lastModifiedBy>
  <cp:lastPrinted>2025-07-01T07:48:00Z</cp:lastPrinted>
  <dcterms:modified xsi:type="dcterms:W3CDTF">2025-07-02T02:37:24Z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2052-12.1.0.17726</vt:lpwstr>
  </property>
  <property fmtid="{D5CDD505-2E9C-101B-9397-08002B2CF9AE}" pid="3" name="ICV">
    <vt:lpwstr>0B3966CA44424D99B95645B6F94702D2_12</vt:lpwstr>
  </property>
</Properties>
</file>